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680" w:right="1600" w:hanging="3672"/>
        <w:spacing w:after="0" w:line="412"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8, 2024</w:t>
      </w:r>
    </w:p>
    <w:p>
      <w:pPr>
        <w:spacing w:after="0" w:line="28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32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96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5"/>
                <w:szCs w:val="15"/>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41"/>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17"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2"/>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ind w:right="2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5" w:lineRule="exact"/>
        <w:rPr>
          <w:sz w:val="24"/>
          <w:szCs w:val="24"/>
          <w:color w:val="auto"/>
        </w:rPr>
      </w:pPr>
    </w:p>
    <w:p>
      <w:pPr>
        <w:jc w:val="both"/>
        <w:ind w:right="20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4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 2024, Domino’s Pizza, Inc. had 34,531,978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10"/>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12"/>
            <w:vMerge w:val="continue"/>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790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 As of September 8, 2024 and December 31, 2023</w:t>
            </w:r>
          </w:p>
        </w:tc>
        <w:tc>
          <w:tcPr>
            <w:tcW w:w="182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and three fiscal quarters ended September 8,</w:t>
            </w:r>
          </w:p>
        </w:tc>
        <w:tc>
          <w:tcPr>
            <w:tcW w:w="5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2024 and September 10, 2023</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and three fiscal quarters ended</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8, 2024 and September 10, 2023</w:t>
            </w:r>
          </w:p>
        </w:tc>
        <w:tc>
          <w:tcPr>
            <w:tcW w:w="604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Three fiscal quarters ended September 8, 2024 and</w:t>
            </w:r>
          </w:p>
        </w:tc>
        <w:tc>
          <w:tcPr>
            <w:tcW w:w="90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10, 2023</w:t>
            </w:r>
          </w:p>
        </w:tc>
        <w:tc>
          <w:tcPr>
            <w:tcW w:w="77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24"/>
                <w:szCs w:val="24"/>
                <w:color w:val="auto"/>
              </w:rPr>
            </w:pPr>
          </w:p>
        </w:tc>
        <w:tc>
          <w:tcPr>
            <w:tcW w:w="80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04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6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2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928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6"/>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8, 2024</w:t>
            </w:r>
          </w:p>
        </w:tc>
        <w:tc>
          <w:tcPr>
            <w:tcW w:w="18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 (1)</w:t>
            </w: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278,707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282,809</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106,335</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872,257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364,620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694,009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674,733</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(400,602 )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(370,368 )</w:t>
            </w: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293,407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215,040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207,323</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134,105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DPC Dash</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609,402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1,775,066</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104,246</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510,508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547,350</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4,934,062</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186,981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5,241,196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5,197,916</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1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(3,973,816 )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(4,069,648 )</w:t>
            </w:r>
          </w:p>
        </w:tc>
      </w:tr>
      <w:tr>
        <w:trPr>
          <w:trHeight w:val="24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(4,877 )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r>
      <w:tr>
        <w:trPr>
          <w:trHeight w:val="20"/>
        </w:trPr>
        <w:tc>
          <w:tcPr>
            <w:tcW w:w="7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(3,976,638 )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(4,070,367 )</w:t>
            </w:r>
          </w:p>
        </w:tc>
      </w:tr>
      <w:tr>
        <w:trPr>
          <w:trHeight w:val="27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1,775,066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-6325870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-6325870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-5065395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-3813810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-2236470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-1293495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right="220" w:firstLine="8"/>
        <w:spacing w:after="0" w:line="26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623"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40" w:type="dxa"/>
            <w:vAlign w:val="bottom"/>
          </w:tcPr>
          <w:p>
            <w:pPr>
              <w:spacing w:after="0"/>
              <w:rPr>
                <w:sz w:val="16"/>
                <w:szCs w:val="16"/>
                <w:color w:val="auto"/>
              </w:rPr>
            </w:pPr>
          </w:p>
        </w:tc>
        <w:tc>
          <w:tcPr>
            <w:tcW w:w="24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5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2"/>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274,086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258,882</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442,168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410,454</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651,314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1,858,023</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213,308</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335,719</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1,080,119</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1,027,361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3,262,502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3,076,386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214,609</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582,167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556,578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1,753,132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1,673,405</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656,372</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629,192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1,979,854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1,888,014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423,747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1,282,648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1,188,372</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320,962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290,186</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335,719</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198,831</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189,432</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605,347</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562,318</w:t>
            </w:r>
          </w:p>
        </w:tc>
        <w:tc>
          <w:tcPr>
            <w:tcW w:w="100" w:type="dxa"/>
            <w:vAlign w:val="bottom"/>
            <w:tcBorders>
              <w:top w:val="single" w:sz="8" w:color="CFF0FC"/>
            </w:tcBorders>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20"/>
                <w:szCs w:val="20"/>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(44,726 )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(44,796 )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(135,293 )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(136,275 )</w:t>
            </w:r>
          </w:p>
        </w:tc>
      </w:tr>
      <w:tr>
        <w:trPr>
          <w:trHeight w:val="237"/>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184,616</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175,574</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501,222</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446,945</w:t>
            </w:r>
          </w:p>
        </w:tc>
        <w:tc>
          <w:tcPr>
            <w:tcW w:w="100" w:type="dxa"/>
            <w:vAlign w:val="bottom"/>
            <w:tcBorders>
              <w:top w:val="single" w:sz="8" w:color="CFF0FC"/>
            </w:tcBorders>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147,676</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361,826</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-2862580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-2862580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-2862580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-2228215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-2228215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-2228215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-967740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-650875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-650875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-650875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Pr>
          <w:p>
            <w:pPr>
              <w:spacing w:after="0"/>
              <w:rPr>
                <w:sz w:val="16"/>
                <w:szCs w:val="16"/>
                <w:color w:val="auto"/>
              </w:rPr>
            </w:pPr>
          </w:p>
        </w:tc>
        <w:tc>
          <w:tcPr>
            <w:tcW w:w="33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38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7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147,676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361,826</w:t>
            </w:r>
          </w:p>
        </w:tc>
        <w:tc>
          <w:tcPr>
            <w:tcW w:w="100" w:type="dxa"/>
            <w:vAlign w:val="bottom"/>
            <w:shd w:val="clear" w:color="auto" w:fill="CFF0FC"/>
          </w:tcPr>
          <w:p>
            <w:pPr>
              <w:spacing w:after="0"/>
              <w:rPr>
                <w:sz w:val="20"/>
                <w:szCs w:val="20"/>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(1,330 )</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r>
      <w:tr>
        <w:trPr>
          <w:trHeight w:val="277"/>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147,522</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146,346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413,716</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58"/>
        </w:trPr>
        <w:tc>
          <w:tcPr>
            <w:tcW w:w="7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541"/>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1"/>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Refranchising loss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2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(7,524 )</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(12,191 )</w:t>
            </w: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(21,609 )</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(2,973 )</w:t>
            </w: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(18,871 )</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(13,267 )</w:t>
            </w: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(18,968 )</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(6,349 )</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446,879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422,130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(70,801 )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(59,271 )</w:t>
            </w:r>
          </w:p>
        </w:tc>
        <w:tc>
          <w:tcPr>
            <w:tcW w:w="0" w:type="dxa"/>
            <w:vAlign w:val="bottom"/>
          </w:tcPr>
          <w:p>
            <w:pPr>
              <w:spacing w:after="0"/>
              <w:rPr>
                <w:sz w:val="1"/>
                <w:szCs w:val="1"/>
                <w:color w:val="auto"/>
              </w:rPr>
            </w:pPr>
          </w:p>
        </w:tc>
      </w:tr>
      <w:tr>
        <w:trPr>
          <w:trHeight w:val="23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(1,094 )</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(71,895 )</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(60,014 )</w:t>
            </w:r>
          </w:p>
        </w:tc>
        <w:tc>
          <w:tcPr>
            <w:tcW w:w="0" w:type="dxa"/>
            <w:vAlign w:val="bottom"/>
          </w:tcPr>
          <w:p>
            <w:pPr>
              <w:spacing w:after="0"/>
              <w:rPr>
                <w:sz w:val="1"/>
                <w:szCs w:val="1"/>
                <w:color w:val="auto"/>
              </w:rPr>
            </w:pPr>
          </w:p>
        </w:tc>
      </w:tr>
      <w:tr>
        <w:trPr>
          <w:trHeight w:val="237"/>
        </w:trPr>
        <w:tc>
          <w:tcPr>
            <w:tcW w:w="7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(15,947 )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(41,349 )</w:t>
            </w:r>
          </w:p>
        </w:tc>
        <w:tc>
          <w:tcPr>
            <w:tcW w:w="0" w:type="dxa"/>
            <w:vAlign w:val="bottom"/>
          </w:tcPr>
          <w:p>
            <w:pPr>
              <w:spacing w:after="0"/>
              <w:rPr>
                <w:sz w:val="1"/>
                <w:szCs w:val="1"/>
                <w:color w:val="auto"/>
              </w:rPr>
            </w:pPr>
          </w:p>
        </w:tc>
      </w:tr>
      <w:tr>
        <w:trPr>
          <w:trHeight w:val="23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(214,999 )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(210,847 )</w:t>
            </w:r>
          </w:p>
        </w:tc>
        <w:tc>
          <w:tcPr>
            <w:tcW w:w="0" w:type="dxa"/>
            <w:vAlign w:val="bottom"/>
          </w:tcPr>
          <w:p>
            <w:pPr>
              <w:spacing w:after="0"/>
              <w:rPr>
                <w:sz w:val="1"/>
                <w:szCs w:val="1"/>
                <w:color w:val="auto"/>
              </w:rPr>
            </w:pPr>
          </w:p>
        </w:tc>
      </w:tr>
      <w:tr>
        <w:trPr>
          <w:trHeight w:val="239"/>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(10,706 )</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(5,240 )</w:t>
            </w: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(106,015 )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(85,564 )</w:t>
            </w:r>
          </w:p>
        </w:tc>
        <w:tc>
          <w:tcPr>
            <w:tcW w:w="0" w:type="dxa"/>
            <w:vAlign w:val="bottom"/>
          </w:tcPr>
          <w:p>
            <w:pPr>
              <w:spacing w:after="0"/>
              <w:rPr>
                <w:sz w:val="1"/>
                <w:szCs w:val="1"/>
                <w:color w:val="auto"/>
              </w:rPr>
            </w:pPr>
          </w:p>
        </w:tc>
      </w:tr>
      <w:tr>
        <w:trPr>
          <w:trHeight w:val="232"/>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(589 )</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6"/>
        </w:trPr>
        <w:tc>
          <w:tcPr>
            <w:tcW w:w="7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9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2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464,530</w:t>
            </w:r>
          </w:p>
        </w:tc>
        <w:tc>
          <w:tcPr>
            <w:tcW w:w="28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2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-4173855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-3539490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-2618105</wp:posOffset>
            </wp:positionV>
            <wp:extent cx="939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-2618105</wp:posOffset>
            </wp:positionV>
            <wp:extent cx="939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-2279650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8,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31, 2023 included in the Company’s 2023 Annual Report on Form 10-K, filed with the Securities and Exchange Commission on February 26, 2024 (the “2023 Form 10-K”).</w:t>
      </w:r>
    </w:p>
    <w:p>
      <w:pPr>
        <w:spacing w:after="0" w:line="75"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and three fiscal quarters ended September 8, 2024 are not necessarily indicative of the results that may be expected for the fiscal year ending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the third quarter and three fiscal quarters of 2024 and the third quarter and three fiscal quarters of 2023.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Fiscal Quarters Ended September 8, 2024 and September 10,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36"/>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940" w:type="dxa"/>
            <w:vAlign w:val="bottom"/>
            <w:shd w:val="clear" w:color="auto" w:fill="CFF0FC"/>
          </w:tcPr>
          <w:p>
            <w:pPr>
              <w:jc w:val="center"/>
              <w:ind w:right="3110"/>
              <w:spacing w:after="0"/>
              <w:rPr>
                <w:sz w:val="20"/>
                <w:szCs w:val="20"/>
                <w:color w:val="auto"/>
              </w:rPr>
            </w:pPr>
            <w:r>
              <w:rPr>
                <w:rFonts w:ascii="Times New Roman" w:cs="Times New Roman" w:eastAsia="Times New Roman" w:hAnsi="Times New Roman"/>
                <w:sz w:val="18"/>
                <w:szCs w:val="18"/>
                <w:color w:val="auto"/>
                <w:w w:val="99"/>
              </w:rPr>
              <w:t>Revenues</w:t>
            </w: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354,172</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1,080,119</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336,133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643,728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(25,642 )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1,027,361</w:t>
            </w:r>
          </w:p>
        </w:tc>
        <w:tc>
          <w:tcPr>
            <w:tcW w:w="100" w:type="dxa"/>
            <w:vAlign w:val="bottom"/>
            <w:shd w:val="clear" w:color="auto" w:fill="CFF0FC"/>
          </w:tcPr>
          <w:p>
            <w:pPr>
              <w:spacing w:after="0"/>
              <w:rPr>
                <w:sz w:val="21"/>
                <w:szCs w:val="2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128,577</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62,367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(22,839 )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229,278</w:t>
            </w:r>
          </w:p>
        </w:tc>
        <w:tc>
          <w:tcPr>
            <w:tcW w:w="100" w:type="dxa"/>
            <w:vAlign w:val="bottom"/>
            <w:shd w:val="clear" w:color="auto" w:fill="CFF0FC"/>
          </w:tcPr>
          <w:p>
            <w:pPr>
              <w:spacing w:after="0"/>
              <w:rPr>
                <w:sz w:val="21"/>
                <w:szCs w:val="21"/>
                <w:color w:val="auto"/>
              </w:rPr>
            </w:pPr>
          </w:p>
        </w:tc>
      </w:tr>
      <w:tr>
        <w:trPr>
          <w:trHeight w:val="234"/>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(19,809 )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217,287</w:t>
            </w:r>
          </w:p>
        </w:tc>
        <w:tc>
          <w:tcPr>
            <w:tcW w:w="100" w:type="dxa"/>
            <w:vAlign w:val="bottom"/>
          </w:tcPr>
          <w:p>
            <w:pPr>
              <w:spacing w:after="0"/>
              <w:rPr>
                <w:sz w:val="20"/>
                <w:szCs w:val="20"/>
                <w:color w:val="auto"/>
              </w:rPr>
            </w:pPr>
          </w:p>
        </w:tc>
      </w:tr>
      <w:tr>
        <w:trPr>
          <w:trHeight w:val="306"/>
        </w:trPr>
        <w:tc>
          <w:tcPr>
            <w:tcW w:w="3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8, 2024 and September 10,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36"/>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940" w:type="dxa"/>
            <w:vAlign w:val="bottom"/>
            <w:shd w:val="clear" w:color="auto" w:fill="CFF0FC"/>
          </w:tcPr>
          <w:p>
            <w:pPr>
              <w:jc w:val="center"/>
              <w:ind w:right="3110"/>
              <w:spacing w:after="0"/>
              <w:rPr>
                <w:sz w:val="20"/>
                <w:szCs w:val="20"/>
                <w:color w:val="auto"/>
              </w:rPr>
            </w:pPr>
            <w:r>
              <w:rPr>
                <w:rFonts w:ascii="Times New Roman" w:cs="Times New Roman" w:eastAsia="Times New Roman" w:hAnsi="Times New Roman"/>
                <w:sz w:val="18"/>
                <w:szCs w:val="18"/>
                <w:color w:val="auto"/>
                <w:w w:val="99"/>
              </w:rPr>
              <w:t>Revenues</w:t>
            </w: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1,072,435</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(83,283 )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3,262,502</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1,005,055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1,935,332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(77,309 )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3,076,386</w:t>
            </w:r>
          </w:p>
        </w:tc>
        <w:tc>
          <w:tcPr>
            <w:tcW w:w="100" w:type="dxa"/>
            <w:vAlign w:val="bottom"/>
            <w:shd w:val="clear" w:color="auto" w:fill="CFF0FC"/>
          </w:tcPr>
          <w:p>
            <w:pPr>
              <w:spacing w:after="0"/>
              <w:rPr>
                <w:sz w:val="21"/>
                <w:szCs w:val="2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394,167</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190,736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(67,178 )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698,521</w:t>
            </w:r>
          </w:p>
        </w:tc>
        <w:tc>
          <w:tcPr>
            <w:tcW w:w="100" w:type="dxa"/>
            <w:vAlign w:val="bottom"/>
            <w:shd w:val="clear" w:color="auto" w:fill="CFF0FC"/>
          </w:tcPr>
          <w:p>
            <w:pPr>
              <w:spacing w:after="0"/>
              <w:rPr>
                <w:sz w:val="21"/>
                <w:szCs w:val="21"/>
                <w:color w:val="auto"/>
              </w:rPr>
            </w:pPr>
          </w:p>
        </w:tc>
      </w:tr>
      <w:tr>
        <w:trPr>
          <w:trHeight w:val="234"/>
        </w:trPr>
        <w:tc>
          <w:tcPr>
            <w:tcW w:w="394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356,626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(54,396 )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644,520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40" w:type="dxa"/>
            <w:vAlign w:val="bottom"/>
          </w:tcPr>
          <w:p>
            <w:pPr>
              <w:spacing w:after="0"/>
              <w:rPr>
                <w:sz w:val="16"/>
                <w:szCs w:val="16"/>
                <w:color w:val="auto"/>
              </w:rPr>
            </w:pPr>
          </w:p>
        </w:tc>
        <w:tc>
          <w:tcPr>
            <w:tcW w:w="24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3"/>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229,278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217,287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698,521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(20,756 )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(18,268 )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(60,974 )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(54,999 )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(9,517 )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(9,442 )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(31,541 )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(26,507 )</w:t>
            </w:r>
          </w:p>
        </w:tc>
        <w:tc>
          <w:tcPr>
            <w:tcW w:w="0" w:type="dxa"/>
            <w:vAlign w:val="bottom"/>
          </w:tcPr>
          <w:p>
            <w:pPr>
              <w:spacing w:after="0"/>
              <w:rPr>
                <w:sz w:val="1"/>
                <w:szCs w:val="1"/>
                <w:color w:val="auto"/>
              </w:rPr>
            </w:pPr>
          </w:p>
        </w:tc>
      </w:tr>
      <w:tr>
        <w:trPr>
          <w:trHeight w:val="23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198,831</w:t>
            </w: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189,432</w:t>
            </w: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605,347</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(44,726 )</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(44,796 )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(135,293 )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(136,275 )</w:t>
            </w:r>
          </w:p>
        </w:tc>
        <w:tc>
          <w:tcPr>
            <w:tcW w:w="0" w:type="dxa"/>
            <w:vAlign w:val="bottom"/>
          </w:tcPr>
          <w:p>
            <w:pPr>
              <w:spacing w:after="0"/>
              <w:rPr>
                <w:sz w:val="1"/>
                <w:szCs w:val="1"/>
                <w:color w:val="auto"/>
              </w:rPr>
            </w:pPr>
          </w:p>
        </w:tc>
      </w:tr>
      <w:tr>
        <w:trPr>
          <w:trHeight w:val="234"/>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184,616</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175,574</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501,222</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446,945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-959485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-959485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5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5"/>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72"/>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147,676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361,826</w:t>
            </w:r>
          </w:p>
        </w:tc>
        <w:tc>
          <w:tcPr>
            <w:tcW w:w="100" w:type="dxa"/>
            <w:vAlign w:val="bottom"/>
            <w:shd w:val="clear" w:color="auto" w:fill="CFF0FC"/>
          </w:tcPr>
          <w:p>
            <w:pPr>
              <w:spacing w:after="0"/>
              <w:rPr>
                <w:sz w:val="23"/>
                <w:szCs w:val="23"/>
                <w:color w:val="auto"/>
              </w:rPr>
            </w:pPr>
          </w:p>
        </w:tc>
      </w:tr>
      <w:tr>
        <w:trPr>
          <w:trHeight w:val="224"/>
        </w:trPr>
        <w:tc>
          <w:tcPr>
            <w:tcW w:w="5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34,801,086</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35,030,660</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34,835,394</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35,207,117</w:t>
            </w:r>
          </w:p>
        </w:tc>
        <w:tc>
          <w:tcPr>
            <w:tcW w:w="100" w:type="dxa"/>
            <w:vAlign w:val="bottom"/>
            <w:tcBorders>
              <w:top w:val="single" w:sz="8" w:color="CFF0FC"/>
            </w:tcBorders>
          </w:tcPr>
          <w:p>
            <w:pPr>
              <w:spacing w:after="0"/>
              <w:rPr>
                <w:sz w:val="19"/>
                <w:szCs w:val="19"/>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35,039,408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35,357,043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35,145,732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35,516,434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-642620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-624840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-642620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-624840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-642620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-624840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fiscal quarters and three fiscal quarters each ended September 8, 2024 and September 10, 2023 do not include the following because the effect of including these shares would be anti-dilutive or because the performance targets for these awards had not yet been met: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8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31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5160" w:type="dxa"/>
            <w:vAlign w:val="bottom"/>
          </w:tcPr>
          <w:p>
            <w:pPr>
              <w:spacing w:after="0"/>
              <w:rPr>
                <w:sz w:val="13"/>
                <w:szCs w:val="13"/>
                <w:color w:val="auto"/>
              </w:rPr>
            </w:pPr>
          </w:p>
        </w:tc>
        <w:tc>
          <w:tcPr>
            <w:tcW w:w="124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220" w:type="dxa"/>
            <w:vAlign w:val="bottom"/>
          </w:tcPr>
          <w:p>
            <w:pPr>
              <w:spacing w:after="0"/>
              <w:rPr>
                <w:sz w:val="13"/>
                <w:szCs w:val="13"/>
                <w:color w:val="auto"/>
              </w:rPr>
            </w:pPr>
          </w:p>
        </w:tc>
        <w:tc>
          <w:tcPr>
            <w:tcW w:w="1400" w:type="dxa"/>
            <w:vAlign w:val="bottom"/>
            <w:tcBorders>
              <w:top w:val="single" w:sz="8" w:color="auto"/>
            </w:tcBorders>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207,218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228,747</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27,615</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59,622</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third quarter of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16,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34,956,623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(3,916,008 )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(5,475 )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($1.51 per share)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(52,502 )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(3,029 )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(1,445 )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(443,302 )</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(39,572 )</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(152,230 )</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8,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34,530,370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(3,973,816 )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5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three fiscal quarters of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(4,069,648 )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($4.53 per share)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(158,565 )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(23,417 )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(10,705 )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(499,674 )</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(56,593 )</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(160,329 )</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262,144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8,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34,530,370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(3,973,816 )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(4,877 )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60" w:type="dxa"/>
            <w:vAlign w:val="bottom"/>
          </w:tcPr>
          <w:p>
            <w:pPr>
              <w:spacing w:after="0"/>
              <w:rPr>
                <w:sz w:val="24"/>
                <w:szCs w:val="24"/>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-3522345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-3522345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-3522345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-3522345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-959485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-959485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-959485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-959485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703" w:gutter="0" w:footer="0" w:header="0"/>
        </w:sectPr>
      </w:pPr>
    </w:p>
    <w:bookmarkStart w:id="8" w:name="page9"/>
    <w:bookmarkEnd w:id="8"/>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third quarter of 2024, on October 8, 2024, the Company’s Board of Directors declared a $1.51 per share quarterly dividend on its outstanding common stock for shareholders of record as of December 13, 2024 to be paid on December 27, 2024.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third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18,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35,057,585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(4,166,520 )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(3,767 )</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($1.21 per share)</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(42,493 )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(5,932 )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(2,172 )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(229,860 )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(14,435 )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(76,416 )</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(1,330 )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10,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34,879,123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(4,137,753 )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6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three fiscal quarters of 2023.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(4,194,418 )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(4,694 )</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($3.63 per share)</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(128,143 )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(15,601 )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(5,240 )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(622,405 )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(35,806 )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(177,018 )</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10,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34,879,123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(4,137,753 )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-2716530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-2716530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-2716530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-2716530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Leverage Ratio</w:t>
      </w:r>
    </w:p>
    <w:p>
      <w:pPr>
        <w:spacing w:after="0" w:line="11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accordance with the Company’s debt agreements, the payment of principal on the outstanding senior notes may be suspended if the Holdco Leverage Ratio is less than or equal to 5.0x total debt to adjusted EBITDA, as defined in the related agreements, and no catch-up provisions are applicable. As of the end of the first, second and third quarters of 2024, the Company had a Holdco Leverage Ratio of less than 5.0x, and accordingly, did not make the previously scheduled debt amortization payments for its outstanding notes beginning in the second quarter of 2024. Accordingly, all principal amounts of the Company’s outstanding notes have been classified as long-term debt in the condensed consolidated balance sheet as of September 8,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1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September 8, 2024, the fair value of the Company’s investment in 18,101,019 DPC Dash ordinary shares is based on the active exchange quoted price for the equity security of HK$69.95 per share (HK: 1405).</w:t>
      </w:r>
    </w:p>
    <w:p>
      <w:pPr>
        <w:spacing w:after="0" w:line="75"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The Company recorded a positive adjustment to the carrying amount of its investment in DPC Dash of $26.2 million and $18.9 million in the third quarter and three fiscal quarters of 2024, respectively. These amounts were recorded in other income in the Company’s condensed consolidated statements of income. The Company recorded a positive adjustment to the carrying amount of its investment in DPC Dash of $28.2 million and $13.3 million in the third quarter and three fiscal quarters of 2023, respectively.</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September 8,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At September 8, 2024</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162,424</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September 8, 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727,632</w:t>
            </w:r>
          </w:p>
        </w:tc>
        <w:tc>
          <w:tcPr>
            <w:tcW w:w="100" w:type="dxa"/>
            <w:vAlign w:val="bottom"/>
            <w:shd w:val="clear" w:color="auto" w:fill="CFF0FC"/>
          </w:tcPr>
          <w:p>
            <w:pPr>
              <w:spacing w:after="0"/>
              <w:rPr>
                <w:sz w:val="20"/>
                <w:szCs w:val="20"/>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895,375</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397,855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365,180</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613,656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591,865</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730,958</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830,700</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September 8, 2024 or December 31, 2023.</w:t>
      </w:r>
    </w:p>
    <w:p>
      <w:pPr>
        <w:spacing w:after="0" w:line="225" w:lineRule="exact"/>
        <w:rPr>
          <w:sz w:val="20"/>
          <w:szCs w:val="20"/>
          <w:color w:val="auto"/>
        </w:rPr>
      </w:pPr>
    </w:p>
    <w:p>
      <w:pPr>
        <w:jc w:val="right"/>
        <w:ind w:left="300" w:right="9540" w:hanging="292"/>
        <w:spacing w:after="0" w:line="414" w:lineRule="auto"/>
        <w:tabs>
          <w:tab w:leader="none" w:pos="1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$5.2 million and $5.3 million were included in current other accrued liabilities as of September 8, 2024 and December 31, 2023, respectively. Deferred franchise fees and deferred development fees of $18.0 million and $19.9 million were included in long-term other accrued liabilities as of September 8, 2024 and December 31, 2023, respectively.</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three fiscal quarters of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7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6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5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(4,292 )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(4,680 )</w:t>
            </w: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As of September 8, 2024, advertising fund assets, restricted of $111.1 million consisted of $90.0 million of cash and cash equivalents, $13.7 million of accounts receivable and $7.4 million of prepaid expenses. As of September 8, 2024, advertising fund cash and cash equivalents included $1.9 million of cash contributed from U.S. Company-owned stores that had not yet been expended.</w:t>
      </w:r>
    </w:p>
    <w:p>
      <w:pPr>
        <w:spacing w:after="0" w:line="81"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2023, advertising fund assets, restricted of $106.3 million consisted of $88.2 million of cash and cash equivalents, $14.0 million of accounts receivable and $4.1 million of prepaid expenses. As of December 31, 2023, advertising fund cash and cash equivalents included $2.1 million of cash contributed from U.S. Company-owned stores that had not yet been expended.</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Change in Advertising Fund Contributions and Technology Fees</w:t>
      </w:r>
    </w:p>
    <w:p>
      <w:pPr>
        <w:spacing w:after="0" w:line="117"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As previously announced, as of March 27, 2023, Domino's National Advertising Fund Inc., the Company’s consolidated not-for-profit advertising subsidiary, effectuated a temporary reduction of 0.25% to its standard 6.0% advertising contribution rate. This temporary reduction expired at the beginning of the second quarter of 2024 and the advertising contribution rate returned to its standard 6.0% as of March 25, 2024.</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Additionally, as of March 25, 2024, the Company decreased the U.S. digital per-transaction technology fees that are recognized as the related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retail sales occur by $0.04 to $0.355.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$21.0 million and $63.2 million in the third quarter and three fiscal quarters of 2024, respectively. Rent expense totaled $19.7 million and $58.8 million in the third quarter and three fiscal quarters of 2023,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$1.5 million and $5.4 million in the third quarter and three fiscal quarters of 2024, respectively. Rent expense for certain short-term supply chain center tractor and trailer rentals was $1.4 million and $4.1 million in the third quarter and three fiscal quarters of 2023, respectively. Variable rent expense and rent expense for other short-term leases were immaterial in each of the third quarter and three fiscal quarters of 2024 and 2023.</w:t>
      </w:r>
    </w:p>
    <w:p>
      <w:pPr>
        <w:spacing w:after="0" w:line="8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cost for the third quarter and three fiscal quarters of 2024 and the third quarter and three fiscal quarters of 2023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58"/>
        </w:trPr>
        <w:tc>
          <w:tcPr>
            <w:tcW w:w="4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58"/>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38"/>
              <w:spacing w:after="0" w:line="158" w:lineRule="exact"/>
              <w:rPr>
                <w:sz w:val="20"/>
                <w:szCs w:val="20"/>
                <w:color w:val="auto"/>
              </w:rPr>
            </w:pPr>
            <w:r>
              <w:rPr>
                <w:rFonts w:ascii="Times New Roman" w:cs="Times New Roman" w:eastAsia="Times New Roman" w:hAnsi="Times New Roman"/>
                <w:sz w:val="14"/>
                <w:szCs w:val="14"/>
                <w:b w:val="1"/>
                <w:bCs w:val="1"/>
                <w:color w:val="auto"/>
              </w:rPr>
              <w:t>September 8,</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6"/>
              <w:spacing w:after="0" w:line="158" w:lineRule="exact"/>
              <w:rPr>
                <w:sz w:val="20"/>
                <w:szCs w:val="20"/>
                <w:color w:val="auto"/>
              </w:rPr>
            </w:pPr>
            <w:r>
              <w:rPr>
                <w:rFonts w:ascii="Times New Roman" w:cs="Times New Roman" w:eastAsia="Times New Roman" w:hAnsi="Times New Roman"/>
                <w:sz w:val="14"/>
                <w:szCs w:val="14"/>
                <w:b w:val="1"/>
                <w:bCs w:val="1"/>
                <w:color w:val="auto"/>
              </w:rPr>
              <w:t>September 10,</w:t>
            </w:r>
          </w:p>
        </w:tc>
        <w:tc>
          <w:tcPr>
            <w:tcW w:w="100" w:type="dxa"/>
            <w:vAlign w:val="bottom"/>
          </w:tcPr>
          <w:p>
            <w:pPr>
              <w:spacing w:after="0"/>
              <w:rPr>
                <w:sz w:val="13"/>
                <w:szCs w:val="13"/>
                <w:color w:val="auto"/>
              </w:rPr>
            </w:pPr>
          </w:p>
        </w:tc>
      </w:tr>
      <w:tr>
        <w:trPr>
          <w:trHeight w:val="187"/>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32,734</w:t>
            </w:r>
          </w:p>
        </w:tc>
        <w:tc>
          <w:tcPr>
            <w:tcW w:w="100" w:type="dxa"/>
            <w:vAlign w:val="bottom"/>
            <w:shd w:val="clear" w:color="auto" w:fill="CFF0FC"/>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shd w:val="clear" w:color="auto" w:fill="CFF0FC"/>
          </w:tcPr>
          <w:p>
            <w:pPr>
              <w:spacing w:after="0"/>
              <w:rPr>
                <w:sz w:val="21"/>
                <w:szCs w:val="2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20"/>
                <w:szCs w:val="20"/>
                <w:color w:val="auto"/>
              </w:rPr>
            </w:pPr>
          </w:p>
        </w:tc>
      </w:tr>
      <w:tr>
        <w:trPr>
          <w:trHeight w:val="27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fiscal quarters of 2024 and the three fiscal quarters of 2023 was as follows:</w:t>
      </w:r>
    </w:p>
    <w:p>
      <w:pPr>
        <w:spacing w:after="0" w:line="12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16510</wp:posOffset>
            </wp:positionV>
            <wp:extent cx="21774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8,</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10,</w:t>
            </w:r>
          </w:p>
        </w:tc>
      </w:tr>
      <w:tr>
        <w:trPr>
          <w:trHeight w:val="226"/>
        </w:trPr>
        <w:tc>
          <w:tcPr>
            <w:tcW w:w="7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September 8, 2024, the Company had additional leases for certain supply chain real estate and certain supply chain vehicles that had not yet commenced with estimated future minimum rental commitments of $162.2 million. These leases are expected to commence in 2024 and 2025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$14.2 million and $18.5 million as of September 8, 2024 and December 31, 2023, respectively. The Company does not believe these arrangements have or are likely to have a material effect on its results of operations, financial condition, revenues, expenses or liquidity.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$6.0 million at September 8, 2024 and $6.7 million at December 31, 2023. The Company also had $4.5 million and $2.6 million in non-cash financing activity related to accruals for excise taxes on share repurchases as of September 8, 2024 and December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3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the Company refranchised one U.S. Company-owned store for proceeds of less than $0.1 million each. The pre-tax refranchising losses associated with the sale of the related assets and liabilities, including goodwill, were approximately $0.1 million each and were recorded in refranchising loss in the Company’s condensed consolidated statements of income.</w:t>
      </w:r>
    </w:p>
    <w:p>
      <w:pPr>
        <w:spacing w:after="0" w:line="81"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Standards Update (“ASU”) 2020-04, Segment Reporting (Topic 280): Improvements to Reportable Segment Disclosures</w:t>
      </w:r>
    </w:p>
    <w:p>
      <w:pPr>
        <w:spacing w:after="0" w:line="13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disclosure on an annual and interim basis of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name and title of the chief operating decision maker.</w:t>
      </w:r>
    </w:p>
    <w:p>
      <w:pPr>
        <w:spacing w:after="0" w:line="7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ASU 2023-07 is effective for fiscal years beginning after December 15, 2023, and interim periods within fiscal years beginning after December 15, 2024, and early adoption is permitted. The Company is currently evaluating the impact of this accounting standard on its consolidated financial statements.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which requires disclosure on an annual basis, of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its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9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2024 and 2023 third quarters referenced herein represent the twelve-week periods ended September 8, 2024 and September 10, 2023, respectively. The 2024 and 2023 three fiscal quarters referenced herein represent the thirty-six-week periods ended September 8, 2024 and September 10, 2023, respectively. In this section, we discuss the results of our operations for the third quarter and three fiscal quarters of 2024 as compared to the third quarter and three fiscal quarters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firstLine="281"/>
        <w:spacing w:after="0" w:line="274" w:lineRule="auto"/>
        <w:rPr>
          <w:sz w:val="20"/>
          <w:szCs w:val="20"/>
          <w:color w:val="auto"/>
        </w:rPr>
      </w:pPr>
      <w:r>
        <w:rPr>
          <w:rFonts w:ascii="Times New Roman" w:cs="Times New Roman" w:eastAsia="Times New Roman" w:hAnsi="Times New Roman"/>
          <w:sz w:val="17"/>
          <w:szCs w:val="17"/>
          <w:color w:val="auto"/>
        </w:rPr>
        <w:t>Domino’s is the largest pizza company in the world, with more than 21,000 locations in over 90 markets around the world as of September 8, 2024,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78" w:lineRule="exact"/>
        <w:rPr>
          <w:sz w:val="20"/>
          <w:szCs w:val="20"/>
          <w:color w:val="auto"/>
        </w:rPr>
      </w:pPr>
    </w:p>
    <w:p>
      <w:pPr>
        <w:ind w:right="8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September 8, 2024.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60" w:firstLine="281"/>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1" w:lineRule="exact"/>
        <w:rPr>
          <w:sz w:val="20"/>
          <w:szCs w:val="20"/>
          <w:color w:val="auto"/>
        </w:rPr>
      </w:pPr>
    </w:p>
    <w:p>
      <w:pPr>
        <w:ind w:right="100" w:firstLine="281"/>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7" w:lineRule="exact"/>
        <w:rPr>
          <w:sz w:val="20"/>
          <w:szCs w:val="20"/>
          <w:color w:val="auto"/>
        </w:rPr>
      </w:pPr>
    </w:p>
    <w:p>
      <w:pPr>
        <w:ind w:right="14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monitor both of these metrics very closely,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2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In 2023, we announced our Hungry for MORE strategy aimed at generating MORE sales, MORE stores and MORE profits. The strategic imperatives of our Hungry for MORE strategy are as follows:</w:t>
      </w:r>
    </w:p>
    <w:p>
      <w:pPr>
        <w:spacing w:after="0" w:line="79" w:lineRule="exact"/>
        <w:rPr>
          <w:sz w:val="20"/>
          <w:szCs w:val="20"/>
          <w:color w:val="auto"/>
        </w:rPr>
      </w:pPr>
    </w:p>
    <w:p>
      <w:pPr>
        <w:ind w:left="26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Third Quarter of 2024 Highlights</w:t>
      </w:r>
    </w:p>
    <w:p>
      <w:pPr>
        <w:spacing w:after="0" w:line="229" w:lineRule="exact"/>
        <w:rPr>
          <w:sz w:val="20"/>
          <w:szCs w:val="20"/>
          <w:color w:val="auto"/>
        </w:rPr>
      </w:pPr>
    </w:p>
    <w:p>
      <w:pPr>
        <w:ind w:left="760" w:right="180" w:hanging="378"/>
        <w:spacing w:after="0" w:line="25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5.1% as compared to the third quarter of 2023. U.S. retail sales increased 5.1% and international retail sales, excluding foreign currency impact, increased 5.1% as compared to the third quarter of 2023. Same store sales increased 3.0% in our U.S. stores and increased 0.8%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72.</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Fiscal Quarters of 2024 Highlights</w:t>
      </w:r>
    </w:p>
    <w:p>
      <w:pPr>
        <w:spacing w:after="0" w:line="229" w:lineRule="exact"/>
        <w:rPr>
          <w:sz w:val="20"/>
          <w:szCs w:val="20"/>
          <w:color w:val="auto"/>
        </w:rPr>
      </w:pPr>
    </w:p>
    <w:p>
      <w:pPr>
        <w:ind w:left="760" w:right="100" w:hanging="378"/>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6.5% as compared to the three fiscal quarters of 2023. U.S. retail sales increased 6.6% and international retail sales, excluding foreign currency impact, increased 6.5% as compared to the three fiscal quarters of 2023. Same store sales increased 4.5% in our U.S. stores and increased 1.1%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411.</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7.7%.</w:t>
      </w:r>
    </w:p>
    <w:p>
      <w:pPr>
        <w:spacing w:after="0" w:line="207"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the third quarter and three fiscal quarters of 2024, driven by same store sales growth and net store growth in both our U.S. and international businesses. These factors also contributed to an increase in income from operations. In the third quarter and three fiscal quarters of 2024, these increases in income from operations were partially offset by higher general and administrative expenses primarily driven by higher labor costs. Overall, we believe our global retail sales growth (excluding foreign currency impact) and our emphasis on technology, operations and marketing initiatives have combined to strengthen our brand. These financial and statistical measures are described in additional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22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retail sales:</w:t>
            </w:r>
          </w:p>
        </w:tc>
        <w:tc>
          <w:tcPr>
            <w:tcW w:w="23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stores</w:t>
            </w:r>
          </w:p>
        </w:tc>
        <w:tc>
          <w:tcPr>
            <w:tcW w:w="2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560" w:type="dxa"/>
            <w:vAlign w:val="bottom"/>
          </w:tcPr>
          <w:p>
            <w:pPr>
              <w:spacing w:after="0"/>
              <w:rPr>
                <w:sz w:val="24"/>
                <w:szCs w:val="24"/>
                <w:color w:val="auto"/>
              </w:rPr>
            </w:pPr>
          </w:p>
        </w:tc>
        <w:tc>
          <w:tcPr>
            <w:tcW w:w="2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-933450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jc w:val="both"/>
        <w:ind w:right="28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3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1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640" w:type="dxa"/>
            <w:vAlign w:val="bottom"/>
          </w:tcPr>
          <w:p>
            <w:pPr>
              <w:spacing w:after="0"/>
              <w:rPr>
                <w:sz w:val="16"/>
                <w:szCs w:val="16"/>
                <w:color w:val="auto"/>
              </w:rPr>
            </w:pPr>
          </w:p>
        </w:tc>
        <w:tc>
          <w:tcPr>
            <w:tcW w:w="13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+ 0.9%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stores (excluding foreign currency impact) </w:t>
            </w:r>
            <w:r>
              <w:rPr>
                <w:rFonts w:ascii="Times New Roman" w:cs="Times New Roman" w:eastAsia="Times New Roman" w:hAnsi="Times New Roman"/>
                <w:sz w:val="24"/>
                <w:szCs w:val="24"/>
                <w:color w:val="auto"/>
                <w:vertAlign w:val="superscript"/>
              </w:rPr>
              <w:t>(1)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+ 9.4%</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+ 8.9%</w:t>
            </w: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(excluding foreign currency impact) </w:t>
            </w:r>
            <w:r>
              <w:rPr>
                <w:rFonts w:ascii="Times New Roman" w:cs="Times New Roman" w:eastAsia="Times New Roman" w:hAnsi="Times New Roman"/>
                <w:sz w:val="24"/>
                <w:szCs w:val="24"/>
                <w:color w:val="auto"/>
                <w:vertAlign w:val="superscript"/>
              </w:rPr>
              <w:t>(2)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+ 5.7%</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480" w:right="340" w:hanging="459"/>
        <w:spacing w:after="0" w:line="241"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and 2023 third quarter and three fiscal quarters figures each exclude the impact of the Russia market. Including the impact of the Russia market, international stores retail sales growth, excluding foreign currency impact, was 4.8% and 6.0% for the third quarter and three fiscal quarters of 2024, respectively, and 9.0% and 8.5% for the third quarter and three fiscal quarters of 2023, respectively.</w:t>
      </w:r>
    </w:p>
    <w:p>
      <w:pPr>
        <w:spacing w:after="0" w:line="82" w:lineRule="exact"/>
        <w:rPr>
          <w:rFonts w:ascii="Times New Roman" w:cs="Times New Roman" w:eastAsia="Times New Roman" w:hAnsi="Times New Roman"/>
          <w:sz w:val="14"/>
          <w:szCs w:val="14"/>
          <w:color w:val="auto"/>
        </w:rPr>
      </w:pPr>
    </w:p>
    <w:p>
      <w:pPr>
        <w:ind w:left="480" w:right="320" w:hanging="459"/>
        <w:spacing w:after="0" w:line="241" w:lineRule="auto"/>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and 2023 third quarter and three fiscal quarters figures each exclude the impact of the Russia market. Including the impact of the Russia market, total global retail sales growth, excluding foreign currency impact, was 5.0% and 6.3% for the third quarter and three fiscal quarters of 2024, respectively, and 4.9% and 5.5% for the third quarter and three fiscal quarters of 2023,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1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+ 0.8%</w:t>
            </w:r>
          </w:p>
        </w:tc>
        <w:tc>
          <w:tcPr>
            <w:tcW w:w="0" w:type="dxa"/>
            <w:vAlign w:val="bottom"/>
          </w:tcPr>
          <w:p>
            <w:pPr>
              <w:spacing w:after="0"/>
              <w:rPr>
                <w:sz w:val="1"/>
                <w:szCs w:val="1"/>
                <w:color w:val="auto"/>
              </w:rPr>
            </w:pPr>
          </w:p>
        </w:tc>
      </w:tr>
      <w:tr>
        <w:trPr>
          <w:trHeight w:val="241"/>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0" w:type="dxa"/>
            <w:vAlign w:val="bottom"/>
          </w:tcPr>
          <w:p>
            <w:pPr>
              <w:spacing w:after="0"/>
              <w:rPr>
                <w:sz w:val="1"/>
                <w:szCs w:val="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U.S. same store sales increased 3.0% in the third quarter of 2024, rolling over a decrease in U.S. same store sales of 0.6% in the third quarter of 2023. U.S. same store sales increased 4.5% in the three fiscal quarters of 2024, rolling over an increase in U.S. same store sales of 1.0% in the three fiscal quarters of 2023. The increases in the U.S. in the third quarter and three fiscal quarters of 2024 were primarily driven by higher same store sales in both our delivery and carryout businesses, driven by our Domino’s Rewards loyalty program and other national offers. International same store sales (excluding foreign currency impact) increased 0.8% in the third quarter of 2024, rolling over an increase in international same store sales (excluding foreign currency impact) of 3.3% in the third quarter of 2023. International same store sales (excluding foreign currency impact) increased 1.1% in the three fiscal quarters of 2024, rolling over an increase in international same store sales (excluding foreign currency impact) of 2.6% in the three fiscal quarters of 2023. The increases in international same store sales (excluding foreign currency impact) in the third quarter and three fiscal quarters of 2024 were driven primarily by a higher average ticket per transaction across our international markets.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96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June 16, 2024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September 8, 2024</w:t>
            </w:r>
          </w:p>
        </w:tc>
        <w:tc>
          <w:tcPr>
            <w:tcW w:w="9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291</w:t>
            </w:r>
          </w:p>
        </w:tc>
        <w:tc>
          <w:tcPr>
            <w:tcW w:w="2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0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 2024 net store growth</w:t>
            </w:r>
          </w:p>
        </w:tc>
        <w:tc>
          <w:tcPr>
            <w:tcW w:w="9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Trailing four quarters net store growth</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-205105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-187960</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-205105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-205105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-205105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Market</w:t>
      </w:r>
    </w:p>
    <w:p>
      <w:pPr>
        <w:spacing w:after="0" w:line="22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On August 21, 2023, our master franchisee that owned and operated Domino’s Pizza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We have presented our statistical measure of global retail sales growth, excluding foreign currency impact, for the third quarter and three fiscal quarters of 2024 excluding the impact of the retail sales from the Russia market. We believe the impact of the Russia market on our statistical measure of same store sales growth for the periods presented was immaterial, and we also believe the impact of the Russia market on our consolidated statements of income related to international franchise royalties and fee revenues and general and administrative expenses for the third quarter and three fiscal quarters of 2023 was immaterial.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00" w:type="dxa"/>
            <w:vAlign w:val="bottom"/>
          </w:tcPr>
          <w:p>
            <w:pPr>
              <w:spacing w:after="0"/>
              <w:rPr>
                <w:sz w:val="13"/>
                <w:szCs w:val="13"/>
                <w:color w:val="auto"/>
              </w:rPr>
            </w:pPr>
          </w:p>
        </w:tc>
        <w:tc>
          <w:tcPr>
            <w:tcW w:w="176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franchise royalties and fees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International franchise royalties and fees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franchise advertising</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1,027.4</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98"/>
              </w:rPr>
              <w:t>100.0 %</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3,262.5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cost of sales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60.8 %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61.2 %</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1,979.9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60.7 %</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1,888.0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38.8 %</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39.3 %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9.6 %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U.S. franchise advertising</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Refranchising loss</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0.0 %</w:t>
            </w:r>
          </w:p>
        </w:tc>
        <w:tc>
          <w:tcPr>
            <w:tcW w:w="16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18.4 %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18.4 %</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2.4 %</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(40.4 )</w:t>
            </w:r>
          </w:p>
        </w:tc>
        <w:tc>
          <w:tcPr>
            <w:tcW w:w="3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(3.7 )%</w:t>
            </w:r>
          </w:p>
        </w:tc>
        <w:tc>
          <w:tcPr>
            <w:tcW w:w="1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(42.1 )</w:t>
            </w:r>
          </w:p>
        </w:tc>
        <w:tc>
          <w:tcPr>
            <w:tcW w:w="3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(123.0 )</w:t>
            </w:r>
          </w:p>
        </w:tc>
        <w:tc>
          <w:tcPr>
            <w:tcW w:w="2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(128.6 )</w:t>
            </w:r>
          </w:p>
        </w:tc>
        <w:tc>
          <w:tcPr>
            <w:tcW w:w="3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17.1 %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17.1 %</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13.6 %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-1182370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-1182370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-1182370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-1182370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-1182370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-1182370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-1182370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-719455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-719455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-719455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-719455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-719455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-719455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-719455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-719455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60.1 %</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3,076.4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Consolidated revenues increased $52.8 million, or 5.1%, in the third quarter of 2024 as compared to the third quarter of 2023. Consolidated revenues increased $186.1 million, or 6.0%, in the three fiscal quarters of 2024 as compared to the three fiscal quarters of 2023. The increases in consolidated revenues in both the third quarter and three fiscal quarters of 2024 were primarily driven by higher supply chain and U.S. stores revenues. These changes in revenues are described in more detail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78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33.2 %</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133"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increased $2.9 million, or 3.4%, in the third quarter of 2024, and increased $15.2 million, or 5.9%, in the three fiscal quarters of 2024 primarily due to higher same store sales.</w:t>
      </w:r>
    </w:p>
    <w:p>
      <w:pPr>
        <w:spacing w:after="0" w:line="67"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U.S. Company-owned same store sales increased 3.1% in the third quarter of 2024 and increased 2.9% in the third quarter of 2023. U.S. Company-owned same store sales increased 5.4% in the three fiscal quarters of 2024 and increased 5.2% in the three fiscal quarters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133"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Revenues from U.S. franchise royalties and fees increased $5.8 million, or 4.2%, in the third quarter of 2024 primarily due to higher same store sales and net store growth. Additionally, U.S. franchise royalties and fees benefited from an increase in digital transactions which resulted in an increase in fees paid by our franchisees for the use of our technology platforms, but this increase was offset by a $0.04 decrease in the digital per transaction technology fee to $0.355 effectuated as of March 25, 2024. Revenues from U.S. franchise royalties and fees increased $31.7 million, or 7.7%, in the three fiscal quarters of 2024 primarily due to higher same store sales and an increase in fees paid by U.S. franchisees for the use of our technology platforms, as well as net store growth.</w:t>
      </w:r>
    </w:p>
    <w:p>
      <w:pPr>
        <w:spacing w:after="0" w:line="93"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U.S. franchise same store sales increased 3.0% in the third quarter of 2024 and declined 0.7% in the third quarter of 2023. U.S. franchise same store sales increased 4.4% in the three fiscal quarters of 2024 and increased 0.8% in the three fiscal quarters of 2023.</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133" w:lineRule="exact"/>
        <w:rPr>
          <w:sz w:val="20"/>
          <w:szCs w:val="20"/>
          <w:color w:val="auto"/>
        </w:rPr>
      </w:pPr>
    </w:p>
    <w:p>
      <w:pPr>
        <w:ind w:right="20" w:firstLine="284"/>
        <w:spacing w:after="0" w:line="266" w:lineRule="auto"/>
        <w:rPr>
          <w:sz w:val="20"/>
          <w:szCs w:val="20"/>
          <w:color w:val="auto"/>
        </w:rPr>
      </w:pPr>
      <w:r>
        <w:rPr>
          <w:rFonts w:ascii="Times New Roman" w:cs="Times New Roman" w:eastAsia="Times New Roman" w:hAnsi="Times New Roman"/>
          <w:sz w:val="18"/>
          <w:szCs w:val="18"/>
          <w:color w:val="auto"/>
        </w:rPr>
        <w:t>Revenues from U.S. franchise advertising increased $9.4 million, or 8.4%, in the third quarter of 2024 primarily due to the return to the standard 6.0% advertising contribution rate at the beginning of the second quarter of 2024 following the end of the temporary reduction to 5.75% which began in the second quarter of 2023, as well as higher same store sales and net store growth. An increase in brand promotions partially offset the increase in U.S. franchise advertising revenues in the third quarter of 2024. Revenues from U.S. franchise advertising increased $20.5 million, or 6.1%, in the three fiscal quarters of 2024 primarily due to higher same store sales, net store growth and the return to the standard 6.0% advertising contribution rate at the beginning of the second quarter of 2024 following the end of the temporary reduction to 5.75% which began in the second quarter of 2023. An increase in brand promotions partially offset the increase in U.S. franchise advertising revenues in the three fiscal quarters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3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Supply chain revenues increased $33.2 million, or 5.4%, in the third quarter of 2024 primarily due to higher order volumes, as well as an increase in our food basket pricing to stores, but these increases were partially offset by a shift in the relative mix of products we sell. Our food basket pricing to stores increased 1.3% in the third quarter of 2024, which resulted in an estimated $9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 Supply chain revenues increased $111.7 million, or 6.0%, in the three fiscal quarters of 2024 primarily due to higher order volumes, but this increase was partially offset by a shift in the relative mix of products we sell. Our food basket pricing was flat in the three fiscal quarters of 2024 as compared to the three fiscal quarters of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$1.5 million, or 2.0%, in the third quarter of 2024, and increased $7.0 million, or 3.3%, in the three fiscal quarters of 2024 primarily due to an increase in the average number of international franchised stores open during the period resulting from net store growth as well as same store sales growth (excluding foreign currency impact), but these increases were partially offset by the negative impact of changes in foreign currency exchange rates of approximately $1.4 million in the third quarter of 2024 and $5.6 million in the three fiscal quarters of 2024.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4"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International franchise same store sales increased 0.8% in the third quarter of 2024, and increased 3.3% in the third quarter of 2023, each excluding the impact of foreign currency exchange rates. International franchise same store sales increased 1.1% in the three fiscal quarters of 2024, and increased 2.6% in the three fiscal quarters of 2023, each excluding the impact of foreign currency exchange rates.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60" w:type="dxa"/>
            <w:vAlign w:val="bottom"/>
            <w:gridSpan w:val="4"/>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220" w:type="dxa"/>
            <w:vAlign w:val="bottom"/>
          </w:tcPr>
          <w:p>
            <w:pPr>
              <w:spacing w:after="0"/>
              <w:rPr>
                <w:sz w:val="13"/>
                <w:szCs w:val="13"/>
                <w:color w:val="auto"/>
              </w:rPr>
            </w:pPr>
          </w:p>
        </w:tc>
        <w:tc>
          <w:tcPr>
            <w:tcW w:w="1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 $ 3,262.5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 $ 3,076.4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61.2 %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60.7 %   1,888.0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39.2 %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38.8 %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$ 1,282.6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39.3 % $ 1,188.4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$25.5 million, or 6.4%, in the third quarter of 2024, and increased $94.2 million, or 7.9%, in the three fiscal quarters of 2024 primarily due to higher global franchise revenues,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0.4 and 0.7 percentage points in the third quarter and three fiscal quarters of 2024, respectively. U.S. Company-owned store gross margin increased 1.0 percentage point in the third quarter of 2024, and increased 0.2 percentage points in the three fiscal quarters of 2024. Supply chain gross margin increased 0.6 percentage points in the third quarter of 2024, and increased 1.1 percentage points in the three fiscal quarters of 2024. These changes in gross margin are described in more detail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74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4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83.2 %</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82.7 %</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8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16.8 %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increased $1.3 million, or 9.6%, in the third quarter of 2024, and increased $3.1 million, or 7.0%, in the three fiscal quarters of 2024. As a percentage of store revenues, U.S. Company-owned store gross margin increased 1.0 percentage point in the third quarter of 2024, and increased 0.2 percentage points in the three fiscal quarters of 2024. These changes in gross margin as a percentage of revenues are discussed in additional detail below.</w:t>
      </w:r>
    </w:p>
    <w:p>
      <w:pPr>
        <w:spacing w:after="0" w:line="72" w:lineRule="exact"/>
        <w:rPr>
          <w:sz w:val="20"/>
          <w:szCs w:val="20"/>
          <w:color w:val="auto"/>
        </w:rPr>
      </w:pPr>
    </w:p>
    <w:p>
      <w:pPr>
        <w:ind w:left="940" w:right="440" w:hanging="303"/>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were 29.0% in both the third quarter of 2024 and 2023. Food costs decreased 0.2 percentage points to 28.8% in the three fiscal quarters of 2024.</w:t>
      </w:r>
    </w:p>
    <w:p>
      <w:pPr>
        <w:spacing w:after="0" w:line="53" w:lineRule="exact"/>
        <w:rPr>
          <w:rFonts w:ascii="Times New Roman" w:cs="Times New Roman" w:eastAsia="Times New Roman" w:hAnsi="Times New Roman"/>
          <w:sz w:val="18"/>
          <w:szCs w:val="18"/>
          <w:color w:val="auto"/>
        </w:rPr>
      </w:pPr>
    </w:p>
    <w:p>
      <w:pPr>
        <w:ind w:left="940" w:right="200" w:hanging="303"/>
        <w:spacing w:after="0" w:line="266"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0.7 percentage points to 31.1% in the third quarter of 2024 due to sales leverage driven by higher customer transaction counts, as well as store level productivity. Labor costs increased 0.1 percentage points to 31.3% in the three fiscal quarters of 2024 due to higher wage rates in our U.S. Company-owned stores.</w:t>
      </w:r>
    </w:p>
    <w:p>
      <w:pPr>
        <w:spacing w:after="0" w:line="67" w:lineRule="exact"/>
        <w:rPr>
          <w:rFonts w:ascii="Times New Roman" w:cs="Times New Roman" w:eastAsia="Times New Roman" w:hAnsi="Times New Roman"/>
          <w:sz w:val="18"/>
          <w:szCs w:val="18"/>
          <w:color w:val="auto"/>
        </w:rPr>
      </w:pPr>
    </w:p>
    <w:p>
      <w:pPr>
        <w:ind w:left="940" w:right="600" w:hanging="303"/>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leverage driven by higher customer transaction counts contributed to the remaining increases in U.S. Company-owned store gross margin as a percentage of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78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Supply chain gross margin increased $7.6 million, or 12.4%, in the third quarter of 2024, and increased $32.0 million, or 17.3%, in the three fiscal quarters of 2024. As a percentage of supply chain revenues, the supply chain gross margin increased 0.6 percentage points in the third quarter of 2024, and increased 1.1 percentage points in the three fiscal quarters of 2024. The increases in supply chain gross margin as a percentage of revenues in the third quarter and three fiscal quarters of 2024 were primarily due to procurement productivity.</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$6.8 million, or 7.0%, in the third quarter of 2024, and increased $30.8 million, or 10.6%, in the three fiscal quarters of 2024, each primarily driven by higher labor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135"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8"/>
          <w:szCs w:val="18"/>
          <w:color w:val="auto"/>
        </w:rPr>
        <w:t>U.S. franchise advertising expenses increased $9.4 million, or 8.4%, in the third quarter of 2024, and increased $20.5 million, or 6.1%, in the three fiscal quarters of 2024 consistent with the increases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Refranchising Loss</w:t>
      </w:r>
    </w:p>
    <w:p>
      <w:pPr>
        <w:spacing w:after="0" w:line="135" w:lineRule="exact"/>
        <w:rPr>
          <w:sz w:val="20"/>
          <w:szCs w:val="20"/>
          <w:color w:val="auto"/>
        </w:rPr>
      </w:pPr>
    </w:p>
    <w:p>
      <w:pPr>
        <w:jc w:val="both"/>
        <w:ind w:right="20" w:firstLine="284"/>
        <w:spacing w:after="0" w:line="266" w:lineRule="auto"/>
        <w:rPr>
          <w:sz w:val="20"/>
          <w:szCs w:val="20"/>
          <w:color w:val="auto"/>
        </w:rPr>
      </w:pPr>
      <w:r>
        <w:rPr>
          <w:rFonts w:ascii="Times New Roman" w:cs="Times New Roman" w:eastAsia="Times New Roman" w:hAnsi="Times New Roman"/>
          <w:sz w:val="18"/>
          <w:szCs w:val="18"/>
          <w:color w:val="auto"/>
        </w:rPr>
        <w:t>During each of the first and second quarters of 2024, we refranchised one U.S. Company-owned store for proceeds of less than $0.1 million each. The pre-tax refranchising losses associated with the sale of the related assets and liabilities, including goodwill, were approximately $0.1 million each and were recorded in refranchising loss in our condensed consolidated statements of income.</w:t>
      </w:r>
    </w:p>
    <w:p>
      <w:pPr>
        <w:spacing w:after="0" w:line="81" w:lineRule="exact"/>
        <w:rPr>
          <w:sz w:val="20"/>
          <w:szCs w:val="20"/>
          <w:color w:val="auto"/>
        </w:rPr>
      </w:pPr>
    </w:p>
    <w:p>
      <w:pPr>
        <w:ind w:right="80" w:firstLine="284"/>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we refranchised one U.S. Company-owned store for proceeds of less than $0.1 million. The pre-tax refranchising loss associated with the sale of the related assets and liabilities, including goodwill, was approximately $0.1 million and was recorded in refranchising loss in our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w:t>
      </w:r>
    </w:p>
    <w:p>
      <w:pPr>
        <w:spacing w:after="0" w:line="135"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During the third quarter and three fiscal quarters of 2024, we recorded a $26.2 million and $18.9 million unrealized gain, respectively, on our investment in DPC Dash (Note 6). During the third quarter and three fiscal quarters of 2023, we recorded a $28.2 million and $13.3 million unrealized gain, respectively, on our investment in DPC Dash. These unrealized gains were based on the active exchange quoted price for the equity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48"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Interest expense, net, decreased $1.7 million, or 4.0%, in the third quarter of 2024, and decreased $5.6 million, or 4.4%, in the three fiscal quarters of 2024, each driven by higher interest income on our cash equivalents.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each of the third quarter and three fiscal quarters of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increased $9.8 million, or 35.1%, in the third quarter of 2024 due to a higher effective tax rate and higher income before provision for income taxes. The effective tax rate increased to 20.4% in the third quarter of 2024 as compared to 15.9% in the third quarter of 2023, driven by lower foreign tax credits as well as a 0.9 percentage point unfavorable change in the impact of excess tax benefits from equity-based compensation, which is recorded as a reduction to the provision for income taxes.</w:t>
      </w:r>
    </w:p>
    <w:p>
      <w:pPr>
        <w:spacing w:after="0" w:line="7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Provision for income taxes increased $1.4 million, or 1.6%, in the three fiscal quarters of 2024 due to higher income before provision for income taxes, partially offset by a lower effective tax rate. The effective tax rate decreased to 17.3% in the three fiscal quarters of 2024 as compared to 19.0% in the three fiscal quarters of 2023, driven by a 3.7 percentage point favorable change in the impact of excess tax benefits from equity-based compensation, which is recorded as a reduction to the provision for income taxes.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21" w:lineRule="exact"/>
        <w:rPr>
          <w:sz w:val="20"/>
          <w:szCs w:val="20"/>
          <w:color w:val="auto"/>
        </w:rPr>
      </w:pPr>
    </w:p>
    <w:p>
      <w:pPr>
        <w:ind w:right="500" w:firstLine="255"/>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4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4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U.S. stores Segment Income increased $8.2 million, or 6.8%, in the third quarter of 2024 primarily due to higher U.S. franchise royalties and fees revenues, as well as the $1.3 million increase in U.S. Company-owned store gross margin, each as discussed above. U.S. stores Segment Income increased $37.6 million, or 10.5%, in the three fiscal quarters of 2024 primarily due to higher U.S. franchise royalties and fees revenues, as well as the $3.1 million increase in U.S. Company-owned store gross margin, each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Supply chain Segment Income increased $5.9 million, or 10.7%, in the third quarter of 2024 primarily due to the $7.6 million increase in supply chain gross margin, as discussed above. Supply chain Segment Income increased $26.9 million, or 16.4%, in the three fiscal quarters of 2024 primarily due to the $32.0 million increase in supply chain gross margin,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2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International franchise Segment Income increased $0.9 million, or 1.5%, in the third quarter of 2024, and increased $2.3 million, or 1.3%, in the three fiscal quarters of 2024 primarily due to higher international franchise royalties and fees revenues, as discussed above. International franchise revenues do not have a cost of sales component, so changes in these revenues have a disproportionate effect on international franchise Segment Income. The increase in international franchise Segment Income in the three fiscal quarters of 2024 was partially offset by expenses for our Worldwide Rally that takes place every two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Other Segment Income decreased $3.0 million, or 15.2%, in the third quarter of 2024, and decreased $12.8 million, or 23.5%, in the three fiscal quarters of 2024 primarily driven by higher labor costs.</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281"/>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September 8, 2024, we had working capital of $174.4 million, excluding restricted cash and cash equivalents of $185.4 million, advertising fund assets, restricted, of $111.1 million and advertising fund liabilities of $109.2 million. Working capital includes total unrestricted cash and cash equivalents of $189.1 million.</w:t>
      </w:r>
    </w:p>
    <w:p>
      <w:pPr>
        <w:spacing w:after="0" w:line="93" w:lineRule="exact"/>
        <w:rPr>
          <w:sz w:val="20"/>
          <w:szCs w:val="20"/>
          <w:color w:val="auto"/>
        </w:rPr>
      </w:pPr>
    </w:p>
    <w:p>
      <w:pPr>
        <w:ind w:right="60" w:firstLine="281"/>
        <w:spacing w:after="0" w:line="270" w:lineRule="auto"/>
        <w:rPr>
          <w:sz w:val="20"/>
          <w:szCs w:val="20"/>
          <w:color w:val="auto"/>
        </w:rPr>
      </w:pPr>
      <w:r>
        <w:rPr>
          <w:rFonts w:ascii="Times New Roman" w:cs="Times New Roman" w:eastAsia="Times New Roman" w:hAnsi="Times New Roman"/>
          <w:sz w:val="17"/>
          <w:szCs w:val="17"/>
          <w:color w:val="auto"/>
        </w:rPr>
        <w:t>Our primary sources of liquidity are cash flows from operations and availability of borrowings under our 2022 and 2021 Variable Funding Notes (as defined below). During the third quarter and three fiscal quarters of 2024, we experienced an increase in both U.S. and international same store sales (excluding foreign currency impact) versus the comparable periods in the prior year. Additionally, both our U.S. and international businesses grew store counts during the third quarter and three fiscal quarters of 2024.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September 8, 2024, we had no outstanding borrowings and $278.9 million of available borrowing capacity under our 2022 and 2021 Variable Funding Notes, net of letters of credit issued of $41.1 million.</w:t>
      </w:r>
    </w:p>
    <w:p>
      <w:pPr>
        <w:spacing w:after="0" w:line="82" w:lineRule="exact"/>
        <w:rPr>
          <w:sz w:val="20"/>
          <w:szCs w:val="20"/>
          <w:color w:val="auto"/>
        </w:rPr>
      </w:pPr>
    </w:p>
    <w:p>
      <w:pPr>
        <w:ind w:right="12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2023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As of September 8, 2024, we had $134.2 million of restricted cash held for future principal and interest payments and other working capital requirements of our asset-backed securitization structure, $51.0 million of restricted cash held in a three-month interest reserve as required by the related debt agreements and $0.2 million of other restricted cash for a total of $185.4 million of restricted cash and cash equivalents. As of September 8, 2024, we also held $90.0 million of advertising fund restricted cash and cash equivalents, which can only be used for activities that promote the Domino’s brand.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As of September 8, 2024, we had approximately $4.98 billion of long-term debt, of which $4.9 million was classified as a current liability. As of September 8, 2024, our fixed rate notes from the recapitalizations we completed in 2021, 2019, 2018, 2017 and 2015 had original scheduled principal payments of $38.6 million in the remainder of 2024, $1.17 billion in 2025, $39.3 million in 2026, $1.31 billion in 2027, $811.5 million in 2028, $625.9 million in 2029, $10.0 million in 2030 and $905.0 million in 2031. However, in accordance with our debt agreements, the payment of principal on our outstanding senior notes may be suspended if our Holdco Leverage Ratio is less than or equal to 5.0x total debt to adjusted EBITDA, as defined in the related agreements, and no catch-up provisions are applicable. As of the end of the first, second, and third quarters of 2024, we had a Holdco Leverage Ratio of less than 5.0x, and accordingly, did not make the previously scheduled debt amortization payments on our outstanding notes beginning in the second quarter of 2024. Accordingly, all principal amounts of our outstanding notes have been classified as long-term debt in our condensed consolidated balance sheet as of September 8, 2024.</w:t>
      </w:r>
    </w:p>
    <w:p>
      <w:pPr>
        <w:spacing w:after="0" w:line="94" w:lineRule="exact"/>
        <w:rPr>
          <w:sz w:val="20"/>
          <w:szCs w:val="20"/>
          <w:color w:val="auto"/>
        </w:rPr>
      </w:pPr>
    </w:p>
    <w:p>
      <w:pPr>
        <w:ind w:right="40" w:firstLine="281"/>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60" w:firstLine="284"/>
        <w:spacing w:after="0" w:line="261"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 On February 21, 2024, our Board of Directors authorized an additional share repurchase program to repurchase up to $1.0 billion of our common stock, in addition to the $141.3 million that was previously remaining for a total authorization of $1.14 billion for future share repurchases as of that date.</w:t>
      </w:r>
    </w:p>
    <w:p>
      <w:pPr>
        <w:spacing w:after="0" w:line="72" w:lineRule="exact"/>
        <w:rPr>
          <w:sz w:val="20"/>
          <w:szCs w:val="20"/>
          <w:color w:val="auto"/>
        </w:rPr>
      </w:pPr>
    </w:p>
    <w:p>
      <w:pPr>
        <w:ind w:right="280" w:firstLine="284"/>
        <w:spacing w:after="0" w:line="266" w:lineRule="auto"/>
        <w:rPr>
          <w:sz w:val="20"/>
          <w:szCs w:val="20"/>
          <w:color w:val="auto"/>
        </w:rPr>
      </w:pPr>
      <w:r>
        <w:rPr>
          <w:rFonts w:ascii="Times New Roman" w:cs="Times New Roman" w:eastAsia="Times New Roman" w:hAnsi="Times New Roman"/>
          <w:sz w:val="18"/>
          <w:szCs w:val="18"/>
          <w:color w:val="auto"/>
        </w:rPr>
        <w:t>During the third quarter and three fiscal quarters of 2024, we repurchased and retired 443,302 and 499,674 shares of our common stock under our Board of Directors-approved share repurchase program for a total of approximately $190.0 million and $215.0 million, respectively. As of September 8, 2024, we had a total remaining authorized amount for share repurchases of approximately $926.3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On July 16, 2024, our Board of Directors declared a $1.51 per share quarterly dividend on our outstanding common stock for shareholders of record as of September 13, 2024, which was paid on September 30, 2024. We had approximately $54.1 million accrued for common stock dividends at September 8, 2024. Subsequent to the end of the third quarter of 2024, on October 8, 2024, our Board of Directors declared a $1.51 per share quarterly dividend on our outstanding common stock for shareholders of record as of December 13, 2024, to be paid on December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180" w:type="dxa"/>
            <w:vAlign w:val="bottom"/>
          </w:tcPr>
          <w:p>
            <w:pPr>
              <w:spacing w:after="0"/>
              <w:rPr>
                <w:sz w:val="13"/>
                <w:szCs w:val="13"/>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r>
      <w:tr>
        <w:trPr>
          <w:trHeight w:val="187"/>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80" w:type="dxa"/>
            <w:vAlign w:val="bottom"/>
          </w:tcPr>
          <w:p>
            <w:pPr>
              <w:spacing w:after="0"/>
              <w:rPr>
                <w:sz w:val="16"/>
                <w:szCs w:val="16"/>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6"/>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(71.9 )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(60.0 )</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(337.2 )</w:t>
            </w: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36"/>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40" w:firstLine="281"/>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increased $24.7 million in the three fiscal quarters of 2024, as a result of higher net income, excluding non-cash operating activities and a positive change in advertising fund assets and liabilities, restricted, partially offset by the negative impact of changes in operating assets and liabilities. Net income increased $52.9 million and non-cash adjustments increased $8.8 million, resulting in an overall increase to cash provided by operating activities in the three fiscal quarters of 2024 as compared to the three fiscal quarters of 2023 of $61.7 million. Additionally, an $8.3 million positive impact of changes in advertising fund assets and liabilities, restricted, in the three fiscal quarters of 2024 as compared to the three fiscal quarters of 2023 was a result of receipts for advertising contributions outpacing payments for advertising activities. The negative impact of changes in operating assets and liabilities of $45.3 million primarily related to timing of payments for accounts payable, accrued liabilities and income taxes in the three fiscal quarters of 2024 as compared to the three fiscal quarters of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900" w:firstLine="28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$71.9 million in the three fiscal quarters of 2024, which primarily consisted of $70.8 million of capital expenditures (driven primarily by investments in technological initiatives, supply chain centers and corporate store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40" w:firstLine="28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$313.0 million in the three fiscal quarters of 2024, which included the repurchase of approximately $215.0 million in common stock under our Board of Directors-approved share repurchase program, dividend payments of $106.0 million, repayments of long-term debt and finance lease obligations of $16.0 million and tax payments for the vesting of restricted stock of $10.7 million. These uses of cash were partially offset by proceeds from the exercise of stock options of $34.7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84"/>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2023 Form 10-K. The Company considers its most significant accounting policies and estimates to be long-lived assets, casualty insurance reserves and income taxes. There have been no material changes to the Company’s critical accounting estimates since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2023 Form 10-K for the fiscal year ended December 31, 2023. Actual results may differ materially from those expressed or implied in the forward-looking statements as a result of various factors, including but not limited to: our substantial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the additional risks our international operations subject us to;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240" w:firstLine="284"/>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September 8, 2024, we are exposed to interest rate risk on borrowings under our variable funding notes. As of September 8, 2024, we had no outstanding borrowings under our 2022 and 2021 Variable Funding Notes.</w:t>
      </w:r>
    </w:p>
    <w:p>
      <w:pPr>
        <w:spacing w:after="0" w:line="85" w:lineRule="exact"/>
        <w:rPr>
          <w:sz w:val="20"/>
          <w:szCs w:val="20"/>
          <w:color w:val="auto"/>
        </w:rPr>
      </w:pPr>
    </w:p>
    <w:p>
      <w:pPr>
        <w:ind w:right="100" w:firstLine="284"/>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firstLine="284"/>
        <w:spacing w:after="0" w:line="282"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120" w:firstLine="284"/>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cardboard and paper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right="20" w:firstLine="284"/>
        <w:spacing w:after="0" w:line="254"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6.9% of our total revenues in the third quarter of 2024, approximately 6.8% of our total revenues in the three fiscal quarters of 2024, approximately 7.1% of our total revenues in the third quarter of 2023, and approximately 6.9% of our total revenues in the three fiscal quarters of 2023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$19.5 million in the three fiscal quarters of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8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right="200" w:firstLine="284"/>
        <w:spacing w:after="0" w:line="257" w:lineRule="auto"/>
        <w:rPr>
          <w:sz w:val="20"/>
          <w:szCs w:val="20"/>
          <w:color w:val="auto"/>
        </w:rPr>
      </w:pPr>
      <w:r>
        <w:rPr>
          <w:rFonts w:ascii="Times New Roman" w:cs="Times New Roman" w:eastAsia="Times New Roman" w:hAnsi="Times New Roman"/>
          <w:sz w:val="18"/>
          <w:szCs w:val="18"/>
          <w:color w:val="auto"/>
        </w:rPr>
        <w:t>During the quarterly period ended September 8, 2024,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176" w:lineRule="exact"/>
        <w:rPr>
          <w:sz w:val="20"/>
          <w:szCs w:val="20"/>
          <w:color w:val="auto"/>
        </w:rPr>
      </w:pPr>
    </w:p>
    <w:p>
      <w:pPr>
        <w:ind w:right="80" w:firstLine="281"/>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87"/>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5"/>
        </w:trPr>
        <w:tc>
          <w:tcPr>
            <w:tcW w:w="250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Period #7 (June 17, 2024</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8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July 14, 2024)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502.03</w:t>
            </w:r>
          </w:p>
        </w:tc>
        <w:tc>
          <w:tcPr>
            <w:tcW w:w="4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#8 (July 15, 2024</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August 11, 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317,447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426.06</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315,604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#9 (August 12, 2024</w:t>
            </w:r>
          </w:p>
        </w:tc>
        <w:tc>
          <w:tcPr>
            <w:tcW w:w="160" w:type="dxa"/>
            <w:vAlign w:val="bottom"/>
            <w:vMerge w:val="restart"/>
            <w:shd w:val="clear" w:color="auto" w:fill="CFF0FC"/>
          </w:tcPr>
          <w:p>
            <w:pPr>
              <w:spacing w:after="0"/>
              <w:rPr>
                <w:sz w:val="18"/>
                <w:szCs w:val="18"/>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129,076</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434.52</w:t>
            </w:r>
          </w:p>
        </w:tc>
        <w:tc>
          <w:tcPr>
            <w:tcW w:w="400" w:type="dxa"/>
            <w:vAlign w:val="bottom"/>
            <w:vMerge w:val="restart"/>
            <w:shd w:val="clear" w:color="auto" w:fill="CFF0FC"/>
          </w:tcPr>
          <w:p>
            <w:pPr>
              <w:spacing w:after="0"/>
              <w:rPr>
                <w:sz w:val="18"/>
                <w:szCs w:val="18"/>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127,698</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September 8, 2024)</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56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vMerge w:val="continue"/>
            <w:shd w:val="clear" w:color="auto" w:fill="CFF0FC"/>
          </w:tcPr>
          <w:p>
            <w:pPr>
              <w:spacing w:after="0"/>
              <w:rPr>
                <w:sz w:val="20"/>
                <w:szCs w:val="20"/>
                <w:color w:val="auto"/>
              </w:rPr>
            </w:pPr>
          </w:p>
        </w:tc>
        <w:tc>
          <w:tcPr>
            <w:tcW w:w="208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447,377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428.65</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443,302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-187960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-187960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4" w:lineRule="exact"/>
        <w:rPr>
          <w:sz w:val="20"/>
          <w:szCs w:val="20"/>
          <w:color w:val="auto"/>
        </w:rPr>
      </w:pPr>
    </w:p>
    <w:p>
      <w:pPr>
        <w:ind w:left="480" w:hanging="459"/>
        <w:spacing w:after="0"/>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4,075 shares in the third quarter of 2024 were purchased as part of the Company’s employee stock payroll deduction plan at an average price of $433.79.</w:t>
      </w:r>
    </w:p>
    <w:p>
      <w:pPr>
        <w:spacing w:after="0" w:line="165" w:lineRule="exact"/>
        <w:rPr>
          <w:rFonts w:ascii="Times New Roman" w:cs="Times New Roman" w:eastAsia="Times New Roman" w:hAnsi="Times New Roman"/>
          <w:sz w:val="15"/>
          <w:szCs w:val="15"/>
          <w:color w:val="auto"/>
        </w:rPr>
      </w:pPr>
    </w:p>
    <w:p>
      <w:pPr>
        <w:ind w:left="480" w:right="80" w:hanging="459"/>
        <w:spacing w:after="0" w:line="243" w:lineRule="auto"/>
        <w:tabs>
          <w:tab w:leader="none" w:pos="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September 8, 2024, $926.3 million remained available for future purchases of the Company’s common stock under this share repurchase program.</w:t>
      </w:r>
    </w:p>
    <w:p>
      <w:pPr>
        <w:spacing w:after="0" w:line="137" w:lineRule="exact"/>
        <w:rPr>
          <w:rFonts w:ascii="Times New Roman" w:cs="Times New Roman" w:eastAsia="Times New Roman" w:hAnsi="Times New Roman"/>
          <w:sz w:val="15"/>
          <w:szCs w:val="15"/>
          <w:color w:val="auto"/>
        </w:rPr>
      </w:pPr>
    </w:p>
    <w:p>
      <w:pPr>
        <w:ind w:left="48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20" w:firstLine="281"/>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Domino’s stock that are intended to satisfy the affirmative defense conditions of Rule 10b5-1(c) under the Exchange Act.</w:t>
      </w:r>
    </w:p>
    <w:p>
      <w:pPr>
        <w:spacing w:after="0" w:line="162" w:lineRule="exact"/>
        <w:rPr>
          <w:sz w:val="20"/>
          <w:szCs w:val="20"/>
          <w:color w:val="auto"/>
        </w:rPr>
      </w:pPr>
    </w:p>
    <w:p>
      <w:pPr>
        <w:ind w:right="160" w:firstLine="281"/>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8, 2024, the following Section 16 officer adopted a “Rule 10b5-1 trading arrangement” (as defined in Item 408 under Regulation S-K of the Exchange Act):</w:t>
      </w:r>
    </w:p>
    <w:p>
      <w:pPr>
        <w:spacing w:after="0" w:line="162" w:lineRule="exact"/>
        <w:rPr>
          <w:sz w:val="20"/>
          <w:szCs w:val="20"/>
          <w:color w:val="auto"/>
        </w:rPr>
      </w:pPr>
    </w:p>
    <w:p>
      <w:pPr>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Cynthia A. Headen, our Executive Vice President, Chief Supply Chain Officer, adopted a new Rule 10b5-1 trading arrangement on August 1, 2024. The plan’s maximum duration is until August 29, 2025, and first trades will not occur until November 1, 2024 at the earliest. The trading plan, which is subject to certain conditions, is intended to permit Ms. Headen to sell from time to time an aggregate of up to 2,510 shares of our common stock, the actual amount of which may be less based on tax withholdings and performance and vesting conditions of performance-based stock units and restricted stock units.</w:t>
      </w:r>
    </w:p>
    <w:p>
      <w:pPr>
        <w:spacing w:after="0" w:line="183" w:lineRule="exact"/>
        <w:rPr>
          <w:sz w:val="20"/>
          <w:szCs w:val="20"/>
          <w:color w:val="auto"/>
        </w:rPr>
      </w:pPr>
    </w:p>
    <w:p>
      <w:pPr>
        <w:ind w:right="20" w:firstLine="281"/>
        <w:spacing w:after="0" w:line="282" w:lineRule="auto"/>
        <w:rPr>
          <w:sz w:val="20"/>
          <w:szCs w:val="20"/>
          <w:color w:val="auto"/>
        </w:rPr>
      </w:pPr>
      <w:r>
        <w:rPr>
          <w:rFonts w:ascii="Times New Roman" w:cs="Times New Roman" w:eastAsia="Times New Roman" w:hAnsi="Times New Roman"/>
          <w:sz w:val="18"/>
          <w:szCs w:val="18"/>
          <w:color w:val="auto"/>
        </w:rPr>
        <w:t>The Rule 10b5-1 trading arrangement described above was adopted and precleared in accordance with Domino’s Insider Trading Policy and actual sale transactions made pursuant to such trading arrangement will be disclosed publicly in future Section 16 filings with the SEC.</w:t>
      </w:r>
    </w:p>
    <w:p>
      <w:pPr>
        <w:spacing w:after="0" w:line="162" w:lineRule="exact"/>
        <w:rPr>
          <w:sz w:val="20"/>
          <w:szCs w:val="20"/>
          <w:color w:val="auto"/>
        </w:rPr>
      </w:pPr>
    </w:p>
    <w:p>
      <w:pPr>
        <w:ind w:right="120" w:firstLine="281"/>
        <w:spacing w:after="0" w:line="282" w:lineRule="auto"/>
        <w:rPr>
          <w:sz w:val="20"/>
          <w:szCs w:val="20"/>
          <w:color w:val="auto"/>
        </w:rPr>
      </w:pPr>
      <w:r>
        <w:rPr>
          <w:rFonts w:ascii="Times New Roman" w:cs="Times New Roman" w:eastAsia="Times New Roman" w:hAnsi="Times New Roman"/>
          <w:sz w:val="18"/>
          <w:szCs w:val="18"/>
          <w:color w:val="auto"/>
        </w:rPr>
        <w:t>No other directors or officers adopted, modified and/or terminated a “Rule 10b5-1 trading arrangement” or a “non-Rule 10b5-1 trading arrangement,” as defined in Item 408 under Regulation S-K of the Exchange Act, during the last fiscal quarter.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9"/>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Eighth Supplement dated as of July 23, 2024 to the Amended and Restated Base Indenture dated as of March 15, 2012 by and among</w:t>
            </w:r>
          </w:p>
        </w:tc>
        <w:tc>
          <w:tcPr>
            <w:tcW w:w="5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Holder LLC, each as Co-Issuer, and Citibank, N.A., as Trustee and Securities Intermediary.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relating to Domino’s Pizza, Inc.</w:t>
            </w:r>
          </w:p>
        </w:tc>
        <w:tc>
          <w:tcPr>
            <w:tcW w:w="6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1350, Chapter 63 of Title 18, United States Code, as adopted pursuant to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4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c>
          <w:tcPr>
            <w:tcW w:w="16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160" w:type="dxa"/>
            <w:vAlign w:val="bottom"/>
          </w:tcPr>
          <w:p>
            <w:pPr>
              <w:spacing w:after="0"/>
              <w:rPr>
                <w:sz w:val="20"/>
                <w:szCs w:val="20"/>
                <w:color w:val="auto"/>
              </w:rPr>
            </w:pPr>
          </w:p>
        </w:tc>
      </w:tr>
      <w:tr>
        <w:trPr>
          <w:trHeight w:val="46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October 10, 2024</w:t>
            </w:r>
          </w:p>
        </w:tc>
        <w:tc>
          <w:tcPr>
            <w:tcW w:w="21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c>
          <w:tcPr>
            <w:tcW w:w="160" w:type="dxa"/>
            <w:vAlign w:val="bottom"/>
          </w:tcPr>
          <w:p>
            <w:pPr>
              <w:spacing w:after="0"/>
              <w:rPr>
                <w:sz w:val="24"/>
                <w:szCs w:val="24"/>
                <w:color w:val="auto"/>
              </w:rPr>
            </w:pPr>
          </w:p>
        </w:tc>
      </w:tr>
      <w:tr>
        <w:trPr>
          <w:trHeight w:val="211"/>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r>
      <w:tr>
        <w:trPr>
          <w:trHeight w:val="446"/>
        </w:trPr>
        <w:tc>
          <w:tcPr>
            <w:tcW w:w="370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DOMINO’S PIZZA MASTER ISSUER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DOMINO’S PIZZA DISTRIBUTION LLC,</w:t>
      </w:r>
    </w:p>
    <w:p>
      <w:pPr>
        <w:jc w:val="center"/>
        <w:spacing w:after="0" w:line="230" w:lineRule="auto"/>
        <w:rPr>
          <w:sz w:val="20"/>
          <w:szCs w:val="20"/>
          <w:color w:val="auto"/>
        </w:rPr>
      </w:pPr>
      <w:r>
        <w:rPr>
          <w:rFonts w:ascii="Times New Roman" w:cs="Times New Roman" w:eastAsia="Times New Roman" w:hAnsi="Times New Roman"/>
          <w:sz w:val="22"/>
          <w:szCs w:val="22"/>
          <w:color w:val="auto"/>
        </w:rPr>
        <w:t>DOMINO’S IP HOLDER LLC and</w:t>
      </w:r>
    </w:p>
    <w:p>
      <w:pPr>
        <w:jc w:val="center"/>
        <w:spacing w:after="0" w:line="231" w:lineRule="auto"/>
        <w:rPr>
          <w:sz w:val="20"/>
          <w:szCs w:val="20"/>
          <w:color w:val="auto"/>
        </w:rPr>
      </w:pPr>
      <w:r>
        <w:rPr>
          <w:rFonts w:ascii="Times New Roman" w:cs="Times New Roman" w:eastAsia="Times New Roman" w:hAnsi="Times New Roman"/>
          <w:sz w:val="22"/>
          <w:szCs w:val="22"/>
          <w:color w:val="auto"/>
        </w:rPr>
        <w:t>DOMINO’S SPV CANADIAN HOLDING COMPANY INC.</w:t>
      </w:r>
    </w:p>
    <w:p>
      <w:pPr>
        <w:jc w:val="center"/>
        <w:spacing w:after="0"/>
        <w:rPr>
          <w:sz w:val="20"/>
          <w:szCs w:val="20"/>
          <w:color w:val="auto"/>
        </w:rPr>
      </w:pPr>
      <w:r>
        <w:rPr>
          <w:rFonts w:ascii="Times New Roman" w:cs="Times New Roman" w:eastAsia="Times New Roman" w:hAnsi="Times New Roman"/>
          <w:sz w:val="22"/>
          <w:szCs w:val="22"/>
          <w:color w:val="auto"/>
        </w:rPr>
        <w:t>each as a Co-Issuer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CITIBANK, N.A.,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Trustee and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269875</wp:posOffset>
            </wp:positionV>
            <wp:extent cx="332613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261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EIGHTH SUPPLEMENT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July 23, 2024</w:t>
      </w:r>
    </w:p>
    <w:p>
      <w:pPr>
        <w:jc w:val="center"/>
        <w:spacing w:after="0" w:line="230" w:lineRule="auto"/>
        <w:rPr>
          <w:sz w:val="20"/>
          <w:szCs w:val="20"/>
          <w:color w:val="auto"/>
        </w:rPr>
      </w:pPr>
      <w:r>
        <w:rPr>
          <w:rFonts w:ascii="Times New Roman" w:cs="Times New Roman" w:eastAsia="Times New Roman" w:hAnsi="Times New Roman"/>
          <w:sz w:val="22"/>
          <w:szCs w:val="22"/>
          <w:color w:val="auto"/>
        </w:rPr>
        <w:t>to the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AMENDED AND RESTATED BASE INDENTURE</w:t>
      </w:r>
    </w:p>
    <w:p>
      <w:pPr>
        <w:jc w:val="center"/>
        <w:spacing w:after="0"/>
        <w:rPr>
          <w:sz w:val="20"/>
          <w:szCs w:val="20"/>
          <w:color w:val="auto"/>
        </w:rPr>
      </w:pPr>
      <w:r>
        <w:rPr>
          <w:rFonts w:ascii="Times New Roman" w:cs="Times New Roman" w:eastAsia="Times New Roman" w:hAnsi="Times New Roman"/>
          <w:sz w:val="22"/>
          <w:szCs w:val="22"/>
          <w:color w:val="auto"/>
        </w:rPr>
        <w:t>Dated as of March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132715</wp:posOffset>
            </wp:positionV>
            <wp:extent cx="33261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261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Asset Backed Notes</w:t>
      </w:r>
    </w:p>
    <w:p>
      <w:pPr>
        <w:spacing w:after="0" w:line="1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(Issuable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22"/>
          <w:szCs w:val="22"/>
          <w:color w:val="auto"/>
        </w:rPr>
        <w:t>EIGHTH SUPPLEMENT TO AMENDED AND RESTATED BASE INDENTURE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EIGHTH SUPPLEMENT, dated as of July 23, 2024 (this “</w:t>
      </w:r>
      <w:r>
        <w:rPr>
          <w:rFonts w:ascii="Times New Roman" w:cs="Times New Roman" w:eastAsia="Times New Roman" w:hAnsi="Times New Roman"/>
          <w:sz w:val="22"/>
          <w:szCs w:val="22"/>
          <w:u w:val="single" w:color="auto"/>
          <w:color w:val="auto"/>
        </w:rPr>
        <w:t>Eighth Supplement</w:t>
      </w:r>
      <w:r>
        <w:rPr>
          <w:rFonts w:ascii="Times New Roman" w:cs="Times New Roman" w:eastAsia="Times New Roman" w:hAnsi="Times New Roman"/>
          <w:sz w:val="22"/>
          <w:szCs w:val="22"/>
          <w:color w:val="auto"/>
        </w:rPr>
        <w:t>”), to the Amended and Restated Base Indenture, dated as of March 15, 2012, is by and among DOMINO'S PIZZA MASTER ISSUER LLC, a Delaware limited liability company (the "</w:t>
      </w:r>
      <w:r>
        <w:rPr>
          <w:rFonts w:ascii="Times New Roman" w:cs="Times New Roman" w:eastAsia="Times New Roman" w:hAnsi="Times New Roman"/>
          <w:sz w:val="22"/>
          <w:szCs w:val="22"/>
          <w:u w:val="single" w:color="auto"/>
          <w:color w:val="auto"/>
        </w:rPr>
        <w:t>Master Issuer</w:t>
      </w:r>
      <w:r>
        <w:rPr>
          <w:rFonts w:ascii="Times New Roman" w:cs="Times New Roman" w:eastAsia="Times New Roman" w:hAnsi="Times New Roman"/>
          <w:sz w:val="22"/>
          <w:szCs w:val="22"/>
          <w:color w:val="auto"/>
        </w:rPr>
        <w:t>"), DOMINO'S PIZZA DISTRIBUTION LLC, a Delaware limited liability company (the "</w:t>
      </w:r>
      <w:r>
        <w:rPr>
          <w:rFonts w:ascii="Times New Roman" w:cs="Times New Roman" w:eastAsia="Times New Roman" w:hAnsi="Times New Roman"/>
          <w:sz w:val="22"/>
          <w:szCs w:val="22"/>
          <w:u w:val="single" w:color="auto"/>
          <w:color w:val="auto"/>
        </w:rPr>
        <w:t>Domestic Distributor</w:t>
      </w:r>
      <w:r>
        <w:rPr>
          <w:rFonts w:ascii="Times New Roman" w:cs="Times New Roman" w:eastAsia="Times New Roman" w:hAnsi="Times New Roman"/>
          <w:sz w:val="22"/>
          <w:szCs w:val="22"/>
          <w:color w:val="auto"/>
        </w:rPr>
        <w:t>"), DOMINO'S SPV CANADIAN HOLDING COMPANY INC., a Delaware corporation (the "</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Canadian Holdco</w:t>
      </w:r>
      <w:r>
        <w:rPr>
          <w:rFonts w:ascii="Times New Roman" w:cs="Times New Roman" w:eastAsia="Times New Roman" w:hAnsi="Times New Roman"/>
          <w:sz w:val="22"/>
          <w:szCs w:val="22"/>
          <w:color w:val="auto"/>
        </w:rPr>
        <w:t>"), DOMINO'S IP HOLDER LLC, a Delaware limited liability company (the "</w:t>
      </w:r>
      <w:r>
        <w:rPr>
          <w:rFonts w:ascii="Times New Roman" w:cs="Times New Roman" w:eastAsia="Times New Roman" w:hAnsi="Times New Roman"/>
          <w:sz w:val="22"/>
          <w:szCs w:val="22"/>
          <w:u w:val="single" w:color="auto"/>
          <w:color w:val="auto"/>
        </w:rPr>
        <w:t>IP Holder</w:t>
      </w:r>
      <w:r>
        <w:rPr>
          <w:rFonts w:ascii="Times New Roman" w:cs="Times New Roman" w:eastAsia="Times New Roman" w:hAnsi="Times New Roman"/>
          <w:sz w:val="22"/>
          <w:szCs w:val="22"/>
          <w:color w:val="auto"/>
        </w:rPr>
        <w:t>" and together with the Master Issuer, the Domestic Distributor and the SPV Canadian Holdco, collectively, the "</w:t>
      </w:r>
      <w:r>
        <w:rPr>
          <w:rFonts w:ascii="Times New Roman" w:cs="Times New Roman" w:eastAsia="Times New Roman" w:hAnsi="Times New Roman"/>
          <w:sz w:val="22"/>
          <w:szCs w:val="22"/>
          <w:u w:val="single" w:color="auto"/>
          <w:color w:val="auto"/>
        </w:rPr>
        <w:t>Co-Issuers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Co-Issuer</w:t>
      </w:r>
      <w:r>
        <w:rPr>
          <w:rFonts w:ascii="Times New Roman" w:cs="Times New Roman" w:eastAsia="Times New Roman" w:hAnsi="Times New Roman"/>
          <w:sz w:val="22"/>
          <w:szCs w:val="22"/>
          <w:color w:val="auto"/>
        </w:rPr>
        <w:t>"), and CITIBANK,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securities intermediary (in such capacity, the “</w:t>
      </w:r>
      <w:r>
        <w:rPr>
          <w:rFonts w:ascii="Times New Roman" w:cs="Times New Roman" w:eastAsia="Times New Roman" w:hAnsi="Times New Roman"/>
          <w:sz w:val="22"/>
          <w:szCs w:val="22"/>
          <w:u w:val="single" w:color="auto"/>
          <w:color w:val="auto"/>
        </w:rPr>
        <w:t>Securities Intermediary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PRELIMINARY STATEMENT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WHEREAS, the Co-Issuers and the Trustee entered into the Amended and Restated Base Indenture (as amended by the First Supplement to Amended and Restated Base Indenture, dated as of September 16, 2013, the Second Supplement to Amended and Restated Base Indenture, dated as of October 21, 2015, the Third Supplement to Amended and Restated Base Indenture, dated as of October 21, 2015, the Fourth Supplement to Amended and Restated Base Indenture, dated as of July 24, 2017, the Fifth Supplement to Amended and Restated Base Indenture, dated as of November 21, 2018, the Sixth Supplement to Amended and Restated Base Indenture, dated as of April 16, 2021 and the Seventh Supplement to Amended and Restated Base Indenture, dated as of December 30, 2021, and as further amended, modified or supplemented prior to the date hereof,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on or about October 26, 2023, Domino’s RE LLC (the “</w:t>
      </w:r>
      <w:r>
        <w:rPr>
          <w:rFonts w:ascii="Times New Roman" w:cs="Times New Roman" w:eastAsia="Times New Roman" w:hAnsi="Times New Roman"/>
          <w:sz w:val="22"/>
          <w:szCs w:val="22"/>
          <w:u w:val="single" w:color="auto"/>
          <w:color w:val="auto"/>
        </w:rPr>
        <w:t>Domestic Distribution Real Estate Holder</w:t>
      </w:r>
      <w:r>
        <w:rPr>
          <w:rFonts w:ascii="Times New Roman" w:cs="Times New Roman" w:eastAsia="Times New Roman" w:hAnsi="Times New Roman"/>
          <w:sz w:val="22"/>
          <w:szCs w:val="22"/>
          <w:color w:val="auto"/>
        </w:rPr>
        <w:t>”) sold a Manufacturing and Distribution Center (the “</w:t>
      </w:r>
      <w:r>
        <w:rPr>
          <w:rFonts w:ascii="Times New Roman" w:cs="Times New Roman" w:eastAsia="Times New Roman" w:hAnsi="Times New Roman"/>
          <w:sz w:val="22"/>
          <w:szCs w:val="22"/>
          <w:u w:val="single" w:color="auto"/>
          <w:color w:val="auto"/>
        </w:rPr>
        <w:t>Specified Disposition</w:t>
      </w:r>
      <w:r>
        <w:rPr>
          <w:rFonts w:ascii="Times New Roman" w:cs="Times New Roman" w:eastAsia="Times New Roman" w:hAnsi="Times New Roman"/>
          <w:sz w:val="22"/>
          <w:szCs w:val="22"/>
          <w:color w:val="auto"/>
        </w:rPr>
        <w:t>”) located in Ontario, California for $14,897,816.00 in cash consideration;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Specified Disposition constitutes a Real Estate Disposition within the meaning of the Base Indenture;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Section 8.16(d) of the Base Indenture requires that all Asset Disposition Proceeds received by the Domestic Distribution Real Estate Holder from any Real Estate Disposition must be either (x) reinvested in real property held by the Domestic Distribution Real Estate Holder and used for production or distribution purposes within 365 days of the disposition giving rise to such proceeds or (y) used to prepay the Notes;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Securitization Entities wish to invest the Asset Disposition Proceeds resulting from the Specified Disposition in assets that are useful to the business of the Securitization Entities but do not constitute real property held by the Domestic Distribution Real Estate Holder;</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w:t>
      </w:r>
      <w:r>
        <w:rPr>
          <w:rFonts w:ascii="Times New Roman" w:cs="Times New Roman" w:eastAsia="Times New Roman" w:hAnsi="Times New Roman"/>
          <w:sz w:val="22"/>
          <w:szCs w:val="22"/>
          <w:u w:val="single" w:color="auto"/>
          <w:color w:val="auto"/>
        </w:rPr>
        <w:t>Section 13.2(a)</w:t>
      </w:r>
      <w:r>
        <w:rPr>
          <w:rFonts w:ascii="Times New Roman" w:cs="Times New Roman" w:eastAsia="Times New Roman" w:hAnsi="Times New Roman"/>
          <w:sz w:val="22"/>
          <w:szCs w:val="22"/>
          <w:color w:val="auto"/>
        </w:rPr>
        <w:t xml:space="preserve"> of the Base Indenture provides, among other things, that the Co-Issuers and the Trustee, with the consent of the Control Party (at the direction of the Controlling Class Representative, if applicable), may at any time, and from time to time, make amendments, waivers and other modifications to the Base 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22"/>
          <w:szCs w:val="22"/>
          <w:color w:val="auto"/>
        </w:rPr>
        <w:t>WHEREAS, the Co-Issuers have duly authorized the execution and delivery of this Eighth Supplement;</w:t>
      </w:r>
    </w:p>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WHEREAS, there is currently no Controlling Class Representative, and the Control Party is willing to provide its written consent (in accordance with the terms and conditions of the Base Indenture) to the execution of this Eighth Supplement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Co-Issuers and the Trustee wish to amend the Base Indenture as set forth herein.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provisions, covenants and the mutual agreements herein contained, the parties hereto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herein, all capitalized terms used herein (including in the preamble and the recitals hereto) shall have the meanings assigned to such terms in the Base Indenture Definitions List attached to the Base Indenture as Annex A thereto (the “</w:t>
      </w:r>
      <w:r>
        <w:rPr>
          <w:rFonts w:ascii="Times New Roman" w:cs="Times New Roman" w:eastAsia="Times New Roman" w:hAnsi="Times New Roman"/>
          <w:sz w:val="22"/>
          <w:szCs w:val="22"/>
          <w:u w:val="single" w:color="auto"/>
          <w:color w:val="auto"/>
        </w:rPr>
        <w:t>Base Indenture Definitions List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The Base Indenture Definitions List is hereby amended by inserting the following definitions in the Base Indenture Definitions List in accordance with alphabetical order:</w:t>
      </w:r>
    </w:p>
    <w:p>
      <w:pPr>
        <w:spacing w:after="0" w:line="158" w:lineRule="exact"/>
        <w:rPr>
          <w:sz w:val="20"/>
          <w:szCs w:val="20"/>
          <w:color w:val="auto"/>
        </w:rPr>
      </w:pPr>
    </w:p>
    <w:p>
      <w:pPr>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Supplement</w:t>
      </w:r>
      <w:r>
        <w:rPr>
          <w:rFonts w:ascii="Times New Roman" w:cs="Times New Roman" w:eastAsia="Times New Roman" w:hAnsi="Times New Roman"/>
          <w:sz w:val="22"/>
          <w:szCs w:val="22"/>
          <w:color w:val="auto"/>
        </w:rPr>
        <w:t>” means the Eighth Supplement to the Base Indenture, dated as of July 23, 2024, among the Co-Issuers, the Trustee and the Securities Intermediary.”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Supplement Effective Date</w:t>
      </w:r>
      <w:r>
        <w:rPr>
          <w:rFonts w:ascii="Times New Roman" w:cs="Times New Roman" w:eastAsia="Times New Roman" w:hAnsi="Times New Roman"/>
          <w:sz w:val="22"/>
          <w:szCs w:val="22"/>
          <w:color w:val="auto"/>
        </w:rPr>
        <w:t>” means the “Effective Date” as defined in the Eighth Supplement.”</w:t>
      </w:r>
    </w:p>
    <w:p>
      <w:pPr>
        <w:spacing w:after="0" w:line="206" w:lineRule="exact"/>
        <w:rPr>
          <w:sz w:val="20"/>
          <w:szCs w:val="20"/>
          <w:color w:val="auto"/>
        </w:rPr>
      </w:pPr>
    </w:p>
    <w:p>
      <w:pPr>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Real Estate Disposition</w:t>
      </w:r>
      <w:r>
        <w:rPr>
          <w:rFonts w:ascii="Times New Roman" w:cs="Times New Roman" w:eastAsia="Times New Roman" w:hAnsi="Times New Roman"/>
          <w:sz w:val="22"/>
          <w:szCs w:val="22"/>
          <w:color w:val="auto"/>
        </w:rPr>
        <w:t>” means the disposition of the Manufacturing and Distribution Center located in Ontario, California on or about October 26, 2023.”</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Section 8.16(d) of the Base Indenture is hereby amended by inserting the following underlined text:</w:t>
      </w:r>
    </w:p>
    <w:p>
      <w:pPr>
        <w:spacing w:after="0" w:line="206" w:lineRule="exact"/>
        <w:rPr>
          <w:sz w:val="20"/>
          <w:szCs w:val="20"/>
          <w:color w:val="auto"/>
        </w:rPr>
      </w:pPr>
    </w:p>
    <w:p>
      <w:pPr>
        <w:jc w:val="both"/>
        <w:ind w:left="1500"/>
        <w:spacing w:after="0" w:line="253" w:lineRule="auto"/>
        <w:rPr>
          <w:sz w:val="20"/>
          <w:szCs w:val="20"/>
          <w:color w:val="auto"/>
        </w:rPr>
      </w:pPr>
      <w:r>
        <w:rPr>
          <w:rFonts w:ascii="Times New Roman" w:cs="Times New Roman" w:eastAsia="Times New Roman" w:hAnsi="Times New Roman"/>
          <w:sz w:val="21"/>
          <w:szCs w:val="21"/>
          <w:color w:val="auto"/>
        </w:rPr>
        <w:t xml:space="preserve">“(d) any Real Estate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Asset Disposition Proceeds received by the Domestic Distribution Real Estate Holder from any Real Estate Disposition will </w:t>
      </w:r>
      <w:r>
        <w:rPr>
          <w:rFonts w:ascii="Times New Roman" w:cs="Times New Roman" w:eastAsia="Times New Roman" w:hAnsi="Times New Roman"/>
          <w:sz w:val="21"/>
          <w:szCs w:val="21"/>
          <w:b w:val="1"/>
          <w:bCs w:val="1"/>
          <w:u w:val="single" w:color="auto"/>
          <w:color w:val="auto"/>
        </w:rPr>
        <w:t>either (i) (x) in the case of the Specified</w:t>
      </w:r>
    </w:p>
    <w:p>
      <w:pPr>
        <w:spacing w:after="0" w:line="1" w:lineRule="exact"/>
        <w:rPr>
          <w:sz w:val="20"/>
          <w:szCs w:val="20"/>
          <w:color w:val="auto"/>
        </w:rPr>
      </w:pPr>
    </w:p>
    <w:p>
      <w:pPr>
        <w:jc w:val="both"/>
        <w:ind w:left="1500"/>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Real Estate Disposition, be reinvested within 365 days of such disposition in assets constituting Collateral that are used or useful to the Securitization Entities in the operation of their business or their other assets, including without limitation capital expenditures, leasehold improvements and/or expansion and relocation projects, and including, for the avoidance of doubt, any such investments made during the period from and including October 26, 2023 to and including the</w:t>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ind w:left="1500"/>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Eighth Supplement Effective Date, and (y) in the case of any other Real Estate Disposition,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reinvested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real property held by the Domestic Distribution Real Estate Holder and used for production or distribution purposes </w:t>
      </w:r>
      <w:r>
        <w:rPr>
          <w:rFonts w:ascii="Times New Roman" w:cs="Times New Roman" w:eastAsia="Times New Roman" w:hAnsi="Times New Roman"/>
          <w:sz w:val="22"/>
          <w:szCs w:val="22"/>
          <w:b w:val="1"/>
          <w:bCs w:val="1"/>
          <w:u w:val="single" w:color="auto"/>
          <w:color w:val="auto"/>
        </w:rPr>
        <w:t>or in such other assets as the Control Party may agree in writing, in each case</w:t>
      </w:r>
      <w:r>
        <w:rPr>
          <w:rFonts w:ascii="Times New Roman" w:cs="Times New Roman" w:eastAsia="Times New Roman" w:hAnsi="Times New Roman"/>
          <w:sz w:val="22"/>
          <w:szCs w:val="22"/>
          <w:color w:val="auto"/>
        </w:rPr>
        <w:t xml:space="preserve"> within 365 days of the disposition giving rise to such proceeds or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xml:space="preserve"> used to prepay the Notes;”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3.1.Conditions to Effectiveness</w:t>
      </w:r>
      <w:r>
        <w:rPr>
          <w:rFonts w:ascii="Times New Roman" w:cs="Times New Roman" w:eastAsia="Times New Roman" w:hAnsi="Times New Roman"/>
          <w:sz w:val="22"/>
          <w:szCs w:val="22"/>
          <w:color w:val="auto"/>
        </w:rPr>
        <w:t>. The provisions of this Eighth Supplement shall be effective upon the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that the following conditions are satisfied:</w:t>
      </w:r>
    </w:p>
    <w:p>
      <w:pPr>
        <w:spacing w:after="0" w:line="158" w:lineRule="exact"/>
        <w:rPr>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instrument has been executed and delivered by the parties hereto, with the consent of the Control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and</w:t>
      </w:r>
    </w:p>
    <w:p>
      <w:pPr>
        <w:spacing w:after="0" w:line="182" w:lineRule="exact"/>
        <w:rPr>
          <w:sz w:val="20"/>
          <w:szCs w:val="20"/>
          <w:color w:val="auto"/>
        </w:rPr>
      </w:pPr>
    </w:p>
    <w:p>
      <w:pPr>
        <w:ind w:right="20" w:firstLine="1505"/>
        <w:spacing w:after="0" w:line="25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Co-Issuers have delivered to the Trustee and the Control Party the Opinion of Counsel and Officer's Certificate described in Sections 13.3 and 14.3 of the Base Indenture.</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3.2.Effect on Base Indenture</w:t>
      </w:r>
      <w:r>
        <w:rPr>
          <w:rFonts w:ascii="Times New Roman" w:cs="Times New Roman" w:eastAsia="Times New Roman" w:hAnsi="Times New Roman"/>
          <w:sz w:val="21"/>
          <w:szCs w:val="21"/>
          <w:color w:val="auto"/>
        </w:rPr>
        <w:t>. Subject to the satisfaction of the conditions precedent set forth in Section 3.1, upon the date hereof (i) the Base Indenture shall be amended in accordance herewith, (ii) this Eighth Supplement shall form part of the Base Indenture for all purposes and (iii) the parties and each Noteholder shall be bound by the Base Indenture, as so amended. Except as expressly set forth or contemplated in this Eighth Supplement, the terms and conditions of the Base Indenture shall remain in place and shall not be altered, amended or changed in any manner whatsoever, except by any further amendment to the Base Indenture made in accordance with the terms of the Base Indenture, as amended by this Eighth Supplement.</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3.3.Binding Effect</w:t>
      </w:r>
      <w:r>
        <w:rPr>
          <w:rFonts w:ascii="Times New Roman" w:cs="Times New Roman" w:eastAsia="Times New Roman" w:hAnsi="Times New Roman"/>
          <w:sz w:val="22"/>
          <w:szCs w:val="22"/>
          <w:color w:val="auto"/>
        </w:rPr>
        <w:t>. This Eighth Supplement shall inure to the benefit of and be binding on the respective successors and assigns of the parties hereto, each Noteholder and each other Secured Party.</w:t>
      </w:r>
    </w:p>
    <w:p>
      <w:pPr>
        <w:spacing w:after="0" w:line="15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3.4.Counterparts</w:t>
      </w:r>
      <w:r>
        <w:rPr>
          <w:rFonts w:ascii="Times New Roman" w:cs="Times New Roman" w:eastAsia="Times New Roman" w:hAnsi="Times New Roman"/>
          <w:sz w:val="21"/>
          <w:szCs w:val="21"/>
          <w:color w:val="auto"/>
        </w:rPr>
        <w:t>. This Eighth Supplement may be executed in any number of counterparts, each of which so executed shall be deemed to be an original, but all of such counterparts shall together constitute but one and the same instrument.</w:t>
      </w:r>
    </w:p>
    <w:p>
      <w:pPr>
        <w:spacing w:after="0" w:line="13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u w:val="single" w:color="auto"/>
          <w:color w:val="auto"/>
        </w:rPr>
        <w:t>Section 3.5.Governing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EIGHTH SUPPLEMENT SHALL BE GOVERNED BY, AND CONSTRUED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INTERPRETED IN ACCORDANCE WITH, THE LAWS OF THE STATE OF NEW YORK.</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Electronic Signatures and Transmission. For purposes of this Supplement,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w:t>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 w:name="page35"/>
    <w:bookmarkEnd w:id="34"/>
    <w:p>
      <w:pPr>
        <w:jc w:val="both"/>
        <w:spacing w:after="0" w:line="233" w:lineRule="auto"/>
        <w:rPr>
          <w:sz w:val="20"/>
          <w:szCs w:val="20"/>
          <w:color w:val="auto"/>
        </w:rPr>
      </w:pPr>
      <w:r>
        <w:rPr>
          <w:rFonts w:ascii="Times New Roman" w:cs="Times New Roman" w:eastAsia="Times New Roman" w:hAnsi="Times New Roman"/>
          <w:sz w:val="22"/>
          <w:szCs w:val="22"/>
          <w:color w:val="auto"/>
        </w:rPr>
        <w:t>process. The Trustee is authorized to accept written instructions, directions, reports, notices or other communications 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 (except to the extent such action results from gross negligence, willful misconduct or fraud by the Trustee). Any requirement in the Indenture that a document is to be signed or authenticated by “manual signature” or similar language shall not be deemed to prohibit signature to be by facsimile or electronic signature and shall not be deemed to prohibit delivery thereof by Electronic Transmission. Notwithstanding anything to the contrary in this Supplement, any and all communications (both text and attachments) by or from the Trustee that the Trustee in its sole discretion deems to contain confidential, proprietary and/or sensitive information and sent by Electronic Transmission will be encrypted. The recipient of the Electronic Transmission will be required to complete a one-time registration process.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3.7.Amendments</w:t>
      </w:r>
      <w:r>
        <w:rPr>
          <w:rFonts w:ascii="Times New Roman" w:cs="Times New Roman" w:eastAsia="Times New Roman" w:hAnsi="Times New Roman"/>
          <w:sz w:val="22"/>
          <w:szCs w:val="22"/>
          <w:color w:val="auto"/>
        </w:rPr>
        <w:t>. This Eighth Supplement may not be modified or amended except in accordance with the terms of the Base Indenture.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3.8.Trustee and Securities Intermediary</w:t>
      </w:r>
      <w:r>
        <w:rPr>
          <w:rFonts w:ascii="Times New Roman" w:cs="Times New Roman" w:eastAsia="Times New Roman" w:hAnsi="Times New Roman"/>
          <w:sz w:val="22"/>
          <w:szCs w:val="22"/>
          <w:color w:val="auto"/>
        </w:rPr>
        <w:t>. The Trustee and the Securities Intermediary assume no responsibility for the correctness of the recitals contained herein, which shall be taken as the statements of the Master Issuer and neither the Trustee nor the Securities Intermediary shall be responsible or accountable in any way whatsoever for or with respect to the validity, execution or sufficiency of this Eighth Supplement and makes no representation with respect thereto. In entering into this Eighth Supplement, the Trustee and the Securities Intermediary shall be entitled to the benefit of every provision of the Base Indenture relating to the conduct of or affecting the liability of or affording protection to the Trustee or the Securities Intermediary.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party hereto represents and warrants to each other party hereto that this Eighth Supplement has been duly and validly executed and delivered by such party and constitutes its legal, valid and binding obligation, enforceable against such party in accordance with its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each of the Co-Issuers and the Trustee have caused this Eighth Supplement to be executed and delivered by its respective duly authorized officer as of the day and year first written above.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DOMINO’S MASTER ISSUER LLC, as Co-Issuer</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Jessica Parrish</w:t>
      </w:r>
    </w:p>
    <w:p>
      <w:pPr>
        <w:ind w:left="4940"/>
        <w:spacing w:after="0"/>
        <w:rPr>
          <w:sz w:val="20"/>
          <w:szCs w:val="20"/>
          <w:color w:val="auto"/>
        </w:rPr>
      </w:pPr>
      <w:r>
        <w:rPr>
          <w:rFonts w:ascii="Times New Roman" w:cs="Times New Roman" w:eastAsia="Times New Roman" w:hAnsi="Times New Roman"/>
          <w:sz w:val="22"/>
          <w:szCs w:val="22"/>
          <w:color w:val="auto"/>
        </w:rPr>
        <w:t>Title: Vice President, Chief Accounting Officer and Treasurer</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DOMINO’S PIZZA DISTRIBUTION LLC, as Co-Issuer</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Jessica Parrish</w:t>
      </w:r>
    </w:p>
    <w:p>
      <w:pPr>
        <w:ind w:left="4940"/>
        <w:spacing w:after="0"/>
        <w:rPr>
          <w:sz w:val="20"/>
          <w:szCs w:val="20"/>
          <w:color w:val="auto"/>
        </w:rPr>
      </w:pPr>
      <w:r>
        <w:rPr>
          <w:rFonts w:ascii="Times New Roman" w:cs="Times New Roman" w:eastAsia="Times New Roman" w:hAnsi="Times New Roman"/>
          <w:sz w:val="22"/>
          <w:szCs w:val="22"/>
          <w:color w:val="auto"/>
        </w:rPr>
        <w:t>Title: Vice President, Chief Accounting Officer and Treasurer</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DOMINO’S SPV CANADIAN HOLDING COMPANY INC., as Co-Issuer</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Jessica Parrish</w:t>
      </w:r>
    </w:p>
    <w:p>
      <w:pPr>
        <w:ind w:left="4940"/>
        <w:spacing w:after="0"/>
        <w:rPr>
          <w:sz w:val="20"/>
          <w:szCs w:val="20"/>
          <w:color w:val="auto"/>
        </w:rPr>
      </w:pPr>
      <w:r>
        <w:rPr>
          <w:rFonts w:ascii="Times New Roman" w:cs="Times New Roman" w:eastAsia="Times New Roman" w:hAnsi="Times New Roman"/>
          <w:sz w:val="22"/>
          <w:szCs w:val="22"/>
          <w:color w:val="auto"/>
        </w:rPr>
        <w:t>Title: Vice President, Chief Accounting Officer and Treasurer</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DOMINO’S IP HOLDER LLC, as Co-Issuer</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Jessica Parrish</w:t>
      </w:r>
    </w:p>
    <w:p>
      <w:pPr>
        <w:ind w:left="4940"/>
        <w:spacing w:after="0"/>
        <w:rPr>
          <w:sz w:val="20"/>
          <w:szCs w:val="20"/>
          <w:color w:val="auto"/>
        </w:rPr>
      </w:pPr>
      <w:r>
        <w:rPr>
          <w:rFonts w:ascii="Times New Roman" w:cs="Times New Roman" w:eastAsia="Times New Roman" w:hAnsi="Times New Roman"/>
          <w:sz w:val="22"/>
          <w:szCs w:val="22"/>
          <w:color w:val="auto"/>
        </w:rPr>
        <w:t>Title: Vice President, Chief Accounting Officer and Treasurer</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CITIBANK, N.A., in its capacity as Trustee and Securities Intermediary</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Trang Tran-Rojas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4478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Trang Tran-Rojas</w:t>
      </w:r>
    </w:p>
    <w:p>
      <w:pPr>
        <w:ind w:left="4940"/>
        <w:spacing w:after="0"/>
        <w:rPr>
          <w:sz w:val="20"/>
          <w:szCs w:val="20"/>
          <w:color w:val="auto"/>
        </w:rPr>
      </w:pPr>
      <w:r>
        <w:rPr>
          <w:rFonts w:ascii="Times New Roman" w:cs="Times New Roman" w:eastAsia="Times New Roman" w:hAnsi="Times New Roman"/>
          <w:sz w:val="22"/>
          <w:szCs w:val="22"/>
          <w:color w:val="auto"/>
        </w:rPr>
        <w:t>Title: Senior Trust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Eighth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CONSENT OF CONTROL PARTY:</w:t>
      </w:r>
    </w:p>
    <w:p>
      <w:pPr>
        <w:spacing w:after="0" w:line="206" w:lineRule="exact"/>
        <w:rPr>
          <w:sz w:val="20"/>
          <w:szCs w:val="20"/>
          <w:color w:val="auto"/>
        </w:rPr>
      </w:pPr>
    </w:p>
    <w:p>
      <w:pPr>
        <w:ind w:right="4959"/>
        <w:spacing w:after="0" w:line="253" w:lineRule="auto"/>
        <w:rPr>
          <w:sz w:val="20"/>
          <w:szCs w:val="20"/>
          <w:color w:val="auto"/>
        </w:rPr>
      </w:pPr>
      <w:r>
        <w:rPr>
          <w:rFonts w:ascii="Times New Roman" w:cs="Times New Roman" w:eastAsia="Times New Roman" w:hAnsi="Times New Roman"/>
          <w:sz w:val="21"/>
          <w:szCs w:val="21"/>
          <w:color w:val="030303"/>
        </w:rPr>
        <w:t>In accordance with Section 2.4 of the Servicing Agreement, Midland Loan Services, a division of PNC Bank, National</w:t>
      </w:r>
    </w:p>
    <w:p>
      <w:pPr>
        <w:spacing w:after="0" w:line="1" w:lineRule="exact"/>
        <w:rPr>
          <w:sz w:val="20"/>
          <w:szCs w:val="20"/>
          <w:color w:val="auto"/>
        </w:rPr>
      </w:pPr>
    </w:p>
    <w:p>
      <w:pPr>
        <w:ind w:right="1619"/>
        <w:spacing w:after="0" w:line="237" w:lineRule="auto"/>
        <w:rPr>
          <w:sz w:val="20"/>
          <w:szCs w:val="20"/>
          <w:color w:val="auto"/>
        </w:rPr>
      </w:pPr>
      <w:r>
        <w:rPr>
          <w:rFonts w:ascii="Times New Roman" w:cs="Times New Roman" w:eastAsia="Times New Roman" w:hAnsi="Times New Roman"/>
          <w:sz w:val="22"/>
          <w:szCs w:val="22"/>
          <w:color w:val="030303"/>
        </w:rPr>
        <w:t>Association, as Control Party, hereby consents to the execution and delivery by the Co-Issuers and the Trustee of this Eighth Supplement to the Amended and Restated Base Indenture</w:t>
      </w:r>
      <w:r>
        <w:rPr>
          <w:rFonts w:ascii="Times New Roman" w:cs="Times New Roman" w:eastAsia="Times New Roman" w:hAnsi="Times New Roman"/>
          <w:sz w:val="22"/>
          <w:szCs w:val="22"/>
          <w:color w:val="000000"/>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MIDLAND LOAN SERVICES,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DIVISION OF PNC BANK, NATIONAL ASSOCIATION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Bornheimer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4478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color w:val="auto"/>
        </w:rPr>
        <w:t>Name: David Bornheimer</w:t>
      </w:r>
    </w:p>
    <w:p>
      <w:pP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[Signature Page to Eighth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10,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59"/>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10,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30"/>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8, 2024,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4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400" w:hanging="378"/>
        <w:spacing w:after="0" w:line="258"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10,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September 8, 2024,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40" w:hanging="378"/>
        <w:spacing w:after="0" w:line="258"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400" w:hanging="378"/>
        <w:spacing w:after="0" w:line="258"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10,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04"/>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2024-10-10T05:21:43Z</dcterms:created>
  <dcterms:modified xsi:type="dcterms:W3CDTF">2024-10-10T05:21:43Z</dcterms:modified>
</cp:coreProperties>
</file>