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780" w:right="1600" w:hanging="3772"/>
        <w:spacing w:after="0" w:line="412" w:lineRule="auto"/>
        <w:tabs>
          <w:tab w:leader="none" w:pos="4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24, 2024</w:t>
      </w:r>
    </w:p>
    <w:p>
      <w:pPr>
        <w:spacing w:after="0" w:line="28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8"/>
                <w:szCs w:val="18"/>
                <w:color w:val="auto"/>
              </w:rPr>
            </w:pPr>
          </w:p>
        </w:tc>
        <w:tc>
          <w:tcPr>
            <w:tcW w:w="232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960" w:type="dxa"/>
            <w:vAlign w:val="bottom"/>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20" w:type="dxa"/>
            <w:vAlign w:val="bottom"/>
          </w:tcPr>
          <w:p>
            <w:pPr>
              <w:jc w:val="center"/>
              <w:ind w:left="11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5"/>
                <w:szCs w:val="15"/>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41"/>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6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17"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72"/>
        </w:trPr>
        <w:tc>
          <w:tcPr>
            <w:tcW w:w="4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Domino’s Pizza, Inc. Common Stock, $0.01 par value</w:t>
            </w:r>
          </w:p>
        </w:tc>
        <w:tc>
          <w:tcPr>
            <w:tcW w:w="40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DPZ</w:t>
            </w:r>
          </w:p>
        </w:tc>
        <w:tc>
          <w:tcPr>
            <w:tcW w:w="3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03" w:lineRule="exact"/>
        <w:rPr>
          <w:sz w:val="24"/>
          <w:szCs w:val="24"/>
          <w:color w:val="auto"/>
        </w:rPr>
      </w:pPr>
    </w:p>
    <w:p>
      <w:pPr>
        <w:ind w:right="2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4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75" w:lineRule="exact"/>
        <w:rPr>
          <w:sz w:val="24"/>
          <w:szCs w:val="24"/>
          <w:color w:val="auto"/>
        </w:rPr>
      </w:pPr>
    </w:p>
    <w:p>
      <w:pPr>
        <w:jc w:val="both"/>
        <w:ind w:right="20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4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22, 2024, Domino’s Pizza, Inc. had 34,880,217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9"/>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12"/>
            <w:vMerge w:val="continue"/>
          </w:tcPr>
          <w:p>
            <w:pPr>
              <w:spacing w:after="0"/>
              <w:rPr>
                <w:sz w:val="14"/>
                <w:szCs w:val="14"/>
                <w:color w:val="auto"/>
              </w:rPr>
            </w:pPr>
          </w:p>
        </w:tc>
        <w:tc>
          <w:tcPr>
            <w:tcW w:w="7020" w:type="dxa"/>
            <w:vAlign w:val="bottom"/>
            <w:gridSpan w:val="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79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March 24,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ended March 24, 2024 and March 26,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2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 – Fiscal quarters ended March 24, 2024 and</w:t>
            </w:r>
          </w:p>
        </w:tc>
        <w:tc>
          <w:tcPr>
            <w:tcW w:w="40" w:type="dxa"/>
            <w:vAlign w:val="bottom"/>
            <w:tcBorders>
              <w:bottom w:val="single" w:sz="8" w:color="0000EE"/>
            </w:tcBorders>
          </w:tcPr>
          <w:p>
            <w:pPr>
              <w:spacing w:after="0"/>
              <w:rPr>
                <w:sz w:val="24"/>
                <w:szCs w:val="24"/>
                <w:color w:val="auto"/>
              </w:rPr>
            </w:pPr>
          </w:p>
        </w:tc>
        <w:tc>
          <w:tcPr>
            <w:tcW w:w="6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March 26, 2023</w:t>
            </w:r>
          </w:p>
        </w:tc>
        <w:tc>
          <w:tcPr>
            <w:tcW w:w="80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Fiscal quarters ended March 24, 2024 and March 26,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00" w:type="dxa"/>
            <w:vAlign w:val="bottom"/>
            <w:tcBorders>
              <w:top w:val="single" w:sz="8" w:color="0000EE"/>
            </w:tcBorders>
            <w:gridSpan w:val="5"/>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24"/>
                <w:szCs w:val="24"/>
                <w:color w:val="auto"/>
              </w:rPr>
            </w:pPr>
          </w:p>
        </w:tc>
        <w:tc>
          <w:tcPr>
            <w:tcW w:w="808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6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0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6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2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9280" w:type="dxa"/>
            <w:vAlign w:val="bottom"/>
            <w:gridSpan w:val="2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20" w:type="dxa"/>
            <w:vAlign w:val="bottom"/>
            <w:gridSpan w:val="15"/>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24, 2024</w:t>
            </w:r>
          </w:p>
        </w:tc>
        <w:tc>
          <w:tcPr>
            <w:tcW w:w="180" w:type="dxa"/>
            <w:vAlign w:val="bottom"/>
          </w:tcPr>
          <w:p>
            <w:pPr>
              <w:spacing w:after="0"/>
              <w:rPr>
                <w:sz w:val="16"/>
                <w:szCs w:val="16"/>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 (1)</w:t>
            </w: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203,894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285,609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282,809</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82,964</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106,335</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894,466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108,689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364,620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677,794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674,733</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(380,556 )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(370,368 )</w:t>
            </w: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297,238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212,251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207,323</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134,105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0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553,038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1,744,742</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104,246</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196,544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509,593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547,350</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4,934,062</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5,243,479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5,197,916</w:t>
            </w:r>
          </w:p>
        </w:tc>
        <w:tc>
          <w:tcPr>
            <w:tcW w:w="100" w:type="dxa"/>
            <w:vAlign w:val="bottom"/>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(4,004,877 )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(4,069,648 )</w:t>
            </w:r>
          </w:p>
        </w:tc>
      </w:tr>
      <w:tr>
        <w:trPr>
          <w:trHeight w:val="24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(4,992 )</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r>
      <w:tr>
        <w:trPr>
          <w:trHeight w:val="20"/>
        </w:trPr>
        <w:tc>
          <w:tcPr>
            <w:tcW w:w="7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(4,008,330 )</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(4,070,367 )</w:t>
            </w:r>
          </w:p>
        </w:tc>
      </w:tr>
      <w:tr>
        <w:trPr>
          <w:trHeight w:val="276"/>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1,744,742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1,674,899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-6325870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-6325870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-5065395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-3813810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-2236470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-1293495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ind w:right="220" w:firstLine="8"/>
        <w:spacing w:after="0" w:line="26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at December 31,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623"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First Quarter Ended</w:t>
            </w:r>
          </w:p>
        </w:tc>
      </w:tr>
      <w:tr>
        <w:trPr>
          <w:trHeight w:val="158"/>
        </w:trPr>
        <w:tc>
          <w:tcPr>
            <w:tcW w:w="7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760"/>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72"/>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92,649</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659,214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1,084,647</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586,319</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568,279</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662,777</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421,870</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385,547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101,024</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(18,699 )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(45,846 )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(46,547 )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149,607</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133,327</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-2862580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-2228215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-967740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-650875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840" w:type="dxa"/>
            <w:vAlign w:val="bottom"/>
          </w:tcPr>
          <w:p>
            <w:pPr>
              <w:spacing w:after="0"/>
              <w:rPr>
                <w:sz w:val="13"/>
                <w:szCs w:val="13"/>
                <w:color w:val="auto"/>
              </w:rPr>
            </w:pPr>
          </w:p>
        </w:tc>
        <w:tc>
          <w:tcPr>
            <w:tcW w:w="170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jc w:val="right"/>
              <w:ind w:right="817"/>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r>
      <w:tr>
        <w:trPr>
          <w:trHeight w:val="187"/>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7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(1,125 )</w:t>
            </w:r>
          </w:p>
        </w:tc>
        <w:tc>
          <w:tcPr>
            <w:tcW w:w="6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top w:val="single" w:sz="8" w:color="auto"/>
              <w:bottom w:val="single" w:sz="8" w:color="auto"/>
            </w:tcBorders>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124,699</w:t>
            </w:r>
          </w:p>
        </w:tc>
        <w:tc>
          <w:tcPr>
            <w:tcW w:w="4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5"/>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58"/>
        </w:trPr>
        <w:tc>
          <w:tcPr>
            <w:tcW w:w="78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52"/>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51"/>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Refranchising loss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deferred income taxes</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(3,757 )</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(3,439 )</w:t>
            </w: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deficiencies from equity-based compensation</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(8,104 )</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losses on accounts and notes receivable</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(9,961 )</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(31,925 )</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(22,331 )</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123,464</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(20,181 )</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(19,031 )</w:t>
            </w: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(1,305 )</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(21,486 )</w:t>
            </w: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(19,603 )</w:t>
            </w:r>
          </w:p>
        </w:tc>
        <w:tc>
          <w:tcPr>
            <w:tcW w:w="0" w:type="dxa"/>
            <w:vAlign w:val="bottom"/>
          </w:tcPr>
          <w:p>
            <w:pPr>
              <w:spacing w:after="0"/>
              <w:rPr>
                <w:sz w:val="1"/>
                <w:szCs w:val="1"/>
                <w:color w:val="auto"/>
              </w:rPr>
            </w:pPr>
          </w:p>
        </w:tc>
      </w:tr>
      <w:tr>
        <w:trPr>
          <w:trHeight w:val="237"/>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(13,525 )</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(13,899 )</w:t>
            </w: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(25,000 )</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(30,083 )</w:t>
            </w: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6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(6,700 )</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(1,553 )</w:t>
            </w: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(343 )</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(672 )</w:t>
            </w: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36"/>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66,512</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6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8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6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403,133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203,894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6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8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469,645</w:t>
            </w:r>
          </w:p>
        </w:tc>
        <w:tc>
          <w:tcPr>
            <w:tcW w:w="28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-4173855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-3539490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-2618105</wp:posOffset>
            </wp:positionV>
            <wp:extent cx="9398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-2618105</wp:posOffset>
            </wp:positionV>
            <wp:extent cx="9398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-2279650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-1070610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-1053465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-299720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percentages,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24,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31, 2023 included in the Company’s 2023 Annual Report on Form 10-K, filed with the Securities and Exchange Commission on February 26, 2024 (the “2023 Form 10-K”).</w:t>
      </w:r>
    </w:p>
    <w:p>
      <w:pPr>
        <w:spacing w:after="0" w:line="75" w:lineRule="exact"/>
        <w:rPr>
          <w:sz w:val="20"/>
          <w:szCs w:val="20"/>
          <w:color w:val="auto"/>
        </w:rPr>
      </w:pPr>
    </w:p>
    <w:p>
      <w:pPr>
        <w:jc w:val="both"/>
        <w:ind w:right="400" w:firstLine="255"/>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first quarter ended March 24, 2024 are not necessarily indicative of the results that may be expected for the fiscal year ending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The tables below summarize the financial information concerning the Company’s reportable segments for the first quarters of 2024 and 2023.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9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Fiscal Quarters Ended March 24, 2024 and March 26,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36"/>
              <w:spacing w:after="0" w:line="158" w:lineRule="exact"/>
              <w:rPr>
                <w:sz w:val="20"/>
                <w:szCs w:val="20"/>
                <w:color w:val="auto"/>
              </w:rPr>
            </w:pPr>
            <w:r>
              <w:rPr>
                <w:rFonts w:ascii="Times New Roman" w:cs="Times New Roman" w:eastAsia="Times New Roman" w:hAnsi="Times New Roman"/>
                <w:sz w:val="14"/>
                <w:szCs w:val="14"/>
                <w:b w:val="1"/>
                <w:bCs w:val="1"/>
                <w:color w:val="auto"/>
              </w:rPr>
              <w:t>Supply</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6"/>
              <w:spacing w:after="0" w:line="158"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120" w:type="dxa"/>
            <w:vAlign w:val="bottom"/>
            <w:shd w:val="clear" w:color="auto" w:fill="CFF0FC"/>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Revenues</w:t>
            </w: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12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353,467</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(27,428 )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1,084,647</w:t>
            </w: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5"/>
              </w:rPr>
              <w:t>330,501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650,124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(25,898 )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1,024,398</w:t>
            </w:r>
          </w:p>
        </w:tc>
        <w:tc>
          <w:tcPr>
            <w:tcW w:w="100" w:type="dxa"/>
            <w:vAlign w:val="bottom"/>
            <w:shd w:val="clear" w:color="auto" w:fill="CFF0FC"/>
          </w:tcPr>
          <w:p>
            <w:pPr>
              <w:spacing w:after="0"/>
              <w:rPr>
                <w:sz w:val="21"/>
                <w:szCs w:val="2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20" w:type="dxa"/>
            <w:vAlign w:val="bottom"/>
            <w:shd w:val="clear" w:color="auto" w:fill="CFF0FC"/>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5"/>
              </w:rPr>
              <w:t>136,108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(18,173 )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241,843</w:t>
            </w:r>
          </w:p>
        </w:tc>
        <w:tc>
          <w:tcPr>
            <w:tcW w:w="100" w:type="dxa"/>
            <w:vAlign w:val="bottom"/>
            <w:shd w:val="clear" w:color="auto" w:fill="CFF0FC"/>
          </w:tcPr>
          <w:p>
            <w:pPr>
              <w:spacing w:after="0"/>
              <w:rPr>
                <w:sz w:val="21"/>
                <w:szCs w:val="21"/>
                <w:color w:val="auto"/>
              </w:rPr>
            </w:pPr>
          </w:p>
        </w:tc>
      </w:tr>
      <w:tr>
        <w:trPr>
          <w:trHeight w:val="234"/>
        </w:trPr>
        <w:tc>
          <w:tcPr>
            <w:tcW w:w="412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112,683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(15,722 )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203,615</w:t>
            </w:r>
          </w:p>
        </w:tc>
        <w:tc>
          <w:tcPr>
            <w:tcW w:w="100" w:type="dxa"/>
            <w:vAlign w:val="bottom"/>
          </w:tcPr>
          <w:p>
            <w:pPr>
              <w:spacing w:after="0"/>
              <w:rPr>
                <w:sz w:val="20"/>
                <w:szCs w:val="20"/>
                <w:color w:val="auto"/>
              </w:rPr>
            </w:pPr>
          </w:p>
        </w:tc>
      </w:tr>
    </w:tbl>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760"/>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241,843</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(19,869 )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(18,170 )</w:t>
            </w: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(11,338 )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(7,538 )</w:t>
            </w:r>
          </w:p>
        </w:tc>
        <w:tc>
          <w:tcPr>
            <w:tcW w:w="0" w:type="dxa"/>
            <w:vAlign w:val="bottom"/>
          </w:tcPr>
          <w:p>
            <w:pPr>
              <w:spacing w:after="0"/>
              <w:rPr>
                <w:sz w:val="1"/>
                <w:szCs w:val="1"/>
                <w:color w:val="auto"/>
              </w:rPr>
            </w:pPr>
          </w:p>
        </w:tc>
      </w:tr>
      <w:tr>
        <w:trPr>
          <w:trHeight w:val="23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210,413</w:t>
            </w: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(18,699 )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(45,846 )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(46,547 )</w:t>
            </w:r>
          </w:p>
        </w:tc>
        <w:tc>
          <w:tcPr>
            <w:tcW w:w="0" w:type="dxa"/>
            <w:vAlign w:val="bottom"/>
          </w:tcPr>
          <w:p>
            <w:pPr>
              <w:spacing w:after="0"/>
              <w:rPr>
                <w:sz w:val="1"/>
                <w:szCs w:val="1"/>
                <w:color w:val="auto"/>
              </w:rPr>
            </w:pPr>
          </w:p>
        </w:tc>
      </w:tr>
      <w:tr>
        <w:trPr>
          <w:trHeight w:val="234"/>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149,607</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-959485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jc w:val="right"/>
              <w:ind w:right="497"/>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ind w:right="495"/>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r>
      <w:tr>
        <w:trPr>
          <w:trHeight w:val="187"/>
        </w:trPr>
        <w:tc>
          <w:tcPr>
            <w:tcW w:w="7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72"/>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shd w:val="clear" w:color="auto" w:fill="CFF0FC"/>
          </w:tcPr>
          <w:p>
            <w:pPr>
              <w:spacing w:after="0"/>
              <w:rPr>
                <w:sz w:val="23"/>
                <w:szCs w:val="23"/>
                <w:color w:val="auto"/>
              </w:rPr>
            </w:pPr>
          </w:p>
        </w:tc>
      </w:tr>
      <w:tr>
        <w:trPr>
          <w:trHeight w:val="224"/>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w:t>
            </w:r>
          </w:p>
        </w:tc>
        <w:tc>
          <w:tcPr>
            <w:tcW w:w="3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34,800,310</w:t>
            </w:r>
          </w:p>
        </w:tc>
        <w:tc>
          <w:tcPr>
            <w:tcW w:w="26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35,391,624</w:t>
            </w:r>
          </w:p>
        </w:tc>
        <w:tc>
          <w:tcPr>
            <w:tcW w:w="100" w:type="dxa"/>
            <w:vAlign w:val="bottom"/>
            <w:tcBorders>
              <w:top w:val="single" w:sz="8" w:color="CFF0FC"/>
            </w:tcBorders>
          </w:tcPr>
          <w:p>
            <w:pPr>
              <w:spacing w:after="0"/>
              <w:rPr>
                <w:sz w:val="19"/>
                <w:szCs w:val="19"/>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35,154,232</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35,708,938</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-642620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-624840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first quarters ended March 24, 2024 and March 26, 2023 do not include the following because the effect of including these shares would be anti-dilutive or because the performance targets for these awards had not yet been met:</w:t>
      </w:r>
    </w:p>
    <w:p>
      <w:pPr>
        <w:spacing w:after="0" w:line="10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Fiscal Quarter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515"/>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51,587</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4. Stockholders’ Deficit</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34,726,182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(4,069,648 )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($1.51 per share)</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(52,954 )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(15,213 )</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(6,700 )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(56,372 )</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(17,021 )</w:t>
            </w:r>
          </w:p>
        </w:tc>
        <w:tc>
          <w:tcPr>
            <w:tcW w:w="180" w:type="dxa"/>
            <w:vAlign w:val="bottom"/>
          </w:tcPr>
          <w:p>
            <w:pPr>
              <w:spacing w:after="0"/>
              <w:rPr>
                <w:sz w:val="20"/>
                <w:szCs w:val="20"/>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(8,099 )</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(1,125 )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24,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34,801,757</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(4,004,877 )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(4,992 )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-187960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first quarter of 2024, on April 25, 2024, the Company’s Board of Directors declared a $1.51 per share quarterly dividend on its outstanding common stock for shareholders of record as of June 14, 2024 to be paid on June 28, 2024.</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35,419,718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(4,194,418 )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(4,694 )</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($1.21 per share)</w:t>
            </w: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(43,005 )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(5,073 )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(1,553 )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(100,515 )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(14,547 )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(15,802 )</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26,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35,330,133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(4,148,455 )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(5,145 )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2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-959485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-959485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-959485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298"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5. Leverage Ratio</w:t>
      </w:r>
    </w:p>
    <w:p>
      <w:pPr>
        <w:spacing w:after="0" w:line="11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accordance with the Company’s debt agreements, the payment of principal on the outstanding senior notes may be suspended if the Holdco Leverage Ratio is less than or equal to 5.0x total debt to adjusted EBITDA, as defined in the related agreements, and no catch-up provisions are applicable. As of the end of the first quarter of 2024, the Company had a Holdco Leverage Ratio of less than 5.0x, and accordingly, did not make the previously scheduled debt amortization payment for its outstanding notes beginning in the second quarter of 2024. Accordingly, all principal amounts of the Company’s outstanding notes have been classified as long-term debt in the condensed consolidated balance sheet as of March 24,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Fair Value Measurements</w:t>
      </w:r>
    </w:p>
    <w:p>
      <w:pPr>
        <w:spacing w:after="0" w:line="11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 accounts for its investment in DPC Dash as a trading security and records it at fair value at the end of each reporting period, with gains and losses recorded in other income or expense in its condensed consolidated statements of income. As of March 24, 2024, the fair value of the Company’s investment in 18,101,019 DPC Dash ordinary shares is based on the active exchange quoted price for the equity security of HK$53.95 per share (HK: 1405). The Company recorded a negative adjustment to the carrying amount of its investment in DPC Dash of $18.7 million in the first quarter of 2024, with the loss recorded in other expense in its condensed consolidated statements of income. The Company did not record any adjustments to the carrying amount of its investment in the first quarter of 2023.</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March 24, 2024 and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At March 24, 2024</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40" w:type="dxa"/>
            <w:vAlign w:val="bottom"/>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147,754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147,754</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124,854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124,854</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40" w:type="dxa"/>
            <w:vAlign w:val="bottom"/>
          </w:tcPr>
          <w:p>
            <w:pPr>
              <w:jc w:val="center"/>
              <w:ind w:left="248"/>
              <w:spacing w:after="0" w:line="158"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143,553</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24, 2024</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742,000</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727,632</w:t>
            </w:r>
          </w:p>
        </w:tc>
        <w:tc>
          <w:tcPr>
            <w:tcW w:w="100" w:type="dxa"/>
            <w:vAlign w:val="bottom"/>
            <w:shd w:val="clear" w:color="auto" w:fill="CFF0FC"/>
          </w:tcPr>
          <w:p>
            <w:pPr>
              <w:spacing w:after="0"/>
              <w:rPr>
                <w:sz w:val="20"/>
                <w:szCs w:val="20"/>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895,375</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402,688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392,041</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365,180</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594,216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649,688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591,865</w:t>
            </w:r>
          </w:p>
        </w:tc>
        <w:tc>
          <w:tcPr>
            <w:tcW w:w="100" w:type="dxa"/>
            <w:vAlign w:val="bottom"/>
            <w:shd w:val="clear" w:color="auto" w:fill="CFF0FC"/>
          </w:tcPr>
          <w:p>
            <w:pPr>
              <w:spacing w:after="0"/>
              <w:rPr>
                <w:sz w:val="21"/>
                <w:szCs w:val="21"/>
                <w:color w:val="auto"/>
              </w:rPr>
            </w:pPr>
          </w:p>
        </w:tc>
      </w:tr>
      <w:tr>
        <w:trPr>
          <w:trHeight w:val="23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730,958</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844,130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830,700</w:t>
            </w:r>
          </w:p>
        </w:tc>
        <w:tc>
          <w:tcPr>
            <w:tcW w:w="100" w:type="dxa"/>
            <w:vAlign w:val="bottom"/>
            <w:shd w:val="clear" w:color="auto" w:fill="CFF0FC"/>
          </w:tcPr>
          <w:p>
            <w:pPr>
              <w:spacing w:after="0"/>
              <w:rPr>
                <w:sz w:val="21"/>
                <w:szCs w:val="21"/>
                <w:color w:val="auto"/>
              </w:rPr>
            </w:pPr>
          </w:p>
        </w:tc>
      </w:tr>
    </w:tbl>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March 24, 2024 or December 31, 2023.</w:t>
      </w:r>
    </w:p>
    <w:p>
      <w:pPr>
        <w:spacing w:after="0" w:line="225" w:lineRule="exact"/>
        <w:rPr>
          <w:sz w:val="20"/>
          <w:szCs w:val="20"/>
          <w:color w:val="auto"/>
        </w:rPr>
      </w:pPr>
    </w:p>
    <w:p>
      <w:pPr>
        <w:jc w:val="right"/>
        <w:ind w:left="300" w:right="9540" w:hanging="292"/>
        <w:spacing w:after="0" w:line="414" w:lineRule="auto"/>
        <w:tabs>
          <w:tab w:leader="none" w:pos="1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left="300" w:right="100" w:firstLine="282"/>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$5.3 million were included in current other accrued liabilities as of both March 24, 2024 and December 31, 2023. Deferred franchise fees and deferred development fees of $19.8 million and $19.9 million were included in long-term other accrued liabilities as of March 24, 2024 and December 31, 2023, respectively.</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first quarters of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58"/>
        </w:trPr>
        <w:tc>
          <w:tcPr>
            <w:tcW w:w="7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740"/>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r>
      <w:tr>
        <w:trPr>
          <w:trHeight w:val="187"/>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(1,364 )</w:t>
            </w:r>
          </w:p>
        </w:tc>
        <w:tc>
          <w:tcPr>
            <w:tcW w:w="2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(1,448 )</w:t>
            </w:r>
          </w:p>
        </w:tc>
      </w:tr>
      <w:tr>
        <w:trPr>
          <w:trHeight w:val="24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ind w:left="300" w:right="100" w:firstLine="287"/>
        <w:spacing w:after="0" w:line="266" w:lineRule="auto"/>
        <w:rPr>
          <w:sz w:val="20"/>
          <w:szCs w:val="20"/>
          <w:color w:val="auto"/>
        </w:rPr>
      </w:pPr>
      <w:r>
        <w:rPr>
          <w:rFonts w:ascii="Times New Roman" w:cs="Times New Roman" w:eastAsia="Times New Roman" w:hAnsi="Times New Roman"/>
          <w:sz w:val="18"/>
          <w:szCs w:val="18"/>
          <w:color w:val="auto"/>
        </w:rPr>
        <w:t>As of March 24, 2024, advertising fund assets, restricted of $77.0 million consisted of $56.0 million of cash and cash equivalents, $12.9 million of accounts receivable and $8.1 million of prepaid expenses. As of March 24, 2024, advertising fund cash and cash equivalents included $1.8 million of cash contributed from U.S. Company-owned stores that had not yet been expended.</w:t>
      </w:r>
    </w:p>
    <w:p>
      <w:pPr>
        <w:spacing w:after="0" w:line="81" w:lineRule="exact"/>
        <w:rPr>
          <w:sz w:val="20"/>
          <w:szCs w:val="20"/>
          <w:color w:val="auto"/>
        </w:rPr>
      </w:pPr>
    </w:p>
    <w:p>
      <w:pPr>
        <w:ind w:left="300" w:right="300" w:firstLine="284"/>
        <w:spacing w:after="0" w:line="266" w:lineRule="auto"/>
        <w:rPr>
          <w:sz w:val="20"/>
          <w:szCs w:val="20"/>
          <w:color w:val="auto"/>
        </w:rPr>
      </w:pPr>
      <w:r>
        <w:rPr>
          <w:rFonts w:ascii="Times New Roman" w:cs="Times New Roman" w:eastAsia="Times New Roman" w:hAnsi="Times New Roman"/>
          <w:sz w:val="18"/>
          <w:szCs w:val="18"/>
          <w:color w:val="auto"/>
        </w:rPr>
        <w:t>As of December 31, 2023, advertising fund assets, restricted of $106.3 million consisted of $88.2 million of cash and cash equivalents, $14.0 million of accounts receivable and $4.1 million of prepaid expenses. As of December 31, 2023, advertising fund cash and cash equivalents included $2.1 million of cash contributed from U.S. Company-owned stores that had not yet been expended.</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Change in Advertising Fund Contributions and Technology Fees</w:t>
      </w:r>
    </w:p>
    <w:p>
      <w:pPr>
        <w:spacing w:after="0" w:line="117" w:lineRule="exact"/>
        <w:rPr>
          <w:sz w:val="20"/>
          <w:szCs w:val="20"/>
          <w:color w:val="auto"/>
        </w:rPr>
      </w:pPr>
    </w:p>
    <w:p>
      <w:pPr>
        <w:jc w:val="both"/>
        <w:ind w:left="300" w:right="120" w:firstLine="284"/>
        <w:spacing w:after="0" w:line="266" w:lineRule="auto"/>
        <w:rPr>
          <w:sz w:val="20"/>
          <w:szCs w:val="20"/>
          <w:color w:val="auto"/>
        </w:rPr>
      </w:pPr>
      <w:r>
        <w:rPr>
          <w:rFonts w:ascii="Times New Roman" w:cs="Times New Roman" w:eastAsia="Times New Roman" w:hAnsi="Times New Roman"/>
          <w:sz w:val="18"/>
          <w:szCs w:val="18"/>
          <w:color w:val="auto"/>
        </w:rPr>
        <w:t>As previously announced, as of March 27, 2023, Domino's National Advertising Fund Inc., the Company’s consolidated not-for-profit advertising subsidiary, effectuated a temporary reduction of 0.25% to its standard 6.0% advertising contribution rate, which expired at the beginning of the second quarter of 2024, on March 25, 2024.</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Additionally, as of March 25, 2025, the Company decreased the U.S. digital per-transaction technology fees that are recognized as the related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franchise retail sales occur by $0.04 to $0.355.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2045. Rent expense totaled $21.2 million and $19.3 million in the first quarter of 2024 and the first quarter of 2023,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$1.7 million and $1.4 million in the first quarter of 2024 and the first quarter of 2023, respectively. Variable rent expense and rent expense for other short-term leases were immaterial in both the first quarter of 2024 and 2023.</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the first quarters of 2024 and 2023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560" w:type="dxa"/>
            <w:vAlign w:val="bottom"/>
          </w:tcPr>
          <w:p>
            <w:pPr>
              <w:spacing w:after="0"/>
              <w:rPr>
                <w:sz w:val="13"/>
                <w:szCs w:val="13"/>
                <w:color w:val="auto"/>
              </w:rPr>
            </w:pPr>
          </w:p>
        </w:tc>
        <w:tc>
          <w:tcPr>
            <w:tcW w:w="15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4"/>
                <w:szCs w:val="14"/>
                <w:b w:val="1"/>
                <w:bCs w:val="1"/>
                <w:color w:val="auto"/>
              </w:rPr>
              <w:t>March 24,</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jc w:val="right"/>
              <w:ind w:right="676"/>
              <w:spacing w:after="0" w:line="158"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3"/>
                <w:szCs w:val="13"/>
                <w:color w:val="auto"/>
              </w:rPr>
            </w:pPr>
          </w:p>
        </w:tc>
      </w:tr>
      <w:tr>
        <w:trPr>
          <w:trHeight w:val="187"/>
        </w:trPr>
        <w:tc>
          <w:tcPr>
            <w:tcW w:w="6560" w:type="dxa"/>
            <w:vAlign w:val="bottom"/>
          </w:tcPr>
          <w:p>
            <w:pPr>
              <w:spacing w:after="0"/>
              <w:rPr>
                <w:sz w:val="16"/>
                <w:szCs w:val="16"/>
                <w:color w:val="auto"/>
              </w:rPr>
            </w:pPr>
          </w:p>
        </w:tc>
        <w:tc>
          <w:tcPr>
            <w:tcW w:w="1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520" w:type="dxa"/>
            <w:vAlign w:val="bottom"/>
            <w:shd w:val="clear" w:color="auto" w:fill="CFF0FC"/>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92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520" w:type="dxa"/>
            <w:vAlign w:val="bottom"/>
            <w:tcBorders>
              <w:bottom w:val="single" w:sz="8" w:color="auto"/>
            </w:tcBorders>
            <w:shd w:val="clear" w:color="auto" w:fill="CFF0FC"/>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first quarters of 2024 and 2023 were as follows:</w:t>
      </w:r>
    </w:p>
    <w:p>
      <w:pPr>
        <w:spacing w:after="0" w:line="124"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16510</wp:posOffset>
            </wp:positionV>
            <wp:extent cx="21774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16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March 24,</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226"/>
        </w:trPr>
        <w:tc>
          <w:tcPr>
            <w:tcW w:w="7700" w:type="dxa"/>
            <w:vAlign w:val="bottom"/>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60" w:type="dxa"/>
            <w:vAlign w:val="bottom"/>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10,340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1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1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11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16,706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As of March 24, 2024, the Company had additional leases for certain supply chain real estate and certain supply chain vehicles that had not yet commenced with estimated future minimum rental commitments of $155.3 million. These leases are expected to commence in 2024 and 2025 with lease terms of up to 20 years. These undiscounted amounts will be included in the Company’s condensed consolidated balance sheet at the respective commencement dates.</w:t>
      </w:r>
    </w:p>
    <w:p>
      <w:pPr>
        <w:spacing w:after="0" w:line="72" w:lineRule="exact"/>
        <w:rPr>
          <w:sz w:val="20"/>
          <w:szCs w:val="20"/>
          <w:color w:val="auto"/>
        </w:rPr>
      </w:pPr>
    </w:p>
    <w:p>
      <w:pPr>
        <w:jc w:val="both"/>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$17.0 million and $18.5 million as of March 24, 2024 and December 31, 2023, respectively. The Company does not believe these arrangements have or are likely to have a material effect on its results of operations, financial condition, revenues, expenses or liquidity.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jc w:val="both"/>
        <w:ind w:right="560" w:firstLine="255"/>
        <w:spacing w:after="0" w:line="266"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$6.1 million at March 24, 2024 and $6.7 million at December 31, 2023. The Company also had $2.7 million and $2.6 million in non-cash financing activity related to accruals for excise taxes on share repurchases as of March 24, 2024 and December 31,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Company-owned Store Transactions</w:t>
      </w:r>
    </w:p>
    <w:p>
      <w:pPr>
        <w:spacing w:after="0" w:line="131"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81"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11. New Accounting Pronouncements</w:t>
      </w:r>
    </w:p>
    <w:p>
      <w:pPr>
        <w:spacing w:after="0" w:line="117"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Standards Update (“ASU”) 2020-04, Segment Reporting (Topic 280): Improvements to Reportable Segment Disclosures</w:t>
      </w:r>
    </w:p>
    <w:p>
      <w:pPr>
        <w:spacing w:after="0" w:line="131" w:lineRule="exact"/>
        <w:rPr>
          <w:sz w:val="20"/>
          <w:szCs w:val="20"/>
          <w:color w:val="auto"/>
        </w:rPr>
      </w:pPr>
    </w:p>
    <w:p>
      <w:pPr>
        <w:ind w:left="520" w:firstLine="25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disclosure on an annual and interim basis, of significant segment expenses that are regularly provided to the chief operating decision maker and included within the reported measure of segment profit or loss. In addition, the ASU requires disclosure of other segment expenses by reportable segment and a description of their composition to permit the reconciliation between segment revenue, significant segment expenses and the reported segment measure of profit or loss. The ASU also requires disclosure of the name and title of the chief operating decision maker.</w:t>
      </w:r>
    </w:p>
    <w:p>
      <w:pPr>
        <w:spacing w:after="0" w:line="77" w:lineRule="exact"/>
        <w:rPr>
          <w:sz w:val="20"/>
          <w:szCs w:val="20"/>
          <w:color w:val="auto"/>
        </w:rPr>
      </w:pPr>
    </w:p>
    <w:p>
      <w:pPr>
        <w:jc w:val="both"/>
        <w:ind w:left="520" w:right="140" w:firstLine="254"/>
        <w:spacing w:after="0" w:line="266" w:lineRule="auto"/>
        <w:rPr>
          <w:sz w:val="20"/>
          <w:szCs w:val="20"/>
          <w:color w:val="auto"/>
        </w:rPr>
      </w:pPr>
      <w:r>
        <w:rPr>
          <w:rFonts w:ascii="Times New Roman" w:cs="Times New Roman" w:eastAsia="Times New Roman" w:hAnsi="Times New Roman"/>
          <w:sz w:val="18"/>
          <w:szCs w:val="18"/>
          <w:color w:val="auto"/>
        </w:rPr>
        <w:t>ASU 2023-07 is effective for fiscal years beginning after December 15, 2023, and interim periods within fiscal years beginning after December 15, 2024, and early adoption is permitted. The Company is currently evaluating the impact of this accounting standard on its consolidated financial statements.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31" w:lineRule="exact"/>
        <w:rPr>
          <w:sz w:val="20"/>
          <w:szCs w:val="20"/>
          <w:color w:val="auto"/>
        </w:rPr>
      </w:pPr>
    </w:p>
    <w:p>
      <w:pPr>
        <w:ind w:left="520" w:firstLine="25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which requires disclosure on an annual basis, a tabular reconciliation, including both amount and percentage of specific categories of the effective tax rate reconciliation, including state and local income taxes (net of Federal taxes), foreign taxes, effects of changes in tax laws and regulations, effects of cross-border tax laws, tax credits, changes in valuation allowances, nontaxable and nondeductible items and changes in unrecognized tax benefits. Additional disclosures are required for certain items exceeding five percent of income from continuing operations multiplied by the statutory income tax rate. The standard also requires disclosure of income taxes paid between Federal, state and foreign jurisdictions, including further disaggregation of those payments exceeding five percent of the total income taxes paid.</w:t>
      </w:r>
    </w:p>
    <w:p>
      <w:pPr>
        <w:spacing w:after="0" w:line="77" w:lineRule="exact"/>
        <w:rPr>
          <w:sz w:val="20"/>
          <w:szCs w:val="20"/>
          <w:color w:val="auto"/>
        </w:rPr>
      </w:pPr>
    </w:p>
    <w:p>
      <w:pPr>
        <w:ind w:left="520" w:right="620" w:firstLine="254"/>
        <w:spacing w:after="0" w:line="282" w:lineRule="auto"/>
        <w:rPr>
          <w:sz w:val="20"/>
          <w:szCs w:val="20"/>
          <w:color w:val="auto"/>
        </w:rPr>
      </w:pPr>
      <w:r>
        <w:rPr>
          <w:rFonts w:ascii="Times New Roman" w:cs="Times New Roman" w:eastAsia="Times New Roman" w:hAnsi="Times New Roman"/>
          <w:sz w:val="18"/>
          <w:szCs w:val="18"/>
          <w:color w:val="auto"/>
        </w:rPr>
        <w:t>ASU 2023-09 is effective for fiscal years beginning after December 15, 2024, and early adoption is permitted. The Company is currently evaluating the impact of this accounting standard on its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9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2024 and 2023 first quarters referenced herein represent the twelve-week periods ended March 24, 2024 and March 26, 2023, respectively. In this section, we discuss the results of our operations for the first quarter of 2024 as compared to the first quarter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firstLine="281"/>
        <w:spacing w:after="0" w:line="274" w:lineRule="auto"/>
        <w:rPr>
          <w:sz w:val="20"/>
          <w:szCs w:val="20"/>
          <w:color w:val="auto"/>
        </w:rPr>
      </w:pPr>
      <w:r>
        <w:rPr>
          <w:rFonts w:ascii="Times New Roman" w:cs="Times New Roman" w:eastAsia="Times New Roman" w:hAnsi="Times New Roman"/>
          <w:sz w:val="17"/>
          <w:szCs w:val="17"/>
          <w:color w:val="auto"/>
        </w:rPr>
        <w:t>Domino’s is the largest pizza company in the world, with more than 20,700 locations in over 90 markets around the world as of March 24, 2024,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Over more than 60 years, we have built Domino’s into one of the most widely-recognized consumer brands in the world. We believe our commitment to value, convenience, quality and new products continues to keep consumers engaged with the brand.</w:t>
      </w:r>
    </w:p>
    <w:p>
      <w:pPr>
        <w:spacing w:after="0" w:line="78" w:lineRule="exact"/>
        <w:rPr>
          <w:sz w:val="20"/>
          <w:szCs w:val="20"/>
          <w:color w:val="auto"/>
        </w:rPr>
      </w:pPr>
    </w:p>
    <w:p>
      <w:pPr>
        <w:jc w:val="both"/>
        <w:ind w:right="10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March 24, 2024.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60" w:firstLine="281"/>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1" w:lineRule="exact"/>
        <w:rPr>
          <w:sz w:val="20"/>
          <w:szCs w:val="20"/>
          <w:color w:val="auto"/>
        </w:rPr>
      </w:pPr>
    </w:p>
    <w:p>
      <w:pPr>
        <w:ind w:right="100" w:firstLine="281"/>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107" w:lineRule="exact"/>
        <w:rPr>
          <w:sz w:val="20"/>
          <w:szCs w:val="20"/>
          <w:color w:val="auto"/>
        </w:rPr>
      </w:pPr>
    </w:p>
    <w:p>
      <w:pPr>
        <w:ind w:right="14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our Company-owned stores. It can also yield significant cash flows to us, through a consistent franchise royalty payment and supply chain revenue stream, through an asset-light model. We have historically returned cash to shareholders through dividend payments and share repurchases. Domino’s financial results are driven largely by retail sales at our franchised and Company-owned stores. Changes in retail sales are primarily driven by same store sales growth and net store growth. We monitor both of these metrics very closely,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2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In 2023, we announced our Hungry for MORE strategy aimed at generating MORE sales, MORE stores and MORE profits. The strategic imperatives of our Hungry for MORE strategy are as follows:</w:t>
      </w:r>
    </w:p>
    <w:p>
      <w:pPr>
        <w:spacing w:after="0" w:line="79" w:lineRule="exact"/>
        <w:rPr>
          <w:sz w:val="20"/>
          <w:szCs w:val="20"/>
          <w:color w:val="auto"/>
        </w:rPr>
      </w:pPr>
    </w:p>
    <w:p>
      <w:pPr>
        <w:ind w:left="26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both our and our franchisees’ customers.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w:t>
      </w:r>
    </w:p>
    <w:p>
      <w:pPr>
        <w:spacing w:after="0" w:line="131"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First Quarter of 2024 Highlights</w:t>
      </w:r>
    </w:p>
    <w:p>
      <w:pPr>
        <w:spacing w:after="0" w:line="229" w:lineRule="exact"/>
        <w:rPr>
          <w:sz w:val="20"/>
          <w:szCs w:val="20"/>
          <w:color w:val="auto"/>
        </w:rPr>
      </w:pPr>
    </w:p>
    <w:p>
      <w:pPr>
        <w:ind w:left="760" w:right="180" w:hanging="378"/>
        <w:spacing w:after="0" w:line="25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7.3% as compared to the first quarter of 2023. U.S. retail sales increased 7.8% and international retail sales, excluding foreign currency impact, increased 6.8% as compared to the first quarter of 2023. Same store sales increased 5.6% in our U.S. stores and increased 0.9%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164.</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18.6%.</w:t>
      </w:r>
    </w:p>
    <w:p>
      <w:pPr>
        <w:spacing w:after="0" w:line="207"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the first quarter of 2024, driven by same store sales growth and net store growth in both our U.S. and international businesses. These factors also contributed to an increase in income from operations. Overall, we believe our global retail sales growth (excluding foreign currency impact), emphasis on technology, operations and marketing initiatives, have combined to strengthen our brand. These financial and statistical measures are described in additional detail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22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the Company’s profitability. Retail sales for franchised stores are reported to us by our franchisees and are not included in our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retail sales:</w:t>
            </w:r>
          </w:p>
        </w:tc>
        <w:tc>
          <w:tcPr>
            <w:tcW w:w="2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100" w:type="dxa"/>
            <w:vAlign w:val="bottom"/>
          </w:tcPr>
          <w:p>
            <w:pPr>
              <w:spacing w:after="0"/>
              <w:rPr>
                <w:sz w:val="20"/>
                <w:szCs w:val="20"/>
                <w:color w:val="auto"/>
              </w:rPr>
            </w:pPr>
          </w:p>
        </w:tc>
      </w:tr>
      <w:tr>
        <w:trPr>
          <w:trHeight w:val="24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stores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-156845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29" w:lineRule="exact"/>
        <w:rPr>
          <w:sz w:val="20"/>
          <w:szCs w:val="20"/>
          <w:color w:val="auto"/>
        </w:rPr>
      </w:pPr>
    </w:p>
    <w:p>
      <w:pPr>
        <w:jc w:val="both"/>
        <w:ind w:right="28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7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6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7480" w:type="dxa"/>
            <w:vAlign w:val="bottom"/>
          </w:tcPr>
          <w:p>
            <w:pPr>
              <w:spacing w:after="0"/>
              <w:rPr>
                <w:sz w:val="16"/>
                <w:szCs w:val="16"/>
                <w:color w:val="auto"/>
              </w:rPr>
            </w:pPr>
          </w:p>
        </w:tc>
        <w:tc>
          <w:tcPr>
            <w:tcW w:w="17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+ 7.8%</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r>
      <w:tr>
        <w:trPr>
          <w:trHeight w:val="243"/>
        </w:trPr>
        <w:tc>
          <w:tcPr>
            <w:tcW w:w="74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International stores (excluding foreign currency impact) </w:t>
            </w:r>
            <w:r>
              <w:rPr>
                <w:rFonts w:ascii="Times New Roman" w:cs="Times New Roman" w:eastAsia="Times New Roman" w:hAnsi="Times New Roman"/>
                <w:sz w:val="24"/>
                <w:szCs w:val="24"/>
                <w:color w:val="auto"/>
                <w:vertAlign w:val="superscript"/>
              </w:rPr>
              <w:t>(1)</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+ 6.8%</w:t>
            </w:r>
          </w:p>
        </w:tc>
        <w:tc>
          <w:tcPr>
            <w:tcW w:w="10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w:t>
            </w:r>
          </w:p>
        </w:tc>
      </w:tr>
      <w:tr>
        <w:trPr>
          <w:trHeight w:val="236"/>
        </w:trPr>
        <w:tc>
          <w:tcPr>
            <w:tcW w:w="74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Total (excluding foreign currency impact) </w:t>
            </w:r>
            <w:r>
              <w:rPr>
                <w:rFonts w:ascii="Times New Roman" w:cs="Times New Roman" w:eastAsia="Times New Roman" w:hAnsi="Times New Roman"/>
                <w:sz w:val="24"/>
                <w:szCs w:val="24"/>
                <w:color w:val="auto"/>
                <w:vertAlign w:val="superscript"/>
              </w:rPr>
              <w:t>(2)</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+ 5.9%</w:t>
            </w:r>
          </w:p>
        </w:tc>
      </w:tr>
    </w:tbl>
    <w:p>
      <w:pPr>
        <w:spacing w:after="0" w:line="112" w:lineRule="exact"/>
        <w:rPr>
          <w:sz w:val="20"/>
          <w:szCs w:val="20"/>
          <w:color w:val="auto"/>
        </w:rPr>
      </w:pPr>
    </w:p>
    <w:p>
      <w:pPr>
        <w:ind w:left="480" w:right="140" w:hanging="459"/>
        <w:spacing w:after="0" w:line="261"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first quarter figure excludes the impact of the Russia market. Including the impact of the Russia market, international stores retail sales growth, excluding foreign currency impact, was 6.1%.</w:t>
      </w:r>
    </w:p>
    <w:p>
      <w:pPr>
        <w:spacing w:after="0" w:line="68" w:lineRule="exact"/>
        <w:rPr>
          <w:rFonts w:ascii="Times New Roman" w:cs="Times New Roman" w:eastAsia="Times New Roman" w:hAnsi="Times New Roman"/>
          <w:sz w:val="14"/>
          <w:szCs w:val="14"/>
          <w:color w:val="auto"/>
        </w:rPr>
      </w:pPr>
    </w:p>
    <w:p>
      <w:pPr>
        <w:ind w:left="480" w:right="320" w:hanging="459"/>
        <w:spacing w:after="0" w:line="261"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first quarter figure excludes the impact of the Russia market. Including the impact of the Russia market, total global retail sales growth, excluding foreign currency impact, was 7.0%.</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 w:type="dxa"/>
            <w:vAlign w:val="bottom"/>
          </w:tcPr>
          <w:p>
            <w:pPr>
              <w:spacing w:after="0"/>
              <w:rPr>
                <w:sz w:val="13"/>
                <w:szCs w:val="13"/>
                <w:color w:val="auto"/>
              </w:rPr>
            </w:pPr>
          </w:p>
        </w:tc>
        <w:tc>
          <w:tcPr>
            <w:tcW w:w="16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7620" w:type="dxa"/>
            <w:vAlign w:val="bottom"/>
          </w:tcPr>
          <w:p>
            <w:pPr>
              <w:spacing w:after="0"/>
              <w:rPr>
                <w:sz w:val="16"/>
                <w:szCs w:val="16"/>
                <w:color w:val="auto"/>
              </w:rPr>
            </w:pPr>
          </w:p>
        </w:tc>
        <w:tc>
          <w:tcPr>
            <w:tcW w:w="18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stores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+ 5.5%</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w:t>
            </w:r>
          </w:p>
        </w:tc>
      </w:tr>
      <w:tr>
        <w:trPr>
          <w:trHeight w:val="241"/>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+ 3.6%</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w:t>
            </w:r>
          </w:p>
        </w:tc>
      </w:tr>
    </w:tbl>
    <w:p>
      <w:pPr>
        <w:spacing w:after="0" w:line="112" w:lineRule="exact"/>
        <w:rPr>
          <w:sz w:val="20"/>
          <w:szCs w:val="20"/>
          <w:color w:val="auto"/>
        </w:rPr>
      </w:pPr>
    </w:p>
    <w:p>
      <w:pPr>
        <w:jc w:val="both"/>
        <w:ind w:right="140" w:firstLine="255"/>
        <w:spacing w:after="0" w:line="258" w:lineRule="auto"/>
        <w:rPr>
          <w:sz w:val="20"/>
          <w:szCs w:val="20"/>
          <w:color w:val="auto"/>
        </w:rPr>
      </w:pPr>
      <w:r>
        <w:rPr>
          <w:rFonts w:ascii="Times New Roman" w:cs="Times New Roman" w:eastAsia="Times New Roman" w:hAnsi="Times New Roman"/>
          <w:sz w:val="18"/>
          <w:szCs w:val="18"/>
          <w:color w:val="auto"/>
        </w:rPr>
        <w:t>U.S. same store sales increased 5.6% in the first quarter of 2024, rolling over an increase in U.S. same store sales of 3.6% in the first quarter of 2023. The increase in U.S. same store sales was attributable to higher customer transaction counts in both our delivery and carryout businesses, driven primarily by our Domino’s Rewards loyalty program and other national offers. International same store sales (excluding foreign currency impact) increased 0.9% in the first quarter of 2024, rolling over an increase in international same store sales (excluding foreign currency impact) of 1.2% in the first quarter of 2023. The increase in international same store sales was attributable to a higher average ticket per transaction across our international markets.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29"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 As previously announced, the remaining 143 net stores in Russia were reflected as closed in the third quarter of 2023. Including those remaining closures, 153 net stores in Russia were closed in the trailing four quarters ended March 24, 2024.</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0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gridSpan w:val="2"/>
            <w:vMerge w:val="continue"/>
          </w:tcPr>
          <w:p>
            <w:pPr>
              <w:spacing w:after="0"/>
              <w:rPr>
                <w:sz w:val="12"/>
                <w:szCs w:val="12"/>
                <w:color w:val="auto"/>
              </w:rPr>
            </w:pPr>
          </w:p>
        </w:tc>
        <w:tc>
          <w:tcPr>
            <w:tcW w:w="15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0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December 31, 2023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0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March 24, 2024</w:t>
            </w:r>
          </w:p>
        </w:tc>
        <w:tc>
          <w:tcPr>
            <w:tcW w:w="106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20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 2024 net store growth</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Trailing four quarters net store growth</w:t>
            </w:r>
          </w:p>
        </w:tc>
        <w:tc>
          <w:tcPr>
            <w:tcW w:w="106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-385445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-367665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-385445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-367665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-385445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-367665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-385445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-367665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Market</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On August 21, 2023, our master franchisee that owned and operated Domino’s Pizza stores in Russia announced its intent to file for bankruptcy with respect to the stores in that market. Therefore, as of August 21, 2023, we have considered the stores in the Russia market to be closed and they are excluded from our ending store count as of the end of the third quarter of 2023. We have presented our statistical measure of global retail sales growth, excluding foreign currency impact, for the first quarter of 2024 excluding the impact of the retail sales from the Russia market. We believe the impact of the Russia market on our statistical measure of global retail sales growth, excluding foreign currency impact, for the first quarter of 2023 was immaterial and prior amounts have not been adjusted to conform to the current year presentation. We believe the impact of the Russia market on our statistical measure of same store sales growth for the periods presented was immaterial, and we also believe the impact of the Russia market on our consolidated statements of income related to international franchise royalties and fee revenues and general and administrative expenses for the first quarter of 2023 was immaterial.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5"/>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Company-owned stores</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franchise royalties and fees</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150.5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20" w:type="dxa"/>
            <w:vAlign w:val="bottom"/>
            <w:tcBorders>
              <w:lef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Supply chain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624.2</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International franchise royalties and fees</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72.0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20" w:type="dxa"/>
            <w:vAlign w:val="bottom"/>
            <w:tcBorders>
              <w:lef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franchise advertising</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1,084.6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220" w:type="dxa"/>
            <w:vAlign w:val="bottom"/>
            <w:tcBorders>
              <w:lef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U.S. Company-owned stores</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76.5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20" w:type="dxa"/>
            <w:vAlign w:val="bottom"/>
            <w:tcBorders>
              <w:lef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Supply chain</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586.3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568.3</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cost of sales</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61.1 %</w:t>
            </w: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220" w:type="dxa"/>
            <w:vAlign w:val="bottom"/>
            <w:tcBorders>
              <w:lef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38.9 %</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9.3 %</w:t>
            </w: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220" w:type="dxa"/>
            <w:vAlign w:val="bottom"/>
            <w:tcBorders>
              <w:lef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franchise advertising</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10.2 %</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Refranchising loss</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0.0 %</w:t>
            </w: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Borders>
              <w:lef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19.4 %</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(18.7 )</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(1.7 )%</w:t>
            </w:r>
          </w:p>
        </w:tc>
        <w:tc>
          <w:tcPr>
            <w:tcW w:w="360" w:type="dxa"/>
            <w:vAlign w:val="bottom"/>
            <w:shd w:val="clear" w:color="auto" w:fill="CFF0FC"/>
          </w:tcPr>
          <w:p>
            <w:pPr>
              <w:spacing w:after="0"/>
              <w:rPr>
                <w:sz w:val="15"/>
                <w:szCs w:val="15"/>
                <w:color w:val="auto"/>
              </w:rPr>
            </w:pPr>
          </w:p>
        </w:tc>
        <w:tc>
          <w:tcPr>
            <w:tcW w:w="162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(42.1 )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(3.9 )%</w:t>
            </w:r>
          </w:p>
        </w:tc>
        <w:tc>
          <w:tcPr>
            <w:tcW w:w="3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(44.2 )</w:t>
            </w:r>
          </w:p>
        </w:tc>
        <w:tc>
          <w:tcPr>
            <w:tcW w:w="58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149.6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13.8 %</w:t>
            </w: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20" w:type="dxa"/>
            <w:vAlign w:val="bottom"/>
            <w:tcBorders>
              <w:lef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2.2 %</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125.8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11.6 %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220" w:type="dxa"/>
            <w:vAlign w:val="bottom"/>
            <w:tcBorders>
              <w:left w:val="single" w:sz="8" w:color="CFF0FC"/>
            </w:tcBorders>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5"/>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3"/>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8.5 %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8"/>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13.9 %</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43"/>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60.8 %</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43"/>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3"/>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10.2 %</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 w:type="dxa"/>
            <w:vAlign w:val="bottom"/>
          </w:tcPr>
          <w:p>
            <w:pPr>
              <w:spacing w:after="0"/>
              <w:rPr>
                <w:sz w:val="20"/>
                <w:szCs w:val="20"/>
                <w:color w:val="auto"/>
              </w:rPr>
            </w:pPr>
          </w:p>
        </w:tc>
        <w:tc>
          <w:tcPr>
            <w:tcW w:w="552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-2750820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-2750820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-2750820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-2750820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-2287905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-2287905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-2287905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-2287905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-1576705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-1593850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-1576705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-1576705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-1593850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-1576705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Consolidated revenues increased $60.2 million, or 5.9%, in the first quarter of 2024 as compared to the first quarter of 2023, primarily due to higher supply chain revenues and U.S. franchise royalties and fees, as well as higher U.S. Company-owned store revenues. The increase in supply chain revenues was attributable to higher order volumes, partially offset by a shift in the relative mix of the products we sell and a decrease in our food basket pricing to stores. U.S. franchise royalties and fees benefited from an increase in fees paid by U.S. franchisees for the use of our technology platforms, in addition to higher same store sales and net store growth. U.S. Company-owned store revenues increased due to higher same store sales. These changes in revenues are described in more detail below.</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8"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3"/>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26.2 %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42.6 %</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31.2 %</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600" w:type="dxa"/>
            <w:vAlign w:val="bottom"/>
            <w:vMerge w:val="continue"/>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100.0 %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Company-owned Stores</w:t>
      </w:r>
    </w:p>
    <w:p>
      <w:pPr>
        <w:spacing w:after="0" w:line="133"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Revenues from U.S. Company-owned store operations increased $7.7 million, or 9.1%, in the first quarter of 2024 primarily due to higher same store sales. U.S. Company-owned same store sales increased 8.5% in the first quarter of 2024 and increased 7.3% in the first quarter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Royalties and Fees</w:t>
      </w:r>
    </w:p>
    <w:p>
      <w:pPr>
        <w:spacing w:after="0" w:line="133"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Revenues from U.S. franchise royalties and fees increased $17.7 million, or 13.3%, in the first quarter of 2024 primarily due to an increase in fees paid by our franchisees for the use of our technology platforms, as well as higher same store sales and an increase in the average number of U.S. franchised stores open during the period resulting from net store growth. U.S. franchise same store sales increased 5.5% in the first quarter of 2024 and increased 3.4% in the first quarter of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Advertising</w:t>
      </w:r>
    </w:p>
    <w:p>
      <w:pPr>
        <w:spacing w:after="0" w:line="133" w:lineRule="exact"/>
        <w:rPr>
          <w:sz w:val="20"/>
          <w:szCs w:val="20"/>
          <w:color w:val="auto"/>
        </w:rPr>
      </w:pPr>
    </w:p>
    <w:p>
      <w:pPr>
        <w:ind w:right="280" w:firstLine="284"/>
        <w:spacing w:after="0" w:line="258" w:lineRule="auto"/>
        <w:rPr>
          <w:sz w:val="20"/>
          <w:szCs w:val="20"/>
          <w:color w:val="auto"/>
        </w:rPr>
      </w:pPr>
      <w:r>
        <w:rPr>
          <w:rFonts w:ascii="Times New Roman" w:cs="Times New Roman" w:eastAsia="Times New Roman" w:hAnsi="Times New Roman"/>
          <w:sz w:val="18"/>
          <w:szCs w:val="18"/>
          <w:color w:val="auto"/>
        </w:rPr>
        <w:t>Revenues from U.S. franchise advertising decreased $2.4 million, or 2.2%, in the first quarter of 2024 primarily due to an increase in advertising incentives related to our Emergency Pizza promotion in the first quarter of 2024, as well as a temporary reduction of 0.25% to the standard 6.0% advertising contribution rate, which was effectuated at the beginning of the second quarter of 2023 (and expired at the beginning of the second quarter of 2024). Higher same store sales and an increase in the average number of U.S. franchised stores open during the period resulting from net store growth partially offset the decrease in U.S. franchise advertising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35"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Supply chain revenues increased $35.0 million, or 5.6%, in the first quarter of 2024 primarily due to higher order volumes at our U.S. franchised stores, partially offset by a shift in the relative mix of products we sell and a decrease in our food basket pricing to stores of 1.9% in the first quarter of 2024, which resulted in an estimated $10 million decrease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Royalties and Fee Revenues</w:t>
      </w:r>
    </w:p>
    <w:p>
      <w:pPr>
        <w:spacing w:after="0" w:line="121"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$2.3 million, or 3.3%, in the first quarter of 2024 primarily due to an increase in the average number of international franchised stores open during the period resulting from net store growth, as well as higher same store sales. The negative impact of changes in foreign currency exchange rates on international franchise royalty revenues of $1.4 million in the first quarter of 2024 partially offset the increase in international franchise royalties and fees.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4"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International franchise same store sales increased 0.9% in the first quarter of 2024 and increased 1.2% in the first quarter of 2023, excluding the impact of foreign currency exchange rates.</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 /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61.1 %</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600" w:type="dxa"/>
            <w:vAlign w:val="bottom"/>
            <w:vMerge w:val="continue"/>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38.9 %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$36.4 million, or 9.4%, in the first quarter of 2024 primarily due to higher global franchise royalty revenues, as well as gross margin improvement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79"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As a percentage of revenues, the consolidated gross margin increased 1.3 percentage points in the first quarter of 2024. U.S. Company-owned store gross margin increased 0.6 percentage points in the first quarter of 2024. Supply chain gross margin increased 2.1 percentage points in the first quarter of 2024. These changes in gross margin are described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Company-Owned Store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100.0 %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82.5 %</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0" w:type="dxa"/>
            <w:vAlign w:val="bottom"/>
          </w:tcPr>
          <w:p>
            <w:pPr>
              <w:spacing w:after="0"/>
              <w:rPr>
                <w:sz w:val="1"/>
                <w:szCs w:val="1"/>
                <w:color w:val="auto"/>
              </w:rPr>
            </w:pPr>
          </w:p>
        </w:tc>
      </w:tr>
      <w:tr>
        <w:trPr>
          <w:trHeight w:val="27"/>
        </w:trPr>
        <w:tc>
          <w:tcPr>
            <w:tcW w:w="5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780" w:type="dxa"/>
            <w:vAlign w:val="bottom"/>
            <w:vMerge w:val="continue"/>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increased $1.8 million, or 12.9%, in the first quarter of 2024. As a percentage of store revenues, U.S. Company-owned store gross margin increased 0.6 percentage points in the first quarter of 2024. These changes in gross margin as a percentage of revenues are discussed in additional detail below.</w:t>
      </w:r>
    </w:p>
    <w:p>
      <w:pPr>
        <w:spacing w:after="0" w:line="68" w:lineRule="exact"/>
        <w:rPr>
          <w:sz w:val="20"/>
          <w:szCs w:val="20"/>
          <w:color w:val="auto"/>
        </w:rPr>
      </w:pPr>
    </w:p>
    <w:p>
      <w:pPr>
        <w:ind w:left="940" w:right="140" w:hanging="303"/>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0.6 percentage points to 28.8% in the first quarter of 2024, driven primarily by the decrease in the food basket pricing to stores.</w:t>
      </w:r>
    </w:p>
    <w:p>
      <w:pPr>
        <w:spacing w:after="0" w:line="53" w:lineRule="exact"/>
        <w:rPr>
          <w:rFonts w:ascii="Times New Roman" w:cs="Times New Roman" w:eastAsia="Times New Roman" w:hAnsi="Times New Roman"/>
          <w:sz w:val="18"/>
          <w:szCs w:val="18"/>
          <w:color w:val="auto"/>
        </w:rPr>
      </w:pPr>
    </w:p>
    <w:p>
      <w:pPr>
        <w:ind w:left="940" w:right="160" w:hanging="303"/>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0.7 percentage points to 32.0% in the first quarter of 2024, driven primarily by higher wage rates in our U.S. Company-owned stores.</w:t>
      </w:r>
    </w:p>
    <w:p>
      <w:pPr>
        <w:spacing w:after="0" w:line="53" w:lineRule="exact"/>
        <w:rPr>
          <w:rFonts w:ascii="Times New Roman" w:cs="Times New Roman" w:eastAsia="Times New Roman" w:hAnsi="Times New Roman"/>
          <w:sz w:val="18"/>
          <w:szCs w:val="18"/>
          <w:color w:val="auto"/>
        </w:rPr>
      </w:pPr>
    </w:p>
    <w:p>
      <w:pPr>
        <w:ind w:left="940" w:right="120" w:hanging="303"/>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leverage driven by higher customer transaction counts contributed to the remaining increase in U.S. Company-owned store gross margin as a percentage of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Gross Margin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100.0 %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88.9 %</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600" w:type="dxa"/>
            <w:vAlign w:val="bottom"/>
            <w:vMerge w:val="continue"/>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11.1 %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Supply chain gross margin increased $17.0 million, or 30.3%, in the first quarter of 2024. As a percentage of supply chain revenues, the supply chain gross margin increased 2.1 percentage points in the first quarter of 2024 due to lower food costs resulting from procurement productivity and a decrease in the cost of our food basket, as well as slightly lower delivery costs.</w:t>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 increased $5.8 million, or 6.1%, in the first quarter of 2024, driven primarily by higher labor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Franchise Advertising Expenses</w:t>
      </w:r>
    </w:p>
    <w:p>
      <w:pPr>
        <w:spacing w:after="0" w:line="13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U.S. franchise advertising expenses decreased $2.4 million, or 2.2%, consistent with the decrease in U.S. franchise advertising revenues in the first quarter of 2024.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Refranchising Loss</w:t>
      </w:r>
    </w:p>
    <w:p>
      <w:pPr>
        <w:spacing w:after="0" w:line="135" w:lineRule="exact"/>
        <w:rPr>
          <w:sz w:val="20"/>
          <w:szCs w:val="20"/>
          <w:color w:val="auto"/>
        </w:rPr>
      </w:pPr>
    </w:p>
    <w:p>
      <w:pPr>
        <w:ind w:firstLine="284"/>
        <w:spacing w:after="0" w:line="266" w:lineRule="auto"/>
        <w:rPr>
          <w:sz w:val="20"/>
          <w:szCs w:val="20"/>
          <w:color w:val="auto"/>
        </w:rPr>
      </w:pPr>
      <w:r>
        <w:rPr>
          <w:rFonts w:ascii="Times New Roman" w:cs="Times New Roman" w:eastAsia="Times New Roman" w:hAnsi="Times New Roman"/>
          <w:sz w:val="18"/>
          <w:szCs w:val="18"/>
          <w:color w:val="auto"/>
        </w:rPr>
        <w:t>During each of the first quarters of 2024 and 2023, we refranchised one U.S. Company-owned store for proceeds of less than $0.1 million. The pre-tax refranchising losses associated with the sales of the related assets and liabilities, including goodwill, were each approximately $0.1 million and were recorded in refranchising loss in our condensed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Expense</w:t>
      </w:r>
    </w:p>
    <w:p>
      <w:pPr>
        <w:spacing w:after="0" w:line="135"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we recorded an $18.7 million unrealized loss on our investment in DPC Dash (Note 6) based on the active exchange quoted price for the equity security. We did not record any adjustments to the carrying amount in the first quarter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expense, net decreased $2.0 million, or 4.6%, in the first quarter of 2024, driven by higher interest income on our cash equivalents.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was 3.8% in both the first quarter of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121" w:lineRule="exact"/>
        <w:rPr>
          <w:sz w:val="20"/>
          <w:szCs w:val="20"/>
          <w:color w:val="auto"/>
        </w:rPr>
      </w:pPr>
    </w:p>
    <w:p>
      <w:pPr>
        <w:jc w:val="both"/>
        <w:ind w:right="300" w:firstLine="255"/>
        <w:spacing w:after="0" w:line="255" w:lineRule="auto"/>
        <w:rPr>
          <w:sz w:val="20"/>
          <w:szCs w:val="20"/>
          <w:color w:val="auto"/>
        </w:rPr>
      </w:pPr>
      <w:r>
        <w:rPr>
          <w:rFonts w:ascii="Times New Roman" w:cs="Times New Roman" w:eastAsia="Times New Roman" w:hAnsi="Times New Roman"/>
          <w:sz w:val="18"/>
          <w:szCs w:val="18"/>
          <w:color w:val="auto"/>
        </w:rPr>
        <w:t>Provision for income taxes decreased $4.8 million, or 16.7%, in the first quarter of 2024 due to a lower effective tax rate, partially offset by higher income before provision for income taxes. The effective tax rate decreased to 15.9% during the first quarter of 2024 as compared to 21.4% in the first quarter of 2023, driven by a 5.6 percentage point change in the impact of excess tax benefits from equity-based compensation, which are recorded as a reduction to the provision for income taxes.</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Income</w:t>
      </w:r>
    </w:p>
    <w:p>
      <w:pPr>
        <w:spacing w:after="0" w:line="121" w:lineRule="exact"/>
        <w:rPr>
          <w:sz w:val="20"/>
          <w:szCs w:val="20"/>
          <w:color w:val="auto"/>
        </w:rPr>
      </w:pPr>
    </w:p>
    <w:p>
      <w:pPr>
        <w:ind w:right="500" w:firstLine="255"/>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240" w:type="dxa"/>
            <w:vAlign w:val="bottom"/>
          </w:tcPr>
          <w:p>
            <w:pPr>
              <w:spacing w:after="0"/>
              <w:rPr>
                <w:sz w:val="16"/>
                <w:szCs w:val="16"/>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U.S. stores Segment Income increased $23.4 million, or 20.8%, in the first quarter of 2024, primarily due to higher U.S. franchise royalties and fees revenues, as well as the $1.8 million increase in U.S. Company-owned store gross margin, each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Supply chain Segment Income increased $16.1 million, or 33.1%, in the first quarter of 2024, primarily due to the $17.0 million increase in supply chain gross margin,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International franchise Segment Income increased $1.2 million, or 2.1%, in the first quarter of 2024, primarily due to higher international franchise royalties and fees revenues, as discussed above. International franchise revenues do not have a cost of sales component, so changes in these revenues have a disproportionate effect on international franchise Segment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Segment Income decreased $2.5 million, or 15.6%, in the first quarter of 2024, primarily due to higher labor costs.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80" w:firstLine="281"/>
        <w:spacing w:after="0" w:line="256"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March 24, 2024, we had working capital of $173.3 million, excluding restricted cash and cash equivalents of $209.8 million, advertising fund assets, restricted, of $77.0 million and advertising fund liabilities of $75.1 million. Working capital includes total unrestricted cash and cash equivalents of $203.9 million.</w:t>
      </w:r>
    </w:p>
    <w:p>
      <w:pPr>
        <w:spacing w:after="0" w:line="93" w:lineRule="exact"/>
        <w:rPr>
          <w:sz w:val="20"/>
          <w:szCs w:val="20"/>
          <w:color w:val="auto"/>
        </w:rPr>
      </w:pPr>
    </w:p>
    <w:p>
      <w:pPr>
        <w:ind w:right="20" w:firstLine="281"/>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2022 and 2021 Variable Funding Notes (as defined below). During the first quarter of 2024, we experienced an increase in both U.S. and international same store sales (excluding foreign currency impact) versus the comparable periods in the prior year. Additionally, both our U.S. and international businesses grew store counts during the first quarter of 2024.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March 24, 2024, we had no outstanding borrowings and $278.9 million of available borrowing capacity under our 2022 and 2021 Variable Funding Notes, net of letters of credit issued of $41.1 million.</w:t>
      </w:r>
    </w:p>
    <w:p>
      <w:pPr>
        <w:spacing w:after="0" w:line="100" w:lineRule="exact"/>
        <w:rPr>
          <w:sz w:val="20"/>
          <w:szCs w:val="20"/>
          <w:color w:val="auto"/>
        </w:rPr>
      </w:pPr>
    </w:p>
    <w:p>
      <w:pPr>
        <w:ind w:right="140" w:firstLine="281"/>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right="20" w:firstLine="281"/>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2023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March 24, 2024, we had $158.7 million of restricted cash held for future principal and interest payments and other working capital requirements of our asset-backed securitization structure, $50.9 million of restricted cash held in a three-month interest reserve as required by the related debt agreements and $0.2 million of other restricted cash for a total of $209.8 million of restricted cash and cash equivalents. As of March 24, 2024, we also held $56.0 million of advertising fund restricted cash and cash equivalents, which can only be used for activities that promote the Domino’s brand.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As of March 24, 2024, we had approximately $4.98 billion of long-term debt, of which $4.9 million was classified as a current liability. As of March 24, 2024, our fixed rate notes from the recapitalizations we completed in 2021, 2019, 2018, 2017 and 2015 had original scheduled principal payments of $38.6 million in the remainder of 2024, $1.17 billion in 2025, $39.3 million in 2026, $1.31 billion in 2027, $811.5 million in 2028, $625.9 million in 2029, $10.0 million in 2030 and $905.0 million in 2031. However, in accordance with our debt agreements, the payment of principal on our outstanding senior notes may be suspended if our Holdco Leverage Ratio is less than or equal to 5.0x total debt to adjusted EBITDA, as defined in the related agreements, and no catch-up provisions are applicable. As of the end of the first quarter of 2024, we had a Holdco Leverage Ratio of less than 5.0x, and accordingly, did not make the previously scheduled debt amortization payment on our outstanding notes beginning in the second quarter of 2024. Accordingly, all principal amounts of our outstanding notes have been classified as long-term debt in our condensed consolidated balance sheet as of March 24, 2024.</w:t>
      </w:r>
    </w:p>
    <w:p>
      <w:pPr>
        <w:spacing w:after="0" w:line="97" w:lineRule="exact"/>
        <w:rPr>
          <w:sz w:val="20"/>
          <w:szCs w:val="20"/>
          <w:color w:val="auto"/>
        </w:rPr>
      </w:pPr>
    </w:p>
    <w:p>
      <w:pPr>
        <w:ind w:right="60" w:firstLine="281"/>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60" w:firstLine="284"/>
        <w:spacing w:after="0" w:line="261"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2022 and 2021 Variable Funding Notes. On February 21, 2024, our Board of Directors authorized an additional share repurchase program to repurchase up to $1.0 billion of our common stock, in addition to the $141.3 million that was previously remaining for a total authorization of $1.14 billion for future share repurchases as of that date.</w:t>
      </w:r>
    </w:p>
    <w:p>
      <w:pPr>
        <w:spacing w:after="0" w:line="72" w:lineRule="exact"/>
        <w:rPr>
          <w:sz w:val="20"/>
          <w:szCs w:val="20"/>
          <w:color w:val="auto"/>
        </w:rPr>
      </w:pPr>
    </w:p>
    <w:p>
      <w:pPr>
        <w:ind w:right="60" w:firstLine="284"/>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repurchased and retired 56,372 shares of our common stock under our Board of Directors-approved share repurchase program for a total of approximately $25.0 million. As of March 24, 2024, we had a total remaining authorized amount for share repurchases of approximately $1.12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On February 21, 2024, our Board of Directors declared a $1.51 per share quarterly dividend on our outstanding common stock for shareholders of record as of March 15, 2024, which was paid on March 29, 2024. We had approximately $54.1 million accrued for common stock dividends at March 24, 2024. Subsequent to the end of the first quarter, on April 25, 2024, our Board of Directors declared a $1.51 per share quarterly dividend on our outstanding common stock for shareholders of record as of June 14, 2024, to be paid on June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2023</w:t>
            </w:r>
          </w:p>
        </w:tc>
      </w:tr>
      <w:tr>
        <w:trPr>
          <w:trHeight w:val="236"/>
        </w:trPr>
        <w:tc>
          <w:tcPr>
            <w:tcW w:w="6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80" w:type="dxa"/>
            <w:vAlign w:val="bottom"/>
            <w:gridSpan w:val="2"/>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(21.5 )</w:t>
            </w: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(34.8 )</w:t>
            </w:r>
          </w:p>
        </w:tc>
        <w:tc>
          <w:tcPr>
            <w:tcW w:w="32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(0.7 )</w:t>
            </w: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r>
      <w:tr>
        <w:trPr>
          <w:trHeight w:val="237"/>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Borders>
              <w:top w:val="single" w:sz="8" w:color="CFF0FC"/>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2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60" w:firstLine="281"/>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$8.8 million in the first quarter of 2024, as a result of higher net income, excluding non-cash operating activities, partially offset by the negative impact of changes in operating assets and liabilities and advertising fund assets and liabilities, restricted. Net income increased $21.1 million and non-cash adjustments increased $23.1 million, resulting in an overall increase to cash provided by operating activities in the first quarter of 2024 as compared to the first quarter of 2023 of $44.2 million. The negative impact of changes in operating assets and liabilities of $25.8 million primarily related to the timing of payments on accrued liabilities and inventory in the first quarter of 2024 as compared to the first quarter of 2023. Additionally, the $9.6 million negative impact of changes in advertising fund assets and liabilities, restricted, in the first quarter of 2024 as compared to the first quarter of 2023 was a result of payments for advertising activities outpacing receipts for advertising contributions.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00" w:firstLine="28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$21.5 million in the first quarter of 2024, which primarily consisted of $20.2 million of capital expenditures (driven primarily by investments in technological initiatives, supply chain centers and corporate store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140" w:firstLine="28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$34.8 million in the first quarter of 2024, which included the repurchase of approximately $25.0 million in common stock under our Board of Directors-approved share repurchase program, repayments of long-term debt and finance lease obligations of $13.5 million, tax payments for the vesting of restricted stock of $6.7 million and dividend payments of $0.3 million. These uses of cash were partially offset by proceeds from the exercise of stock options of $10.8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284"/>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2023 Form 10-K. The Company considers its most significant accounting policies and estimates to be long-lived assets, casualty insurance reserves and income taxes. There have been no material changes to the Company’s critical accounting estimates since December 31,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2023 Form 10-K for the fiscal year ended December 31, 2023.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the additional risks our international operations subject us to;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other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right="200" w:firstLine="284"/>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 notes, and, at March 24, 2024, we are exposed to interest rate risk on borrowings under our variable funding notes. As of March 24, 2024, we had no outstanding borrowings under our 2022 and 2021 Variable Funding Notes.</w:t>
      </w:r>
    </w:p>
    <w:p>
      <w:pPr>
        <w:spacing w:after="0" w:line="85" w:lineRule="exact"/>
        <w:rPr>
          <w:sz w:val="20"/>
          <w:szCs w:val="20"/>
          <w:color w:val="auto"/>
        </w:rPr>
      </w:pPr>
    </w:p>
    <w:p>
      <w:pPr>
        <w:ind w:right="100" w:firstLine="284"/>
        <w:spacing w:after="0" w:line="261" w:lineRule="auto"/>
        <w:rPr>
          <w:sz w:val="20"/>
          <w:szCs w:val="20"/>
          <w:color w:val="auto"/>
        </w:rPr>
      </w:pPr>
      <w:r>
        <w:rPr>
          <w:rFonts w:ascii="Times New Roman" w:cs="Times New Roman" w:eastAsia="Times New Roman" w:hAnsi="Times New Roman"/>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firstLine="284"/>
        <w:spacing w:after="0" w:line="282"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67" w:lineRule="exact"/>
        <w:rPr>
          <w:sz w:val="20"/>
          <w:szCs w:val="20"/>
          <w:color w:val="auto"/>
        </w:rPr>
      </w:pPr>
    </w:p>
    <w:p>
      <w:pPr>
        <w:ind w:right="120" w:firstLine="284"/>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cardboard and paper products that are affected by changes in commodity prices and, as a result, we are subject to volatility in our product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firstLine="284"/>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6.6% of our total revenues in the first quarter of 2024 and approximately 6.8% of our total revenues in the first quarter of 2023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$6.4 million in the first quarter of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8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jc w:val="both"/>
        <w:ind w:right="400" w:firstLine="284"/>
        <w:spacing w:after="0" w:line="257" w:lineRule="auto"/>
        <w:rPr>
          <w:sz w:val="20"/>
          <w:szCs w:val="20"/>
          <w:color w:val="auto"/>
        </w:rPr>
      </w:pPr>
      <w:r>
        <w:rPr>
          <w:rFonts w:ascii="Times New Roman" w:cs="Times New Roman" w:eastAsia="Times New Roman" w:hAnsi="Times New Roman"/>
          <w:sz w:val="18"/>
          <w:szCs w:val="18"/>
          <w:color w:val="auto"/>
        </w:rPr>
        <w:t>During the quarterly period ended March 24, 2024,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176" w:lineRule="exact"/>
        <w:rPr>
          <w:sz w:val="20"/>
          <w:szCs w:val="20"/>
          <w:color w:val="auto"/>
        </w:rPr>
      </w:pPr>
    </w:p>
    <w:p>
      <w:pPr>
        <w:ind w:right="80" w:firstLine="281"/>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40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87"/>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5"/>
        </w:trPr>
        <w:tc>
          <w:tcPr>
            <w:tcW w:w="250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Period #1 (January 1, 2024</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80" w:type="dxa"/>
            <w:vAlign w:val="bottom"/>
            <w:tcBorders>
              <w:top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January 28, 2024)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40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#2 (January 29, 2024</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February 25, 2024)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4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#3 (February 26, 2024</w:t>
            </w:r>
          </w:p>
        </w:tc>
        <w:tc>
          <w:tcPr>
            <w:tcW w:w="160" w:type="dxa"/>
            <w:vAlign w:val="bottom"/>
            <w:vMerge w:val="restart"/>
            <w:shd w:val="clear" w:color="auto" w:fill="CFF0FC"/>
          </w:tcPr>
          <w:p>
            <w:pPr>
              <w:spacing w:after="0"/>
              <w:rPr>
                <w:sz w:val="18"/>
                <w:szCs w:val="18"/>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400" w:type="dxa"/>
            <w:vAlign w:val="bottom"/>
            <w:vMerge w:val="restart"/>
            <w:shd w:val="clear" w:color="auto" w:fill="CFF0FC"/>
          </w:tcPr>
          <w:p>
            <w:pPr>
              <w:spacing w:after="0"/>
              <w:rPr>
                <w:sz w:val="18"/>
                <w:szCs w:val="18"/>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March 24, 2024)</w:t>
            </w: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56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vMerge w:val="continue"/>
            <w:shd w:val="clear" w:color="auto" w:fill="CFF0FC"/>
          </w:tcPr>
          <w:p>
            <w:pPr>
              <w:spacing w:after="0"/>
              <w:rPr>
                <w:sz w:val="20"/>
                <w:szCs w:val="20"/>
                <w:color w:val="auto"/>
              </w:rPr>
            </w:pPr>
          </w:p>
        </w:tc>
        <w:tc>
          <w:tcPr>
            <w:tcW w:w="208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-187960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4" w:lineRule="exact"/>
        <w:rPr>
          <w:sz w:val="20"/>
          <w:szCs w:val="20"/>
          <w:color w:val="auto"/>
        </w:rPr>
      </w:pPr>
    </w:p>
    <w:p>
      <w:pPr>
        <w:ind w:left="480" w:hanging="459"/>
        <w:spacing w:after="0"/>
        <w:tabs>
          <w:tab w:leader="none" w:pos="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5,041 shares in the first quarter of 2024 were purchased as part of the Company’s employee stock payroll deduction plan at an average price of $434.23.</w:t>
      </w:r>
    </w:p>
    <w:p>
      <w:pPr>
        <w:spacing w:after="0" w:line="165" w:lineRule="exact"/>
        <w:rPr>
          <w:rFonts w:ascii="Times New Roman" w:cs="Times New Roman" w:eastAsia="Times New Roman" w:hAnsi="Times New Roman"/>
          <w:sz w:val="15"/>
          <w:szCs w:val="15"/>
          <w:color w:val="auto"/>
        </w:rPr>
      </w:pPr>
    </w:p>
    <w:p>
      <w:pPr>
        <w:ind w:left="480" w:right="40" w:hanging="459"/>
        <w:spacing w:after="0" w:line="243" w:lineRule="auto"/>
        <w:tabs>
          <w:tab w:leader="none" w:pos="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21, 2024, the Company’s Board of Directors authorized an additional share repurchase program to repurchase up to $1.0 billion of the Company’s common stock, in addition to the $141.3 million that was previously remaining for a total authorization of $1.14 billion for future share repurchases as of that date. As of March 24, 2024, $1.12 billion remained available for future purchases of the Company’s common stock under this share repurchase program.</w:t>
      </w:r>
    </w:p>
    <w:p>
      <w:pPr>
        <w:spacing w:after="0" w:line="137" w:lineRule="exact"/>
        <w:rPr>
          <w:rFonts w:ascii="Times New Roman" w:cs="Times New Roman" w:eastAsia="Times New Roman" w:hAnsi="Times New Roman"/>
          <w:sz w:val="15"/>
          <w:szCs w:val="15"/>
          <w:color w:val="auto"/>
        </w:rPr>
      </w:pPr>
    </w:p>
    <w:p>
      <w:pPr>
        <w:ind w:left="480" w:right="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jc w:val="both"/>
        <w:ind w:right="120" w:firstLine="255"/>
        <w:spacing w:after="0" w:line="257" w:lineRule="auto"/>
        <w:rPr>
          <w:sz w:val="20"/>
          <w:szCs w:val="20"/>
          <w:color w:val="auto"/>
        </w:rPr>
      </w:pPr>
      <w:r>
        <w:rPr>
          <w:rFonts w:ascii="Times New Roman" w:cs="Times New Roman" w:eastAsia="Times New Roman" w:hAnsi="Times New Roman"/>
          <w:sz w:val="18"/>
          <w:szCs w:val="18"/>
          <w:color w:val="auto"/>
        </w:rPr>
        <w:t>During the first quarter ended March 24, 2024,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6"/>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relating to Domino’s Pizza, Inc.</w:t>
            </w:r>
          </w:p>
        </w:tc>
        <w:tc>
          <w:tcPr>
            <w:tcW w:w="6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1350, Chapter 63 of Title 18, United States Code, as adopted pursuant to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54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c>
          <w:tcPr>
            <w:tcW w:w="16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160" w:type="dxa"/>
            <w:vAlign w:val="bottom"/>
          </w:tcPr>
          <w:p>
            <w:pPr>
              <w:spacing w:after="0"/>
              <w:rPr>
                <w:sz w:val="20"/>
                <w:szCs w:val="20"/>
                <w:color w:val="auto"/>
              </w:rPr>
            </w:pPr>
          </w:p>
        </w:tc>
      </w:tr>
      <w:tr>
        <w:trPr>
          <w:trHeight w:val="46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April 29, 2024</w:t>
            </w:r>
          </w:p>
        </w:tc>
        <w:tc>
          <w:tcPr>
            <w:tcW w:w="22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Reddy</w:t>
            </w:r>
          </w:p>
        </w:tc>
        <w:tc>
          <w:tcPr>
            <w:tcW w:w="160" w:type="dxa"/>
            <w:vAlign w:val="bottom"/>
          </w:tcPr>
          <w:p>
            <w:pPr>
              <w:spacing w:after="0"/>
              <w:rPr>
                <w:sz w:val="24"/>
                <w:szCs w:val="24"/>
                <w:color w:val="auto"/>
              </w:rPr>
            </w:pPr>
          </w:p>
        </w:tc>
      </w:tr>
      <w:tr>
        <w:trPr>
          <w:trHeight w:val="211"/>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 w:type="dxa"/>
            <w:vAlign w:val="bottom"/>
          </w:tcPr>
          <w:p>
            <w:pPr>
              <w:spacing w:after="0"/>
              <w:rPr>
                <w:sz w:val="20"/>
                <w:szCs w:val="20"/>
                <w:color w:val="auto"/>
              </w:rPr>
            </w:pPr>
          </w:p>
        </w:tc>
      </w:tr>
      <w:tr>
        <w:trPr>
          <w:trHeight w:val="446"/>
        </w:trPr>
        <w:tc>
          <w:tcPr>
            <w:tcW w:w="360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9" w:lineRule="auto"/>
        <w:tabs>
          <w:tab w:leader="none" w:pos="7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29, 2024</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2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59"/>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20" w:hanging="378"/>
        <w:spacing w:after="0" w:line="239" w:lineRule="auto"/>
        <w:tabs>
          <w:tab w:leader="none" w:pos="7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80" w:hanging="372"/>
        <w:spacing w:after="0" w:line="239" w:lineRule="auto"/>
        <w:tabs>
          <w:tab w:leader="none" w:pos="3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29, 2024</w:t>
            </w:r>
          </w:p>
        </w:tc>
        <w:tc>
          <w:tcPr>
            <w:tcW w:w="2280" w:type="dxa"/>
            <w:vAlign w:val="bottom"/>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2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9"/>
                <w:szCs w:val="19"/>
                <w:color w:val="auto"/>
              </w:rPr>
            </w:pPr>
          </w:p>
        </w:tc>
        <w:tc>
          <w:tcPr>
            <w:tcW w:w="7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29"/>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24, 2024,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0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6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-158750</wp:posOffset>
            </wp:positionV>
            <wp:extent cx="33515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29,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24, 2024,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00" w:hanging="378"/>
        <w:spacing w:after="0" w:line="258" w:lineRule="auto"/>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60" w:hanging="378"/>
        <w:spacing w:after="0" w:line="258" w:lineRule="auto"/>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-158750</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0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29,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7"/>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2024-04-29T05:34:06Z</dcterms:created>
  <dcterms:modified xsi:type="dcterms:W3CDTF">2024-04-29T05:34:06Z</dcterms:modified>
</cp:coreProperties>
</file>