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3640" w:right="1600" w:hanging="3632"/>
        <w:spacing w:after="0" w:line="407" w:lineRule="auto"/>
        <w:tabs>
          <w:tab w:leader="none" w:pos="4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10, 2023</w:t>
      </w:r>
    </w:p>
    <w:p>
      <w:pPr>
        <w:spacing w:after="0" w:line="29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45"/>
        </w:trPr>
        <w:tc>
          <w:tcPr>
            <w:tcW w:w="3340" w:type="dxa"/>
            <w:vAlign w:val="bottom"/>
            <w:gridSpan w:val="3"/>
          </w:tcPr>
          <w:p>
            <w:pPr>
              <w:ind w:left="580"/>
              <w:spacing w:after="0"/>
              <w:rPr>
                <w:sz w:val="20"/>
                <w:szCs w:val="20"/>
                <w:color w:val="auto"/>
              </w:rPr>
            </w:pPr>
            <w:r>
              <w:rPr>
                <w:rFonts w:ascii="Arial" w:cs="Arial" w:eastAsia="Arial" w:hAnsi="Arial"/>
                <w:sz w:val="18"/>
                <w:szCs w:val="18"/>
                <w:b w:val="1"/>
                <w:bCs w:val="1"/>
                <w:color w:val="auto"/>
                <w:w w:val="89"/>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Domino’s Pizza,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2960" w:type="dxa"/>
            <w:vAlign w:val="bottom"/>
          </w:tcPr>
          <w:p>
            <w:pPr>
              <w:jc w:val="center"/>
              <w:ind w:right="43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spacing w:after="0"/>
              <w:rPr>
                <w:sz w:val="19"/>
                <w:szCs w:val="19"/>
                <w:color w:val="auto"/>
              </w:rPr>
            </w:pPr>
          </w:p>
        </w:tc>
        <w:tc>
          <w:tcPr>
            <w:tcW w:w="2320" w:type="dxa"/>
            <w:vAlign w:val="bottom"/>
          </w:tcPr>
          <w:p>
            <w:pPr>
              <w:jc w:val="right"/>
              <w:ind w:right="64"/>
              <w:spacing w:after="0"/>
              <w:rPr>
                <w:sz w:val="20"/>
                <w:szCs w:val="20"/>
                <w:color w:val="auto"/>
              </w:rPr>
            </w:pPr>
            <w:r>
              <w:rPr>
                <w:rFonts w:ascii="Arial" w:cs="Arial" w:eastAsia="Arial" w:hAnsi="Arial"/>
                <w:sz w:val="18"/>
                <w:szCs w:val="18"/>
                <w:b w:val="1"/>
                <w:bCs w:val="1"/>
                <w:color w:val="auto"/>
              </w:rPr>
              <w:t>38-2511577</w:t>
            </w:r>
          </w:p>
        </w:tc>
      </w:tr>
      <w:tr>
        <w:trPr>
          <w:trHeight w:val="149"/>
        </w:trPr>
        <w:tc>
          <w:tcPr>
            <w:tcW w:w="2960" w:type="dxa"/>
            <w:vAlign w:val="bottom"/>
          </w:tcPr>
          <w:p>
            <w:pPr>
              <w:jc w:val="center"/>
              <w:ind w:right="4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2320" w:type="dxa"/>
            <w:vAlign w:val="bottom"/>
          </w:tcPr>
          <w:p>
            <w:pPr>
              <w:jc w:val="center"/>
              <w:ind w:left="112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0"/>
        </w:trPr>
        <w:tc>
          <w:tcPr>
            <w:tcW w:w="2960" w:type="dxa"/>
            <w:vAlign w:val="bottom"/>
          </w:tcPr>
          <w:p>
            <w:pPr>
              <w:jc w:val="center"/>
              <w:ind w:right="439"/>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5"/>
                <w:szCs w:val="15"/>
                <w:color w:val="auto"/>
              </w:rPr>
            </w:pPr>
          </w:p>
        </w:tc>
        <w:tc>
          <w:tcPr>
            <w:tcW w:w="2320" w:type="dxa"/>
            <w:vAlign w:val="bottom"/>
          </w:tcPr>
          <w:p>
            <w:pPr>
              <w:jc w:val="center"/>
              <w:ind w:left="1104"/>
              <w:spacing w:after="0"/>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2960" w:type="dxa"/>
            <w:vAlign w:val="bottom"/>
          </w:tcPr>
          <w:p>
            <w:pPr>
              <w:jc w:val="center"/>
              <w:ind w:right="439"/>
              <w:spacing w:after="0"/>
              <w:rPr>
                <w:sz w:val="20"/>
                <w:szCs w:val="20"/>
                <w:color w:val="auto"/>
              </w:rPr>
            </w:pPr>
            <w:r>
              <w:rPr>
                <w:rFonts w:ascii="Arial" w:cs="Arial" w:eastAsia="Arial" w:hAnsi="Arial"/>
                <w:sz w:val="18"/>
                <w:szCs w:val="18"/>
                <w:b w:val="1"/>
                <w:bCs w:val="1"/>
                <w:color w:val="auto"/>
                <w:w w:val="95"/>
              </w:rPr>
              <w:t>30 Frank Lloyd Wright Drive</w:t>
            </w:r>
          </w:p>
        </w:tc>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39"/>
        </w:trPr>
        <w:tc>
          <w:tcPr>
            <w:tcW w:w="2960" w:type="dxa"/>
            <w:vAlign w:val="bottom"/>
          </w:tcPr>
          <w:p>
            <w:pPr>
              <w:jc w:val="center"/>
              <w:ind w:right="439"/>
              <w:spacing w:after="0"/>
              <w:rPr>
                <w:sz w:val="20"/>
                <w:szCs w:val="20"/>
                <w:color w:val="auto"/>
              </w:rPr>
            </w:pPr>
            <w:r>
              <w:rPr>
                <w:rFonts w:ascii="Arial" w:cs="Arial" w:eastAsia="Arial" w:hAnsi="Arial"/>
                <w:sz w:val="18"/>
                <w:szCs w:val="18"/>
                <w:b w:val="1"/>
                <w:bCs w:val="1"/>
                <w:color w:val="auto"/>
                <w:w w:val="94"/>
              </w:rPr>
              <w:t>Ann Arbor, Michigan</w:t>
            </w:r>
          </w:p>
        </w:tc>
        <w:tc>
          <w:tcPr>
            <w:tcW w:w="4560" w:type="dxa"/>
            <w:vAlign w:val="bottom"/>
            <w:gridSpan w:val="2"/>
          </w:tcPr>
          <w:p>
            <w:pPr>
              <w:jc w:val="right"/>
              <w:ind w:right="264"/>
              <w:spacing w:after="0"/>
              <w:rPr>
                <w:sz w:val="20"/>
                <w:szCs w:val="20"/>
                <w:color w:val="auto"/>
              </w:rPr>
            </w:pPr>
            <w:r>
              <w:rPr>
                <w:rFonts w:ascii="Arial" w:cs="Arial" w:eastAsia="Arial" w:hAnsi="Arial"/>
                <w:sz w:val="18"/>
                <w:szCs w:val="18"/>
                <w:b w:val="1"/>
                <w:bCs w:val="1"/>
                <w:color w:val="auto"/>
              </w:rPr>
              <w:t>48105</w:t>
            </w:r>
          </w:p>
        </w:tc>
      </w:tr>
      <w:tr>
        <w:trPr>
          <w:trHeight w:val="186"/>
        </w:trPr>
        <w:tc>
          <w:tcPr>
            <w:tcW w:w="2960" w:type="dxa"/>
            <w:vAlign w:val="bottom"/>
          </w:tcPr>
          <w:p>
            <w:pPr>
              <w:jc w:val="center"/>
              <w:ind w:right="4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320" w:type="dxa"/>
            <w:vAlign w:val="bottom"/>
          </w:tcPr>
          <w:p>
            <w:pPr>
              <w:jc w:val="center"/>
              <w:ind w:left="1104"/>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(734) 930-3030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13"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Title of Each Class</w:t>
            </w: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90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72"/>
        </w:trPr>
        <w:tc>
          <w:tcPr>
            <w:tcW w:w="428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Domino’s Pizza, Inc. Common Stock, $0.01 par value</w:t>
            </w:r>
          </w:p>
        </w:tc>
        <w:tc>
          <w:tcPr>
            <w:tcW w:w="40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DPZ</w:t>
            </w:r>
          </w:p>
        </w:tc>
        <w:tc>
          <w:tcPr>
            <w:tcW w:w="3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07" w:lineRule="exact"/>
        <w:rPr>
          <w:sz w:val="24"/>
          <w:szCs w:val="24"/>
          <w:color w:val="auto"/>
        </w:rPr>
      </w:pPr>
    </w:p>
    <w:p>
      <w:pPr>
        <w:ind w:right="240" w:firstLine="255"/>
        <w:spacing w:after="0" w:line="230"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right="40" w:firstLine="255"/>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firstLine="25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79" w:lineRule="exact"/>
        <w:rPr>
          <w:sz w:val="24"/>
          <w:szCs w:val="24"/>
          <w:color w:val="auto"/>
        </w:rPr>
      </w:pPr>
    </w:p>
    <w:p>
      <w:pPr>
        <w:jc w:val="both"/>
        <w:ind w:right="200" w:firstLine="255"/>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260" w:right="148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5, 2023, Domino’s Pizza, Inc. had 34,880,983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5" w:right="3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13"/>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7020" w:type="dxa"/>
            <w:vAlign w:val="bottom"/>
            <w:gridSpan w:val="10"/>
            <w:vMerge w:val="restart"/>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4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13"/>
            <w:vMerge w:val="continue"/>
          </w:tcPr>
          <w:p>
            <w:pPr>
              <w:spacing w:after="0"/>
              <w:rPr>
                <w:sz w:val="14"/>
                <w:szCs w:val="14"/>
                <w:color w:val="auto"/>
              </w:rPr>
            </w:pPr>
          </w:p>
        </w:tc>
        <w:tc>
          <w:tcPr>
            <w:tcW w:w="702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89"/>
              </w:rPr>
              <w:t>Financial Statements</w:t>
            </w:r>
          </w:p>
        </w:tc>
        <w:tc>
          <w:tcPr>
            <w:tcW w:w="790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w w:val="89"/>
              </w:rPr>
              <w:t>Condensed Consolidated Balance Sheets (Unaudited) – As of September 10, 2023 and January 1, 2023</w:t>
            </w:r>
          </w:p>
        </w:tc>
        <w:tc>
          <w:tcPr>
            <w:tcW w:w="200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FF"/>
                <w:w w:val="89"/>
              </w:rPr>
              <w:t>Condensed Consolidated Statements of Income (Unaudited) – Fiscal quarter and three fiscal quarters ended September 10,</w:t>
            </w:r>
          </w:p>
        </w:tc>
        <w:tc>
          <w:tcPr>
            <w:tcW w:w="5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FF"/>
                <w:w w:val="87"/>
              </w:rPr>
              <w:t>2023 and September 11, 2022</w:t>
            </w:r>
          </w:p>
        </w:tc>
        <w:tc>
          <w:tcPr>
            <w:tcW w:w="70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FF"/>
                <w:w w:val="89"/>
              </w:rPr>
              <w:t>Condensed Consolidated Statements of Comprehensive Income (Unaudited) – Fiscal quarter and three fiscal quarters ended</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FF"/>
                <w:w w:val="87"/>
              </w:rPr>
              <w:t>September 10, 2023 and September 11, 2022</w:t>
            </w:r>
          </w:p>
        </w:tc>
        <w:tc>
          <w:tcPr>
            <w:tcW w:w="596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FF"/>
                <w:w w:val="89"/>
              </w:rPr>
              <w:t>Condensed Consolidated Statements of Cash Flows (Unaudited) – Three fiscal quarters ended September 10, 2023 and</w:t>
            </w:r>
          </w:p>
        </w:tc>
        <w:tc>
          <w:tcPr>
            <w:tcW w:w="8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0" w:type="dxa"/>
            <w:vAlign w:val="bottom"/>
            <w:gridSpan w:val="21"/>
          </w:tcPr>
          <w:p>
            <w:pPr>
              <w:spacing w:after="0" w:line="196" w:lineRule="exact"/>
              <w:rPr>
                <w:sz w:val="20"/>
                <w:szCs w:val="20"/>
                <w:color w:val="auto"/>
              </w:rPr>
            </w:pPr>
            <w:r>
              <w:rPr>
                <w:rFonts w:ascii="Arial" w:cs="Arial" w:eastAsia="Arial" w:hAnsi="Arial"/>
                <w:sz w:val="18"/>
                <w:szCs w:val="18"/>
                <w:color w:val="0000FF"/>
              </w:rPr>
              <w:t>September 11, 2022</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450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42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88"/>
              </w:rPr>
              <w:t>Controls and Procedures</w:t>
            </w:r>
          </w:p>
        </w:tc>
        <w:tc>
          <w:tcPr>
            <w:tcW w:w="764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23"/>
          </w:tcPr>
          <w:p>
            <w:pPr>
              <w:spacing w:after="0"/>
              <w:rPr>
                <w:sz w:val="20"/>
                <w:szCs w:val="20"/>
                <w:color w:val="auto"/>
              </w:rPr>
            </w:pPr>
            <w:r>
              <w:rPr>
                <w:rFonts w:ascii="Arial" w:cs="Arial" w:eastAsia="Arial" w:hAnsi="Arial"/>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FF"/>
              </w:rPr>
              <w:t>Legal Proceedings</w:t>
            </w:r>
          </w:p>
        </w:tc>
        <w:tc>
          <w:tcPr>
            <w:tcW w:w="74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EE"/>
            </w:tcBorders>
            <w:gridSpan w:val="2"/>
          </w:tcPr>
          <w:p>
            <w:pPr>
              <w:spacing w:after="0"/>
              <w:rPr>
                <w:sz w:val="24"/>
                <w:szCs w:val="24"/>
                <w:color w:val="auto"/>
              </w:rPr>
            </w:pPr>
          </w:p>
        </w:tc>
        <w:tc>
          <w:tcPr>
            <w:tcW w:w="808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0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90"/>
              </w:rPr>
              <w:t>Defaults Upon Senior Securities</w:t>
            </w:r>
          </w:p>
        </w:tc>
        <w:tc>
          <w:tcPr>
            <w:tcW w:w="708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91"/>
              </w:rPr>
              <w:t>Mine Safety Disclosures</w:t>
            </w:r>
          </w:p>
        </w:tc>
        <w:tc>
          <w:tcPr>
            <w:tcW w:w="764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942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FF"/>
              </w:rPr>
              <w:t>Exhibits</w:t>
            </w:r>
          </w:p>
        </w:tc>
        <w:tc>
          <w:tcPr>
            <w:tcW w:w="810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20" w:type="dxa"/>
            <w:vAlign w:val="bottom"/>
            <w:gridSpan w:val="2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FF"/>
                <w:w w:val="96"/>
              </w:rPr>
              <w:t>SIGNATURES</w:t>
            </w:r>
          </w:p>
        </w:tc>
        <w:tc>
          <w:tcPr>
            <w:tcW w:w="9280" w:type="dxa"/>
            <w:vAlign w:val="bottom"/>
            <w:gridSpan w:val="2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gridSpan w:val="17"/>
          </w:tcPr>
          <w:p>
            <w:pPr>
              <w:ind w:left="454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7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4"/>
              </w:rPr>
              <w:t>September 10, 2023</w:t>
            </w:r>
          </w:p>
        </w:tc>
        <w:tc>
          <w:tcPr>
            <w:tcW w:w="240" w:type="dxa"/>
            <w:vAlign w:val="bottom"/>
          </w:tcPr>
          <w:p>
            <w:pPr>
              <w:spacing w:after="0"/>
              <w:rPr>
                <w:sz w:val="16"/>
                <w:szCs w:val="16"/>
                <w:color w:val="auto"/>
              </w:rPr>
            </w:pPr>
          </w:p>
        </w:tc>
        <w:tc>
          <w:tcPr>
            <w:tcW w:w="17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January 1, 2023 (1)</w:t>
            </w:r>
          </w:p>
        </w:tc>
      </w:tr>
      <w:tr>
        <w:trPr>
          <w:trHeight w:val="237"/>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80,879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60,356</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202,307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191,289</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257,492</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69,683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81,570</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41,257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37,287</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Advertising fund assets, restricted</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151,511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162,660</w:t>
            </w:r>
          </w:p>
        </w:tc>
        <w:tc>
          <w:tcPr>
            <w:tcW w:w="100" w:type="dxa"/>
            <w:vAlign w:val="bottom"/>
          </w:tcPr>
          <w:p>
            <w:pPr>
              <w:spacing w:after="0"/>
              <w:rPr>
                <w:sz w:val="20"/>
                <w:szCs w:val="20"/>
                <w:color w:val="auto"/>
              </w:rPr>
            </w:pPr>
          </w:p>
        </w:tc>
      </w:tr>
      <w:tr>
        <w:trPr>
          <w:trHeight w:val="237"/>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795,632</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790,654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Land and buildings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105,721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105,659</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Leasehold and other improvements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177,350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172,725</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353,536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333,787</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100" w:type="dxa"/>
            <w:vAlign w:val="bottom"/>
          </w:tcPr>
          <w:p>
            <w:pPr>
              <w:spacing w:after="0"/>
              <w:rPr>
                <w:sz w:val="20"/>
                <w:szCs w:val="20"/>
                <w:color w:val="auto"/>
              </w:rPr>
            </w:pPr>
          </w:p>
        </w:tc>
      </w:tr>
      <w:tr>
        <w:trPr>
          <w:trHeight w:val="243"/>
        </w:trPr>
        <w:tc>
          <w:tcPr>
            <w:tcW w:w="7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652,871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634,707</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20"/>
                <w:szCs w:val="20"/>
                <w:color w:val="auto"/>
              </w:rPr>
            </w:pP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(362,480 )</w:t>
            </w:r>
          </w:p>
        </w:tc>
        <w:tc>
          <w:tcPr>
            <w:tcW w:w="24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(332,472 )</w:t>
            </w:r>
          </w:p>
        </w:tc>
      </w:tr>
      <w:tr>
        <w:trPr>
          <w:trHeight w:val="237"/>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290,391</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219,202</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11,688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11,763</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Capitalized software, net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125,235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108,354</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Investment in DPC Dash</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139,107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125,840</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 assets, net</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42,247</w:t>
            </w:r>
          </w:p>
        </w:tc>
        <w:tc>
          <w:tcPr>
            <w:tcW w:w="10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533,441</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509,332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1,619,464</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1,602,221</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and stockholders’ deficit</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55,847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54,813</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101,058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89,715</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34,877</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29,791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31,435</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Advertising fund liabilities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147,335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157,909</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146,820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562,941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536,621</w:t>
            </w:r>
          </w:p>
        </w:tc>
        <w:tc>
          <w:tcPr>
            <w:tcW w:w="100" w:type="dxa"/>
            <w:vAlign w:val="bottom"/>
          </w:tcPr>
          <w:p>
            <w:pPr>
              <w:spacing w:after="0"/>
              <w:rPr>
                <w:sz w:val="20"/>
                <w:szCs w:val="20"/>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4,931,924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4,967,420</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183,031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195,244</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37,797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40,179</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 liabilities</w:t>
            </w:r>
          </w:p>
        </w:tc>
        <w:tc>
          <w:tcPr>
            <w:tcW w:w="1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44,061</w:t>
            </w:r>
          </w:p>
        </w:tc>
        <w:tc>
          <w:tcPr>
            <w:tcW w:w="100" w:type="dxa"/>
            <w:vAlign w:val="bottom"/>
          </w:tcPr>
          <w:p>
            <w:pPr>
              <w:spacing w:after="0"/>
              <w:rPr>
                <w:sz w:val="20"/>
                <w:szCs w:val="20"/>
                <w:color w:val="auto"/>
              </w:rPr>
            </w:pPr>
          </w:p>
        </w:tc>
      </w:tr>
      <w:tr>
        <w:trPr>
          <w:trHeight w:val="237"/>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5,198,065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5,254,665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9,693</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deficit</w:t>
            </w:r>
          </w:p>
        </w:tc>
        <w:tc>
          <w:tcPr>
            <w:tcW w:w="1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(4,137,753 )</w:t>
            </w: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(4,194,418 )</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0"/>
                <w:szCs w:val="20"/>
                <w:color w:val="auto"/>
              </w:rPr>
            </w:pP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(5,097 )</w:t>
            </w:r>
          </w:p>
        </w:tc>
        <w:tc>
          <w:tcPr>
            <w:tcW w:w="24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(4,694 )</w:t>
            </w: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(4,141,542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(4,189,065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1,619,464</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1,602,221</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-6480175</wp:posOffset>
            </wp:positionV>
            <wp:extent cx="685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-6480175</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-5219700</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-5219700</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-3968115</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-2390775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-1130935</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42" w:lineRule="exact"/>
        <w:rPr>
          <w:sz w:val="20"/>
          <w:szCs w:val="20"/>
          <w:color w:val="auto"/>
        </w:rPr>
      </w:pPr>
    </w:p>
    <w:p>
      <w:pPr>
        <w:ind w:right="200" w:firstLine="8"/>
        <w:spacing w:after="0" w:line="25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condensed consolidated balance sheet at January 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143" w:gutter="0" w:footer="0" w:header="0"/>
        </w:sectPr>
      </w:pPr>
    </w:p>
    <w:bookmarkStart w:id="3" w:name="page4"/>
    <w:bookmarkEnd w:id="3"/>
    <w:p>
      <w:pPr>
        <w:ind w:left="418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6"/>
                <w:szCs w:val="16"/>
                <w:color w:val="auto"/>
              </w:rPr>
            </w:pPr>
          </w:p>
        </w:tc>
        <w:tc>
          <w:tcPr>
            <w:tcW w:w="2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Fiscal Quarters Ended</w:t>
            </w:r>
          </w:p>
        </w:tc>
      </w:tr>
      <w:tr>
        <w:trPr>
          <w:trHeight w:val="160"/>
        </w:trPr>
        <w:tc>
          <w:tcPr>
            <w:tcW w:w="58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w w:val="91"/>
              </w:rPr>
              <w:t>September 10,</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2"/>
              <w:spacing w:after="0" w:line="160" w:lineRule="exact"/>
              <w:rPr>
                <w:sz w:val="20"/>
                <w:szCs w:val="20"/>
                <w:color w:val="auto"/>
              </w:rPr>
            </w:pPr>
            <w:r>
              <w:rPr>
                <w:rFonts w:ascii="Arial" w:cs="Arial" w:eastAsia="Arial" w:hAnsi="Arial"/>
                <w:sz w:val="14"/>
                <w:szCs w:val="14"/>
                <w:b w:val="1"/>
                <w:bCs w:val="1"/>
                <w:color w:val="auto"/>
                <w:w w:val="89"/>
              </w:rPr>
              <w:t>September 11,</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80"/>
              <w:spacing w:after="0" w:line="160" w:lineRule="exact"/>
              <w:rPr>
                <w:sz w:val="20"/>
                <w:szCs w:val="20"/>
                <w:color w:val="auto"/>
              </w:rPr>
            </w:pPr>
            <w:r>
              <w:rPr>
                <w:rFonts w:ascii="Arial" w:cs="Arial" w:eastAsia="Arial" w:hAnsi="Arial"/>
                <w:sz w:val="14"/>
                <w:szCs w:val="14"/>
                <w:b w:val="1"/>
                <w:bCs w:val="1"/>
                <w:color w:val="auto"/>
                <w:w w:val="89"/>
              </w:rPr>
              <w:t>September 10,</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2"/>
              <w:spacing w:after="0" w:line="160" w:lineRule="exact"/>
              <w:rPr>
                <w:sz w:val="20"/>
                <w:szCs w:val="20"/>
                <w:color w:val="auto"/>
              </w:rPr>
            </w:pPr>
            <w:r>
              <w:rPr>
                <w:rFonts w:ascii="Arial" w:cs="Arial" w:eastAsia="Arial" w:hAnsi="Arial"/>
                <w:sz w:val="14"/>
                <w:szCs w:val="14"/>
                <w:b w:val="1"/>
                <w:bCs w:val="1"/>
                <w:color w:val="auto"/>
                <w:w w:val="89"/>
              </w:rPr>
              <w:t>September 11,</w:t>
            </w:r>
          </w:p>
        </w:tc>
        <w:tc>
          <w:tcPr>
            <w:tcW w:w="100" w:type="dxa"/>
            <w:vAlign w:val="bottom"/>
          </w:tcPr>
          <w:p>
            <w:pPr>
              <w:spacing w:after="0"/>
              <w:rPr>
                <w:sz w:val="13"/>
                <w:szCs w:val="13"/>
                <w:color w:val="auto"/>
              </w:rPr>
            </w:pPr>
          </w:p>
        </w:tc>
      </w:tr>
      <w:tr>
        <w:trPr>
          <w:trHeight w:val="185"/>
        </w:trPr>
        <w:tc>
          <w:tcPr>
            <w:tcW w:w="5800" w:type="dxa"/>
            <w:vAlign w:val="bottom"/>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color w:val="auto"/>
              </w:rPr>
              <w:t>U.S. Company-owned stores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86,277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112,388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258,882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328,785</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franchise royalties and fees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138,322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128,878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410,454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379,261</w:t>
            </w:r>
          </w:p>
        </w:tc>
        <w:tc>
          <w:tcPr>
            <w:tcW w:w="100" w:type="dxa"/>
            <w:vAlign w:val="bottom"/>
            <w:shd w:val="clear" w:color="auto" w:fill="CFF0FC"/>
          </w:tcPr>
          <w:p>
            <w:pPr>
              <w:spacing w:after="0"/>
              <w:rPr>
                <w:sz w:val="21"/>
                <w:szCs w:val="21"/>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color w:val="auto"/>
              </w:rPr>
              <w:t>Supply chain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618,086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646,082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1,858,023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1,902,215</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International franchise royalties and fees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67,055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213,308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202,803</w:t>
            </w:r>
          </w:p>
        </w:tc>
        <w:tc>
          <w:tcPr>
            <w:tcW w:w="100" w:type="dxa"/>
            <w:vAlign w:val="bottom"/>
            <w:shd w:val="clear" w:color="auto" w:fill="CFF0FC"/>
          </w:tcPr>
          <w:p>
            <w:pPr>
              <w:spacing w:after="0"/>
              <w:rPr>
                <w:sz w:val="21"/>
                <w:szCs w:val="21"/>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color w:val="auto"/>
              </w:rPr>
              <w:t>U.S. franchise advertising</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111,534</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114,193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335,719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331,863</w:t>
            </w:r>
          </w:p>
        </w:tc>
        <w:tc>
          <w:tcPr>
            <w:tcW w:w="100" w:type="dxa"/>
            <w:vAlign w:val="bottom"/>
          </w:tcPr>
          <w:p>
            <w:pPr>
              <w:spacing w:after="0"/>
              <w:rPr>
                <w:sz w:val="20"/>
                <w:szCs w:val="20"/>
                <w:color w:val="auto"/>
              </w:rPr>
            </w:pPr>
          </w:p>
        </w:tc>
      </w:tr>
      <w:tr>
        <w:trPr>
          <w:trHeight w:val="237"/>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1,027,361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1,068,596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3,076,386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3,144,927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Company-owned stores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98,589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214,609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280,029</w:t>
            </w:r>
          </w:p>
        </w:tc>
        <w:tc>
          <w:tcPr>
            <w:tcW w:w="100" w:type="dxa"/>
            <w:vAlign w:val="bottom"/>
            <w:shd w:val="clear" w:color="auto" w:fill="CFF0FC"/>
          </w:tcPr>
          <w:p>
            <w:pPr>
              <w:spacing w:after="0"/>
              <w:rPr>
                <w:sz w:val="21"/>
                <w:szCs w:val="21"/>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color w:val="auto"/>
              </w:rPr>
              <w:t>Supply chain</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556,578</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588,157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1,673,405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1,728,159</w:t>
            </w:r>
          </w:p>
        </w:tc>
        <w:tc>
          <w:tcPr>
            <w:tcW w:w="100" w:type="dxa"/>
            <w:vAlign w:val="bottom"/>
          </w:tcPr>
          <w:p>
            <w:pPr>
              <w:spacing w:after="0"/>
              <w:rPr>
                <w:sz w:val="20"/>
                <w:szCs w:val="20"/>
                <w:color w:val="auto"/>
              </w:rPr>
            </w:pPr>
          </w:p>
        </w:tc>
      </w:tr>
      <w:tr>
        <w:trPr>
          <w:trHeight w:val="236"/>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 of sales</w:t>
            </w: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629,192</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686,746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1,888,014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398,169</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381,850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1,188,372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1,136,739</w:t>
            </w:r>
          </w:p>
        </w:tc>
        <w:tc>
          <w:tcPr>
            <w:tcW w:w="100" w:type="dxa"/>
            <w:vAlign w:val="bottom"/>
          </w:tcPr>
          <w:p>
            <w:pPr>
              <w:spacing w:after="0"/>
              <w:rPr>
                <w:sz w:val="20"/>
                <w:szCs w:val="20"/>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97,203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91,205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290,186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285,769</w:t>
            </w:r>
          </w:p>
        </w:tc>
        <w:tc>
          <w:tcPr>
            <w:tcW w:w="100" w:type="dxa"/>
            <w:vAlign w:val="bottom"/>
            <w:shd w:val="clear" w:color="auto" w:fill="CFF0FC"/>
          </w:tcPr>
          <w:p>
            <w:pPr>
              <w:spacing w:after="0"/>
              <w:rPr>
                <w:sz w:val="21"/>
                <w:szCs w:val="2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U.S. franchise advertising</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111,534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114,193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335,719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331,863</w:t>
            </w:r>
          </w:p>
        </w:tc>
        <w:tc>
          <w:tcPr>
            <w:tcW w:w="100" w:type="dxa"/>
            <w:vAlign w:val="bottom"/>
          </w:tcPr>
          <w:p>
            <w:pPr>
              <w:spacing w:after="0"/>
              <w:rPr>
                <w:sz w:val="20"/>
                <w:szCs w:val="20"/>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Refranchising loss</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189,432</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176,452</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562,318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519,107</w:t>
            </w:r>
          </w:p>
        </w:tc>
        <w:tc>
          <w:tcPr>
            <w:tcW w:w="100" w:type="dxa"/>
            <w:vAlign w:val="bottom"/>
            <w:tcBorders>
              <w:top w:val="single" w:sz="8" w:color="CFF0FC"/>
            </w:tcBorders>
          </w:tcPr>
          <w:p>
            <w:pPr>
              <w:spacing w:after="0"/>
              <w:rPr>
                <w:sz w:val="20"/>
                <w:szCs w:val="20"/>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(44,796 )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(45,437 )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(136,275 )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(137,160 )</w:t>
            </w:r>
          </w:p>
        </w:tc>
      </w:tr>
      <w:tr>
        <w:trPr>
          <w:trHeight w:val="237"/>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175,574</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131,848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446,945</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383,048</w:t>
            </w:r>
          </w:p>
        </w:tc>
        <w:tc>
          <w:tcPr>
            <w:tcW w:w="100" w:type="dxa"/>
            <w:vAlign w:val="bottom"/>
            <w:tcBorders>
              <w:top w:val="single" w:sz="8" w:color="CFF0FC"/>
            </w:tcBorders>
          </w:tcPr>
          <w:p>
            <w:pPr>
              <w:spacing w:after="0"/>
              <w:rPr>
                <w:sz w:val="20"/>
                <w:szCs w:val="20"/>
                <w:color w:val="auto"/>
              </w:rPr>
            </w:pPr>
          </w:p>
        </w:tc>
      </w:tr>
      <w:tr>
        <w:trPr>
          <w:trHeight w:val="24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85,119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147,676</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100,504</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361,826</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293,961</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color w:val="auto"/>
              </w:rPr>
              <w:t>Common stock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-2862580</wp:posOffset>
            </wp:positionV>
            <wp:extent cx="7683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-2862580</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-2862580</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-2228215</wp:posOffset>
            </wp:positionV>
            <wp:extent cx="768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-2228215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-2228215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-1593850</wp:posOffset>
            </wp:positionV>
            <wp:extent cx="7683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-1593850</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-1593850</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-967740</wp:posOffset>
            </wp:positionV>
            <wp:extent cx="7683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-967740</wp:posOffset>
            </wp:positionV>
            <wp:extent cx="685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-967740</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-650875</wp:posOffset>
            </wp:positionV>
            <wp:extent cx="7683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-650875</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-650875</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4"/>
          </w:tcPr>
          <w:p>
            <w:pPr>
              <w:jc w:val="right"/>
              <w:ind w:right="997"/>
              <w:spacing w:after="0"/>
              <w:rPr>
                <w:sz w:val="20"/>
                <w:szCs w:val="20"/>
                <w:color w:val="auto"/>
              </w:rPr>
            </w:pPr>
            <w:r>
              <w:rPr>
                <w:rFonts w:ascii="Arial" w:cs="Arial" w:eastAsia="Arial" w:hAnsi="Arial"/>
                <w:sz w:val="14"/>
                <w:szCs w:val="14"/>
                <w:b w:val="1"/>
                <w:bCs w:val="1"/>
                <w:color w:val="auto"/>
              </w:rPr>
              <w:t>Fiscal Quarter Ended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Fiscal Quarters Ended</w:t>
            </w:r>
          </w:p>
        </w:tc>
      </w:tr>
      <w:tr>
        <w:trPr>
          <w:trHeight w:val="160"/>
        </w:trPr>
        <w:tc>
          <w:tcPr>
            <w:tcW w:w="39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tcPr>
          <w:p>
            <w:pPr>
              <w:jc w:val="right"/>
              <w:ind w:right="680"/>
              <w:spacing w:after="0" w:line="160" w:lineRule="exact"/>
              <w:rPr>
                <w:sz w:val="20"/>
                <w:szCs w:val="20"/>
                <w:color w:val="auto"/>
              </w:rPr>
            </w:pPr>
            <w:r>
              <w:rPr>
                <w:rFonts w:ascii="Arial" w:cs="Arial" w:eastAsia="Arial" w:hAnsi="Arial"/>
                <w:sz w:val="14"/>
                <w:szCs w:val="14"/>
                <w:b w:val="1"/>
                <w:bCs w:val="1"/>
                <w:color w:val="auto"/>
              </w:rPr>
              <w:t>September 10,</w:t>
            </w: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77"/>
              <w:spacing w:after="0" w:line="160" w:lineRule="exact"/>
              <w:rPr>
                <w:sz w:val="20"/>
                <w:szCs w:val="20"/>
                <w:color w:val="auto"/>
              </w:rPr>
            </w:pPr>
            <w:r>
              <w:rPr>
                <w:rFonts w:ascii="Arial" w:cs="Arial" w:eastAsia="Arial" w:hAnsi="Arial"/>
                <w:sz w:val="14"/>
                <w:szCs w:val="14"/>
                <w:b w:val="1"/>
                <w:bCs w:val="1"/>
                <w:color w:val="auto"/>
              </w:rPr>
              <w:t>September 11,</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right"/>
              <w:ind w:right="640"/>
              <w:spacing w:after="0" w:line="160" w:lineRule="exact"/>
              <w:rPr>
                <w:sz w:val="20"/>
                <w:szCs w:val="20"/>
                <w:color w:val="auto"/>
              </w:rPr>
            </w:pPr>
            <w:r>
              <w:rPr>
                <w:rFonts w:ascii="Arial" w:cs="Arial" w:eastAsia="Arial" w:hAnsi="Arial"/>
                <w:sz w:val="14"/>
                <w:szCs w:val="14"/>
                <w:b w:val="1"/>
                <w:bCs w:val="1"/>
                <w:color w:val="auto"/>
              </w:rPr>
              <w:t>September 10,</w:t>
            </w: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77"/>
              <w:spacing w:after="0" w:line="160" w:lineRule="exact"/>
              <w:rPr>
                <w:sz w:val="20"/>
                <w:szCs w:val="20"/>
                <w:color w:val="auto"/>
              </w:rPr>
            </w:pPr>
            <w:r>
              <w:rPr>
                <w:rFonts w:ascii="Arial" w:cs="Arial" w:eastAsia="Arial" w:hAnsi="Arial"/>
                <w:sz w:val="14"/>
                <w:szCs w:val="14"/>
                <w:b w:val="1"/>
                <w:bCs w:val="1"/>
                <w:color w:val="auto"/>
              </w:rPr>
              <w:t>September 11,</w:t>
            </w:r>
          </w:p>
        </w:tc>
        <w:tc>
          <w:tcPr>
            <w:tcW w:w="100" w:type="dxa"/>
            <w:vAlign w:val="bottom"/>
          </w:tcPr>
          <w:p>
            <w:pPr>
              <w:spacing w:after="0"/>
              <w:rPr>
                <w:sz w:val="13"/>
                <w:szCs w:val="13"/>
                <w:color w:val="auto"/>
              </w:rPr>
            </w:pPr>
          </w:p>
        </w:tc>
      </w:tr>
      <w:tr>
        <w:trPr>
          <w:trHeight w:val="185"/>
        </w:trPr>
        <w:tc>
          <w:tcPr>
            <w:tcW w:w="39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147,676</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100,504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361,826</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293,961</w:t>
            </w:r>
          </w:p>
        </w:tc>
        <w:tc>
          <w:tcPr>
            <w:tcW w:w="100" w:type="dxa"/>
            <w:vAlign w:val="bottom"/>
            <w:shd w:val="clear" w:color="auto" w:fill="CFF0FC"/>
          </w:tcPr>
          <w:p>
            <w:pPr>
              <w:spacing w:after="0"/>
              <w:rPr>
                <w:sz w:val="20"/>
                <w:szCs w:val="20"/>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22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(1,330 )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(403 )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(1,023 )</w:t>
            </w:r>
          </w:p>
        </w:tc>
      </w:tr>
      <w:tr>
        <w:trPr>
          <w:trHeight w:val="276"/>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146,346</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100,551</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361,423</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5"/>
          </w:tcPr>
          <w:p>
            <w:pPr>
              <w:jc w:val="right"/>
              <w:ind w:right="841"/>
              <w:spacing w:after="0"/>
              <w:rPr>
                <w:sz w:val="20"/>
                <w:szCs w:val="20"/>
                <w:color w:val="auto"/>
              </w:rPr>
            </w:pPr>
            <w:r>
              <w:rPr>
                <w:rFonts w:ascii="Arial" w:cs="Arial" w:eastAsia="Arial" w:hAnsi="Arial"/>
                <w:sz w:val="14"/>
                <w:szCs w:val="14"/>
                <w:b w:val="1"/>
                <w:bCs w:val="1"/>
                <w:color w:val="auto"/>
              </w:rPr>
              <w:t>Three Fiscal Quarters Ended</w:t>
            </w:r>
          </w:p>
        </w:tc>
        <w:tc>
          <w:tcPr>
            <w:tcW w:w="0" w:type="dxa"/>
            <w:vAlign w:val="bottom"/>
          </w:tcPr>
          <w:p>
            <w:pPr>
              <w:spacing w:after="0"/>
              <w:rPr>
                <w:sz w:val="1"/>
                <w:szCs w:val="1"/>
                <w:color w:val="auto"/>
              </w:rPr>
            </w:pPr>
          </w:p>
        </w:tc>
      </w:tr>
      <w:tr>
        <w:trPr>
          <w:trHeight w:val="160"/>
        </w:trPr>
        <w:tc>
          <w:tcPr>
            <w:tcW w:w="77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51"/>
              <w:spacing w:after="0" w:line="160" w:lineRule="exact"/>
              <w:rPr>
                <w:sz w:val="20"/>
                <w:szCs w:val="20"/>
                <w:color w:val="auto"/>
              </w:rPr>
            </w:pPr>
            <w:r>
              <w:rPr>
                <w:rFonts w:ascii="Arial" w:cs="Arial" w:eastAsia="Arial" w:hAnsi="Arial"/>
                <w:sz w:val="14"/>
                <w:szCs w:val="14"/>
                <w:b w:val="1"/>
                <w:bCs w:val="1"/>
                <w:color w:val="auto"/>
              </w:rPr>
              <w:t>September 10,</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51"/>
              <w:spacing w:after="0" w:line="160" w:lineRule="exact"/>
              <w:rPr>
                <w:sz w:val="20"/>
                <w:szCs w:val="20"/>
                <w:color w:val="auto"/>
              </w:rPr>
            </w:pPr>
            <w:r>
              <w:rPr>
                <w:rFonts w:ascii="Arial" w:cs="Arial" w:eastAsia="Arial" w:hAnsi="Arial"/>
                <w:sz w:val="14"/>
                <w:szCs w:val="14"/>
                <w:b w:val="1"/>
                <w:bCs w:val="1"/>
                <w:color w:val="auto"/>
              </w:rPr>
              <w:t>September 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361,826</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293,961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54,999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Refranchising loss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Loss on sale/disposal of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(Benefit) provision for deferred income taxes</w:t>
            </w:r>
          </w:p>
        </w:tc>
        <w:tc>
          <w:tcPr>
            <w:tcW w:w="22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(12,191 )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equity-based compensation expense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Excess tax benefits from equity-based compensation</w:t>
            </w:r>
          </w:p>
        </w:tc>
        <w:tc>
          <w:tcPr>
            <w:tcW w:w="22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(2,973 )</w:t>
            </w:r>
          </w:p>
        </w:tc>
        <w:tc>
          <w:tcPr>
            <w:tcW w:w="2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(907 )</w:t>
            </w: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losses on accounts and notes receivable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Unrealized gain on investments</w:t>
            </w:r>
          </w:p>
        </w:tc>
        <w:tc>
          <w:tcPr>
            <w:tcW w:w="22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(13,267 )</w:t>
            </w:r>
          </w:p>
        </w:tc>
        <w:tc>
          <w:tcPr>
            <w:tcW w:w="220" w:type="dxa"/>
            <w:vAlign w:val="bottom"/>
          </w:tcPr>
          <w:p>
            <w:pPr>
              <w:spacing w:after="0"/>
              <w:rPr>
                <w:sz w:val="20"/>
                <w:szCs w:val="20"/>
                <w:color w:val="auto"/>
              </w:rPr>
            </w:pPr>
          </w:p>
        </w:tc>
        <w:tc>
          <w:tcPr>
            <w:tcW w:w="14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(49,288 )</w:t>
            </w: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Changes in advertising fund assets and liabilities, restricted</w:t>
            </w:r>
          </w:p>
        </w:tc>
        <w:tc>
          <w:tcPr>
            <w:tcW w:w="22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(6,349 )</w:t>
            </w:r>
          </w:p>
        </w:tc>
        <w:tc>
          <w:tcPr>
            <w:tcW w:w="2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(4,422 )</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422,130</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(59,271 )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(50,508 )</w:t>
            </w: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Purchase of franchise operations and other assets</w:t>
            </w:r>
          </w:p>
        </w:tc>
        <w:tc>
          <w:tcPr>
            <w:tcW w:w="220" w:type="dxa"/>
            <w:vAlign w:val="bottom"/>
          </w:tcPr>
          <w:p>
            <w:pPr>
              <w:spacing w:after="0"/>
              <w:rPr>
                <w:sz w:val="20"/>
                <w:szCs w:val="20"/>
                <w:color w:val="auto"/>
              </w:rPr>
            </w:pPr>
          </w:p>
        </w:tc>
        <w:tc>
          <w:tcPr>
            <w:tcW w:w="1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(6,814 )</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(743 )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(1,375 )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(60,014 )</w:t>
            </w:r>
          </w:p>
        </w:tc>
        <w:tc>
          <w:tcPr>
            <w:tcW w:w="2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(58,697 )</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20"/>
                <w:szCs w:val="20"/>
                <w:color w:val="auto"/>
              </w:rPr>
            </w:pPr>
          </w:p>
        </w:tc>
        <w:tc>
          <w:tcPr>
            <w:tcW w:w="1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Repayments of long-term debt and finance lease obligations</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(41,349 )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(41,441 )</w:t>
            </w: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common stock</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(210,847 )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(293,739 )</w:t>
            </w: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Tax payments for restricted stock upon vesting</w:t>
            </w:r>
          </w:p>
        </w:tc>
        <w:tc>
          <w:tcPr>
            <w:tcW w:w="22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(5,240 )</w:t>
            </w:r>
          </w:p>
        </w:tc>
        <w:tc>
          <w:tcPr>
            <w:tcW w:w="2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(10,691 )</w:t>
            </w: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common stock dividends and equivalents</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(85,564 )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(79,689 )</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(337,194</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(33,418 )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60,356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cash equivalents, beginning of period</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included in advertising fund assets, restricted,</w:t>
            </w:r>
          </w:p>
        </w:tc>
        <w:tc>
          <w:tcPr>
            <w:tcW w:w="2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143,559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161,741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60"/>
              <w:spacing w:after="0"/>
              <w:rPr>
                <w:sz w:val="20"/>
                <w:szCs w:val="20"/>
                <w:color w:val="auto"/>
              </w:rPr>
            </w:pPr>
            <w:r>
              <w:rPr>
                <w:rFonts w:ascii="Arial" w:cs="Arial" w:eastAsia="Arial" w:hAnsi="Arial"/>
                <w:sz w:val="18"/>
                <w:szCs w:val="18"/>
                <w:color w:val="auto"/>
              </w:rPr>
              <w:t>beginning of period</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restricted cash and cash equivalents and cash and</w:t>
            </w:r>
          </w:p>
        </w:tc>
        <w:tc>
          <w:tcPr>
            <w:tcW w:w="2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395,204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490,480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cash equivalents included in advertising fund assets, restricted, beginning of period</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80,879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Restricted cash and cash equivalents, end of period</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202,307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included in advertising fund assets, restricted,</w:t>
            </w:r>
          </w:p>
        </w:tc>
        <w:tc>
          <w:tcPr>
            <w:tcW w:w="220" w:type="dxa"/>
            <w:vAlign w:val="bottom"/>
            <w:shd w:val="clear" w:color="auto" w:fill="CFF0FC"/>
          </w:tcPr>
          <w:p>
            <w:pPr>
              <w:spacing w:after="0"/>
              <w:rPr>
                <w:sz w:val="19"/>
                <w:szCs w:val="19"/>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136,636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157,722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end of period</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restricted cash and cash equivalents and cash and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419,822</w:t>
            </w:r>
          </w:p>
        </w:tc>
        <w:tc>
          <w:tcPr>
            <w:tcW w:w="300" w:type="dxa"/>
            <w:vAlign w:val="bottom"/>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457,062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20" w:type="dxa"/>
            <w:vAlign w:val="bottom"/>
          </w:tcPr>
          <w:p>
            <w:pPr>
              <w:ind w:left="160"/>
              <w:spacing w:after="0" w:line="203" w:lineRule="exact"/>
              <w:rPr>
                <w:sz w:val="20"/>
                <w:szCs w:val="20"/>
                <w:color w:val="auto"/>
              </w:rPr>
            </w:pPr>
            <w:r>
              <w:rPr>
                <w:rFonts w:ascii="Arial" w:cs="Arial" w:eastAsia="Arial" w:hAnsi="Arial"/>
                <w:sz w:val="18"/>
                <w:szCs w:val="18"/>
                <w:color w:val="auto"/>
              </w:rPr>
              <w:t>cash equivalents included in advertising fund assets, restricted, end of period</w:t>
            </w:r>
          </w:p>
        </w:tc>
        <w:tc>
          <w:tcPr>
            <w:tcW w:w="22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-4482465</wp:posOffset>
            </wp:positionV>
            <wp:extent cx="685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-3856990</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-2618105</wp:posOffset>
            </wp:positionV>
            <wp:extent cx="126873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6873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-2279650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-1070610</wp:posOffset>
            </wp:positionV>
            <wp:extent cx="124333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10,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117"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1, 2023 included in the Company’s 2022 Annual Report on Form 10-K, filed with the Securities and Exchange Commission on February 23, 2023 (the “2022 Form 10-K”).</w:t>
      </w:r>
    </w:p>
    <w:p>
      <w:pPr>
        <w:spacing w:after="0" w:line="53"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statement have been included. Operating results for the fiscal quarter and three fiscal quarters ended September 10, 2023 are not necessarily indicative of the results that may be expected for the fiscal year ending December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 Segment Information</w:t>
      </w:r>
    </w:p>
    <w:p>
      <w:pPr>
        <w:spacing w:after="0" w:line="225" w:lineRule="exact"/>
        <w:rPr>
          <w:sz w:val="20"/>
          <w:szCs w:val="20"/>
          <w:color w:val="auto"/>
        </w:rPr>
      </w:pPr>
    </w:p>
    <w:p>
      <w:pPr>
        <w:ind w:right="160" w:firstLine="255"/>
        <w:spacing w:after="0" w:line="255" w:lineRule="auto"/>
        <w:rPr>
          <w:sz w:val="20"/>
          <w:szCs w:val="20"/>
          <w:color w:val="auto"/>
        </w:rPr>
      </w:pPr>
      <w:r>
        <w:rPr>
          <w:rFonts w:ascii="Arial" w:cs="Arial" w:eastAsia="Arial" w:hAnsi="Arial"/>
          <w:sz w:val="18"/>
          <w:szCs w:val="18"/>
          <w:color w:val="auto"/>
        </w:rPr>
        <w:t>The following tables summarize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1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Fiscal Quarters Ended September 10, 2023 and September 11,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156"/>
              <w:spacing w:after="0" w:line="160" w:lineRule="exact"/>
              <w:rPr>
                <w:sz w:val="20"/>
                <w:szCs w:val="20"/>
                <w:color w:val="auto"/>
              </w:rPr>
            </w:pPr>
            <w:r>
              <w:rPr>
                <w:rFonts w:ascii="Arial" w:cs="Arial" w:eastAsia="Arial" w:hAnsi="Arial"/>
                <w:sz w:val="14"/>
                <w:szCs w:val="14"/>
                <w:b w:val="1"/>
                <w:bCs w:val="1"/>
                <w:color w:val="auto"/>
                <w:w w:val="95"/>
              </w:rPr>
              <w:t>U.S.</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36"/>
              <w:spacing w:after="0" w:line="160" w:lineRule="exact"/>
              <w:rPr>
                <w:sz w:val="20"/>
                <w:szCs w:val="20"/>
                <w:color w:val="auto"/>
              </w:rPr>
            </w:pPr>
            <w:r>
              <w:rPr>
                <w:rFonts w:ascii="Arial" w:cs="Arial" w:eastAsia="Arial" w:hAnsi="Arial"/>
                <w:sz w:val="14"/>
                <w:szCs w:val="14"/>
                <w:b w:val="1"/>
                <w:bCs w:val="1"/>
                <w:color w:val="auto"/>
                <w:w w:val="89"/>
              </w:rPr>
              <w:t>Supply</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3"/>
              </w:rPr>
              <w:t>Intersegment</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right="156"/>
              <w:spacing w:after="0"/>
              <w:rPr>
                <w:sz w:val="20"/>
                <w:szCs w:val="20"/>
                <w:color w:val="auto"/>
              </w:rPr>
            </w:pPr>
            <w:r>
              <w:rPr>
                <w:rFonts w:ascii="Arial" w:cs="Arial" w:eastAsia="Arial" w:hAnsi="Arial"/>
                <w:sz w:val="14"/>
                <w:szCs w:val="14"/>
                <w:b w:val="1"/>
                <w:bCs w:val="1"/>
                <w:color w:val="auto"/>
                <w:w w:val="87"/>
              </w:rPr>
              <w:t>Stores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36"/>
              <w:spacing w:after="0"/>
              <w:rPr>
                <w:sz w:val="20"/>
                <w:szCs w:val="20"/>
                <w:color w:val="auto"/>
              </w:rPr>
            </w:pPr>
            <w:r>
              <w:rPr>
                <w:rFonts w:ascii="Arial" w:cs="Arial" w:eastAsia="Arial" w:hAnsi="Arial"/>
                <w:sz w:val="14"/>
                <w:szCs w:val="14"/>
                <w:b w:val="1"/>
                <w:bCs w:val="1"/>
                <w:color w:val="auto"/>
                <w:w w:val="97"/>
              </w:rPr>
              <w:t>Chain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Franchise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4000" w:type="dxa"/>
            <w:vAlign w:val="bottom"/>
            <w:shd w:val="clear" w:color="auto" w:fill="CFF0FC"/>
          </w:tcPr>
          <w:p>
            <w:pPr>
              <w:jc w:val="center"/>
              <w:ind w:right="3170"/>
              <w:spacing w:after="0"/>
              <w:rPr>
                <w:sz w:val="20"/>
                <w:szCs w:val="20"/>
                <w:color w:val="auto"/>
              </w:rPr>
            </w:pPr>
            <w:r>
              <w:rPr>
                <w:rFonts w:ascii="Arial" w:cs="Arial" w:eastAsia="Arial" w:hAnsi="Arial"/>
                <w:sz w:val="18"/>
                <w:szCs w:val="18"/>
                <w:color w:val="auto"/>
                <w:w w:val="86"/>
              </w:rPr>
              <w:t>Revenues</w:t>
            </w: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000" w:type="dxa"/>
            <w:vAlign w:val="bottom"/>
          </w:tcPr>
          <w:p>
            <w:pPr>
              <w:jc w:val="center"/>
              <w:ind w:right="3150"/>
              <w:spacing w:after="0"/>
              <w:rPr>
                <w:sz w:val="20"/>
                <w:szCs w:val="20"/>
                <w:color w:val="auto"/>
              </w:rPr>
            </w:pPr>
            <w:r>
              <w:rPr>
                <w:rFonts w:ascii="Arial" w:cs="Arial" w:eastAsia="Arial" w:hAnsi="Arial"/>
                <w:sz w:val="18"/>
                <w:szCs w:val="18"/>
                <w:color w:val="auto"/>
                <w:w w:val="89"/>
              </w:rPr>
              <w:t>2023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336,133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643,728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73,142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(25,642 )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1,027,361</w:t>
            </w:r>
          </w:p>
        </w:tc>
        <w:tc>
          <w:tcPr>
            <w:tcW w:w="100" w:type="dxa"/>
            <w:vAlign w:val="bottom"/>
          </w:tcPr>
          <w:p>
            <w:pPr>
              <w:spacing w:after="0"/>
              <w:rPr>
                <w:sz w:val="20"/>
                <w:szCs w:val="20"/>
                <w:color w:val="auto"/>
              </w:rPr>
            </w:pPr>
          </w:p>
        </w:tc>
      </w:tr>
      <w:tr>
        <w:trPr>
          <w:trHeight w:val="249"/>
        </w:trPr>
        <w:tc>
          <w:tcPr>
            <w:tcW w:w="4000" w:type="dxa"/>
            <w:vAlign w:val="bottom"/>
            <w:shd w:val="clear" w:color="auto" w:fill="CFF0FC"/>
          </w:tcPr>
          <w:p>
            <w:pPr>
              <w:jc w:val="center"/>
              <w:ind w:right="3150"/>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355,459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683,267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67,055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(37,185 )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1,068,596</w:t>
            </w:r>
          </w:p>
        </w:tc>
        <w:tc>
          <w:tcPr>
            <w:tcW w:w="100" w:type="dxa"/>
            <w:vAlign w:val="bottom"/>
            <w:shd w:val="clear" w:color="auto" w:fill="CFF0FC"/>
          </w:tcPr>
          <w:p>
            <w:pPr>
              <w:spacing w:after="0"/>
              <w:rPr>
                <w:sz w:val="21"/>
                <w:szCs w:val="2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00" w:type="dxa"/>
            <w:vAlign w:val="bottom"/>
            <w:shd w:val="clear" w:color="auto" w:fill="CFF0FC"/>
          </w:tcPr>
          <w:p>
            <w:pPr>
              <w:jc w:val="center"/>
              <w:ind w:right="3150"/>
              <w:spacing w:after="0"/>
              <w:rPr>
                <w:sz w:val="20"/>
                <w:szCs w:val="20"/>
                <w:color w:val="auto"/>
              </w:rPr>
            </w:pPr>
            <w:r>
              <w:rPr>
                <w:rFonts w:ascii="Arial" w:cs="Arial" w:eastAsia="Arial" w:hAnsi="Arial"/>
                <w:sz w:val="18"/>
                <w:szCs w:val="18"/>
                <w:color w:val="auto"/>
                <w:w w:val="89"/>
              </w:rPr>
              <w:t>2023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120,351</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(19,809 )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217,287</w:t>
            </w:r>
          </w:p>
        </w:tc>
        <w:tc>
          <w:tcPr>
            <w:tcW w:w="100" w:type="dxa"/>
            <w:vAlign w:val="bottom"/>
            <w:shd w:val="clear" w:color="auto" w:fill="CFF0FC"/>
          </w:tcPr>
          <w:p>
            <w:pPr>
              <w:spacing w:after="0"/>
              <w:rPr>
                <w:sz w:val="21"/>
                <w:szCs w:val="21"/>
                <w:color w:val="auto"/>
              </w:rPr>
            </w:pPr>
          </w:p>
        </w:tc>
      </w:tr>
      <w:tr>
        <w:trPr>
          <w:trHeight w:val="230"/>
        </w:trPr>
        <w:tc>
          <w:tcPr>
            <w:tcW w:w="4000" w:type="dxa"/>
            <w:vAlign w:val="bottom"/>
          </w:tcPr>
          <w:p>
            <w:pPr>
              <w:jc w:val="center"/>
              <w:ind w:right="315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100,529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49,892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53,762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(2,919 )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201,264</w:t>
            </w:r>
          </w:p>
        </w:tc>
        <w:tc>
          <w:tcPr>
            <w:tcW w:w="100" w:type="dxa"/>
            <w:vAlign w:val="bottom"/>
          </w:tcPr>
          <w:p>
            <w:pPr>
              <w:spacing w:after="0"/>
              <w:rPr>
                <w:sz w:val="20"/>
                <w:szCs w:val="20"/>
                <w:color w:val="auto"/>
              </w:rPr>
            </w:pPr>
          </w:p>
        </w:tc>
      </w:tr>
      <w:tr>
        <w:trPr>
          <w:trHeight w:val="404"/>
        </w:trPr>
        <w:tc>
          <w:tcPr>
            <w:tcW w:w="4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13"/>
          </w:tcPr>
          <w:p>
            <w:pPr>
              <w:jc w:val="right"/>
              <w:ind w:right="280"/>
              <w:spacing w:after="0"/>
              <w:rPr>
                <w:sz w:val="20"/>
                <w:szCs w:val="20"/>
                <w:color w:val="auto"/>
              </w:rPr>
            </w:pPr>
            <w:r>
              <w:rPr>
                <w:rFonts w:ascii="Arial" w:cs="Arial" w:eastAsia="Arial" w:hAnsi="Arial"/>
                <w:sz w:val="14"/>
                <w:szCs w:val="14"/>
                <w:b w:val="1"/>
                <w:bCs w:val="1"/>
                <w:color w:val="auto"/>
                <w:w w:val="96"/>
              </w:rPr>
              <w:t>Three Fiscal Quarters Ended September 10, 2023 and September 11, 2022</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56"/>
              <w:spacing w:after="0" w:line="160"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136"/>
              <w:spacing w:after="0" w:line="160" w:lineRule="exact"/>
              <w:rPr>
                <w:sz w:val="20"/>
                <w:szCs w:val="20"/>
                <w:color w:val="auto"/>
              </w:rPr>
            </w:pPr>
            <w:r>
              <w:rPr>
                <w:rFonts w:ascii="Arial" w:cs="Arial" w:eastAsia="Arial" w:hAnsi="Arial"/>
                <w:sz w:val="14"/>
                <w:szCs w:val="14"/>
                <w:b w:val="1"/>
                <w:bCs w:val="1"/>
                <w:color w:val="auto"/>
                <w:w w:val="89"/>
              </w:rPr>
              <w:t>Supply</w:t>
            </w:r>
          </w:p>
        </w:tc>
        <w:tc>
          <w:tcPr>
            <w:tcW w:w="200" w:type="dxa"/>
            <w:vAlign w:val="bottom"/>
          </w:tcPr>
          <w:p>
            <w:pPr>
              <w:spacing w:after="0"/>
              <w:rPr>
                <w:sz w:val="13"/>
                <w:szCs w:val="13"/>
                <w:color w:val="auto"/>
              </w:rPr>
            </w:pPr>
          </w:p>
        </w:tc>
        <w:tc>
          <w:tcPr>
            <w:tcW w:w="10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22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3"/>
              </w:rPr>
              <w:t>Intersegment</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right="156"/>
              <w:spacing w:after="0"/>
              <w:rPr>
                <w:sz w:val="20"/>
                <w:szCs w:val="20"/>
                <w:color w:val="auto"/>
              </w:rPr>
            </w:pPr>
            <w:r>
              <w:rPr>
                <w:rFonts w:ascii="Arial" w:cs="Arial" w:eastAsia="Arial" w:hAnsi="Arial"/>
                <w:sz w:val="14"/>
                <w:szCs w:val="14"/>
                <w:b w:val="1"/>
                <w:bCs w:val="1"/>
                <w:color w:val="auto"/>
                <w:w w:val="87"/>
              </w:rPr>
              <w:t>Stores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36"/>
              <w:spacing w:after="0"/>
              <w:rPr>
                <w:sz w:val="20"/>
                <w:szCs w:val="20"/>
                <w:color w:val="auto"/>
              </w:rPr>
            </w:pPr>
            <w:r>
              <w:rPr>
                <w:rFonts w:ascii="Arial" w:cs="Arial" w:eastAsia="Arial" w:hAnsi="Arial"/>
                <w:sz w:val="14"/>
                <w:szCs w:val="14"/>
                <w:b w:val="1"/>
                <w:bCs w:val="1"/>
                <w:color w:val="auto"/>
                <w:w w:val="97"/>
              </w:rPr>
              <w:t>Chain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Franchise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4000" w:type="dxa"/>
            <w:vAlign w:val="bottom"/>
            <w:shd w:val="clear" w:color="auto" w:fill="CFF0FC"/>
          </w:tcPr>
          <w:p>
            <w:pPr>
              <w:jc w:val="center"/>
              <w:ind w:right="3170"/>
              <w:spacing w:after="0"/>
              <w:rPr>
                <w:sz w:val="20"/>
                <w:szCs w:val="20"/>
                <w:color w:val="auto"/>
              </w:rPr>
            </w:pPr>
            <w:r>
              <w:rPr>
                <w:rFonts w:ascii="Arial" w:cs="Arial" w:eastAsia="Arial" w:hAnsi="Arial"/>
                <w:sz w:val="18"/>
                <w:szCs w:val="18"/>
                <w:color w:val="auto"/>
                <w:w w:val="86"/>
              </w:rPr>
              <w:t>Revenues</w:t>
            </w: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000" w:type="dxa"/>
            <w:vAlign w:val="bottom"/>
          </w:tcPr>
          <w:p>
            <w:pPr>
              <w:jc w:val="center"/>
              <w:ind w:right="3150"/>
              <w:spacing w:after="0"/>
              <w:rPr>
                <w:sz w:val="20"/>
                <w:szCs w:val="20"/>
                <w:color w:val="auto"/>
              </w:rPr>
            </w:pPr>
            <w:r>
              <w:rPr>
                <w:rFonts w:ascii="Arial" w:cs="Arial" w:eastAsia="Arial" w:hAnsi="Arial"/>
                <w:sz w:val="18"/>
                <w:szCs w:val="18"/>
                <w:color w:val="auto"/>
                <w:w w:val="89"/>
              </w:rPr>
              <w:t>2023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1,005,055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1,935,332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213,308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(77,309 )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3,076,386</w:t>
            </w:r>
          </w:p>
        </w:tc>
        <w:tc>
          <w:tcPr>
            <w:tcW w:w="100" w:type="dxa"/>
            <w:vAlign w:val="bottom"/>
          </w:tcPr>
          <w:p>
            <w:pPr>
              <w:spacing w:after="0"/>
              <w:rPr>
                <w:sz w:val="20"/>
                <w:szCs w:val="20"/>
                <w:color w:val="auto"/>
              </w:rPr>
            </w:pPr>
          </w:p>
        </w:tc>
      </w:tr>
      <w:tr>
        <w:trPr>
          <w:trHeight w:val="249"/>
        </w:trPr>
        <w:tc>
          <w:tcPr>
            <w:tcW w:w="4000" w:type="dxa"/>
            <w:vAlign w:val="bottom"/>
            <w:shd w:val="clear" w:color="auto" w:fill="CFF0FC"/>
          </w:tcPr>
          <w:p>
            <w:pPr>
              <w:jc w:val="center"/>
              <w:ind w:right="3150"/>
              <w:spacing w:after="0"/>
              <w:rPr>
                <w:sz w:val="20"/>
                <w:szCs w:val="20"/>
                <w:color w:val="auto"/>
              </w:rPr>
            </w:pPr>
            <w:r>
              <w:rPr>
                <w:rFonts w:ascii="Arial" w:cs="Arial" w:eastAsia="Arial" w:hAnsi="Arial"/>
                <w:sz w:val="18"/>
                <w:szCs w:val="18"/>
                <w:color w:val="auto"/>
                <w:w w:val="89"/>
              </w:rPr>
              <w:t>2022</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1,039,909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2,008,526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202,803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(106,311 )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3,144,927</w:t>
            </w:r>
          </w:p>
        </w:tc>
        <w:tc>
          <w:tcPr>
            <w:tcW w:w="100" w:type="dxa"/>
            <w:vAlign w:val="bottom"/>
            <w:shd w:val="clear" w:color="auto" w:fill="CFF0FC"/>
          </w:tcPr>
          <w:p>
            <w:pPr>
              <w:spacing w:after="0"/>
              <w:rPr>
                <w:sz w:val="21"/>
                <w:szCs w:val="2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00" w:type="dxa"/>
            <w:vAlign w:val="bottom"/>
            <w:shd w:val="clear" w:color="auto" w:fill="CFF0FC"/>
          </w:tcPr>
          <w:p>
            <w:pPr>
              <w:jc w:val="center"/>
              <w:ind w:right="3150"/>
              <w:spacing w:after="0"/>
              <w:rPr>
                <w:sz w:val="20"/>
                <w:szCs w:val="20"/>
                <w:color w:val="auto"/>
              </w:rPr>
            </w:pPr>
            <w:r>
              <w:rPr>
                <w:rFonts w:ascii="Arial" w:cs="Arial" w:eastAsia="Arial" w:hAnsi="Arial"/>
                <w:sz w:val="18"/>
                <w:szCs w:val="18"/>
                <w:color w:val="auto"/>
                <w:w w:val="89"/>
              </w:rPr>
              <w:t>2023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356,626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163,791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178,499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(54,396 )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644,520</w:t>
            </w:r>
          </w:p>
        </w:tc>
        <w:tc>
          <w:tcPr>
            <w:tcW w:w="100" w:type="dxa"/>
            <w:vAlign w:val="bottom"/>
            <w:shd w:val="clear" w:color="auto" w:fill="CFF0FC"/>
          </w:tcPr>
          <w:p>
            <w:pPr>
              <w:spacing w:after="0"/>
              <w:rPr>
                <w:sz w:val="21"/>
                <w:szCs w:val="21"/>
                <w:color w:val="auto"/>
              </w:rPr>
            </w:pPr>
          </w:p>
        </w:tc>
      </w:tr>
      <w:tr>
        <w:trPr>
          <w:trHeight w:val="230"/>
        </w:trPr>
        <w:tc>
          <w:tcPr>
            <w:tcW w:w="4000" w:type="dxa"/>
            <w:vAlign w:val="bottom"/>
          </w:tcPr>
          <w:p>
            <w:pPr>
              <w:jc w:val="center"/>
              <w:ind w:right="315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301,876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149,874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161,698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(16,250 )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597,198</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In the first quarter of 2023, the Company changed its allocation methodology for certain costs which support certain internally developed software used across the Company’s franchise system. This allocation methodology change was implemented in order to reflect the way the chief operating decision maker allocates resources to the Company’s reportable segments and evaluates segment profitability, including the costs of internally developed software.</w:t>
      </w:r>
    </w:p>
    <w:p>
      <w:pPr>
        <w:spacing w:after="0" w:line="41" w:lineRule="exact"/>
        <w:rPr>
          <w:sz w:val="20"/>
          <w:szCs w:val="20"/>
          <w:color w:val="auto"/>
        </w:rPr>
      </w:pPr>
    </w:p>
    <w:p>
      <w:pPr>
        <w:ind w:right="140" w:firstLine="255"/>
        <w:spacing w:after="0" w:line="272" w:lineRule="auto"/>
        <w:rPr>
          <w:sz w:val="20"/>
          <w:szCs w:val="20"/>
          <w:color w:val="auto"/>
        </w:rPr>
      </w:pPr>
      <w:r>
        <w:rPr>
          <w:rFonts w:ascii="Arial" w:cs="Arial" w:eastAsia="Arial" w:hAnsi="Arial"/>
          <w:sz w:val="17"/>
          <w:szCs w:val="17"/>
          <w:color w:val="auto"/>
        </w:rPr>
        <w:t>The change in allocation methodology of certain software development costs resulted in an estimated increase in U.S. stores Segment Income of $15.9 million, an estimated increase in international franchise Segment Income of $2.0 million and an estimated decrease in other Segment Income of $17.9 million in the third quarter of 2023. The change in allocation methodology of certain software development costs resulted in an estimated increase in U.S. stores Segment Income of $41.8 million, an estimated increase in international franchise Segment Income of $5.9 million and an estimated decrease in other Segment Income of $47.7 million in the three fiscal quarters of 2023. The change in allocation methodology of certain software development costs had no impact on revenues, supply chain Segment Income or total Segment Income. The change in allocation methodology for certain software development costs is a prospective change and the comparative information has not been restated.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Fiscal Quarter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Three Fiscal Quarters Ended</w:t>
            </w: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center"/>
              <w:ind w:right="400"/>
              <w:spacing w:after="0" w:line="160" w:lineRule="exact"/>
              <w:rPr>
                <w:sz w:val="20"/>
                <w:szCs w:val="20"/>
                <w:color w:val="auto"/>
              </w:rPr>
            </w:pPr>
            <w:r>
              <w:rPr>
                <w:rFonts w:ascii="Arial" w:cs="Arial" w:eastAsia="Arial" w:hAnsi="Arial"/>
                <w:sz w:val="14"/>
                <w:szCs w:val="14"/>
                <w:b w:val="1"/>
                <w:bCs w:val="1"/>
                <w:color w:val="auto"/>
                <w:w w:val="91"/>
              </w:rPr>
              <w:t>September 10,</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4"/>
              <w:spacing w:after="0" w:line="160" w:lineRule="exact"/>
              <w:rPr>
                <w:sz w:val="20"/>
                <w:szCs w:val="20"/>
                <w:color w:val="auto"/>
              </w:rPr>
            </w:pPr>
            <w:r>
              <w:rPr>
                <w:rFonts w:ascii="Arial" w:cs="Arial" w:eastAsia="Arial" w:hAnsi="Arial"/>
                <w:sz w:val="14"/>
                <w:szCs w:val="14"/>
                <w:b w:val="1"/>
                <w:bCs w:val="1"/>
                <w:color w:val="auto"/>
                <w:w w:val="89"/>
              </w:rPr>
              <w:t>September 11,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right"/>
              <w:ind w:right="380"/>
              <w:spacing w:after="0" w:line="160" w:lineRule="exact"/>
              <w:rPr>
                <w:sz w:val="20"/>
                <w:szCs w:val="20"/>
                <w:color w:val="auto"/>
              </w:rPr>
            </w:pPr>
            <w:r>
              <w:rPr>
                <w:rFonts w:ascii="Arial" w:cs="Arial" w:eastAsia="Arial" w:hAnsi="Arial"/>
                <w:sz w:val="14"/>
                <w:szCs w:val="14"/>
                <w:b w:val="1"/>
                <w:bCs w:val="1"/>
                <w:color w:val="auto"/>
                <w:w w:val="98"/>
              </w:rPr>
              <w:t>September 10,</w:t>
            </w:r>
          </w:p>
        </w:tc>
        <w:tc>
          <w:tcPr>
            <w:tcW w:w="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September 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Segment Income</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217,287</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201,264</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644,520</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(18,268 )</w:t>
            </w:r>
          </w:p>
        </w:tc>
        <w:tc>
          <w:tcPr>
            <w:tcW w:w="12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(18,933 )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(54,999 )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(56,026 )</w:t>
            </w: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Refranchising loss</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(149 )</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Loss on sale/disposal of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(27 )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(547 )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(9,442 )</w:t>
            </w:r>
          </w:p>
        </w:tc>
        <w:tc>
          <w:tcPr>
            <w:tcW w:w="12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(5,852 )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(26,507 )</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(21,590 )</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189,432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28,231</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13,267</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(44,796 )</w:t>
            </w:r>
          </w:p>
        </w:tc>
        <w:tc>
          <w:tcPr>
            <w:tcW w:w="12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(45,437 )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(136,275 )</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(137,160 )</w:t>
            </w:r>
          </w:p>
        </w:tc>
        <w:tc>
          <w:tcPr>
            <w:tcW w:w="0" w:type="dxa"/>
            <w:vAlign w:val="bottom"/>
          </w:tcPr>
          <w:p>
            <w:pPr>
              <w:spacing w:after="0"/>
              <w:rPr>
                <w:sz w:val="1"/>
                <w:szCs w:val="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175,574</w:t>
            </w:r>
          </w:p>
        </w:tc>
        <w:tc>
          <w:tcPr>
            <w:tcW w:w="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131,848</w:t>
            </w:r>
          </w:p>
        </w:tc>
        <w:tc>
          <w:tcPr>
            <w:tcW w:w="6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446,945</w:t>
            </w:r>
          </w:p>
        </w:tc>
        <w:tc>
          <w:tcPr>
            <w:tcW w:w="6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383,048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3. Earnings Per Share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Fiscal Quarter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Three Fiscal Quarters Ended</w:t>
            </w: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center"/>
              <w:ind w:right="400"/>
              <w:spacing w:after="0" w:line="160" w:lineRule="exact"/>
              <w:rPr>
                <w:sz w:val="20"/>
                <w:szCs w:val="20"/>
                <w:color w:val="auto"/>
              </w:rPr>
            </w:pPr>
            <w:r>
              <w:rPr>
                <w:rFonts w:ascii="Arial" w:cs="Arial" w:eastAsia="Arial" w:hAnsi="Arial"/>
                <w:sz w:val="14"/>
                <w:szCs w:val="14"/>
                <w:b w:val="1"/>
                <w:bCs w:val="1"/>
                <w:color w:val="auto"/>
                <w:w w:val="91"/>
              </w:rPr>
              <w:t>September 10,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60"/>
              <w:spacing w:after="0" w:line="160" w:lineRule="exact"/>
              <w:rPr>
                <w:sz w:val="20"/>
                <w:szCs w:val="20"/>
                <w:color w:val="auto"/>
              </w:rPr>
            </w:pPr>
            <w:r>
              <w:rPr>
                <w:rFonts w:ascii="Arial" w:cs="Arial" w:eastAsia="Arial" w:hAnsi="Arial"/>
                <w:sz w:val="14"/>
                <w:szCs w:val="14"/>
                <w:b w:val="1"/>
                <w:bCs w:val="1"/>
                <w:color w:val="auto"/>
                <w:w w:val="93"/>
              </w:rPr>
              <w:t>September 11,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w w:val="91"/>
              </w:rPr>
              <w:t>September 10,</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33"/>
              <w:spacing w:after="0" w:line="160" w:lineRule="exact"/>
              <w:rPr>
                <w:sz w:val="20"/>
                <w:szCs w:val="20"/>
                <w:color w:val="auto"/>
              </w:rPr>
            </w:pPr>
            <w:r>
              <w:rPr>
                <w:rFonts w:ascii="Arial" w:cs="Arial" w:eastAsia="Arial" w:hAnsi="Arial"/>
                <w:sz w:val="14"/>
                <w:szCs w:val="14"/>
                <w:b w:val="1"/>
                <w:bCs w:val="1"/>
                <w:color w:val="auto"/>
                <w:w w:val="91"/>
              </w:rPr>
              <w:t>September 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available to common stockholders - basic and diluted</w:t>
            </w: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147,676</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100,504</w:t>
            </w:r>
          </w:p>
        </w:tc>
        <w:tc>
          <w:tcPr>
            <w:tcW w:w="18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361,826</w:t>
            </w:r>
          </w:p>
        </w:tc>
        <w:tc>
          <w:tcPr>
            <w:tcW w:w="18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293,961</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780" w:type="dxa"/>
            <w:vAlign w:val="bottom"/>
          </w:tcPr>
          <w:p>
            <w:pPr>
              <w:ind w:left="20"/>
              <w:spacing w:after="0"/>
              <w:rPr>
                <w:sz w:val="20"/>
                <w:szCs w:val="20"/>
                <w:color w:val="auto"/>
              </w:rPr>
            </w:pPr>
            <w:r>
              <w:rPr>
                <w:rFonts w:ascii="Arial" w:cs="Arial" w:eastAsia="Arial" w:hAnsi="Arial"/>
                <w:sz w:val="18"/>
                <w:szCs w:val="18"/>
                <w:color w:val="auto"/>
              </w:rPr>
              <w:t>Basic weighted average number of shares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35,030,660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35,692,744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35,207,117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35,869,581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 – basic</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Diluted weighted average number of 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35,357,043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36,062,316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35,516,434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36,265,918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 – diluted</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-1748155</wp:posOffset>
            </wp:positionV>
            <wp:extent cx="7683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-1748155</wp:posOffset>
            </wp:positionV>
            <wp:extent cx="6858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-1748155</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-642620</wp:posOffset>
            </wp:positionV>
            <wp:extent cx="270002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00020" cy="179705"/>
                    </a:xfrm>
                    <a:prstGeom prst="rect">
                      <a:avLst/>
                    </a:prstGeom>
                    <a:noFill/>
                  </pic:spPr>
                </pic:pic>
              </a:graphicData>
            </a:graphic>
          </wp:anchor>
        </w:drawing>
      </w:r>
    </w:p>
    <w:p>
      <w:pPr>
        <w:spacing w:after="0" w:line="182"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denominators used in calculating diluted earnings per share for common stock for the fiscal quarters and three fiscal quarters each ended September 10, 2023 and September 11, 2022 do not include the following because the effect of including these shares would be anti-dilutive or because the performance targets for these awards had not yet been met: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6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Fiscal Quarter Ended</w:t>
            </w:r>
          </w:p>
        </w:tc>
        <w:tc>
          <w:tcPr>
            <w:tcW w:w="22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Three Fiscal Quarters Ended</w:t>
            </w:r>
          </w:p>
        </w:tc>
        <w:tc>
          <w:tcPr>
            <w:tcW w:w="100" w:type="dxa"/>
            <w:vAlign w:val="bottom"/>
          </w:tcPr>
          <w:p>
            <w:pPr>
              <w:spacing w:after="0"/>
              <w:rPr>
                <w:sz w:val="16"/>
                <w:szCs w:val="16"/>
                <w:color w:val="auto"/>
              </w:rPr>
            </w:pPr>
          </w:p>
        </w:tc>
      </w:tr>
      <w:tr>
        <w:trPr>
          <w:trHeight w:val="160"/>
        </w:trPr>
        <w:tc>
          <w:tcPr>
            <w:tcW w:w="5160" w:type="dxa"/>
            <w:vAlign w:val="bottom"/>
          </w:tcPr>
          <w:p>
            <w:pPr>
              <w:spacing w:after="0"/>
              <w:rPr>
                <w:sz w:val="13"/>
                <w:szCs w:val="13"/>
                <w:color w:val="auto"/>
              </w:rPr>
            </w:pPr>
          </w:p>
        </w:tc>
        <w:tc>
          <w:tcPr>
            <w:tcW w:w="1240" w:type="dxa"/>
            <w:vAlign w:val="bottom"/>
          </w:tcPr>
          <w:p>
            <w:pPr>
              <w:jc w:val="right"/>
              <w:ind w:right="99"/>
              <w:spacing w:after="0" w:line="160" w:lineRule="exact"/>
              <w:rPr>
                <w:sz w:val="20"/>
                <w:szCs w:val="20"/>
                <w:color w:val="auto"/>
              </w:rPr>
            </w:pPr>
            <w:r>
              <w:rPr>
                <w:rFonts w:ascii="Arial" w:cs="Arial" w:eastAsia="Arial" w:hAnsi="Arial"/>
                <w:sz w:val="14"/>
                <w:szCs w:val="14"/>
                <w:b w:val="1"/>
                <w:bCs w:val="1"/>
                <w:color w:val="auto"/>
              </w:rPr>
              <w:t>September 10,</w:t>
            </w:r>
          </w:p>
        </w:tc>
        <w:tc>
          <w:tcPr>
            <w:tcW w:w="240" w:type="dxa"/>
            <w:vAlign w:val="bottom"/>
          </w:tcPr>
          <w:p>
            <w:pPr>
              <w:spacing w:after="0"/>
              <w:rPr>
                <w:sz w:val="13"/>
                <w:szCs w:val="13"/>
                <w:color w:val="auto"/>
              </w:rPr>
            </w:pPr>
          </w:p>
        </w:tc>
        <w:tc>
          <w:tcPr>
            <w:tcW w:w="120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rPr>
              <w:t>September 11,</w:t>
            </w:r>
          </w:p>
        </w:tc>
        <w:tc>
          <w:tcPr>
            <w:tcW w:w="220" w:type="dxa"/>
            <w:vAlign w:val="bottom"/>
          </w:tcPr>
          <w:p>
            <w:pPr>
              <w:spacing w:after="0"/>
              <w:rPr>
                <w:sz w:val="13"/>
                <w:szCs w:val="13"/>
                <w:color w:val="auto"/>
              </w:rPr>
            </w:pPr>
          </w:p>
        </w:tc>
        <w:tc>
          <w:tcPr>
            <w:tcW w:w="140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September 10,</w:t>
            </w:r>
          </w:p>
        </w:tc>
        <w:tc>
          <w:tcPr>
            <w:tcW w:w="220" w:type="dxa"/>
            <w:vAlign w:val="bottom"/>
          </w:tcPr>
          <w:p>
            <w:pPr>
              <w:spacing w:after="0"/>
              <w:rPr>
                <w:sz w:val="13"/>
                <w:szCs w:val="13"/>
                <w:color w:val="auto"/>
              </w:rPr>
            </w:pPr>
          </w:p>
        </w:tc>
        <w:tc>
          <w:tcPr>
            <w:tcW w:w="1460" w:type="dxa"/>
            <w:vAlign w:val="bottom"/>
          </w:tcPr>
          <w:p>
            <w:pPr>
              <w:jc w:val="right"/>
              <w:ind w:right="228"/>
              <w:spacing w:after="0" w:line="160" w:lineRule="exact"/>
              <w:rPr>
                <w:sz w:val="20"/>
                <w:szCs w:val="20"/>
                <w:color w:val="auto"/>
              </w:rPr>
            </w:pPr>
            <w:r>
              <w:rPr>
                <w:rFonts w:ascii="Arial" w:cs="Arial" w:eastAsia="Arial" w:hAnsi="Arial"/>
                <w:sz w:val="14"/>
                <w:szCs w:val="14"/>
                <w:b w:val="1"/>
                <w:bCs w:val="1"/>
                <w:color w:val="auto"/>
              </w:rPr>
              <w:t>September 11,</w:t>
            </w:r>
          </w:p>
        </w:tc>
        <w:tc>
          <w:tcPr>
            <w:tcW w:w="100" w:type="dxa"/>
            <w:vAlign w:val="bottom"/>
          </w:tcPr>
          <w:p>
            <w:pPr>
              <w:spacing w:after="0"/>
              <w:rPr>
                <w:sz w:val="13"/>
                <w:szCs w:val="13"/>
                <w:color w:val="auto"/>
              </w:rPr>
            </w:pPr>
          </w:p>
        </w:tc>
      </w:tr>
      <w:tr>
        <w:trPr>
          <w:trHeight w:val="185"/>
        </w:trPr>
        <w:tc>
          <w:tcPr>
            <w:tcW w:w="516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4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62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68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Anti-dilutive shares underlying stock-based awards</w:t>
            </w: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1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207,218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116,641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228,747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117,328</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awards and units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27,615</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Performance condition not met</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awards and units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59,622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41,800</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59,622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41,800</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4. Stockholders’ Deficit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third quarter of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1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22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18, 2023</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35,057,585</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(4,166,520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147,676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($1.21 per share)</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(42,493 )</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200" w:type="dxa"/>
            <w:vAlign w:val="bottom"/>
          </w:tcPr>
          <w:p>
            <w:pPr>
              <w:jc w:val="right"/>
              <w:spacing w:after="0"/>
              <w:rPr>
                <w:sz w:val="20"/>
                <w:szCs w:val="20"/>
                <w:color w:val="auto"/>
              </w:rPr>
            </w:pPr>
            <w:r>
              <w:rPr>
                <w:rFonts w:ascii="Arial" w:cs="Arial" w:eastAsia="Arial" w:hAnsi="Arial"/>
                <w:sz w:val="18"/>
                <w:szCs w:val="18"/>
                <w:color w:val="auto"/>
              </w:rPr>
              <w:t>4,142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(5,932 )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(2,172 )</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(229,860 )</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(14,435 )</w:t>
            </w:r>
          </w:p>
        </w:tc>
        <w:tc>
          <w:tcPr>
            <w:tcW w:w="20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(76,416 )</w:t>
            </w:r>
          </w:p>
        </w:tc>
        <w:tc>
          <w:tcPr>
            <w:tcW w:w="1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53,188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(1,330 )</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80" w:type="dxa"/>
            <w:vAlign w:val="bottom"/>
          </w:tcPr>
          <w:p>
            <w:pPr>
              <w:ind w:left="20"/>
              <w:spacing w:after="0"/>
              <w:rPr>
                <w:sz w:val="20"/>
                <w:szCs w:val="20"/>
                <w:color w:val="auto"/>
              </w:rPr>
            </w:pPr>
            <w:r>
              <w:rPr>
                <w:rFonts w:ascii="Arial" w:cs="Arial" w:eastAsia="Arial" w:hAnsi="Arial"/>
                <w:sz w:val="18"/>
                <w:szCs w:val="18"/>
                <w:color w:val="auto"/>
              </w:rPr>
              <w:t>Balance at September 10, 2023</w:t>
            </w:r>
          </w:p>
        </w:tc>
        <w:tc>
          <w:tcPr>
            <w:tcW w:w="1200" w:type="dxa"/>
            <w:vAlign w:val="bottom"/>
          </w:tcPr>
          <w:p>
            <w:pPr>
              <w:jc w:val="right"/>
              <w:spacing w:after="0"/>
              <w:rPr>
                <w:sz w:val="20"/>
                <w:szCs w:val="20"/>
                <w:color w:val="auto"/>
              </w:rPr>
            </w:pPr>
            <w:r>
              <w:rPr>
                <w:rFonts w:ascii="Arial" w:cs="Arial" w:eastAsia="Arial" w:hAnsi="Arial"/>
                <w:sz w:val="18"/>
                <w:szCs w:val="18"/>
                <w:color w:val="auto"/>
              </w:rPr>
              <w:t>34,879,123</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w w:val="98"/>
              </w:rPr>
              <w:t>(4,137,753 )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(5,097 )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8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-539115</wp:posOffset>
            </wp:positionV>
            <wp:extent cx="7683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-539115</wp:posOffset>
            </wp:positionV>
            <wp:extent cx="7747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-539115</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-539115</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three fiscal quarters of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1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22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2023</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35,419,718</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9,693</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(4,194,418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361,826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($3.63 per share)</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(128,143 )</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200" w:type="dxa"/>
            <w:vAlign w:val="bottom"/>
          </w:tcPr>
          <w:p>
            <w:pPr>
              <w:jc w:val="right"/>
              <w:spacing w:after="0"/>
              <w:rPr>
                <w:sz w:val="20"/>
                <w:szCs w:val="20"/>
                <w:color w:val="auto"/>
              </w:rPr>
            </w:pPr>
            <w:r>
              <w:rPr>
                <w:rFonts w:ascii="Arial" w:cs="Arial" w:eastAsia="Arial" w:hAnsi="Arial"/>
                <w:sz w:val="18"/>
                <w:szCs w:val="18"/>
                <w:color w:val="auto"/>
              </w:rPr>
              <w:t>32,715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(15,601 )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(5,240 )</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(622,405 )</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(35,806 )</w:t>
            </w:r>
          </w:p>
        </w:tc>
        <w:tc>
          <w:tcPr>
            <w:tcW w:w="20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(177,018 )</w:t>
            </w:r>
          </w:p>
        </w:tc>
        <w:tc>
          <w:tcPr>
            <w:tcW w:w="1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64,696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Balance at September 10, 2023</w:t>
            </w:r>
          </w:p>
        </w:tc>
        <w:tc>
          <w:tcPr>
            <w:tcW w:w="1200" w:type="dxa"/>
            <w:vAlign w:val="bottom"/>
          </w:tcPr>
          <w:p>
            <w:pPr>
              <w:jc w:val="right"/>
              <w:spacing w:after="0"/>
              <w:rPr>
                <w:sz w:val="20"/>
                <w:szCs w:val="20"/>
                <w:color w:val="auto"/>
              </w:rPr>
            </w:pPr>
            <w:r>
              <w:rPr>
                <w:rFonts w:ascii="Arial" w:cs="Arial" w:eastAsia="Arial" w:hAnsi="Arial"/>
                <w:sz w:val="18"/>
                <w:szCs w:val="18"/>
                <w:color w:val="auto"/>
              </w:rPr>
              <w:t>34,879,123</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w w:val="98"/>
              </w:rPr>
              <w:t>(4,137,753 )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(5,097 )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-187960</wp:posOffset>
            </wp:positionV>
            <wp:extent cx="7683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7747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640" w:firstLine="255"/>
        <w:spacing w:after="0" w:line="308" w:lineRule="auto"/>
        <w:rPr>
          <w:sz w:val="20"/>
          <w:szCs w:val="20"/>
          <w:color w:val="auto"/>
        </w:rPr>
      </w:pPr>
      <w:r>
        <w:rPr>
          <w:rFonts w:ascii="Arial" w:cs="Arial" w:eastAsia="Arial" w:hAnsi="Arial"/>
          <w:sz w:val="17"/>
          <w:szCs w:val="17"/>
          <w:color w:val="auto"/>
        </w:rPr>
        <w:t>Subsequent to the end of the third quarter of 2023, on October 10, 2023, the Company’s Board of Directors declared a $1.21 per share quarterly dividend on its outstanding common stock for shareholders of record as of December 15, 2023 to be paid on December 29, 2023.</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third quarter of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4"/>
        </w:trPr>
        <w:tc>
          <w:tcPr>
            <w:tcW w:w="48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18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1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19,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35,899,646</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(4,180,367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100,504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($1.10 per share)</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(39,035 )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220" w:type="dxa"/>
            <w:vAlign w:val="bottom"/>
          </w:tcPr>
          <w:p>
            <w:pPr>
              <w:jc w:val="right"/>
              <w:spacing w:after="0"/>
              <w:rPr>
                <w:sz w:val="20"/>
                <w:szCs w:val="20"/>
                <w:color w:val="auto"/>
              </w:rPr>
            </w:pPr>
            <w:r>
              <w:rPr>
                <w:rFonts w:ascii="Arial" w:cs="Arial" w:eastAsia="Arial" w:hAnsi="Arial"/>
                <w:sz w:val="18"/>
                <w:szCs w:val="18"/>
                <w:color w:val="auto"/>
              </w:rPr>
              <w:t>1,569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(20,787 )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(7,925 )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(371 )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(490,789 )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(1,699 )</w:t>
            </w:r>
          </w:p>
        </w:tc>
        <w:tc>
          <w:tcPr>
            <w:tcW w:w="2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(194,374 )</w:t>
            </w: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Balance at September 11, 2022</w:t>
            </w:r>
          </w:p>
        </w:tc>
        <w:tc>
          <w:tcPr>
            <w:tcW w:w="1220" w:type="dxa"/>
            <w:vAlign w:val="bottom"/>
          </w:tcPr>
          <w:p>
            <w:pPr>
              <w:jc w:val="right"/>
              <w:spacing w:after="0"/>
              <w:rPr>
                <w:sz w:val="20"/>
                <w:szCs w:val="20"/>
                <w:color w:val="auto"/>
              </w:rPr>
            </w:pPr>
            <w:r>
              <w:rPr>
                <w:rFonts w:ascii="Arial" w:cs="Arial" w:eastAsia="Arial" w:hAnsi="Arial"/>
                <w:sz w:val="18"/>
                <w:szCs w:val="18"/>
                <w:color w:val="auto"/>
              </w:rPr>
              <w:t>35,398,212</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(4,313,643 )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(3,843 )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-187960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7683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three fiscal quarters of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4"/>
        </w:trPr>
        <w:tc>
          <w:tcPr>
            <w:tcW w:w="48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18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1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36,138,273</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(4,207,917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293,961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($3.30 per share)</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(118,403 )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220" w:type="dxa"/>
            <w:vAlign w:val="bottom"/>
          </w:tcPr>
          <w:p>
            <w:pPr>
              <w:jc w:val="right"/>
              <w:spacing w:after="0"/>
              <w:rPr>
                <w:sz w:val="20"/>
                <w:szCs w:val="20"/>
                <w:color w:val="auto"/>
              </w:rPr>
            </w:pPr>
            <w:r>
              <w:rPr>
                <w:rFonts w:ascii="Arial" w:cs="Arial" w:eastAsia="Arial" w:hAnsi="Arial"/>
                <w:sz w:val="18"/>
                <w:szCs w:val="18"/>
                <w:color w:val="auto"/>
              </w:rPr>
              <w:t>15,775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(26,612 )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(10,320 )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(371 )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(739,847 )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(12,819 )</w:t>
            </w:r>
          </w:p>
        </w:tc>
        <w:tc>
          <w:tcPr>
            <w:tcW w:w="2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(280,913 )</w:t>
            </w: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21,590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(1,023 )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Balance at September 11, 2022</w:t>
            </w:r>
          </w:p>
        </w:tc>
        <w:tc>
          <w:tcPr>
            <w:tcW w:w="1220" w:type="dxa"/>
            <w:vAlign w:val="bottom"/>
          </w:tcPr>
          <w:p>
            <w:pPr>
              <w:jc w:val="right"/>
              <w:spacing w:after="0"/>
              <w:rPr>
                <w:sz w:val="20"/>
                <w:szCs w:val="20"/>
                <w:color w:val="auto"/>
              </w:rPr>
            </w:pPr>
            <w:r>
              <w:rPr>
                <w:rFonts w:ascii="Arial" w:cs="Arial" w:eastAsia="Arial" w:hAnsi="Arial"/>
                <w:sz w:val="18"/>
                <w:szCs w:val="18"/>
                <w:color w:val="auto"/>
              </w:rPr>
              <w:t>35,398,212</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(4,313,643 )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(3,843 )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2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-548005</wp:posOffset>
            </wp:positionV>
            <wp:extent cx="7683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-548005</wp:posOffset>
            </wp:positionV>
            <wp:extent cx="7683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-548005</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5. Fair Value Measurements</w:t>
      </w:r>
    </w:p>
    <w:p>
      <w:pPr>
        <w:spacing w:after="0" w:line="18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Fair Value of Cash Equivalents and Marketable Securities</w:t>
      </w:r>
    </w:p>
    <w:p>
      <w:pPr>
        <w:spacing w:after="0" w:line="225"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The fair values of the Company’s cash equivalents and investments in marketable securities are based on quoted prices in active markets for identical assets.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Fair Value of Investments</w:t>
      </w:r>
    </w:p>
    <w:p>
      <w:pPr>
        <w:spacing w:after="0" w:line="198" w:lineRule="exact"/>
        <w:rPr>
          <w:sz w:val="20"/>
          <w:szCs w:val="20"/>
          <w:color w:val="auto"/>
        </w:rPr>
      </w:pPr>
    </w:p>
    <w:p>
      <w:pPr>
        <w:ind w:right="440" w:firstLine="255"/>
        <w:spacing w:after="0" w:line="301" w:lineRule="auto"/>
        <w:rPr>
          <w:sz w:val="20"/>
          <w:szCs w:val="20"/>
          <w:color w:val="auto"/>
        </w:rPr>
      </w:pPr>
      <w:r>
        <w:rPr>
          <w:rFonts w:ascii="Arial" w:cs="Arial" w:eastAsia="Arial" w:hAnsi="Arial"/>
          <w:sz w:val="16"/>
          <w:szCs w:val="16"/>
          <w:color w:val="auto"/>
        </w:rPr>
        <w:t>The Company holds a non-controlling interest in DPC Dash Ltd (“DPC Dash”), the Company’s master franchisee in China that owns and operates Domino’s Pizza stores in that market. Prior to March 28, 2023, the Company’s investment in DPC Dash’s senior ordinary shares, which were not in-substance common stock, represented an equity investment without a readily determinable fair value and was recorded at cost with adjustments for observable changes in prices resulting from orderly transactions for the identical or a similar investment of the same issuer or impairments.</w:t>
      </w:r>
    </w:p>
    <w:p>
      <w:pPr>
        <w:spacing w:after="0" w:line="15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On March 28, 2023, DPC Dash completed its initial public offering on the Hong Kong Exchange (HK: 1405), at which point the Company’s 18,101,019 DPC Dash senior ordinary shares automatically converted to DPC Dash ordinary shares pursuant to the terms of the investment. The Company is required to hold the DPC Dash ordinary shares for at least 360 days from the date of the initial public offering. Beginning in the second quarter of 2023, the Company accounts for its investment in DPC Dash as a trading security and records it at fair value at the end of each reporting period, with gains and losses recorded in other income or expense in its condensed consolidated statements of income.</w:t>
      </w:r>
    </w:p>
    <w:p>
      <w:pPr>
        <w:spacing w:after="0" w:line="188" w:lineRule="exact"/>
        <w:rPr>
          <w:sz w:val="20"/>
          <w:szCs w:val="20"/>
          <w:color w:val="auto"/>
        </w:rPr>
      </w:pPr>
    </w:p>
    <w:p>
      <w:pPr>
        <w:ind w:right="20" w:firstLine="300"/>
        <w:spacing w:after="0" w:line="252" w:lineRule="auto"/>
        <w:rPr>
          <w:sz w:val="20"/>
          <w:szCs w:val="20"/>
          <w:color w:val="auto"/>
        </w:rPr>
      </w:pPr>
      <w:r>
        <w:rPr>
          <w:rFonts w:ascii="Arial" w:cs="Arial" w:eastAsia="Arial" w:hAnsi="Arial"/>
          <w:sz w:val="18"/>
          <w:szCs w:val="18"/>
          <w:color w:val="auto"/>
        </w:rPr>
        <w:t>As of September 10, 2023, the fair value of the Company’s investment in DPC Dash is based on the active exchange quoted price for the equity security of HK$60.25 per share. The Company recorded a positive adjustment to the carrying amount of its investment in DPC Dash of $28.2 million in the third quarter of 2023 and $13.3 million in the three fiscal quarters of 2023, respectively, with the gain recorded in other income in its condensed consolidated statements of income. As of January 1, 2023, the fair value of the Company’s investment in DPC Dash was not readily determinable and was categorized in Level 3 of the fair value hierarchy. The Company did not record any adjustments to the carrying amount of its investment in the first quarter of 2023 or the three fiscal quarters of 2022. The Company transferred its investment from Level 3 to Level 1 on March 28, 2023, concurrent with DPC Dash’s initial public offering.</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color w:val="auto"/>
        </w:rPr>
        <w:t>The following tables summarize the carrying amounts and fair values of certain assets at September 10, 2023 and January 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At September 10, 2023</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520"/>
              <w:spacing w:after="0" w:line="160"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3"/>
                <w:szCs w:val="13"/>
                <w:color w:val="auto"/>
              </w:rPr>
            </w:pPr>
          </w:p>
        </w:tc>
        <w:tc>
          <w:tcPr>
            <w:tcW w:w="1080" w:type="dxa"/>
            <w:vAlign w:val="bottom"/>
          </w:tcPr>
          <w:p>
            <w:pPr>
              <w:jc w:val="center"/>
              <w:ind w:right="197"/>
              <w:spacing w:after="0" w:line="160"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3"/>
                <w:szCs w:val="13"/>
                <w:color w:val="auto"/>
              </w:rPr>
            </w:pPr>
          </w:p>
        </w:tc>
        <w:tc>
          <w:tcPr>
            <w:tcW w:w="1040" w:type="dxa"/>
            <w:vAlign w:val="bottom"/>
          </w:tcPr>
          <w:p>
            <w:pPr>
              <w:jc w:val="center"/>
              <w:ind w:left="242"/>
              <w:spacing w:after="0" w:line="160" w:lineRule="exact"/>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60"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3"/>
                <w:szCs w:val="13"/>
                <w:color w:val="auto"/>
              </w:rPr>
            </w:pPr>
          </w:p>
        </w:tc>
      </w:tr>
      <w:tr>
        <w:trPr>
          <w:trHeight w:val="185"/>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6"/>
                <w:szCs w:val="16"/>
                <w:color w:val="auto"/>
              </w:rPr>
            </w:pPr>
          </w:p>
        </w:tc>
        <w:tc>
          <w:tcPr>
            <w:tcW w:w="1040" w:type="dxa"/>
            <w:vAlign w:val="bottom"/>
          </w:tcPr>
          <w:p>
            <w:pPr>
              <w:jc w:val="center"/>
              <w:ind w:left="24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6"/>
                <w:szCs w:val="16"/>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57,239</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57,239</w:t>
            </w:r>
          </w:p>
        </w:tc>
        <w:tc>
          <w:tcPr>
            <w:tcW w:w="24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133,359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133,359</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marketable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Advertising fund cash equivalents, restricted</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114,704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114,704</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DPC Dash</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139,107</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392"/>
        </w:trPr>
        <w:tc>
          <w:tcPr>
            <w:tcW w:w="4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At January 1, 2023</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520"/>
              <w:spacing w:after="0" w:line="160"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3"/>
                <w:szCs w:val="13"/>
                <w:color w:val="auto"/>
              </w:rPr>
            </w:pPr>
          </w:p>
        </w:tc>
        <w:tc>
          <w:tcPr>
            <w:tcW w:w="1080" w:type="dxa"/>
            <w:vAlign w:val="bottom"/>
          </w:tcPr>
          <w:p>
            <w:pPr>
              <w:jc w:val="center"/>
              <w:ind w:right="197"/>
              <w:spacing w:after="0" w:line="160"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3"/>
                <w:szCs w:val="13"/>
                <w:color w:val="auto"/>
              </w:rPr>
            </w:pPr>
          </w:p>
        </w:tc>
        <w:tc>
          <w:tcPr>
            <w:tcW w:w="1040" w:type="dxa"/>
            <w:vAlign w:val="bottom"/>
          </w:tcPr>
          <w:p>
            <w:pPr>
              <w:jc w:val="center"/>
              <w:ind w:left="242"/>
              <w:spacing w:after="0" w:line="160" w:lineRule="exact"/>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60"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3"/>
                <w:szCs w:val="13"/>
                <w:color w:val="auto"/>
              </w:rPr>
            </w:pPr>
          </w:p>
        </w:tc>
      </w:tr>
      <w:tr>
        <w:trPr>
          <w:trHeight w:val="185"/>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6"/>
                <w:szCs w:val="16"/>
                <w:color w:val="auto"/>
              </w:rPr>
            </w:pPr>
          </w:p>
        </w:tc>
        <w:tc>
          <w:tcPr>
            <w:tcW w:w="1040" w:type="dxa"/>
            <w:vAlign w:val="bottom"/>
          </w:tcPr>
          <w:p>
            <w:pPr>
              <w:jc w:val="center"/>
              <w:ind w:left="24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6"/>
                <w:szCs w:val="16"/>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23,779</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23,779</w:t>
            </w:r>
          </w:p>
        </w:tc>
        <w:tc>
          <w:tcPr>
            <w:tcW w:w="24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117,212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117,212</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marketable securities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13,395</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Advertising fund cash equivalents, restricted</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124,496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124,496</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DPC Dash</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125,840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125,840</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Fair Value of Debt</w:t>
      </w:r>
    </w:p>
    <w:p>
      <w:pPr>
        <w:spacing w:after="0" w:line="225"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Management estimated the approximate fair values of the Company’s 2015, 2017, 2018, 2019 and 2021 notes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September 10, 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January 1, 2023</w:t>
            </w:r>
          </w:p>
        </w:tc>
        <w:tc>
          <w:tcPr>
            <w:tcW w:w="100" w:type="dxa"/>
            <w:vAlign w:val="bottom"/>
          </w:tcPr>
          <w:p>
            <w:pPr>
              <w:spacing w:after="0"/>
              <w:rPr>
                <w:sz w:val="16"/>
                <w:szCs w:val="16"/>
                <w:color w:val="auto"/>
              </w:rPr>
            </w:pPr>
          </w:p>
        </w:tc>
      </w:tr>
      <w:tr>
        <w:trPr>
          <w:trHeight w:val="169"/>
        </w:trPr>
        <w:tc>
          <w:tcPr>
            <w:tcW w:w="4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Principal Amount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Principal Amount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2015</w:t>
            </w: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746,000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715,414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752,000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717,408</w:t>
            </w:r>
          </w:p>
        </w:tc>
        <w:tc>
          <w:tcPr>
            <w:tcW w:w="100" w:type="dxa"/>
            <w:vAlign w:val="bottom"/>
            <w:shd w:val="clear" w:color="auto" w:fill="CFF0FC"/>
          </w:tcPr>
          <w:p>
            <w:pPr>
              <w:spacing w:after="0"/>
              <w:rPr>
                <w:sz w:val="20"/>
                <w:szCs w:val="20"/>
                <w:color w:val="auto"/>
              </w:rPr>
            </w:pPr>
          </w:p>
        </w:tc>
      </w:tr>
      <w:tr>
        <w:trPr>
          <w:trHeight w:val="237"/>
        </w:trPr>
        <w:tc>
          <w:tcPr>
            <w:tcW w:w="400" w:type="dxa"/>
            <w:vAlign w:val="bottom"/>
          </w:tcPr>
          <w:p>
            <w:pPr>
              <w:jc w:val="right"/>
              <w:spacing w:after="0"/>
              <w:rPr>
                <w:sz w:val="20"/>
                <w:szCs w:val="20"/>
                <w:color w:val="auto"/>
              </w:rPr>
            </w:pPr>
            <w:r>
              <w:rPr>
                <w:rFonts w:ascii="Arial" w:cs="Arial" w:eastAsia="Arial" w:hAnsi="Arial"/>
                <w:sz w:val="18"/>
                <w:szCs w:val="18"/>
                <w:color w:val="auto"/>
                <w:w w:val="89"/>
              </w:rPr>
              <w:t>2017</w:t>
            </w:r>
          </w:p>
        </w:tc>
        <w:tc>
          <w:tcPr>
            <w:tcW w:w="4540" w:type="dxa"/>
            <w:vAlign w:val="bottom"/>
          </w:tcPr>
          <w:p>
            <w:pPr>
              <w:ind w:left="20"/>
              <w:spacing w:after="0"/>
              <w:rPr>
                <w:sz w:val="20"/>
                <w:szCs w:val="20"/>
                <w:color w:val="auto"/>
              </w:rPr>
            </w:pPr>
            <w:r>
              <w:rPr>
                <w:rFonts w:ascii="Arial" w:cs="Arial" w:eastAsia="Arial" w:hAnsi="Arial"/>
                <w:sz w:val="18"/>
                <w:szCs w:val="18"/>
                <w:color w:val="auto"/>
              </w:rPr>
              <w:t>Ten-Year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945,000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875,070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952,500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875,348</w:t>
            </w:r>
          </w:p>
        </w:tc>
        <w:tc>
          <w:tcPr>
            <w:tcW w:w="100" w:type="dxa"/>
            <w:vAlign w:val="bottom"/>
          </w:tcPr>
          <w:p>
            <w:pPr>
              <w:spacing w:after="0"/>
              <w:rPr>
                <w:sz w:val="20"/>
                <w:szCs w:val="20"/>
                <w:color w:val="auto"/>
              </w:rPr>
            </w:pPr>
          </w:p>
        </w:tc>
      </w:tr>
      <w:tr>
        <w:trPr>
          <w:trHeight w:val="249"/>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2018</w:t>
            </w: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7.5-Year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404,813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385,382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385,968</w:t>
            </w:r>
          </w:p>
        </w:tc>
        <w:tc>
          <w:tcPr>
            <w:tcW w:w="100" w:type="dxa"/>
            <w:vAlign w:val="bottom"/>
            <w:shd w:val="clear" w:color="auto" w:fill="CFF0FC"/>
          </w:tcPr>
          <w:p>
            <w:pPr>
              <w:spacing w:after="0"/>
              <w:rPr>
                <w:sz w:val="21"/>
                <w:szCs w:val="21"/>
                <w:color w:val="auto"/>
              </w:rPr>
            </w:pPr>
          </w:p>
        </w:tc>
      </w:tr>
      <w:tr>
        <w:trPr>
          <w:trHeight w:val="237"/>
        </w:trPr>
        <w:tc>
          <w:tcPr>
            <w:tcW w:w="40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4540" w:type="dxa"/>
            <w:vAlign w:val="bottom"/>
          </w:tcPr>
          <w:p>
            <w:pPr>
              <w:ind w:left="20"/>
              <w:spacing w:after="0"/>
              <w:rPr>
                <w:sz w:val="20"/>
                <w:szCs w:val="20"/>
                <w:color w:val="auto"/>
              </w:rPr>
            </w:pPr>
            <w:r>
              <w:rPr>
                <w:rFonts w:ascii="Arial" w:cs="Arial" w:eastAsia="Arial" w:hAnsi="Arial"/>
                <w:sz w:val="18"/>
                <w:szCs w:val="18"/>
                <w:color w:val="auto"/>
              </w:rPr>
              <w:t>9.25-Year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355,473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355,584</w:t>
            </w:r>
          </w:p>
        </w:tc>
        <w:tc>
          <w:tcPr>
            <w:tcW w:w="100" w:type="dxa"/>
            <w:vAlign w:val="bottom"/>
          </w:tcPr>
          <w:p>
            <w:pPr>
              <w:spacing w:after="0"/>
              <w:rPr>
                <w:sz w:val="20"/>
                <w:szCs w:val="20"/>
                <w:color w:val="auto"/>
              </w:rPr>
            </w:pPr>
          </w:p>
        </w:tc>
      </w:tr>
      <w:tr>
        <w:trPr>
          <w:trHeight w:val="249"/>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2019</w:t>
            </w: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651,375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567,999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656,438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564,536</w:t>
            </w:r>
          </w:p>
        </w:tc>
        <w:tc>
          <w:tcPr>
            <w:tcW w:w="100" w:type="dxa"/>
            <w:vAlign w:val="bottom"/>
            <w:shd w:val="clear" w:color="auto" w:fill="CFF0FC"/>
          </w:tcPr>
          <w:p>
            <w:pPr>
              <w:spacing w:after="0"/>
              <w:rPr>
                <w:sz w:val="21"/>
                <w:szCs w:val="21"/>
                <w:color w:val="auto"/>
              </w:rPr>
            </w:pPr>
          </w:p>
        </w:tc>
      </w:tr>
      <w:tr>
        <w:trPr>
          <w:trHeight w:val="237"/>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c>
          <w:tcPr>
            <w:tcW w:w="4540" w:type="dxa"/>
            <w:vAlign w:val="bottom"/>
          </w:tcPr>
          <w:p>
            <w:pPr>
              <w:ind w:left="20"/>
              <w:spacing w:after="0"/>
              <w:rPr>
                <w:sz w:val="20"/>
                <w:szCs w:val="20"/>
                <w:color w:val="auto"/>
              </w:rPr>
            </w:pPr>
            <w:r>
              <w:rPr>
                <w:rFonts w:ascii="Arial" w:cs="Arial" w:eastAsia="Arial" w:hAnsi="Arial"/>
                <w:sz w:val="18"/>
                <w:szCs w:val="18"/>
                <w:color w:val="auto"/>
              </w:rPr>
              <w:t>7.5-Year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830,875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705,413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837,250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695,755</w:t>
            </w:r>
          </w:p>
        </w:tc>
        <w:tc>
          <w:tcPr>
            <w:tcW w:w="100" w:type="dxa"/>
            <w:vAlign w:val="bottom"/>
          </w:tcPr>
          <w:p>
            <w:pPr>
              <w:spacing w:after="0"/>
              <w:rPr>
                <w:sz w:val="20"/>
                <w:szCs w:val="20"/>
                <w:color w:val="auto"/>
              </w:rPr>
            </w:pPr>
          </w:p>
        </w:tc>
      </w:tr>
      <w:tr>
        <w:trPr>
          <w:trHeight w:val="249"/>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2021</w:t>
            </w: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977,500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798,618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985,000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792,925</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5540" w:right="1540" w:hanging="5274"/>
        <w:spacing w:after="0" w:line="527" w:lineRule="auto"/>
        <w:rPr>
          <w:sz w:val="20"/>
          <w:szCs w:val="20"/>
          <w:color w:val="auto"/>
        </w:rPr>
      </w:pPr>
      <w:r>
        <w:rPr>
          <w:rFonts w:ascii="Arial" w:cs="Arial" w:eastAsia="Arial" w:hAnsi="Arial"/>
          <w:sz w:val="18"/>
          <w:szCs w:val="18"/>
          <w:color w:val="auto"/>
        </w:rPr>
        <w:t>The Company did not have any outstanding borrowings under its variable funding notes at September 10, 2023 or January 1, 2023.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right"/>
        <w:ind w:left="292" w:right="9520" w:hanging="292"/>
        <w:spacing w:after="0" w:line="469" w:lineRule="auto"/>
        <w:tabs>
          <w:tab w:leader="none" w:pos="184"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Revenue Disclosures </w:t>
      </w:r>
      <w:r>
        <w:rPr>
          <w:rFonts w:ascii="Arial" w:cs="Arial" w:eastAsia="Arial" w:hAnsi="Arial"/>
          <w:sz w:val="15"/>
          <w:szCs w:val="15"/>
          <w:u w:val="single" w:color="auto"/>
          <w:color w:val="auto"/>
        </w:rPr>
        <w:t>Contract Liabilities</w:t>
      </w:r>
    </w:p>
    <w:p>
      <w:pPr>
        <w:spacing w:after="0" w:line="1" w:lineRule="exact"/>
        <w:rPr>
          <w:sz w:val="20"/>
          <w:szCs w:val="20"/>
          <w:color w:val="auto"/>
        </w:rPr>
      </w:pPr>
    </w:p>
    <w:p>
      <w:pPr>
        <w:ind w:left="292" w:right="220" w:firstLine="282"/>
        <w:spacing w:after="0" w:line="259" w:lineRule="auto"/>
        <w:rPr>
          <w:sz w:val="20"/>
          <w:szCs w:val="20"/>
          <w:color w:val="auto"/>
        </w:rPr>
      </w:pPr>
      <w:r>
        <w:rPr>
          <w:rFonts w:ascii="Arial" w:cs="Arial" w:eastAsia="Arial" w:hAnsi="Arial"/>
          <w:sz w:val="18"/>
          <w:szCs w:val="18"/>
          <w:color w:val="auto"/>
        </w:rPr>
        <w:t>Contract liabilities primarily consist of deferred franchise fees and deferred development fees. Deferred franchise fees and deferred development fees of $5.3 million and $5.5 million were included in current other accrued liabilities as of September 10, 2023 and January 1, 2023, respectively. Deferred franchise fees and deferred development fees of $20.7 million and $22.7 million were included in long-term other accrued liabilities as of September 10, 2023 and January 1, 2023, respectively.</w:t>
      </w:r>
    </w:p>
    <w:p>
      <w:pPr>
        <w:spacing w:after="0" w:line="92" w:lineRule="exact"/>
        <w:rPr>
          <w:sz w:val="20"/>
          <w:szCs w:val="20"/>
          <w:color w:val="auto"/>
        </w:rPr>
      </w:pPr>
    </w:p>
    <w:p>
      <w:pPr>
        <w:ind w:left="292" w:right="100" w:firstLine="282"/>
        <w:spacing w:after="0" w:line="277" w:lineRule="auto"/>
        <w:rPr>
          <w:sz w:val="20"/>
          <w:szCs w:val="20"/>
          <w:color w:val="auto"/>
        </w:rPr>
      </w:pPr>
      <w:r>
        <w:rPr>
          <w:rFonts w:ascii="Arial" w:cs="Arial" w:eastAsia="Arial" w:hAnsi="Arial"/>
          <w:sz w:val="18"/>
          <w:szCs w:val="18"/>
          <w:color w:val="auto"/>
        </w:rPr>
        <w:t>Changes in deferred franchise fees and deferred development fees for the three fiscal quarters of 2023 and the three fiscal quarters of 2022 were as follows:</w:t>
      </w:r>
    </w:p>
    <w:p>
      <w:pPr>
        <w:spacing w:after="0" w:line="175" w:lineRule="exact"/>
        <w:rPr>
          <w:sz w:val="20"/>
          <w:szCs w:val="20"/>
          <w:color w:val="auto"/>
        </w:rPr>
      </w:pPr>
    </w:p>
    <w:tbl>
      <w:tblPr>
        <w:tblLayout w:type="fixed"/>
        <w:tblInd w:w="572"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Fiscal Quarters Ended</w:t>
            </w:r>
          </w:p>
        </w:tc>
      </w:tr>
      <w:tr>
        <w:trPr>
          <w:trHeight w:val="160"/>
        </w:trPr>
        <w:tc>
          <w:tcPr>
            <w:tcW w:w="6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right"/>
              <w:ind w:right="540"/>
              <w:spacing w:after="0" w:line="160" w:lineRule="exact"/>
              <w:rPr>
                <w:sz w:val="20"/>
                <w:szCs w:val="20"/>
                <w:color w:val="auto"/>
              </w:rPr>
            </w:pPr>
            <w:r>
              <w:rPr>
                <w:rFonts w:ascii="Arial" w:cs="Arial" w:eastAsia="Arial" w:hAnsi="Arial"/>
                <w:sz w:val="14"/>
                <w:szCs w:val="14"/>
                <w:b w:val="1"/>
                <w:bCs w:val="1"/>
                <w:color w:val="auto"/>
                <w:w w:val="96"/>
              </w:rPr>
              <w:t>September 10,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56"/>
              <w:spacing w:after="0" w:line="160" w:lineRule="exact"/>
              <w:rPr>
                <w:sz w:val="20"/>
                <w:szCs w:val="20"/>
                <w:color w:val="auto"/>
              </w:rPr>
            </w:pPr>
            <w:r>
              <w:rPr>
                <w:rFonts w:ascii="Arial" w:cs="Arial" w:eastAsia="Arial" w:hAnsi="Arial"/>
                <w:sz w:val="14"/>
                <w:szCs w:val="14"/>
                <w:b w:val="1"/>
                <w:bCs w:val="1"/>
                <w:color w:val="auto"/>
                <w:w w:val="98"/>
              </w:rPr>
              <w:t>September 11,</w:t>
            </w:r>
          </w:p>
        </w:tc>
        <w:tc>
          <w:tcPr>
            <w:tcW w:w="100" w:type="dxa"/>
            <w:vAlign w:val="bottom"/>
          </w:tcPr>
          <w:p>
            <w:pPr>
              <w:spacing w:after="0"/>
              <w:rPr>
                <w:sz w:val="13"/>
                <w:szCs w:val="13"/>
                <w:color w:val="auto"/>
              </w:rPr>
            </w:pPr>
          </w:p>
        </w:tc>
      </w:tr>
      <w:tr>
        <w:trPr>
          <w:trHeight w:val="18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Deferred franchise fees and deferred development fees, beginning of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28,225</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shd w:val="clear" w:color="auto" w:fill="CFF0FC"/>
          </w:tcPr>
          <w:p>
            <w:pPr>
              <w:spacing w:after="0"/>
              <w:rPr>
                <w:sz w:val="20"/>
                <w:szCs w:val="20"/>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(4,680 )</w:t>
            </w: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(4,688 )</w:t>
            </w:r>
          </w:p>
        </w:tc>
      </w:tr>
      <w:tr>
        <w:trPr>
          <w:trHeight w:val="24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deferrals due to cash received and other</w:t>
            </w: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Deferred franchise fees and deferred development fees,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26,001</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28,780</w:t>
            </w:r>
          </w:p>
        </w:tc>
        <w:tc>
          <w:tcPr>
            <w:tcW w:w="100" w:type="dxa"/>
            <w:vAlign w:val="bottom"/>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-187960</wp:posOffset>
            </wp:positionV>
            <wp:extent cx="603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ind w:left="292"/>
        <w:spacing w:after="0"/>
        <w:rPr>
          <w:sz w:val="20"/>
          <w:szCs w:val="20"/>
          <w:color w:val="auto"/>
        </w:rPr>
      </w:pPr>
      <w:r>
        <w:rPr>
          <w:rFonts w:ascii="Arial" w:cs="Arial" w:eastAsia="Arial" w:hAnsi="Arial"/>
          <w:sz w:val="18"/>
          <w:szCs w:val="18"/>
          <w:u w:val="single" w:color="auto"/>
          <w:color w:val="auto"/>
        </w:rPr>
        <w:t>Advertising Fund Assets</w:t>
      </w:r>
    </w:p>
    <w:p>
      <w:pPr>
        <w:spacing w:after="0" w:line="131" w:lineRule="exact"/>
        <w:rPr>
          <w:sz w:val="20"/>
          <w:szCs w:val="20"/>
          <w:color w:val="auto"/>
        </w:rPr>
      </w:pPr>
    </w:p>
    <w:p>
      <w:pPr>
        <w:ind w:left="292" w:right="240" w:firstLine="287"/>
        <w:spacing w:after="0" w:line="286" w:lineRule="auto"/>
        <w:rPr>
          <w:sz w:val="20"/>
          <w:szCs w:val="20"/>
          <w:color w:val="auto"/>
        </w:rPr>
      </w:pPr>
      <w:r>
        <w:rPr>
          <w:rFonts w:ascii="Arial" w:cs="Arial" w:eastAsia="Arial" w:hAnsi="Arial"/>
          <w:sz w:val="17"/>
          <w:szCs w:val="17"/>
          <w:color w:val="auto"/>
        </w:rPr>
        <w:t>As of September 10, 2023, advertising fund assets, restricted of $151.5 million consisted of $136.6 million of cash and cash equivalents, $9.7 million of accounts receivable and $5.2 million of prepaid expenses. As of September 10, 2023, advertising fund cash and cash equivalents included $4.2 million of cash contributed from U.S. Company-owned stores that had not yet been expended.</w:t>
      </w:r>
    </w:p>
    <w:p>
      <w:pPr>
        <w:spacing w:after="0" w:line="71" w:lineRule="exact"/>
        <w:rPr>
          <w:sz w:val="20"/>
          <w:szCs w:val="20"/>
          <w:color w:val="auto"/>
        </w:rPr>
      </w:pPr>
    </w:p>
    <w:p>
      <w:pPr>
        <w:ind w:left="292" w:firstLine="284"/>
        <w:spacing w:after="0" w:line="263" w:lineRule="auto"/>
        <w:rPr>
          <w:sz w:val="20"/>
          <w:szCs w:val="20"/>
          <w:color w:val="auto"/>
        </w:rPr>
      </w:pPr>
      <w:r>
        <w:rPr>
          <w:rFonts w:ascii="Arial" w:cs="Arial" w:eastAsia="Arial" w:hAnsi="Arial"/>
          <w:sz w:val="18"/>
          <w:szCs w:val="18"/>
          <w:color w:val="auto"/>
        </w:rPr>
        <w:t>As of January 1, 2023, advertising fund assets, restricted of $162.7 million consisted of $143.6 million of cash and cash equivalents, $13.1 million of accounts receivable and $6.0 million of prepaid expenses. As of January 1, 2023, advertising fund cash and cash equivalents included $4.8 million of cash contributed from U.S. Company-owned stores that had not yet been expended.</w:t>
      </w:r>
    </w:p>
    <w:p>
      <w:pPr>
        <w:spacing w:after="0" w:line="184" w:lineRule="exact"/>
        <w:rPr>
          <w:sz w:val="20"/>
          <w:szCs w:val="20"/>
          <w:color w:val="auto"/>
        </w:rPr>
      </w:pPr>
    </w:p>
    <w:p>
      <w:pPr>
        <w:ind w:left="292"/>
        <w:spacing w:after="0"/>
        <w:rPr>
          <w:sz w:val="20"/>
          <w:szCs w:val="20"/>
          <w:color w:val="auto"/>
        </w:rPr>
      </w:pPr>
      <w:r>
        <w:rPr>
          <w:rFonts w:ascii="Arial" w:cs="Arial" w:eastAsia="Arial" w:hAnsi="Arial"/>
          <w:sz w:val="18"/>
          <w:szCs w:val="18"/>
          <w:u w:val="single" w:color="auto"/>
          <w:color w:val="auto"/>
        </w:rPr>
        <w:t>Change in Advertising Fund Contributions and Technology Fees</w:t>
      </w:r>
    </w:p>
    <w:p>
      <w:pPr>
        <w:spacing w:after="0" w:line="225" w:lineRule="exact"/>
        <w:rPr>
          <w:sz w:val="20"/>
          <w:szCs w:val="20"/>
          <w:color w:val="auto"/>
        </w:rPr>
      </w:pPr>
    </w:p>
    <w:p>
      <w:pPr>
        <w:ind w:left="292" w:right="220" w:firstLine="284"/>
        <w:spacing w:after="0" w:line="279" w:lineRule="auto"/>
        <w:rPr>
          <w:sz w:val="20"/>
          <w:szCs w:val="20"/>
          <w:color w:val="auto"/>
        </w:rPr>
      </w:pPr>
      <w:r>
        <w:rPr>
          <w:rFonts w:ascii="Arial" w:cs="Arial" w:eastAsia="Arial" w:hAnsi="Arial"/>
          <w:sz w:val="17"/>
          <w:szCs w:val="17"/>
          <w:color w:val="auto"/>
        </w:rPr>
        <w:t>Beginning in the second quarter of 2023, as of March 27, 2023, Domino's National Advertising Fund Inc., the Company’s consolidated not-for-profit advertising subsidiary, effectuated a temporary reduction of 0.25% to its standard 6.0% advertising contribution, which is anticipated to be in effect for at least one year from the effective date. Concurrently, the Company also increased the U.S. digital per-transaction technology fees that are recognized as the related U.S. franchise retail sales occur by $0.08 to $0.395 for the same time period.</w:t>
      </w:r>
    </w:p>
    <w:p>
      <w:pPr>
        <w:spacing w:after="0" w:line="131" w:lineRule="exact"/>
        <w:rPr>
          <w:sz w:val="20"/>
          <w:szCs w:val="20"/>
          <w:color w:val="auto"/>
        </w:rPr>
      </w:pPr>
    </w:p>
    <w:p>
      <w:pPr>
        <w:ind w:left="292"/>
        <w:spacing w:after="0"/>
        <w:rPr>
          <w:sz w:val="20"/>
          <w:szCs w:val="20"/>
          <w:color w:val="auto"/>
        </w:rPr>
      </w:pPr>
      <w:r>
        <w:rPr>
          <w:rFonts w:ascii="Arial" w:cs="Arial" w:eastAsia="Arial" w:hAnsi="Arial"/>
          <w:sz w:val="18"/>
          <w:szCs w:val="18"/>
          <w:u w:val="single" w:color="auto"/>
          <w:color w:val="auto"/>
        </w:rPr>
        <w:t>Partnership with Uber Technologies, Inc. (Uber)</w:t>
      </w:r>
    </w:p>
    <w:p>
      <w:pPr>
        <w:spacing w:after="0" w:line="225" w:lineRule="exact"/>
        <w:rPr>
          <w:sz w:val="20"/>
          <w:szCs w:val="20"/>
          <w:color w:val="auto"/>
        </w:rPr>
      </w:pPr>
    </w:p>
    <w:p>
      <w:pPr>
        <w:ind w:left="292" w:right="480" w:firstLine="284"/>
        <w:spacing w:after="0" w:line="263" w:lineRule="auto"/>
        <w:rPr>
          <w:sz w:val="20"/>
          <w:szCs w:val="20"/>
          <w:color w:val="auto"/>
        </w:rPr>
      </w:pPr>
      <w:r>
        <w:rPr>
          <w:rFonts w:ascii="Arial" w:cs="Arial" w:eastAsia="Arial" w:hAnsi="Arial"/>
          <w:sz w:val="18"/>
          <w:szCs w:val="18"/>
          <w:color w:val="auto"/>
        </w:rPr>
        <w:t>During the third quarter of 2023, the Company entered into a new global agreement with Uber (NYSE:UBER) to allow customers to order Domino’s products through the Uber Eats and Postmates apps with delivery by the Company and its franchisees’ delivery experts. The Company expects the U.S. rollout of this agreement to be enabled by the end of fiscal 2023.</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7. Leases</w:t>
      </w:r>
    </w:p>
    <w:p>
      <w:pPr>
        <w:spacing w:after="0" w:line="117" w:lineRule="exact"/>
        <w:rPr>
          <w:sz w:val="20"/>
          <w:szCs w:val="20"/>
          <w:color w:val="auto"/>
        </w:rPr>
      </w:pPr>
    </w:p>
    <w:p>
      <w:pPr>
        <w:ind w:right="380" w:firstLine="284"/>
        <w:spacing w:after="0" w:line="277" w:lineRule="auto"/>
        <w:rPr>
          <w:sz w:val="20"/>
          <w:szCs w:val="20"/>
          <w:color w:val="auto"/>
        </w:rPr>
      </w:pPr>
      <w:r>
        <w:rPr>
          <w:rFonts w:ascii="Arial" w:cs="Arial" w:eastAsia="Arial" w:hAnsi="Arial"/>
          <w:sz w:val="18"/>
          <w:szCs w:val="18"/>
          <w:color w:val="auto"/>
        </w:rPr>
        <w:t>The Company leases certain retail store and supply chain center locations, vehicles, equipment and its corporate headquarters with expiration dates through 2041.</w:t>
      </w:r>
    </w:p>
    <w:p>
      <w:pPr>
        <w:spacing w:after="0" w:line="62" w:lineRule="exact"/>
        <w:rPr>
          <w:sz w:val="20"/>
          <w:szCs w:val="20"/>
          <w:color w:val="auto"/>
        </w:rPr>
      </w:pPr>
    </w:p>
    <w:p>
      <w:pPr>
        <w:ind w:right="120" w:firstLine="284"/>
        <w:spacing w:after="0" w:line="277" w:lineRule="auto"/>
        <w:rPr>
          <w:sz w:val="20"/>
          <w:szCs w:val="20"/>
          <w:color w:val="auto"/>
        </w:rPr>
      </w:pPr>
      <w:r>
        <w:rPr>
          <w:rFonts w:ascii="Arial" w:cs="Arial" w:eastAsia="Arial" w:hAnsi="Arial"/>
          <w:sz w:val="18"/>
          <w:szCs w:val="18"/>
          <w:color w:val="auto"/>
        </w:rPr>
        <w:t>The components of operating and finance lease cost for the third quarter and three fiscal quarters of 2023 and the third quarter and three fiscal quarters of 2022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Fiscal Quarter Ended</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Fiscal Quarters Ended</w:t>
            </w:r>
          </w:p>
        </w:tc>
        <w:tc>
          <w:tcPr>
            <w:tcW w:w="100" w:type="dxa"/>
            <w:vAlign w:val="bottom"/>
          </w:tcPr>
          <w:p>
            <w:pPr>
              <w:spacing w:after="0"/>
              <w:rPr>
                <w:sz w:val="16"/>
                <w:szCs w:val="16"/>
                <w:color w:val="auto"/>
              </w:rPr>
            </w:pPr>
          </w:p>
        </w:tc>
      </w:tr>
      <w:tr>
        <w:trPr>
          <w:trHeight w:val="160"/>
        </w:trPr>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198"/>
              <w:spacing w:after="0" w:line="160" w:lineRule="exact"/>
              <w:rPr>
                <w:sz w:val="20"/>
                <w:szCs w:val="20"/>
                <w:color w:val="auto"/>
              </w:rPr>
            </w:pPr>
            <w:r>
              <w:rPr>
                <w:rFonts w:ascii="Arial" w:cs="Arial" w:eastAsia="Arial" w:hAnsi="Arial"/>
                <w:sz w:val="14"/>
                <w:szCs w:val="14"/>
                <w:b w:val="1"/>
                <w:bCs w:val="1"/>
                <w:color w:val="auto"/>
              </w:rPr>
              <w:t>September 10,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16"/>
              <w:spacing w:after="0" w:line="160" w:lineRule="exact"/>
              <w:rPr>
                <w:sz w:val="20"/>
                <w:szCs w:val="20"/>
                <w:color w:val="auto"/>
              </w:rPr>
            </w:pPr>
            <w:r>
              <w:rPr>
                <w:rFonts w:ascii="Arial" w:cs="Arial" w:eastAsia="Arial" w:hAnsi="Arial"/>
                <w:sz w:val="14"/>
                <w:szCs w:val="14"/>
                <w:b w:val="1"/>
                <w:bCs w:val="1"/>
                <w:color w:val="auto"/>
                <w:w w:val="98"/>
              </w:rPr>
              <w:t>September 11,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18"/>
              <w:spacing w:after="0" w:line="160" w:lineRule="exact"/>
              <w:rPr>
                <w:sz w:val="20"/>
                <w:szCs w:val="20"/>
                <w:color w:val="auto"/>
              </w:rPr>
            </w:pPr>
            <w:r>
              <w:rPr>
                <w:rFonts w:ascii="Arial" w:cs="Arial" w:eastAsia="Arial" w:hAnsi="Arial"/>
                <w:sz w:val="14"/>
                <w:szCs w:val="14"/>
                <w:b w:val="1"/>
                <w:bCs w:val="1"/>
                <w:color w:val="auto"/>
                <w:w w:val="98"/>
              </w:rPr>
              <w:t>September 10,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16"/>
              <w:spacing w:after="0" w:line="160" w:lineRule="exact"/>
              <w:rPr>
                <w:sz w:val="20"/>
                <w:szCs w:val="20"/>
                <w:color w:val="auto"/>
              </w:rPr>
            </w:pPr>
            <w:r>
              <w:rPr>
                <w:rFonts w:ascii="Arial" w:cs="Arial" w:eastAsia="Arial" w:hAnsi="Arial"/>
                <w:sz w:val="14"/>
                <w:szCs w:val="14"/>
                <w:b w:val="1"/>
                <w:bCs w:val="1"/>
                <w:color w:val="auto"/>
                <w:w w:val="98"/>
              </w:rPr>
              <w:t>September 11,</w:t>
            </w:r>
          </w:p>
        </w:tc>
        <w:tc>
          <w:tcPr>
            <w:tcW w:w="100" w:type="dxa"/>
            <w:vAlign w:val="bottom"/>
          </w:tcPr>
          <w:p>
            <w:pPr>
              <w:spacing w:after="0"/>
              <w:rPr>
                <w:sz w:val="13"/>
                <w:szCs w:val="13"/>
                <w:color w:val="auto"/>
              </w:rPr>
            </w:pPr>
          </w:p>
        </w:tc>
      </w:tr>
      <w:tr>
        <w:trPr>
          <w:trHeight w:val="185"/>
        </w:trPr>
        <w:tc>
          <w:tcPr>
            <w:tcW w:w="4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32,734</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32,366</w:t>
            </w:r>
          </w:p>
        </w:tc>
        <w:tc>
          <w:tcPr>
            <w:tcW w:w="100" w:type="dxa"/>
            <w:vAlign w:val="bottom"/>
            <w:shd w:val="clear" w:color="auto" w:fill="CFF0FC"/>
          </w:tcPr>
          <w:p>
            <w:pPr>
              <w:spacing w:after="0"/>
              <w:rPr>
                <w:sz w:val="20"/>
                <w:szCs w:val="20"/>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3,794</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FF0FC"/>
          </w:tcPr>
          <w:p>
            <w:pPr>
              <w:spacing w:after="0"/>
              <w:rPr>
                <w:sz w:val="21"/>
                <w:szCs w:val="21"/>
                <w:color w:val="auto"/>
              </w:rPr>
            </w:pPr>
          </w:p>
        </w:tc>
      </w:tr>
      <w:tr>
        <w:trPr>
          <w:trHeight w:val="237"/>
        </w:trPr>
        <w:tc>
          <w:tcPr>
            <w:tcW w:w="460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0"/>
                <w:szCs w:val="20"/>
                <w:color w:val="auto"/>
              </w:rPr>
            </w:pPr>
          </w:p>
        </w:tc>
      </w:tr>
      <w:tr>
        <w:trPr>
          <w:trHeight w:val="277"/>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finance lease cost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100" w:firstLine="284"/>
        <w:spacing w:after="0" w:line="271" w:lineRule="auto"/>
        <w:rPr>
          <w:sz w:val="20"/>
          <w:szCs w:val="20"/>
          <w:color w:val="auto"/>
        </w:rPr>
      </w:pPr>
      <w:r>
        <w:rPr>
          <w:rFonts w:ascii="Arial" w:cs="Arial" w:eastAsia="Arial" w:hAnsi="Arial"/>
          <w:sz w:val="17"/>
          <w:szCs w:val="17"/>
          <w:color w:val="auto"/>
        </w:rPr>
        <w:t>Rent expense totaled $19.7 million and $58.8 million in the third quarter and three fiscal quarters of 2023, respectively. Rent expense totaled $17.5 million and $55.4 million in the third quarter and three fiscal quarters of 2022,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$1.4 million and $4.1 million in the third quarter and three fiscal quarters of 2023, respectively. Rent expense for certain short-term supply chain center tractor and trailer rentals was $1.3 million and $5.1 million in the third quarter and three fiscal quarters of 2022, respectively. Variable rent expense and rent expense for other short-term leases were immaterial in both the third quarter and three fiscal quarters of 2023 and 2022.</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Supplemental balance sheet information related to the Company’s finance leases as of September 10, 2023 and January 1, 2023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September 10,</w:t>
            </w:r>
          </w:p>
        </w:tc>
        <w:tc>
          <w:tcPr>
            <w:tcW w:w="300" w:type="dxa"/>
            <w:vAlign w:val="bottom"/>
          </w:tcPr>
          <w:p>
            <w:pPr>
              <w:spacing w:after="0"/>
              <w:rPr>
                <w:sz w:val="15"/>
                <w:szCs w:val="15"/>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January 1,</w:t>
            </w:r>
          </w:p>
        </w:tc>
      </w:tr>
      <w:tr>
        <w:trPr>
          <w:trHeight w:val="185"/>
        </w:trPr>
        <w:tc>
          <w:tcPr>
            <w:tcW w:w="7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buildings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83,854</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83,902</w:t>
            </w:r>
          </w:p>
        </w:tc>
        <w:tc>
          <w:tcPr>
            <w:tcW w:w="10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Equipment</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assets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87,795</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85,508</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(22,382 )</w:t>
            </w:r>
          </w:p>
        </w:tc>
        <w:tc>
          <w:tcPr>
            <w:tcW w:w="30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(19,405 )</w:t>
            </w:r>
          </w:p>
        </w:tc>
      </w:tr>
      <w:tr>
        <w:trPr>
          <w:trHeight w:val="277"/>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 assets, net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65,413</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70,157</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70,886</w:t>
            </w:r>
          </w:p>
        </w:tc>
        <w:tc>
          <w:tcPr>
            <w:tcW w:w="100" w:type="dxa"/>
            <w:vAlign w:val="bottom"/>
          </w:tcPr>
          <w:p>
            <w:pPr>
              <w:spacing w:after="0"/>
              <w:rPr>
                <w:sz w:val="20"/>
                <w:szCs w:val="20"/>
                <w:color w:val="auto"/>
              </w:rPr>
            </w:pPr>
          </w:p>
        </w:tc>
      </w:tr>
      <w:tr>
        <w:trPr>
          <w:trHeight w:val="277"/>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principal payable on finance leases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74,504</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-676275</wp:posOffset>
            </wp:positionV>
            <wp:extent cx="129413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94130"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440" w:firstLine="284"/>
        <w:spacing w:after="0" w:line="277" w:lineRule="auto"/>
        <w:rPr>
          <w:sz w:val="20"/>
          <w:szCs w:val="20"/>
          <w:color w:val="auto"/>
        </w:rPr>
      </w:pPr>
      <w:r>
        <w:rPr>
          <w:rFonts w:ascii="Arial" w:cs="Arial" w:eastAsia="Arial" w:hAnsi="Arial"/>
          <w:sz w:val="18"/>
          <w:szCs w:val="18"/>
          <w:color w:val="auto"/>
        </w:rPr>
        <w:t>As of September 10, 2023 and January 1, 2023, the weighted average remaining lease term and weighted average discount rate for the Company’s operating and finance leases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882"/>
              <w:spacing w:after="0"/>
              <w:rPr>
                <w:sz w:val="20"/>
                <w:szCs w:val="20"/>
                <w:color w:val="auto"/>
              </w:rPr>
            </w:pPr>
            <w:r>
              <w:rPr>
                <w:rFonts w:ascii="Arial" w:cs="Arial" w:eastAsia="Arial" w:hAnsi="Arial"/>
                <w:sz w:val="14"/>
                <w:szCs w:val="14"/>
                <w:b w:val="1"/>
                <w:bCs w:val="1"/>
                <w:color w:val="auto"/>
              </w:rPr>
              <w:t>September 10, 2023</w:t>
            </w:r>
          </w:p>
        </w:tc>
        <w:tc>
          <w:tcPr>
            <w:tcW w:w="120" w:type="dxa"/>
            <w:vAlign w:val="bottom"/>
          </w:tcPr>
          <w:p>
            <w:pPr>
              <w:spacing w:after="0"/>
              <w:rPr>
                <w:sz w:val="16"/>
                <w:szCs w:val="16"/>
                <w:color w:val="auto"/>
              </w:rPr>
            </w:pPr>
          </w:p>
        </w:tc>
        <w:tc>
          <w:tcPr>
            <w:tcW w:w="17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January 1, 2023</w:t>
            </w:r>
          </w:p>
        </w:tc>
        <w:tc>
          <w:tcPr>
            <w:tcW w:w="800" w:type="dxa"/>
            <w:vAlign w:val="bottom"/>
            <w:tcBorders>
              <w:bottom w:val="single" w:sz="8" w:color="auto"/>
            </w:tcBorders>
          </w:tcPr>
          <w:p>
            <w:pPr>
              <w:spacing w:after="0"/>
              <w:rPr>
                <w:sz w:val="16"/>
                <w:szCs w:val="16"/>
                <w:color w:val="auto"/>
              </w:rPr>
            </w:pPr>
          </w:p>
        </w:tc>
      </w:tr>
      <w:tr>
        <w:trPr>
          <w:trHeight w:val="238"/>
        </w:trPr>
        <w:tc>
          <w:tcPr>
            <w:tcW w:w="5440" w:type="dxa"/>
            <w:vAlign w:val="bottom"/>
          </w:tcPr>
          <w:p>
            <w:pPr>
              <w:spacing w:after="0"/>
              <w:rPr>
                <w:sz w:val="20"/>
                <w:szCs w:val="20"/>
                <w:color w:val="auto"/>
              </w:rPr>
            </w:pPr>
          </w:p>
        </w:tc>
        <w:tc>
          <w:tcPr>
            <w:tcW w:w="1500" w:type="dxa"/>
            <w:vAlign w:val="bottom"/>
          </w:tcPr>
          <w:p>
            <w:pPr>
              <w:jc w:val="right"/>
              <w:ind w:right="339"/>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20"/>
                <w:szCs w:val="20"/>
                <w:color w:val="auto"/>
              </w:rPr>
            </w:pPr>
          </w:p>
        </w:tc>
        <w:tc>
          <w:tcPr>
            <w:tcW w:w="1500" w:type="dxa"/>
            <w:vAlign w:val="bottom"/>
          </w:tcPr>
          <w:p>
            <w:pPr>
              <w:jc w:val="right"/>
              <w:ind w:right="422"/>
              <w:spacing w:after="0"/>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20"/>
                <w:szCs w:val="20"/>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Operating</w:t>
            </w:r>
          </w:p>
        </w:tc>
        <w:tc>
          <w:tcPr>
            <w:tcW w:w="800" w:type="dxa"/>
            <w:vAlign w:val="bottom"/>
          </w:tcPr>
          <w:p>
            <w:pPr>
              <w:jc w:val="right"/>
              <w:ind w:right="219"/>
              <w:spacing w:after="0"/>
              <w:rPr>
                <w:sz w:val="20"/>
                <w:szCs w:val="20"/>
                <w:color w:val="auto"/>
              </w:rPr>
            </w:pPr>
            <w:r>
              <w:rPr>
                <w:rFonts w:ascii="Arial" w:cs="Arial" w:eastAsia="Arial" w:hAnsi="Arial"/>
                <w:sz w:val="14"/>
                <w:szCs w:val="14"/>
                <w:b w:val="1"/>
                <w:bCs w:val="1"/>
                <w:color w:val="auto"/>
                <w:w w:val="90"/>
              </w:rPr>
              <w:t>Finance</w:t>
            </w:r>
          </w:p>
        </w:tc>
      </w:tr>
      <w:tr>
        <w:trPr>
          <w:trHeight w:val="241"/>
        </w:trPr>
        <w:tc>
          <w:tcPr>
            <w:tcW w:w="5440" w:type="dxa"/>
            <w:vAlign w:val="bottom"/>
          </w:tcPr>
          <w:p>
            <w:pPr>
              <w:spacing w:after="0"/>
              <w:rPr>
                <w:sz w:val="21"/>
                <w:szCs w:val="21"/>
                <w:color w:val="auto"/>
              </w:rPr>
            </w:pPr>
          </w:p>
        </w:tc>
        <w:tc>
          <w:tcPr>
            <w:tcW w:w="1500" w:type="dxa"/>
            <w:vAlign w:val="bottom"/>
          </w:tcPr>
          <w:p>
            <w:pPr>
              <w:jc w:val="right"/>
              <w:ind w:right="459"/>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21"/>
                <w:szCs w:val="21"/>
                <w:color w:val="auto"/>
              </w:rPr>
            </w:pPr>
          </w:p>
        </w:tc>
        <w:tc>
          <w:tcPr>
            <w:tcW w:w="1500" w:type="dxa"/>
            <w:vAlign w:val="bottom"/>
          </w:tcPr>
          <w:p>
            <w:pPr>
              <w:jc w:val="right"/>
              <w:ind w:right="462"/>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21"/>
                <w:szCs w:val="21"/>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Leases</w:t>
            </w:r>
          </w:p>
        </w:tc>
        <w:tc>
          <w:tcPr>
            <w:tcW w:w="800" w:type="dxa"/>
            <w:vAlign w:val="bottom"/>
          </w:tcPr>
          <w:p>
            <w:pPr>
              <w:jc w:val="right"/>
              <w:ind w:right="259"/>
              <w:spacing w:after="0"/>
              <w:rPr>
                <w:sz w:val="20"/>
                <w:szCs w:val="20"/>
                <w:color w:val="auto"/>
              </w:rPr>
            </w:pPr>
            <w:r>
              <w:rPr>
                <w:rFonts w:ascii="Arial" w:cs="Arial" w:eastAsia="Arial" w:hAnsi="Arial"/>
                <w:sz w:val="14"/>
                <w:szCs w:val="14"/>
                <w:b w:val="1"/>
                <w:bCs w:val="1"/>
                <w:color w:val="auto"/>
                <w:w w:val="92"/>
              </w:rPr>
              <w:t>Leases</w:t>
            </w:r>
          </w:p>
        </w:tc>
      </w:tr>
      <w:tr>
        <w:trPr>
          <w:trHeight w:val="23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years</w:t>
            </w:r>
          </w:p>
        </w:tc>
        <w:tc>
          <w:tcPr>
            <w:tcW w:w="12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 years</w:t>
            </w:r>
          </w:p>
        </w:tc>
        <w:tc>
          <w:tcPr>
            <w:tcW w:w="1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years</w:t>
            </w:r>
          </w:p>
        </w:tc>
        <w:tc>
          <w:tcPr>
            <w:tcW w:w="1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years</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45"/>
        </w:trPr>
        <w:tc>
          <w:tcPr>
            <w:tcW w:w="5440" w:type="dxa"/>
            <w:vAlign w:val="bottom"/>
          </w:tcPr>
          <w:p>
            <w:pPr>
              <w:spacing w:after="0"/>
              <w:rPr>
                <w:sz w:val="24"/>
                <w:szCs w:val="24"/>
                <w:color w:val="auto"/>
              </w:rPr>
            </w:pPr>
          </w:p>
        </w:tc>
        <w:tc>
          <w:tcPr>
            <w:tcW w:w="1500" w:type="dxa"/>
            <w:vAlign w:val="bottom"/>
          </w:tcPr>
          <w:p>
            <w:pPr>
              <w:jc w:val="right"/>
              <w:ind w:right="1139"/>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01"/>
        </w:trPr>
        <w:tc>
          <w:tcPr>
            <w:tcW w:w="54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20" w:firstLine="284"/>
        <w:spacing w:after="0" w:line="277" w:lineRule="auto"/>
        <w:rPr>
          <w:sz w:val="20"/>
          <w:szCs w:val="20"/>
          <w:color w:val="auto"/>
        </w:rPr>
      </w:pPr>
      <w:r>
        <w:rPr>
          <w:rFonts w:ascii="Arial" w:cs="Arial" w:eastAsia="Arial" w:hAnsi="Arial"/>
          <w:sz w:val="18"/>
          <w:szCs w:val="18"/>
          <w:color w:val="auto"/>
        </w:rPr>
        <w:t>Supplemental cash flow information related to leases for the third quarter and three fiscal quarters of 2023 and the third quarter and three fiscal quarters of 2022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4"/>
                <w:szCs w:val="14"/>
                <w:b w:val="1"/>
                <w:bCs w:val="1"/>
                <w:color w:val="auto"/>
              </w:rPr>
              <w:t>Fiscal Quarter Ended</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w w:val="95"/>
              </w:rPr>
              <w:t>Three Fiscal Quarters Ended</w:t>
            </w:r>
          </w:p>
        </w:tc>
        <w:tc>
          <w:tcPr>
            <w:tcW w:w="100" w:type="dxa"/>
            <w:vAlign w:val="bottom"/>
          </w:tcPr>
          <w:p>
            <w:pPr>
              <w:spacing w:after="0"/>
              <w:rPr>
                <w:sz w:val="16"/>
                <w:szCs w:val="16"/>
                <w:color w:val="auto"/>
              </w:rPr>
            </w:pPr>
          </w:p>
        </w:tc>
      </w:tr>
      <w:tr>
        <w:trPr>
          <w:trHeight w:val="238"/>
        </w:trPr>
        <w:tc>
          <w:tcPr>
            <w:tcW w:w="5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97"/>
              <w:spacing w:after="0"/>
              <w:rPr>
                <w:sz w:val="20"/>
                <w:szCs w:val="20"/>
                <w:color w:val="auto"/>
              </w:rPr>
            </w:pPr>
            <w:r>
              <w:rPr>
                <w:rFonts w:ascii="Arial" w:cs="Arial" w:eastAsia="Arial" w:hAnsi="Arial"/>
                <w:sz w:val="14"/>
                <w:szCs w:val="14"/>
                <w:b w:val="1"/>
                <w:bCs w:val="1"/>
                <w:color w:val="auto"/>
                <w:w w:val="93"/>
              </w:rPr>
              <w:t>September 10,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September 11,</w:t>
            </w:r>
          </w:p>
        </w:tc>
        <w:tc>
          <w:tcPr>
            <w:tcW w:w="260" w:type="dxa"/>
            <w:vAlign w:val="bottom"/>
          </w:tcPr>
          <w:p>
            <w:pPr>
              <w:spacing w:after="0"/>
              <w:rPr>
                <w:sz w:val="20"/>
                <w:szCs w:val="20"/>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September 10,</w:t>
            </w:r>
          </w:p>
        </w:tc>
        <w:tc>
          <w:tcPr>
            <w:tcW w:w="28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September 11,</w:t>
            </w:r>
          </w:p>
        </w:tc>
      </w:tr>
      <w:tr>
        <w:trPr>
          <w:trHeight w:val="228"/>
        </w:trPr>
        <w:tc>
          <w:tcPr>
            <w:tcW w:w="5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11,798</w:t>
            </w:r>
          </w:p>
        </w:tc>
        <w:tc>
          <w:tcPr>
            <w:tcW w:w="5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11,581</w:t>
            </w:r>
          </w:p>
        </w:tc>
        <w:tc>
          <w:tcPr>
            <w:tcW w:w="5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31,889</w:t>
            </w:r>
          </w:p>
        </w:tc>
        <w:tc>
          <w:tcPr>
            <w:tcW w:w="6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30,076</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17,405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35,405</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FF0FC"/>
          </w:tcPr>
          <w:p>
            <w:pPr>
              <w:spacing w:after="0"/>
              <w:rPr>
                <w:sz w:val="21"/>
                <w:szCs w:val="21"/>
                <w:color w:val="auto"/>
              </w:rPr>
            </w:pPr>
          </w:p>
        </w:tc>
      </w:tr>
      <w:tr>
        <w:trPr>
          <w:trHeight w:val="432"/>
        </w:trPr>
        <w:tc>
          <w:tcPr>
            <w:tcW w:w="5780" w:type="dxa"/>
            <w:vAlign w:val="bottom"/>
          </w:tcPr>
          <w:p>
            <w:pPr>
              <w:ind w:left="300"/>
              <w:spacing w:after="0"/>
              <w:rPr>
                <w:sz w:val="20"/>
                <w:szCs w:val="20"/>
                <w:color w:val="auto"/>
              </w:rPr>
            </w:pPr>
            <w:r>
              <w:rPr>
                <w:rFonts w:ascii="Arial" w:cs="Arial" w:eastAsia="Arial" w:hAnsi="Arial"/>
                <w:sz w:val="18"/>
                <w:szCs w:val="18"/>
                <w:color w:val="auto"/>
                <w:w w:val="96"/>
              </w:rPr>
              <w:t>Maturities of lease liabilities as of September 10, 2023 were as follows: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2"/>
        </w:trPr>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90"/>
              </w:rPr>
              <w:t>Finance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Leases</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left="42"/>
              <w:spacing w:after="0"/>
              <w:rPr>
                <w:sz w:val="20"/>
                <w:szCs w:val="20"/>
                <w:color w:val="auto"/>
              </w:rPr>
            </w:pPr>
            <w:r>
              <w:rPr>
                <w:rFonts w:ascii="Arial" w:cs="Arial" w:eastAsia="Arial" w:hAnsi="Arial"/>
                <w:sz w:val="14"/>
                <w:szCs w:val="14"/>
                <w:b w:val="1"/>
                <w:bCs w:val="1"/>
                <w:color w:val="auto"/>
                <w:w w:val="84"/>
              </w:rPr>
              <w:t>Leases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15,320</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45,493</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41,006</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8,816</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38,893</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31,281</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8,239</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86,761</w:t>
            </w: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68,448</w:t>
            </w:r>
          </w:p>
        </w:tc>
        <w:tc>
          <w:tcPr>
            <w:tcW w:w="100" w:type="dxa"/>
            <w:vAlign w:val="bottom"/>
          </w:tcPr>
          <w:p>
            <w:pPr>
              <w:spacing w:after="0"/>
              <w:rPr>
                <w:sz w:val="20"/>
                <w:szCs w:val="20"/>
                <w:color w:val="auto"/>
              </w:rPr>
            </w:pPr>
          </w:p>
        </w:tc>
      </w:tr>
      <w:tr>
        <w:trPr>
          <w:trHeight w:val="23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minimum rental commitments</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258,754</w:t>
            </w:r>
          </w:p>
        </w:tc>
        <w:tc>
          <w:tcPr>
            <w:tcW w:w="3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106,165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3"/>
          </w:tcPr>
          <w:p>
            <w:pPr>
              <w:jc w:val="right"/>
              <w:ind w:right="175"/>
              <w:spacing w:after="0"/>
              <w:rPr>
                <w:sz w:val="20"/>
                <w:szCs w:val="20"/>
                <w:color w:val="auto"/>
              </w:rPr>
            </w:pPr>
            <w:r>
              <w:rPr>
                <w:rFonts w:ascii="Arial" w:cs="Arial" w:eastAsia="Arial" w:hAnsi="Arial"/>
                <w:sz w:val="18"/>
                <w:szCs w:val="18"/>
                <w:color w:val="auto"/>
                <w:w w:val="85"/>
              </w:rPr>
              <w:t>(37,078 )</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(31,661 )</w:t>
            </w: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221,676</w:t>
            </w:r>
          </w:p>
        </w:tc>
        <w:tc>
          <w:tcPr>
            <w:tcW w:w="3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-350520</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20" w:firstLine="284"/>
        <w:spacing w:after="0" w:line="286" w:lineRule="auto"/>
        <w:rPr>
          <w:sz w:val="20"/>
          <w:szCs w:val="20"/>
          <w:color w:val="auto"/>
        </w:rPr>
      </w:pPr>
      <w:r>
        <w:rPr>
          <w:rFonts w:ascii="Arial" w:cs="Arial" w:eastAsia="Arial" w:hAnsi="Arial"/>
          <w:sz w:val="17"/>
          <w:szCs w:val="17"/>
          <w:color w:val="auto"/>
        </w:rPr>
        <w:t>As of September 10, 2023, the Company had additional leases for certain supply chain real estate and certain supply chain and U.S. Company-owned store vehicles that had not yet commenced with estimated future minimum rental commitments of $40.5 million. These leases are expected to commence in 2023 and 2024 with lease terms of up to 11 years. These undiscounted amounts are not included in the table above.</w:t>
      </w:r>
    </w:p>
    <w:p>
      <w:pPr>
        <w:spacing w:after="0" w:line="57" w:lineRule="exact"/>
        <w:rPr>
          <w:sz w:val="20"/>
          <w:szCs w:val="20"/>
          <w:color w:val="auto"/>
        </w:rPr>
      </w:pPr>
    </w:p>
    <w:p>
      <w:pPr>
        <w:jc w:val="both"/>
        <w:ind w:right="280" w:firstLine="284"/>
        <w:spacing w:after="0" w:line="311" w:lineRule="auto"/>
        <w:rPr>
          <w:sz w:val="20"/>
          <w:szCs w:val="20"/>
          <w:color w:val="auto"/>
        </w:rPr>
      </w:pPr>
      <w:r>
        <w:rPr>
          <w:rFonts w:ascii="Arial" w:cs="Arial" w:eastAsia="Arial" w:hAnsi="Arial"/>
          <w:sz w:val="16"/>
          <w:szCs w:val="16"/>
          <w:color w:val="auto"/>
        </w:rPr>
        <w:t>The Company has guaranteed lease payments related to certain franchisees’ lease arrangements. The maximum amount of potential future payments under these guarantees was $20.0 million and $24.5 million as of September 10, 2023 and January 1, 2023, respectively. The Company does not believe these arrangements have or are likely to have a material effect on its results of operations, financial condition, revenues, expenses or liquidity.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8. Supplemental Disclosures of Cash Flow Information</w:t>
      </w:r>
    </w:p>
    <w:p>
      <w:pPr>
        <w:spacing w:after="0" w:line="225" w:lineRule="exact"/>
        <w:rPr>
          <w:sz w:val="20"/>
          <w:szCs w:val="20"/>
          <w:color w:val="auto"/>
        </w:rPr>
      </w:pPr>
    </w:p>
    <w:p>
      <w:pPr>
        <w:ind w:right="140" w:firstLine="284"/>
        <w:spacing w:after="0" w:line="263" w:lineRule="auto"/>
        <w:rPr>
          <w:sz w:val="20"/>
          <w:szCs w:val="20"/>
          <w:color w:val="auto"/>
        </w:rPr>
      </w:pPr>
      <w:r>
        <w:rPr>
          <w:rFonts w:ascii="Arial" w:cs="Arial" w:eastAsia="Arial" w:hAnsi="Arial"/>
          <w:sz w:val="18"/>
          <w:szCs w:val="18"/>
          <w:color w:val="auto"/>
        </w:rPr>
        <w:t>The Company had non-cash investing activities related to accruals for capital expenditures of $4.7 million at September 10, 2023 and $6.9 million at January 1, 2023. As of September 10, 2023, the Company also had $2.0 million in non-cash financing activity related to accruals for excise taxes on share repurchases.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9. Company-owned Store Transactions</w:t>
      </w:r>
    </w:p>
    <w:p>
      <w:pPr>
        <w:spacing w:after="0" w:line="225" w:lineRule="exact"/>
        <w:rPr>
          <w:sz w:val="20"/>
          <w:szCs w:val="20"/>
          <w:color w:val="auto"/>
        </w:rPr>
      </w:pPr>
    </w:p>
    <w:p>
      <w:pPr>
        <w:ind w:right="420" w:firstLine="284"/>
        <w:spacing w:after="0" w:line="263" w:lineRule="auto"/>
        <w:rPr>
          <w:sz w:val="20"/>
          <w:szCs w:val="20"/>
          <w:color w:val="auto"/>
        </w:rPr>
      </w:pPr>
      <w:r>
        <w:rPr>
          <w:rFonts w:ascii="Arial" w:cs="Arial" w:eastAsia="Arial" w:hAnsi="Arial"/>
          <w:sz w:val="18"/>
          <w:szCs w:val="18"/>
          <w:color w:val="auto"/>
        </w:rPr>
        <w:t>During the first quarter of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condensed consolidated statements of income.</w:t>
      </w:r>
    </w:p>
    <w:p>
      <w:pPr>
        <w:spacing w:after="0" w:line="184" w:lineRule="exact"/>
        <w:rPr>
          <w:sz w:val="20"/>
          <w:szCs w:val="20"/>
          <w:color w:val="auto"/>
        </w:rPr>
      </w:pPr>
    </w:p>
    <w:p>
      <w:pPr>
        <w:ind w:right="600" w:firstLine="284"/>
        <w:spacing w:after="0" w:line="255" w:lineRule="auto"/>
        <w:rPr>
          <w:sz w:val="20"/>
          <w:szCs w:val="20"/>
          <w:color w:val="auto"/>
        </w:rPr>
      </w:pPr>
      <w:r>
        <w:rPr>
          <w:rFonts w:ascii="Arial" w:cs="Arial" w:eastAsia="Arial" w:hAnsi="Arial"/>
          <w:sz w:val="18"/>
          <w:szCs w:val="18"/>
          <w:color w:val="auto"/>
        </w:rPr>
        <w:t>During the first quarter of 2022, the Company purchased 23 U.S. franchised stores in Michigan from certain of the Company’s existing U.S. franchisees for $6.8 million, which included $4.0 million of intangibles, $1.7 million of equipment and leasehold improvements and $1.1 million of goodwill.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10. New Accounting Pronouncements</w:t>
      </w:r>
    </w:p>
    <w:p>
      <w:pPr>
        <w:spacing w:after="0" w:line="117" w:lineRule="exact"/>
        <w:rPr>
          <w:sz w:val="20"/>
          <w:szCs w:val="20"/>
          <w:color w:val="auto"/>
        </w:rPr>
      </w:pPr>
    </w:p>
    <w:p>
      <w:pPr>
        <w:ind w:left="520" w:right="440" w:firstLine="254"/>
        <w:spacing w:after="0" w:line="277" w:lineRule="auto"/>
        <w:rPr>
          <w:sz w:val="20"/>
          <w:szCs w:val="20"/>
          <w:color w:val="auto"/>
        </w:rPr>
      </w:pPr>
      <w:r>
        <w:rPr>
          <w:rFonts w:ascii="Arial" w:cs="Arial" w:eastAsia="Arial" w:hAnsi="Arial"/>
          <w:sz w:val="18"/>
          <w:szCs w:val="18"/>
          <w:color w:val="auto"/>
        </w:rPr>
        <w:t>The Company has considered all new accounting standards issued by the Financial Accounting Standards Board (“FASB”) and adopted the following accounting standards.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2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i w:val="1"/>
          <w:iCs w:val="1"/>
          <w:color w:val="auto"/>
        </w:rPr>
        <w:t xml:space="preserve">Accounting Standards Update (“ASU”) 2020-04, Facilitation of the Effects of Reference Rate Reform on Financial Reporting, </w:t>
      </w:r>
      <w:r>
        <w:rPr>
          <w:rFonts w:ascii="Arial" w:cs="Arial" w:eastAsia="Arial" w:hAnsi="Arial"/>
          <w:sz w:val="18"/>
          <w:szCs w:val="18"/>
          <w:color w:val="auto"/>
        </w:rPr>
        <w:t>updated by</w:t>
      </w:r>
      <w:r>
        <w:rPr>
          <w:rFonts w:ascii="Arial" w:cs="Arial" w:eastAsia="Arial" w:hAnsi="Arial"/>
          <w:sz w:val="18"/>
          <w:szCs w:val="18"/>
          <w:i w:val="1"/>
          <w:iCs w:val="1"/>
          <w:color w:val="auto"/>
        </w:rPr>
        <w:t xml:space="preserve"> ASU 2022-06, Deferral of the Sunset Date of Topic 848 (“ASU 2022-06”)</w:t>
      </w:r>
    </w:p>
    <w:p>
      <w:pPr>
        <w:spacing w:after="0" w:line="76" w:lineRule="exact"/>
        <w:rPr>
          <w:sz w:val="20"/>
          <w:szCs w:val="20"/>
          <w:color w:val="auto"/>
        </w:rPr>
      </w:pPr>
    </w:p>
    <w:p>
      <w:pPr>
        <w:ind w:left="520" w:right="200" w:firstLine="254"/>
        <w:spacing w:after="0" w:line="291" w:lineRule="auto"/>
        <w:rPr>
          <w:sz w:val="20"/>
          <w:szCs w:val="20"/>
          <w:color w:val="auto"/>
        </w:rPr>
      </w:pPr>
      <w:r>
        <w:rPr>
          <w:rFonts w:ascii="Arial" w:cs="Arial" w:eastAsia="Arial" w:hAnsi="Arial"/>
          <w:sz w:val="16"/>
          <w:szCs w:val="16"/>
          <w:color w:val="auto"/>
        </w:rPr>
        <w:t xml:space="preserve">In March 2020, the FASB issued </w:t>
      </w:r>
      <w:r>
        <w:rPr>
          <w:rFonts w:ascii="Arial" w:cs="Arial" w:eastAsia="Arial" w:hAnsi="Arial"/>
          <w:sz w:val="16"/>
          <w:szCs w:val="16"/>
          <w:i w:val="1"/>
          <w:iCs w:val="1"/>
          <w:color w:val="auto"/>
        </w:rPr>
        <w:t>ASU 2020-04, 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 (“ASU 2020-04”)</w:t>
      </w:r>
      <w:r>
        <w:rPr>
          <w:rFonts w:ascii="Arial" w:cs="Arial" w:eastAsia="Arial" w:hAnsi="Arial"/>
          <w:sz w:val="16"/>
          <w:szCs w:val="16"/>
          <w:color w:val="auto"/>
        </w:rPr>
        <w:t>, which provides temporary optional expedients and exceptions for applying generally accepted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to contracts, hedging relationships and other transactions affected by reference rate reform. On May 15, 2023, certain of the Company’s subsidiaries executed an amendment to the Company’s 2021 variable funding notes to affect the transition from LIBOR to the Secured Overnight Financing Rate (“Term SOFR”), plus a spread adjustment. In connection with this contract amendment, the Company adopted ASU 2020-04 (as updated by ASU 2022-06) in the second quarter of 2023. The amendment to the Company’s 2021 variable funding notes and the adoption of this accounting standard did not have a material impact on the Company’s condensed consolidated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ASU 2022-03, Fair Value Measurement (Topic 820): Fair Value Measurement of Equity Securities Subject to Contractual Sale Restrictions</w:t>
      </w:r>
    </w:p>
    <w:p>
      <w:pPr>
        <w:spacing w:after="0" w:line="142" w:lineRule="exact"/>
        <w:rPr>
          <w:sz w:val="20"/>
          <w:szCs w:val="20"/>
          <w:color w:val="auto"/>
        </w:rPr>
      </w:pPr>
    </w:p>
    <w:p>
      <w:pPr>
        <w:ind w:left="460" w:right="140" w:firstLine="285"/>
        <w:spacing w:after="0" w:line="272" w:lineRule="auto"/>
        <w:rPr>
          <w:sz w:val="20"/>
          <w:szCs w:val="20"/>
          <w:color w:val="auto"/>
        </w:rPr>
      </w:pPr>
      <w:r>
        <w:rPr>
          <w:rFonts w:ascii="Arial" w:cs="Arial" w:eastAsia="Arial" w:hAnsi="Arial"/>
          <w:sz w:val="17"/>
          <w:szCs w:val="17"/>
          <w:color w:val="auto"/>
        </w:rPr>
        <w:t xml:space="preserve">In June 2022, the FASB issued </w:t>
      </w:r>
      <w:r>
        <w:rPr>
          <w:rFonts w:ascii="Arial" w:cs="Arial" w:eastAsia="Arial" w:hAnsi="Arial"/>
          <w:sz w:val="17"/>
          <w:szCs w:val="17"/>
          <w:i w:val="1"/>
          <w:iCs w:val="1"/>
          <w:color w:val="auto"/>
        </w:rPr>
        <w:t>ASU 2022-03, Fair Value Measurement (Topic 820): Fair Value Measurement of Equity Securities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Contractual Sale Restrictions (“ASU 2022-03”)</w:t>
      </w:r>
      <w:r>
        <w:rPr>
          <w:rFonts w:ascii="Arial" w:cs="Arial" w:eastAsia="Arial" w:hAnsi="Arial"/>
          <w:sz w:val="17"/>
          <w:szCs w:val="17"/>
          <w:color w:val="auto"/>
        </w:rPr>
        <w:t>, which clarifies and amends the guidance of measuring the fair value of equity securities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sale restrictions. ASU 2022-03 also requires disclosure of the fair value of equity securities subject to contractual sale restrictions, the nature and remaining duration of the restrictions and the circumstances that could cause a lapse in the restrictions. The Company’s investment in DPC Dash (Note 5) is subject to contractual restrictions that prohibit the Company from selling the security for 360 days following DPC Dash’s initial public offering. The Company early adopted ASU 2022-03 in the second quarter of 2023 and the adoption of this accounting standard did not have a material impact on the Company’s condensed consolidated financial statements.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millions, except percentages and store data)</w:t>
      </w:r>
    </w:p>
    <w:p>
      <w:pPr>
        <w:spacing w:after="0" w:line="103"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2023 and 2022 third quarters referenced herein represent the twelve-week periods ended September 10, 2023 and September 11, 2022, respectively. The 2023 and 2022 three fiscal quarters referenced herein represent the thirty-six-week periods ended September 10, 2023 and September 11, 2022, respectively. In this section, we discuss the results of our operations for the third quarter and three fiscal quarters of 2023 as compared to the third quarter and three fiscal quarters of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20" w:firstLine="281"/>
        <w:spacing w:after="0" w:line="257" w:lineRule="auto"/>
        <w:rPr>
          <w:sz w:val="20"/>
          <w:szCs w:val="20"/>
          <w:color w:val="auto"/>
        </w:rPr>
      </w:pPr>
      <w:r>
        <w:rPr>
          <w:rFonts w:ascii="Arial" w:cs="Arial" w:eastAsia="Arial" w:hAnsi="Arial"/>
          <w:sz w:val="18"/>
          <w:szCs w:val="18"/>
          <w:color w:val="auto"/>
        </w:rPr>
        <w:t>Domino’s is the largest pizza company in the world, with more than 20,000 locations in over 90 markets around the world as of September 10, 2023, and operates two distinct service models within its stores with a significant business in both delivery and carryout. Founded in 1960, we are a highly recognized global brand, and we focus on value while serving neighborhoods locally through our large network of franchise and Company-owned stores through both the delivery and carryout service models. We are primarily a franchisor, with approximately 99% of Domino’s global stores owned and operated by our independent franchisees as of September 10, 2023.</w:t>
      </w:r>
    </w:p>
    <w:p>
      <w:pPr>
        <w:spacing w:after="0" w:line="93" w:lineRule="exact"/>
        <w:rPr>
          <w:sz w:val="20"/>
          <w:szCs w:val="20"/>
          <w:color w:val="auto"/>
        </w:rPr>
      </w:pPr>
    </w:p>
    <w:p>
      <w:pPr>
        <w:ind w:right="20" w:firstLine="281"/>
        <w:spacing w:after="0" w:line="263" w:lineRule="auto"/>
        <w:rPr>
          <w:sz w:val="20"/>
          <w:szCs w:val="20"/>
          <w:color w:val="auto"/>
        </w:rPr>
      </w:pPr>
      <w:r>
        <w:rPr>
          <w:rFonts w:ascii="Arial" w:cs="Arial" w:eastAsia="Arial" w:hAnsi="Arial"/>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9" w:lineRule="exact"/>
        <w:rPr>
          <w:sz w:val="20"/>
          <w:szCs w:val="20"/>
          <w:color w:val="auto"/>
        </w:rPr>
      </w:pPr>
    </w:p>
    <w:p>
      <w:pPr>
        <w:ind w:right="160" w:firstLine="281"/>
        <w:spacing w:after="0" w:line="244" w:lineRule="auto"/>
        <w:rPr>
          <w:sz w:val="20"/>
          <w:szCs w:val="20"/>
          <w:color w:val="auto"/>
        </w:rPr>
      </w:pPr>
      <w:r>
        <w:rPr>
          <w:rFonts w:ascii="Arial" w:cs="Arial" w:eastAsia="Arial" w:hAnsi="Arial"/>
          <w:sz w:val="18"/>
          <w:szCs w:val="18"/>
          <w:color w:val="auto"/>
        </w:rPr>
        <w:t>Domino’s generates revenues and earnings by charging royalties and fees to our independent franchisees. We also generate revenues and earnings by selling food, equipment and supplies to franchisees primarily in the U.S. and Canada and by operating a number of U.S. Company-owned stores. Franchisees profit by selling pizza and other complementary items to their local customers. In our international markets, we generally grant geographical rights to the Domino’s Pizza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directly. We believe that everyone in the system can benefit, including the end consumer, who can purchase Domino’s menu items for themselves and their family conveniently and economically.</w:t>
      </w:r>
    </w:p>
    <w:p>
      <w:pPr>
        <w:spacing w:after="0" w:line="104" w:lineRule="exact"/>
        <w:rPr>
          <w:sz w:val="20"/>
          <w:szCs w:val="20"/>
          <w:color w:val="auto"/>
        </w:rPr>
      </w:pPr>
    </w:p>
    <w:p>
      <w:pPr>
        <w:ind w:right="220" w:firstLine="281"/>
        <w:spacing w:after="0" w:line="255" w:lineRule="auto"/>
        <w:rPr>
          <w:sz w:val="20"/>
          <w:szCs w:val="20"/>
          <w:color w:val="auto"/>
        </w:rPr>
      </w:pPr>
      <w:r>
        <w:rPr>
          <w:rFonts w:ascii="Arial" w:cs="Arial" w:eastAsia="Arial" w:hAnsi="Arial"/>
          <w:sz w:val="18"/>
          <w:szCs w:val="18"/>
          <w:color w:val="auto"/>
        </w:rPr>
        <w:t>Our financial results are driven largely by retail sales at our franchised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98" w:lineRule="exact"/>
        <w:rPr>
          <w:sz w:val="20"/>
          <w:szCs w:val="20"/>
          <w:color w:val="auto"/>
        </w:rPr>
      </w:pPr>
    </w:p>
    <w:p>
      <w:pPr>
        <w:ind w:right="40" w:firstLine="281"/>
        <w:spacing w:after="0" w:line="253" w:lineRule="auto"/>
        <w:rPr>
          <w:sz w:val="20"/>
          <w:szCs w:val="20"/>
          <w:color w:val="auto"/>
        </w:rPr>
      </w:pPr>
      <w:r>
        <w:rPr>
          <w:rFonts w:ascii="Arial" w:cs="Arial" w:eastAsia="Arial" w:hAnsi="Arial"/>
          <w:sz w:val="18"/>
          <w:szCs w:val="18"/>
          <w:color w:val="auto"/>
        </w:rPr>
        <w:t>The Domino’s business model can yield strong returns for our franchise owners and our Company-owned stores. It can also yield significant cash flow to us, through a consistent franchise royalty payment and supply chain revenue stream, with moderate capital expenditures. We have historically returned cash to shareholders through dividend payments and share repurchases since becoming a publicly-traded company in 2004. We believe we have a proven business model for success, which includes leading with technology, service and product innovation and leveraging our global scale, which has historically provided strong returns for our shareholders.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Third Quarter of 2023 Highlights</w:t>
      </w:r>
    </w:p>
    <w:p>
      <w:pPr>
        <w:spacing w:after="0" w:line="135" w:lineRule="exact"/>
        <w:rPr>
          <w:sz w:val="20"/>
          <w:szCs w:val="20"/>
          <w:color w:val="auto"/>
        </w:rPr>
      </w:pPr>
    </w:p>
    <w:p>
      <w:pPr>
        <w:ind w:left="760" w:right="300" w:hanging="378"/>
        <w:spacing w:after="0" w:line="25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5.1% as compared to the third quarter of 2022. U.S. retail sales increased 0.9% and international retail sales, excluding foreign currency impact, increased 9.4% as compared to the third quarter of 2022.</w:t>
      </w:r>
    </w:p>
    <w:p>
      <w:pPr>
        <w:spacing w:after="0" w:line="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Same store sales declined 0.6% in our U.S. stores and increased 3.3% in our international stores (excluding foreign currency impact).</w:t>
      </w:r>
    </w:p>
    <w:p>
      <w:pPr>
        <w:spacing w:after="0" w:line="20" w:lineRule="exact"/>
        <w:rPr>
          <w:rFonts w:ascii="Arial" w:cs="Arial" w:eastAsia="Arial" w:hAnsi="Arial"/>
          <w:sz w:val="17"/>
          <w:szCs w:val="17"/>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decreased 3.9%.</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operations increased 7.4%.</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increased 46.9%.</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increased 49.8%.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Fiscal Quarters of 2023 Highlights</w:t>
      </w:r>
    </w:p>
    <w:p>
      <w:pPr>
        <w:spacing w:after="0" w:line="135" w:lineRule="exact"/>
        <w:rPr>
          <w:sz w:val="20"/>
          <w:szCs w:val="20"/>
          <w:color w:val="auto"/>
        </w:rPr>
      </w:pPr>
    </w:p>
    <w:p>
      <w:pPr>
        <w:ind w:left="760" w:right="120" w:hanging="378"/>
        <w:spacing w:after="0" w:line="25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5.7% as compared to the three fiscal quarters of 2022. U.S. retail sales increased 2.5% and international retail sales, excluding foreign currency impact, increased 8.9% as compared to the three fiscal quarters of 2022.</w:t>
      </w:r>
    </w:p>
    <w:p>
      <w:pPr>
        <w:spacing w:after="0" w:line="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Same store sales increased 1.0% in our U.S. stores and increased 2.6% in our international stores (excluding foreign currency impact).</w:t>
      </w:r>
    </w:p>
    <w:p>
      <w:pPr>
        <w:spacing w:after="0" w:line="20"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decreased 2.2%.</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from operations increased 8.3%.</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increased 23.1%.</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increased 25.6%.</w:t>
      </w:r>
    </w:p>
    <w:p>
      <w:pPr>
        <w:spacing w:after="0" w:line="211" w:lineRule="exact"/>
        <w:rPr>
          <w:sz w:val="20"/>
          <w:szCs w:val="20"/>
          <w:color w:val="auto"/>
        </w:rPr>
      </w:pPr>
    </w:p>
    <w:p>
      <w:pPr>
        <w:ind w:right="40" w:firstLine="255"/>
        <w:spacing w:after="0" w:line="288" w:lineRule="auto"/>
        <w:rPr>
          <w:sz w:val="20"/>
          <w:szCs w:val="20"/>
          <w:color w:val="auto"/>
        </w:rPr>
      </w:pPr>
      <w:r>
        <w:rPr>
          <w:rFonts w:ascii="Arial" w:cs="Arial" w:eastAsia="Arial" w:hAnsi="Arial"/>
          <w:sz w:val="16"/>
          <w:szCs w:val="16"/>
          <w:color w:val="auto"/>
        </w:rPr>
        <w:t>Excluding the impact of foreign currency, Domino’s experienced global retail sales growth during the third quarter and three fiscal quarters of 2023. U.S. same store sales declined 0.6% and increased 1.0% in the third quarter and three fiscal quarters of 2023, respectively, compared to an increase of 2.0% and a decline of 1.6% in the third quarter and three fiscal quarters of 2022, respectively. The decline in U.S. same store sales in the third quarter of 2023 was due to lower order volumes, partially offset by a higher average ticket per transaction. The increase in U.S. same store sales in the three fiscal quarters of 2023 was attributable to a higher average ticket per transaction resulting from increases in menu and national offer pricing, partially offset by lower order volumes. In the three fiscal quarters of 2023 in the U.S., we also launched our newest menu items, Domino’s Loaded Tots and Pepperoni Stuffed Cheesy Bread. International same store sales (excluding foreign currency impact) increased 3.3% and 2.6% in the third quarter and three fiscal quarters of 2023, respectively, rolling over a decline in international same store sales (excluding foreign currency impact) of 1.8% and 0.8% in the third quarter and three fiscal quarters of 2022, respectively. Our U.S. and international same store sales (excluding foreign currency impact) continue to be pressured by our fortressing strategy, which includes increasing store concentration in certain markets where we compete.</w:t>
      </w:r>
    </w:p>
    <w:p>
      <w:pPr>
        <w:spacing w:after="0" w:line="16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had third quarter 2023 global net store decline of 8 stores, comprised of 27 net store openings in the U.S. and 35 net store closures internationally. Net store decline in the third quarter of 2023 reflects the closure of the remaining 143 stores in the Russia market. For the three fiscal quarters of 2023, we continued our global expansion with the opening of 317 net stores. Overall, we believe our global net store growth during the three fiscal quarters of 2023, along with our global retail sales growth (excluding foreign currency impact), emphasis on technology, operations and marketing initiatives, have combined to strengthen our brand.</w:t>
      </w:r>
    </w:p>
    <w:p>
      <w:pPr>
        <w:spacing w:after="0" w:line="193" w:lineRule="exact"/>
        <w:rPr>
          <w:sz w:val="20"/>
          <w:szCs w:val="20"/>
          <w:color w:val="auto"/>
        </w:rPr>
      </w:pPr>
    </w:p>
    <w:p>
      <w:pPr>
        <w:ind w:firstLine="255"/>
        <w:spacing w:after="0" w:line="280" w:lineRule="auto"/>
        <w:rPr>
          <w:sz w:val="20"/>
          <w:szCs w:val="20"/>
          <w:color w:val="auto"/>
        </w:rPr>
      </w:pPr>
      <w:r>
        <w:rPr>
          <w:rFonts w:ascii="Arial" w:cs="Arial" w:eastAsia="Arial" w:hAnsi="Arial"/>
          <w:sz w:val="16"/>
          <w:szCs w:val="16"/>
          <w:color w:val="auto"/>
        </w:rPr>
        <w:t>On August 21, 2023, our master franchisee that owned and operated Domino’s Pizza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stores in Russia announced its intent to file for bankruptcy with respect to the stores in that market. Therefore, as of August 21, 2023, we have considered the stores in the Russia market to be closed and they are excluded from our ending store count as of the end of the third quarter of 2023. Additionally, we have presented our statistical measure of global retail sales growth, excluding foreign currency impact, for the fiscal quarter and three fiscal quarters ended September 10, 2023 excluding the impact of the retail sales from the Russia market. We believe the impact of the Russia market on our statistical measure of global retail sales growth, excluding foreign currency impact, for the fiscal quarter and three fiscal quarters ended September 11, 2022 was immaterial and prior amounts have not been adjusted to conform to the current year presentation. We believe the impact of the Russia market on our statistical measure of same store sales growth for the periods presented was immaterial, and we also believe the impact of the Russia market on our condensed consolidated statements of income related to international franchise royalties and fee revenues and general and administrative expenses for the periods presented was immaterial. We have not received any royalties and fees from the operations of the Russia market subsequent to the Russian invasion of Ukraine in February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Statistical Measures</w:t>
      </w:r>
    </w:p>
    <w:p>
      <w:pPr>
        <w:spacing w:after="0" w:line="229"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The tables below outline certain statistical measures we utilize to analyze our performance. This historical data is not necessarily indicative of results to be expected for any future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Retail Sales Growth (excluding foreign currency impact)</w:t>
      </w:r>
    </w:p>
    <w:p>
      <w:pPr>
        <w:spacing w:after="0" w:line="229" w:lineRule="exact"/>
        <w:rPr>
          <w:sz w:val="20"/>
          <w:szCs w:val="20"/>
          <w:color w:val="auto"/>
        </w:rPr>
      </w:pPr>
    </w:p>
    <w:p>
      <w:pPr>
        <w:ind w:right="80" w:firstLine="255"/>
        <w:spacing w:after="0" w:line="270" w:lineRule="auto"/>
        <w:rPr>
          <w:sz w:val="20"/>
          <w:szCs w:val="20"/>
          <w:color w:val="auto"/>
        </w:rPr>
      </w:pPr>
      <w:r>
        <w:rPr>
          <w:rFonts w:ascii="Arial" w:cs="Arial" w:eastAsia="Arial" w:hAnsi="Arial"/>
          <w:sz w:val="17"/>
          <w:szCs w:val="17"/>
          <w:color w:val="auto"/>
        </w:rPr>
        <w:t>Global retail sales growth (excluding foreign currency impact)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franchised stores are reported to us by our franchisees and are not included in our revenues. Global retail sales growth, excluding foreign currency impact, is calculated as the change of international local currency global retail sales against the comparable period of the prior year. The 2023 global retail sales growth measures excluding the Russia market are calculated as the growth in retail sales excluding the retail sales from the Russia market from both 2023 retail sales and the 2022 retail sales base.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3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4"/>
                <w:szCs w:val="14"/>
                <w:color w:val="auto"/>
              </w:rPr>
            </w:pPr>
          </w:p>
        </w:tc>
        <w:tc>
          <w:tcPr>
            <w:tcW w:w="13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Three Fiscal</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Three Fiscal</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Quarters</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of 2023</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of 2022</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2023</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2022</w:t>
            </w:r>
          </w:p>
        </w:tc>
        <w:tc>
          <w:tcPr>
            <w:tcW w:w="0" w:type="dxa"/>
            <w:vAlign w:val="bottom"/>
          </w:tcPr>
          <w:p>
            <w:pPr>
              <w:spacing w:after="0"/>
              <w:rPr>
                <w:sz w:val="1"/>
                <w:szCs w:val="1"/>
                <w:color w:val="auto"/>
              </w:rPr>
            </w:pPr>
          </w:p>
        </w:tc>
      </w:tr>
      <w:tr>
        <w:trPr>
          <w:trHeight w:val="23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stores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+ 0.9%</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+ 4.1%</w:t>
            </w: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+ 2.5%</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+ 0.7%</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International stores (excluding foreign currency impact) </w:t>
            </w:r>
            <w:r>
              <w:rPr>
                <w:rFonts w:ascii="Arial" w:cs="Arial" w:eastAsia="Arial" w:hAnsi="Arial"/>
                <w:sz w:val="24"/>
                <w:szCs w:val="24"/>
                <w:color w:val="auto"/>
                <w:vertAlign w:val="superscript"/>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+ 9.4%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+ 5.2%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+ 8.9%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+ 5.7%</w:t>
            </w:r>
          </w:p>
        </w:tc>
        <w:tc>
          <w:tcPr>
            <w:tcW w:w="0" w:type="dxa"/>
            <w:vAlign w:val="bottom"/>
          </w:tcPr>
          <w:p>
            <w:pPr>
              <w:spacing w:after="0"/>
              <w:rPr>
                <w:sz w:val="1"/>
                <w:szCs w:val="1"/>
                <w:color w:val="auto"/>
              </w:rPr>
            </w:pPr>
          </w:p>
        </w:tc>
      </w:tr>
      <w:tr>
        <w:trPr>
          <w:trHeight w:val="237"/>
        </w:trPr>
        <w:tc>
          <w:tcPr>
            <w:tcW w:w="532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Total (excluding foreign currency impact) </w:t>
            </w:r>
            <w:r>
              <w:rPr>
                <w:rFonts w:ascii="Arial" w:cs="Arial" w:eastAsia="Arial" w:hAnsi="Arial"/>
                <w:sz w:val="24"/>
                <w:szCs w:val="24"/>
                <w:color w:val="auto"/>
                <w:vertAlign w:val="superscript"/>
              </w:rPr>
              <w:t>(2)</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+ 5.1%</w:t>
            </w:r>
          </w:p>
        </w:tc>
        <w:tc>
          <w:tcPr>
            <w:tcW w:w="1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+ 4.7%</w:t>
            </w:r>
          </w:p>
        </w:tc>
        <w:tc>
          <w:tcPr>
            <w:tcW w:w="10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+ 5.7%</w:t>
            </w:r>
          </w:p>
        </w:tc>
        <w:tc>
          <w:tcPr>
            <w:tcW w:w="1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+ 3.2%</w:t>
            </w:r>
          </w:p>
        </w:tc>
        <w:tc>
          <w:tcPr>
            <w:tcW w:w="0" w:type="dxa"/>
            <w:vAlign w:val="bottom"/>
          </w:tcPr>
          <w:p>
            <w:pPr>
              <w:spacing w:after="0"/>
              <w:rPr>
                <w:sz w:val="1"/>
                <w:szCs w:val="1"/>
                <w:color w:val="auto"/>
              </w:rPr>
            </w:pPr>
          </w:p>
        </w:tc>
      </w:tr>
    </w:tbl>
    <w:p>
      <w:pPr>
        <w:ind w:left="480" w:right="220" w:hanging="459"/>
        <w:spacing w:after="0" w:line="233"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5"/>
          <w:szCs w:val="15"/>
          <w:color w:val="auto"/>
        </w:rPr>
        <w:t>2023 figures exclude the impact of the Russia market. Including the impact of the Russia market, international stores retail sales growth, excluding foreign currency impact, was 9.0% and 8.5% for the third quarter and three fiscal quarters of 2023, respectively.</w:t>
      </w:r>
    </w:p>
    <w:p>
      <w:pPr>
        <w:spacing w:after="0" w:line="1" w:lineRule="exact"/>
        <w:rPr>
          <w:rFonts w:ascii="Arial" w:cs="Arial" w:eastAsia="Arial" w:hAnsi="Arial"/>
          <w:sz w:val="14"/>
          <w:szCs w:val="14"/>
          <w:color w:val="auto"/>
        </w:rPr>
      </w:pPr>
    </w:p>
    <w:p>
      <w:pPr>
        <w:ind w:left="480" w:right="80" w:hanging="459"/>
        <w:spacing w:after="0" w:line="184" w:lineRule="auto"/>
        <w:tabs>
          <w:tab w:leader="none" w:pos="480" w:val="left"/>
        </w:tabs>
        <w:numPr>
          <w:ilvl w:val="0"/>
          <w:numId w:val="7"/>
        </w:numPr>
        <w:rPr>
          <w:rFonts w:ascii="Arial" w:cs="Arial" w:eastAsia="Arial" w:hAnsi="Arial"/>
          <w:sz w:val="25"/>
          <w:szCs w:val="25"/>
          <w:color w:val="auto"/>
          <w:vertAlign w:val="superscript"/>
        </w:rPr>
      </w:pPr>
      <w:r>
        <w:rPr>
          <w:rFonts w:ascii="Arial" w:cs="Arial" w:eastAsia="Arial" w:hAnsi="Arial"/>
          <w:sz w:val="14"/>
          <w:szCs w:val="14"/>
          <w:color w:val="auto"/>
        </w:rPr>
        <w:t>2023 figures exclude the impact of the Russia market. Including the impact of the Russia market, total global retail sales growth, excluding foreign currency impact, was 4.9% and 5.5% for the third quarter and three fiscal quarters of 2023,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Store Sales Growth</w:t>
      </w:r>
    </w:p>
    <w:p>
      <w:pPr>
        <w:spacing w:after="0" w:line="229"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3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4"/>
                <w:szCs w:val="14"/>
                <w:color w:val="auto"/>
              </w:rPr>
            </w:pPr>
          </w:p>
        </w:tc>
        <w:tc>
          <w:tcPr>
            <w:tcW w:w="13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Three Fiscal</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Three Fiscal</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Quarters</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of 2023</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of 2022</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2023</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2022</w:t>
            </w: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Company-owned stores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+ 2.9%</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+ 5.2%</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U.S. franchise stores</w:t>
            </w: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stores</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+ 2.0%</w:t>
            </w:r>
          </w:p>
        </w:tc>
        <w:tc>
          <w:tcPr>
            <w:tcW w:w="120" w:type="dxa"/>
            <w:vAlign w:val="bottom"/>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+ 1.0%</w:t>
            </w:r>
          </w:p>
        </w:tc>
        <w:tc>
          <w:tcPr>
            <w:tcW w:w="120" w:type="dxa"/>
            <w:vAlign w:val="bottom"/>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International stores (excluding foreign currency impact)</w:t>
            </w:r>
          </w:p>
        </w:tc>
        <w:tc>
          <w:tcPr>
            <w:tcW w:w="1360" w:type="dxa"/>
            <w:vAlign w:val="bottom"/>
          </w:tcPr>
          <w:p>
            <w:pPr>
              <w:jc w:val="right"/>
              <w:spacing w:after="0"/>
              <w:rPr>
                <w:sz w:val="20"/>
                <w:szCs w:val="20"/>
                <w:color w:val="auto"/>
              </w:rPr>
            </w:pPr>
            <w:r>
              <w:rPr>
                <w:rFonts w:ascii="Arial" w:cs="Arial" w:eastAsia="Arial" w:hAnsi="Arial"/>
                <w:sz w:val="18"/>
                <w:szCs w:val="18"/>
                <w:color w:val="auto"/>
              </w:rPr>
              <w:t>+ 3.3%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+ 2.6%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Growth Activity</w:t>
      </w:r>
    </w:p>
    <w:p>
      <w:pPr>
        <w:spacing w:after="0" w:line="229" w:lineRule="exact"/>
        <w:rPr>
          <w:sz w:val="20"/>
          <w:szCs w:val="20"/>
          <w:color w:val="auto"/>
        </w:rPr>
      </w:pPr>
    </w:p>
    <w:p>
      <w:pPr>
        <w:ind w:right="180" w:firstLine="255"/>
        <w:spacing w:after="0" w:line="301" w:lineRule="auto"/>
        <w:rPr>
          <w:sz w:val="20"/>
          <w:szCs w:val="20"/>
          <w:color w:val="auto"/>
        </w:rPr>
      </w:pPr>
      <w:r>
        <w:rPr>
          <w:rFonts w:ascii="Arial" w:cs="Arial" w:eastAsia="Arial" w:hAnsi="Arial"/>
          <w:sz w:val="16"/>
          <w:szCs w:val="16"/>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 Net store decline in the third quarter of 2023 reflects the closure of the remaining 143 net stores in the Russia market. Net store growth in the trailing four quarters reflects the closure of the remaining 189 net stores in the Russia market.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240" w:type="dxa"/>
            <w:vAlign w:val="bottom"/>
          </w:tcPr>
          <w:p>
            <w:pPr>
              <w:spacing w:after="0"/>
              <w:rPr>
                <w:sz w:val="14"/>
                <w:szCs w:val="14"/>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U.S.</w:t>
            </w: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Company-</w:t>
            </w: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60" w:type="dxa"/>
            <w:vAlign w:val="bottom"/>
            <w:gridSpan w:val="2"/>
            <w:vMerge w:val="restart"/>
          </w:tcPr>
          <w:p>
            <w:pPr>
              <w:jc w:val="right"/>
              <w:ind w:right="361"/>
              <w:spacing w:after="0"/>
              <w:rPr>
                <w:sz w:val="20"/>
                <w:szCs w:val="20"/>
                <w:color w:val="auto"/>
              </w:rPr>
            </w:pPr>
            <w:r>
              <w:rPr>
                <w:rFonts w:ascii="Arial" w:cs="Arial" w:eastAsia="Arial" w:hAnsi="Arial"/>
                <w:sz w:val="14"/>
                <w:szCs w:val="14"/>
                <w:b w:val="1"/>
                <w:bCs w:val="1"/>
                <w:color w:val="auto"/>
              </w:rPr>
              <w:t>International</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owned</w:t>
            </w:r>
          </w:p>
        </w:tc>
        <w:tc>
          <w:tcPr>
            <w:tcW w:w="24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Franchise</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U.S.</w:t>
            </w:r>
          </w:p>
        </w:tc>
        <w:tc>
          <w:tcPr>
            <w:tcW w:w="1460" w:type="dxa"/>
            <w:vAlign w:val="bottom"/>
            <w:gridSpan w:val="2"/>
            <w:vMerge w:val="continue"/>
          </w:tcPr>
          <w:p>
            <w:pPr>
              <w:spacing w:after="0"/>
              <w:rPr>
                <w:sz w:val="12"/>
                <w:szCs w:val="12"/>
                <w:color w:val="auto"/>
              </w:rPr>
            </w:pPr>
          </w:p>
        </w:tc>
        <w:tc>
          <w:tcPr>
            <w:tcW w:w="1600" w:type="dxa"/>
            <w:vAlign w:val="bottom"/>
            <w:gridSpan w:val="2"/>
            <w:vMerge w:val="restart"/>
          </w:tcPr>
          <w:p>
            <w:pPr>
              <w:jc w:val="right"/>
              <w:ind w:right="6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Stores</w:t>
            </w:r>
          </w:p>
        </w:tc>
        <w:tc>
          <w:tcPr>
            <w:tcW w:w="24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Stores</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Stores</w:t>
            </w:r>
          </w:p>
        </w:tc>
        <w:tc>
          <w:tcPr>
            <w:tcW w:w="146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Stores</w:t>
            </w: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Store count at June 18,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6,449</w:t>
            </w: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6,735</w:t>
            </w:r>
          </w:p>
        </w:tc>
        <w:tc>
          <w:tcPr>
            <w:tcW w:w="22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13,470</w:t>
            </w:r>
          </w:p>
        </w:tc>
        <w:tc>
          <w:tcPr>
            <w:tcW w:w="20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Openings</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Closings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(1 )</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(1 )</w:t>
            </w:r>
          </w:p>
        </w:tc>
        <w:tc>
          <w:tcPr>
            <w:tcW w:w="14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(225 )</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Store count at September 10,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2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2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20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Third quarter 2023 net store growth (decline)</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Trailing four quarters net store growth</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gridSpan w:val="2"/>
          </w:tcPr>
          <w:p>
            <w:pPr>
              <w:jc w:val="right"/>
              <w:ind w:right="758"/>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-565150</wp:posOffset>
            </wp:positionV>
            <wp:extent cx="385762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5762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Income Statement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7"/>
          </w:tcPr>
          <w:p>
            <w:pPr>
              <w:jc w:val="center"/>
              <w:ind w:right="265"/>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14"/>
                <w:szCs w:val="14"/>
                <w:color w:val="auto"/>
              </w:rPr>
            </w:pPr>
          </w:p>
        </w:tc>
        <w:tc>
          <w:tcPr>
            <w:tcW w:w="1160" w:type="dxa"/>
            <w:vAlign w:val="bottom"/>
            <w:gridSpan w:val="5"/>
          </w:tcPr>
          <w:p>
            <w:pPr>
              <w:jc w:val="center"/>
              <w:ind w:left="145"/>
              <w:spacing w:after="0"/>
              <w:rPr>
                <w:sz w:val="20"/>
                <w:szCs w:val="20"/>
                <w:color w:val="auto"/>
              </w:rPr>
            </w:pPr>
            <w:r>
              <w:rPr>
                <w:rFonts w:ascii="Arial" w:cs="Arial" w:eastAsia="Arial" w:hAnsi="Arial"/>
                <w:sz w:val="14"/>
                <w:szCs w:val="14"/>
                <w:b w:val="1"/>
                <w:bCs w:val="1"/>
                <w:color w:val="auto"/>
              </w:rPr>
              <w:t>Third Quarter</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359"/>
              <w:spacing w:after="0"/>
              <w:rPr>
                <w:sz w:val="20"/>
                <w:szCs w:val="20"/>
                <w:color w:val="auto"/>
              </w:rPr>
            </w:pPr>
            <w:r>
              <w:rPr>
                <w:rFonts w:ascii="Arial" w:cs="Arial" w:eastAsia="Arial" w:hAnsi="Arial"/>
                <w:sz w:val="14"/>
                <w:szCs w:val="14"/>
                <w:b w:val="1"/>
                <w:bCs w:val="1"/>
                <w:color w:val="auto"/>
                <w:w w:val="94"/>
              </w:rPr>
              <w:t>Three Fiscal Quarters</w:t>
            </w:r>
          </w:p>
        </w:tc>
        <w:tc>
          <w:tcPr>
            <w:tcW w:w="17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Three Fiscal Quarters</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of 2023</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of 2022</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45"/>
              <w:spacing w:after="0"/>
              <w:rPr>
                <w:sz w:val="20"/>
                <w:szCs w:val="20"/>
                <w:color w:val="auto"/>
              </w:rPr>
            </w:pPr>
            <w:r>
              <w:rPr>
                <w:rFonts w:ascii="Arial" w:cs="Arial" w:eastAsia="Arial" w:hAnsi="Arial"/>
                <w:sz w:val="14"/>
                <w:szCs w:val="14"/>
                <w:b w:val="1"/>
                <w:bCs w:val="1"/>
                <w:color w:val="auto"/>
                <w:w w:val="91"/>
              </w:rPr>
              <w:t>of 2023</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44"/>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U.S. Company-owned stores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86.3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258.9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328.8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U.S. franchise royalties and fees</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138.3</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w:t>
            </w:r>
          </w:p>
        </w:tc>
        <w:tc>
          <w:tcPr>
            <w:tcW w:w="200" w:type="dxa"/>
            <w:vAlign w:val="bottom"/>
            <w:tcBorders>
              <w:lef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160" w:type="dxa"/>
            <w:vAlign w:val="bottom"/>
            <w:tcBorders>
              <w:left w:val="single" w:sz="8" w:color="CFF0FC"/>
            </w:tcBorders>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410.5</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379.3</w:t>
            </w:r>
          </w:p>
        </w:tc>
        <w:tc>
          <w:tcPr>
            <w:tcW w:w="220" w:type="dxa"/>
            <w:vAlign w:val="bottom"/>
            <w:tcBorders>
              <w:lef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Supply chain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618.1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646.1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1,858.0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1,902.2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International franchise royalties and fees</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73.1</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w:t>
            </w:r>
          </w:p>
        </w:tc>
        <w:tc>
          <w:tcPr>
            <w:tcW w:w="200" w:type="dxa"/>
            <w:vAlign w:val="bottom"/>
            <w:tcBorders>
              <w:lef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160" w:type="dxa"/>
            <w:vAlign w:val="bottom"/>
            <w:tcBorders>
              <w:left w:val="single" w:sz="8" w:color="CFF0FC"/>
            </w:tcBorders>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213.3</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202.8</w:t>
            </w:r>
          </w:p>
        </w:tc>
        <w:tc>
          <w:tcPr>
            <w:tcW w:w="220" w:type="dxa"/>
            <w:vAlign w:val="bottom"/>
            <w:tcBorders>
              <w:lef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U.S. franchise advertising</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111.5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331.9</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revenues</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1,027.4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FF0FC"/>
            </w:tcBorders>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1,068.6</w:t>
            </w:r>
          </w:p>
        </w:tc>
        <w:tc>
          <w:tcPr>
            <w:tcW w:w="20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100.0</w:t>
            </w: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FF0FC"/>
            </w:tcBorders>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3,076.4</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Borders>
              <w:left w:val="single" w:sz="8" w:color="CFF0FC"/>
              <w:right w:val="single" w:sz="8" w:color="CFF0FC"/>
            </w:tcBorders>
            <w:shd w:val="clear" w:color="auto" w:fill="CFF0FC"/>
          </w:tcPr>
          <w:p>
            <w:pPr>
              <w:jc w:val="right"/>
              <w:ind w:right="25"/>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3,144.9</w:t>
            </w:r>
          </w:p>
        </w:tc>
        <w:tc>
          <w:tcPr>
            <w:tcW w:w="22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FF0FC"/>
          </w:tcPr>
          <w:p>
            <w:pPr>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Cost of sales: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U.S. Company-owned stores</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72.6</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Borders>
              <w:lef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160" w:type="dxa"/>
            <w:vAlign w:val="bottom"/>
            <w:tcBorders>
              <w:left w:val="single" w:sz="8" w:color="CFF0FC"/>
            </w:tcBorders>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214.6</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280.0</w:t>
            </w:r>
          </w:p>
        </w:tc>
        <w:tc>
          <w:tcPr>
            <w:tcW w:w="220" w:type="dxa"/>
            <w:vAlign w:val="bottom"/>
            <w:tcBorders>
              <w:lef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gridSpan w:val="2"/>
          </w:tcPr>
          <w:p>
            <w:pPr>
              <w:ind w:left="120"/>
              <w:spacing w:after="0"/>
              <w:rPr>
                <w:sz w:val="20"/>
                <w:szCs w:val="20"/>
                <w:color w:val="auto"/>
              </w:rPr>
            </w:pPr>
            <w:r>
              <w:rPr>
                <w:rFonts w:ascii="Arial" w:cs="Arial" w:eastAsia="Arial" w:hAnsi="Arial"/>
                <w:sz w:val="14"/>
                <w:szCs w:val="14"/>
                <w:color w:val="auto"/>
              </w:rPr>
              <w:t>Supply chain</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556.6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1,673.4</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1,728.2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Total cost of sales</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629.2</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61.2</w:t>
            </w:r>
          </w:p>
        </w:tc>
        <w:tc>
          <w:tcPr>
            <w:tcW w:w="260" w:type="dxa"/>
            <w:vAlign w:val="bottom"/>
            <w:tcBorders>
              <w:left w:val="single" w:sz="8" w:color="CFF0FC"/>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FF0FC"/>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686.7</w:t>
            </w:r>
          </w:p>
        </w:tc>
        <w:tc>
          <w:tcPr>
            <w:tcW w:w="200" w:type="dxa"/>
            <w:vAlign w:val="bottom"/>
            <w:tcBorders>
              <w:left w:val="single" w:sz="8" w:color="CFF0FC"/>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w:t>
            </w:r>
          </w:p>
        </w:tc>
        <w:tc>
          <w:tcPr>
            <w:tcW w:w="220" w:type="dxa"/>
            <w:vAlign w:val="bottom"/>
            <w:tcBorders>
              <w:left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FF0FC"/>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1,888.0</w:t>
            </w:r>
          </w:p>
        </w:tc>
        <w:tc>
          <w:tcPr>
            <w:tcW w:w="260" w:type="dxa"/>
            <w:vAlign w:val="bottom"/>
            <w:tcBorders>
              <w:left w:val="single" w:sz="8" w:color="CFF0FC"/>
              <w:bottom w:val="single" w:sz="8" w:color="CFF0FC"/>
              <w:right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61.4</w:t>
            </w:r>
          </w:p>
        </w:tc>
        <w:tc>
          <w:tcPr>
            <w:tcW w:w="260" w:type="dxa"/>
            <w:vAlign w:val="bottom"/>
            <w:tcBorders>
              <w:left w:val="single" w:sz="8" w:color="CFF0FC"/>
              <w:bottom w:val="single" w:sz="8" w:color="CFF0FC"/>
              <w:right w:val="single" w:sz="8" w:color="CFF0FC"/>
            </w:tcBorders>
            <w:shd w:val="clear" w:color="auto" w:fill="CFF0FC"/>
          </w:tcPr>
          <w:p>
            <w:pPr>
              <w:jc w:val="right"/>
              <w:ind w:right="25"/>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2,008.2</w:t>
            </w:r>
          </w:p>
        </w:tc>
        <w:tc>
          <w:tcPr>
            <w:tcW w:w="220" w:type="dxa"/>
            <w:vAlign w:val="bottom"/>
            <w:tcBorders>
              <w:left w:val="single" w:sz="8" w:color="CFF0FC"/>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Gross margin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398.2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xml:space="preserve">38.8 </w:t>
            </w:r>
            <w:r>
              <w:rPr>
                <w:rFonts w:ascii="Arial" w:cs="Arial" w:eastAsia="Arial" w:hAnsi="Arial"/>
                <w:sz w:val="14"/>
                <w:szCs w:val="14"/>
                <w:color w:val="auto"/>
                <w:highlight w:val="white"/>
              </w:rPr>
              <w:t>%</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 xml:space="preserve">35.7 </w:t>
            </w:r>
            <w:r>
              <w:rPr>
                <w:rFonts w:ascii="Arial" w:cs="Arial" w:eastAsia="Arial" w:hAnsi="Arial"/>
                <w:sz w:val="14"/>
                <w:szCs w:val="14"/>
                <w:color w:val="auto"/>
                <w:highlight w:val="white"/>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1,188.4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5"/>
              <w:spacing w:after="0"/>
              <w:rPr>
                <w:sz w:val="20"/>
                <w:szCs w:val="20"/>
                <w:color w:val="auto"/>
              </w:rPr>
            </w:pPr>
            <w:r>
              <w:rPr>
                <w:rFonts w:ascii="Arial" w:cs="Arial" w:eastAsia="Arial" w:hAnsi="Arial"/>
                <w:sz w:val="14"/>
                <w:szCs w:val="14"/>
                <w:color w:val="auto"/>
              </w:rPr>
              <w:t xml:space="preserve">38.6 </w:t>
            </w:r>
            <w:r>
              <w:rPr>
                <w:rFonts w:ascii="Arial" w:cs="Arial" w:eastAsia="Arial" w:hAnsi="Arial"/>
                <w:sz w:val="14"/>
                <w:szCs w:val="14"/>
                <w:color w:val="auto"/>
                <w:highlight w:val="white"/>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1,136.7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xml:space="preserve">36.1 </w:t>
            </w:r>
            <w:r>
              <w:rPr>
                <w:rFonts w:ascii="Arial" w:cs="Arial" w:eastAsia="Arial" w:hAnsi="Arial"/>
                <w:sz w:val="14"/>
                <w:szCs w:val="14"/>
                <w:color w:val="auto"/>
                <w:highlight w:val="white"/>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97.2</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26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left w:val="single" w:sz="8" w:color="CFF0FC"/>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91.2</w:t>
            </w:r>
          </w:p>
        </w:tc>
        <w:tc>
          <w:tcPr>
            <w:tcW w:w="20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left w:val="single" w:sz="8" w:color="CFF0FC"/>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290.2</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260" w:type="dxa"/>
            <w:vAlign w:val="bottom"/>
            <w:tcBorders>
              <w:left w:val="single" w:sz="8" w:color="CFF0FC"/>
              <w:right w:val="single" w:sz="8" w:color="CFF0FC"/>
            </w:tcBorders>
            <w:shd w:val="clear" w:color="auto" w:fill="CFF0FC"/>
          </w:tcPr>
          <w:p>
            <w:pPr>
              <w:jc w:val="right"/>
              <w:ind w:right="25"/>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285.8</w:t>
            </w:r>
          </w:p>
        </w:tc>
        <w:tc>
          <w:tcPr>
            <w:tcW w:w="220" w:type="dxa"/>
            <w:vAlign w:val="bottom"/>
            <w:tcBorders>
              <w:left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FF0FC"/>
          </w:tcPr>
          <w:p>
            <w:pPr>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U.S. franchise advertising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111.5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10.9 %</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114.2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10.7 %</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335.7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25"/>
              <w:spacing w:after="0"/>
              <w:rPr>
                <w:sz w:val="20"/>
                <w:szCs w:val="20"/>
                <w:color w:val="auto"/>
              </w:rPr>
            </w:pPr>
            <w:r>
              <w:rPr>
                <w:rFonts w:ascii="Arial" w:cs="Arial" w:eastAsia="Arial" w:hAnsi="Arial"/>
                <w:sz w:val="14"/>
                <w:szCs w:val="14"/>
                <w:color w:val="auto"/>
              </w:rPr>
              <w:t>10.9 %</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331.9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Refranchising loss</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200" w:type="dxa"/>
            <w:vAlign w:val="bottom"/>
            <w:tcBorders>
              <w:left w:val="single" w:sz="8" w:color="CFF0FC"/>
            </w:tcBorders>
            <w:shd w:val="clear" w:color="auto" w:fill="CFF0FC"/>
          </w:tcPr>
          <w:p>
            <w:pPr>
              <w:spacing w:after="0"/>
              <w:rPr>
                <w:sz w:val="15"/>
                <w:szCs w:val="15"/>
                <w:color w:val="auto"/>
              </w:rPr>
            </w:pPr>
          </w:p>
        </w:tc>
        <w:tc>
          <w:tcPr>
            <w:tcW w:w="1000" w:type="dxa"/>
            <w:vAlign w:val="bottom"/>
            <w:gridSpan w:val="4"/>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160" w:type="dxa"/>
            <w:vAlign w:val="bottom"/>
            <w:tcBorders>
              <w:left w:val="single" w:sz="8" w:color="CFF0FC"/>
            </w:tcBorders>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tcBorders>
              <w:right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4"/>
                <w:szCs w:val="14"/>
                <w:color w:val="auto"/>
              </w:rPr>
              <w:t>0.0 %</w:t>
            </w:r>
          </w:p>
        </w:tc>
        <w:tc>
          <w:tcPr>
            <w:tcW w:w="8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Income from operations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189.4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xml:space="preserve">18.4 </w:t>
            </w:r>
            <w:r>
              <w:rPr>
                <w:rFonts w:ascii="Arial" w:cs="Arial" w:eastAsia="Arial" w:hAnsi="Arial"/>
                <w:sz w:val="14"/>
                <w:szCs w:val="14"/>
                <w:color w:val="auto"/>
                <w:highlight w:val="white"/>
              </w:rPr>
              <w:t>%</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176.5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color w:val="auto"/>
                <w:highlight w:val="white"/>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5"/>
              <w:spacing w:after="0"/>
              <w:rPr>
                <w:sz w:val="20"/>
                <w:szCs w:val="20"/>
                <w:color w:val="auto"/>
              </w:rPr>
            </w:pPr>
            <w:r>
              <w:rPr>
                <w:rFonts w:ascii="Arial" w:cs="Arial" w:eastAsia="Arial" w:hAnsi="Arial"/>
                <w:sz w:val="14"/>
                <w:szCs w:val="14"/>
                <w:color w:val="auto"/>
              </w:rPr>
              <w:t xml:space="preserve">18.3 </w:t>
            </w:r>
            <w:r>
              <w:rPr>
                <w:rFonts w:ascii="Arial" w:cs="Arial" w:eastAsia="Arial" w:hAnsi="Arial"/>
                <w:sz w:val="14"/>
                <w:szCs w:val="14"/>
                <w:color w:val="auto"/>
                <w:highlight w:val="white"/>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519.1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color w:val="auto"/>
                <w:highlight w:val="white"/>
              </w:rPr>
              <w:t>%</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28.2</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2.8 %</w:t>
            </w:r>
          </w:p>
        </w:tc>
        <w:tc>
          <w:tcPr>
            <w:tcW w:w="200" w:type="dxa"/>
            <w:vAlign w:val="bottom"/>
            <w:tcBorders>
              <w:left w:val="single" w:sz="8" w:color="CFF0FC"/>
            </w:tcBorders>
            <w:shd w:val="clear" w:color="auto" w:fill="CFF0FC"/>
          </w:tcPr>
          <w:p>
            <w:pPr>
              <w:spacing w:after="0"/>
              <w:rPr>
                <w:sz w:val="15"/>
                <w:szCs w:val="15"/>
                <w:color w:val="auto"/>
              </w:rPr>
            </w:pPr>
          </w:p>
        </w:tc>
        <w:tc>
          <w:tcPr>
            <w:tcW w:w="1000" w:type="dxa"/>
            <w:vAlign w:val="bottom"/>
            <w:gridSpan w:val="4"/>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160" w:type="dxa"/>
            <w:vAlign w:val="bottom"/>
            <w:tcBorders>
              <w:left w:val="single" w:sz="8" w:color="CFF0FC"/>
            </w:tcBorders>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tcBorders>
              <w:right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4"/>
                <w:szCs w:val="14"/>
                <w:color w:val="auto"/>
              </w:rPr>
              <w:t>0.4 %</w:t>
            </w:r>
          </w:p>
        </w:tc>
        <w:tc>
          <w:tcPr>
            <w:tcW w:w="8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ind w:right="5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(42.1 )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(4.1 )%</w:t>
            </w:r>
          </w:p>
        </w:tc>
        <w:tc>
          <w:tcPr>
            <w:tcW w:w="200" w:type="dxa"/>
            <w:vAlign w:val="bottom"/>
          </w:tcPr>
          <w:p>
            <w:pPr>
              <w:spacing w:after="0"/>
              <w:rPr>
                <w:sz w:val="15"/>
                <w:szCs w:val="15"/>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(44.6 )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(128.6 )</w:t>
            </w:r>
          </w:p>
        </w:tc>
        <w:tc>
          <w:tcPr>
            <w:tcW w:w="2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(136.1 )</w:t>
            </w:r>
          </w:p>
        </w:tc>
        <w:tc>
          <w:tcPr>
            <w:tcW w:w="28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69"/>
        </w:trPr>
        <w:tc>
          <w:tcPr>
            <w:tcW w:w="36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175.6</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26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left w:val="single" w:sz="8" w:color="CFF0FC"/>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131.8</w:t>
            </w:r>
          </w:p>
        </w:tc>
        <w:tc>
          <w:tcPr>
            <w:tcW w:w="20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left w:val="single" w:sz="8" w:color="CFF0FC"/>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446.9</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260" w:type="dxa"/>
            <w:vAlign w:val="bottom"/>
            <w:tcBorders>
              <w:left w:val="single" w:sz="8" w:color="CFF0FC"/>
              <w:right w:val="single" w:sz="8" w:color="CFF0FC"/>
            </w:tcBorders>
            <w:shd w:val="clear" w:color="auto" w:fill="CFF0FC"/>
          </w:tcPr>
          <w:p>
            <w:pPr>
              <w:jc w:val="right"/>
              <w:ind w:right="25"/>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383.0</w:t>
            </w:r>
          </w:p>
        </w:tc>
        <w:tc>
          <w:tcPr>
            <w:tcW w:w="220" w:type="dxa"/>
            <w:vAlign w:val="bottom"/>
            <w:tcBorders>
              <w:left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FF0FC"/>
          </w:tcPr>
          <w:p>
            <w:pPr>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27.9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2.7 %</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2.9 %</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25"/>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147.7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60" w:type="dxa"/>
            <w:vAlign w:val="bottom"/>
            <w:tcBorders>
              <w:left w:val="single" w:sz="8" w:color="CFF0FC"/>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100.5</w:t>
            </w:r>
          </w:p>
        </w:tc>
        <w:tc>
          <w:tcPr>
            <w:tcW w:w="200" w:type="dxa"/>
            <w:vAlign w:val="bottom"/>
            <w:tcBorders>
              <w:left w:val="single" w:sz="8" w:color="CFF0FC"/>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220" w:type="dxa"/>
            <w:vAlign w:val="bottom"/>
            <w:tcBorders>
              <w:left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361.8</w:t>
            </w:r>
          </w:p>
        </w:tc>
        <w:tc>
          <w:tcPr>
            <w:tcW w:w="26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260" w:type="dxa"/>
            <w:vAlign w:val="bottom"/>
            <w:tcBorders>
              <w:left w:val="single" w:sz="8" w:color="CFF0FC"/>
              <w:bottom w:val="single" w:sz="8" w:color="CFF0FC"/>
              <w:right w:val="single" w:sz="8" w:color="CFF0FC"/>
            </w:tcBorders>
            <w:shd w:val="clear" w:color="auto" w:fill="CFF0FC"/>
          </w:tcPr>
          <w:p>
            <w:pPr>
              <w:jc w:val="right"/>
              <w:ind w:right="25"/>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220" w:type="dxa"/>
            <w:vAlign w:val="bottom"/>
            <w:tcBorders>
              <w:left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2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5"/>
          </w:tcPr>
          <w:p>
            <w:pPr>
              <w:jc w:val="center"/>
              <w:ind w:left="105"/>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5"/>
          </w:tcPr>
          <w:p>
            <w:pPr>
              <w:jc w:val="center"/>
              <w:ind w:left="25"/>
              <w:spacing w:after="0"/>
              <w:rPr>
                <w:sz w:val="20"/>
                <w:szCs w:val="20"/>
                <w:color w:val="auto"/>
              </w:rPr>
            </w:pPr>
            <w:r>
              <w:rPr>
                <w:rFonts w:ascii="Arial" w:cs="Arial" w:eastAsia="Arial" w:hAnsi="Arial"/>
                <w:sz w:val="14"/>
                <w:szCs w:val="14"/>
                <w:b w:val="1"/>
                <w:bCs w:val="1"/>
                <w:color w:val="auto"/>
              </w:rPr>
              <w:t>Third Quarter</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6"/>
          </w:tcPr>
          <w:p>
            <w:pPr>
              <w:jc w:val="center"/>
              <w:ind w:right="439"/>
              <w:spacing w:after="0"/>
              <w:rPr>
                <w:sz w:val="20"/>
                <w:szCs w:val="20"/>
                <w:color w:val="auto"/>
              </w:rPr>
            </w:pPr>
            <w:r>
              <w:rPr>
                <w:rFonts w:ascii="Arial" w:cs="Arial" w:eastAsia="Arial" w:hAnsi="Arial"/>
                <w:sz w:val="14"/>
                <w:szCs w:val="14"/>
                <w:b w:val="1"/>
                <w:bCs w:val="1"/>
                <w:color w:val="auto"/>
                <w:w w:val="94"/>
              </w:rPr>
              <w:t>Three Fiscal Quarters</w:t>
            </w:r>
          </w:p>
        </w:tc>
        <w:tc>
          <w:tcPr>
            <w:tcW w:w="17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Three Fiscal Quarters</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jc w:val="center"/>
              <w:ind w:left="125"/>
              <w:spacing w:after="0"/>
              <w:rPr>
                <w:sz w:val="20"/>
                <w:szCs w:val="20"/>
                <w:color w:val="auto"/>
              </w:rPr>
            </w:pPr>
            <w:r>
              <w:rPr>
                <w:rFonts w:ascii="Arial" w:cs="Arial" w:eastAsia="Arial" w:hAnsi="Arial"/>
                <w:sz w:val="14"/>
                <w:szCs w:val="14"/>
                <w:b w:val="1"/>
                <w:bCs w:val="1"/>
                <w:color w:val="auto"/>
                <w:w w:val="91"/>
              </w:rPr>
              <w:t>of 2023</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left="205"/>
              <w:spacing w:after="0"/>
              <w:rPr>
                <w:sz w:val="20"/>
                <w:szCs w:val="20"/>
                <w:color w:val="auto"/>
              </w:rPr>
            </w:pPr>
            <w:r>
              <w:rPr>
                <w:rFonts w:ascii="Arial" w:cs="Arial" w:eastAsia="Arial" w:hAnsi="Arial"/>
                <w:sz w:val="14"/>
                <w:szCs w:val="14"/>
                <w:b w:val="1"/>
                <w:bCs w:val="1"/>
                <w:color w:val="auto"/>
                <w:w w:val="91"/>
              </w:rPr>
              <w:t>of 2022</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65"/>
              <w:spacing w:after="0"/>
              <w:rPr>
                <w:sz w:val="20"/>
                <w:szCs w:val="20"/>
                <w:color w:val="auto"/>
              </w:rPr>
            </w:pPr>
            <w:r>
              <w:rPr>
                <w:rFonts w:ascii="Arial" w:cs="Arial" w:eastAsia="Arial" w:hAnsi="Arial"/>
                <w:sz w:val="14"/>
                <w:szCs w:val="14"/>
                <w:b w:val="1"/>
                <w:bCs w:val="1"/>
                <w:color w:val="auto"/>
                <w:w w:val="91"/>
              </w:rPr>
              <w:t>of 2023</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b w:val="1"/>
                <w:bCs w:val="1"/>
                <w:color w:val="auto"/>
                <w:w w:val="95"/>
              </w:rPr>
              <w:t>of 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U.S. Company-owned stores</w:t>
            </w:r>
          </w:p>
        </w:tc>
        <w:tc>
          <w:tcPr>
            <w:tcW w:w="220" w:type="dxa"/>
            <w:vAlign w:val="bottom"/>
            <w:gridSpan w:val="2"/>
          </w:tcPr>
          <w:p>
            <w:pPr>
              <w:jc w:val="right"/>
              <w:ind w:right="4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jc w:val="right"/>
              <w:ind w:right="25"/>
              <w:spacing w:after="0"/>
              <w:rPr>
                <w:sz w:val="20"/>
                <w:szCs w:val="20"/>
                <w:color w:val="auto"/>
              </w:rPr>
            </w:pPr>
            <w:r>
              <w:rPr>
                <w:rFonts w:ascii="Arial" w:cs="Arial" w:eastAsia="Arial" w:hAnsi="Arial"/>
                <w:sz w:val="18"/>
                <w:szCs w:val="18"/>
                <w:color w:val="auto"/>
                <w:w w:val="87"/>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jc w:val="right"/>
              <w:ind w:right="5"/>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2"/>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U.S. franchise royalties and fees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13.5 %</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128.9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2"/>
              </w:rPr>
              <w:t>12.1 %</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410.5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13.4 %</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Supply chain</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618.1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60.1 %</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646.1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2"/>
              </w:rPr>
              <w:t>60.4 %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1,858.0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60.4 %</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1,902.2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60.5 %</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International franchise royalties and fees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rPr>
              <w:t>7.1 %</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6.3 %</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6.9 %</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U.S. franchise advertising</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10.9 %</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114.2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2"/>
              </w:rPr>
              <w:t>10.7 %</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335.7</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5"/>
              <w:spacing w:after="0"/>
              <w:rPr>
                <w:sz w:val="20"/>
                <w:szCs w:val="20"/>
                <w:color w:val="auto"/>
              </w:rPr>
            </w:pPr>
            <w:r>
              <w:rPr>
                <w:rFonts w:ascii="Arial" w:cs="Arial" w:eastAsia="Arial" w:hAnsi="Arial"/>
                <w:sz w:val="18"/>
                <w:szCs w:val="18"/>
                <w:color w:val="auto"/>
              </w:rPr>
              <w:t>10.9 %</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7"/>
        </w:trPr>
        <w:tc>
          <w:tcPr>
            <w:tcW w:w="362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gridSpan w:val="2"/>
            <w:vMerge w:val="continue"/>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7"/>
              </w:rPr>
              <w:t>$ 1,027.4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ind w:right="25"/>
              <w:spacing w:after="0"/>
              <w:rPr>
                <w:sz w:val="20"/>
                <w:szCs w:val="20"/>
                <w:color w:val="auto"/>
              </w:rPr>
            </w:pPr>
            <w:r>
              <w:rPr>
                <w:rFonts w:ascii="Arial" w:cs="Arial" w:eastAsia="Arial" w:hAnsi="Arial"/>
                <w:sz w:val="18"/>
                <w:szCs w:val="18"/>
                <w:color w:val="auto"/>
                <w:w w:val="84"/>
              </w:rPr>
              <w:t xml:space="preserve">100.0 </w:t>
            </w:r>
            <w:r>
              <w:rPr>
                <w:rFonts w:ascii="Arial" w:cs="Arial" w:eastAsia="Arial" w:hAnsi="Arial"/>
                <w:sz w:val="18"/>
                <w:szCs w:val="18"/>
                <w:color w:val="auto"/>
                <w:highlight w:val="white"/>
                <w:w w:val="84"/>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$ 1,068.6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w w:val="94"/>
              </w:rPr>
              <w:t xml:space="preserve">100.0 </w:t>
            </w:r>
            <w:r>
              <w:rPr>
                <w:rFonts w:ascii="Arial" w:cs="Arial" w:eastAsia="Arial" w:hAnsi="Arial"/>
                <w:sz w:val="18"/>
                <w:szCs w:val="18"/>
                <w:color w:val="auto"/>
                <w:highlight w:val="white"/>
                <w:w w:val="94"/>
              </w:rPr>
              <w:t>%</w:t>
            </w:r>
            <w:r>
              <w:rPr>
                <w:rFonts w:ascii="Arial" w:cs="Arial" w:eastAsia="Arial" w:hAnsi="Arial"/>
                <w:sz w:val="18"/>
                <w:szCs w:val="18"/>
                <w:color w:val="auto"/>
                <w:w w:val="94"/>
              </w:rPr>
              <w:t xml:space="preserve"> $3,076.4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8"/>
              </w:rPr>
              <w:t xml:space="preserve">100.0 </w:t>
            </w:r>
            <w:r>
              <w:rPr>
                <w:rFonts w:ascii="Arial" w:cs="Arial" w:eastAsia="Arial" w:hAnsi="Arial"/>
                <w:sz w:val="18"/>
                <w:szCs w:val="18"/>
                <w:color w:val="auto"/>
                <w:highlight w:val="white"/>
                <w:w w:val="98"/>
              </w:rPr>
              <w:t>%</w:t>
            </w:r>
            <w:r>
              <w:rPr>
                <w:rFonts w:ascii="Arial" w:cs="Arial" w:eastAsia="Arial" w:hAnsi="Arial"/>
                <w:sz w:val="18"/>
                <w:szCs w:val="18"/>
                <w:color w:val="auto"/>
                <w:w w:val="98"/>
              </w:rPr>
              <w:t xml:space="preserve"> $</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3,144.9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 xml:space="preserve">100.0 </w:t>
            </w:r>
            <w:r>
              <w:rPr>
                <w:rFonts w:ascii="Arial" w:cs="Arial" w:eastAsia="Arial" w:hAnsi="Arial"/>
                <w:sz w:val="18"/>
                <w:szCs w:val="18"/>
                <w:color w:val="auto"/>
                <w:highlight w:val="white"/>
                <w:w w:val="99"/>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-2742565</wp:posOffset>
            </wp:positionV>
            <wp:extent cx="7683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-2742565</wp:posOffset>
            </wp:positionV>
            <wp:extent cx="6858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-2742565</wp:posOffset>
            </wp:positionV>
            <wp:extent cx="6858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-2742565</wp:posOffset>
            </wp:positionV>
            <wp:extent cx="6858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-2279650</wp:posOffset>
            </wp:positionV>
            <wp:extent cx="76835"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-2279650</wp:posOffset>
            </wp:positionV>
            <wp:extent cx="6858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-2279650</wp:posOffset>
            </wp:positionV>
            <wp:extent cx="6858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-2279650</wp:posOffset>
            </wp:positionV>
            <wp:extent cx="6858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-1584960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-1567815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-1584960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-1567815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-1584960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-1567815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-1584960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-1567815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-1584960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-1567815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-1584960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-1567815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-1584960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-1567815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3429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82" w:lineRule="exact"/>
        <w:rPr>
          <w:sz w:val="20"/>
          <w:szCs w:val="20"/>
          <w:color w:val="auto"/>
        </w:rPr>
      </w:pPr>
    </w:p>
    <w:p>
      <w:pPr>
        <w:ind w:right="260" w:firstLine="255"/>
        <w:spacing w:after="0" w:line="257" w:lineRule="auto"/>
        <w:rPr>
          <w:sz w:val="20"/>
          <w:szCs w:val="20"/>
          <w:color w:val="auto"/>
        </w:rPr>
      </w:pPr>
      <w:r>
        <w:rPr>
          <w:rFonts w:ascii="Arial" w:cs="Arial" w:eastAsia="Arial" w:hAnsi="Arial"/>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Stores Revenues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6"/>
          </w:tcPr>
          <w:p>
            <w:pPr>
              <w:jc w:val="center"/>
              <w:ind w:right="450"/>
              <w:spacing w:after="0"/>
              <w:rPr>
                <w:sz w:val="20"/>
                <w:szCs w:val="20"/>
                <w:color w:val="auto"/>
              </w:rPr>
            </w:pPr>
            <w:r>
              <w:rPr>
                <w:rFonts w:ascii="Arial" w:cs="Arial" w:eastAsia="Arial" w:hAnsi="Arial"/>
                <w:sz w:val="14"/>
                <w:szCs w:val="14"/>
                <w:b w:val="1"/>
                <w:bCs w:val="1"/>
                <w:color w:val="auto"/>
              </w:rPr>
              <w:t>Third Quarter</w:t>
            </w:r>
          </w:p>
        </w:tc>
        <w:tc>
          <w:tcPr>
            <w:tcW w:w="1900" w:type="dxa"/>
            <w:vAlign w:val="bottom"/>
            <w:gridSpan w:val="6"/>
          </w:tcPr>
          <w:p>
            <w:pPr>
              <w:jc w:val="center"/>
              <w:ind w:right="370"/>
              <w:spacing w:after="0"/>
              <w:rPr>
                <w:sz w:val="20"/>
                <w:szCs w:val="20"/>
                <w:color w:val="auto"/>
              </w:rPr>
            </w:pPr>
            <w:r>
              <w:rPr>
                <w:rFonts w:ascii="Arial" w:cs="Arial" w:eastAsia="Arial" w:hAnsi="Arial"/>
                <w:sz w:val="14"/>
                <w:szCs w:val="14"/>
                <w:b w:val="1"/>
                <w:bCs w:val="1"/>
                <w:color w:val="auto"/>
                <w:w w:val="94"/>
              </w:rPr>
              <w:t>Three Fiscal Quarters</w:t>
            </w:r>
          </w:p>
        </w:tc>
        <w:tc>
          <w:tcPr>
            <w:tcW w:w="174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3"/>
              </w:rPr>
              <w:t>Three Fiscal Quarters</w:t>
            </w: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4"/>
                <w:szCs w:val="14"/>
                <w:b w:val="1"/>
                <w:bCs w:val="1"/>
                <w:color w:val="auto"/>
                <w:w w:val="91"/>
              </w:rPr>
              <w:t>of 2023</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4"/>
                <w:szCs w:val="14"/>
                <w:b w:val="1"/>
                <w:bCs w:val="1"/>
                <w:color w:val="auto"/>
                <w:w w:val="91"/>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4"/>
                <w:szCs w:val="14"/>
                <w:b w:val="1"/>
                <w:bCs w:val="1"/>
                <w:color w:val="auto"/>
                <w:w w:val="95"/>
              </w:rPr>
              <w:t>of 2022</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U.S. Company-owned stores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258.9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3620" w:type="dxa"/>
            <w:vAlign w:val="bottom"/>
          </w:tcPr>
          <w:p>
            <w:pPr>
              <w:ind w:left="20"/>
              <w:spacing w:after="0"/>
              <w:rPr>
                <w:sz w:val="20"/>
                <w:szCs w:val="20"/>
                <w:color w:val="auto"/>
              </w:rPr>
            </w:pPr>
            <w:r>
              <w:rPr>
                <w:rFonts w:ascii="Arial" w:cs="Arial" w:eastAsia="Arial" w:hAnsi="Arial"/>
                <w:sz w:val="18"/>
                <w:szCs w:val="18"/>
                <w:color w:val="auto"/>
              </w:rPr>
              <w:t>U.S. franchise royalties and fees</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138.3</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41.1 %</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36.3 %</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40.8 %</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U.S. franchise advertising</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33.2 %</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33.4 %</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7"/>
        </w:trPr>
        <w:tc>
          <w:tcPr>
            <w:tcW w:w="3620" w:type="dxa"/>
            <w:vAlign w:val="bottom"/>
            <w:vMerge w:val="restart"/>
          </w:tcPr>
          <w:p>
            <w:pPr>
              <w:ind w:left="200"/>
              <w:spacing w:after="0"/>
              <w:rPr>
                <w:sz w:val="20"/>
                <w:szCs w:val="20"/>
                <w:color w:val="auto"/>
              </w:rPr>
            </w:pPr>
            <w:r>
              <w:rPr>
                <w:rFonts w:ascii="Arial" w:cs="Arial" w:eastAsia="Arial" w:hAnsi="Arial"/>
                <w:sz w:val="18"/>
                <w:szCs w:val="18"/>
                <w:color w:val="auto"/>
              </w:rPr>
              <w:t>Total U.S. stores revenues</w:t>
            </w: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336.1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w w:val="91"/>
              </w:rPr>
              <w:t xml:space="preserve">100.0 </w:t>
            </w:r>
            <w:r>
              <w:rPr>
                <w:rFonts w:ascii="Arial" w:cs="Arial" w:eastAsia="Arial" w:hAnsi="Arial"/>
                <w:sz w:val="18"/>
                <w:szCs w:val="18"/>
                <w:color w:val="auto"/>
                <w:highlight w:val="white"/>
                <w:w w:val="91"/>
              </w:rPr>
              <w:t>%</w:t>
            </w:r>
            <w:r>
              <w:rPr>
                <w:rFonts w:ascii="Arial" w:cs="Arial" w:eastAsia="Arial" w:hAnsi="Arial"/>
                <w:sz w:val="18"/>
                <w:szCs w:val="18"/>
                <w:color w:val="auto"/>
                <w:w w:val="91"/>
              </w:rPr>
              <w:t xml:space="preserve"> $</w:t>
            </w:r>
          </w:p>
        </w:tc>
        <w:tc>
          <w:tcPr>
            <w:tcW w:w="500" w:type="dxa"/>
            <w:vAlign w:val="bottom"/>
          </w:tcPr>
          <w:p>
            <w:pPr>
              <w:jc w:val="right"/>
              <w:spacing w:after="0"/>
              <w:rPr>
                <w:sz w:val="20"/>
                <w:szCs w:val="20"/>
                <w:color w:val="auto"/>
              </w:rPr>
            </w:pPr>
            <w:r>
              <w:rPr>
                <w:rFonts w:ascii="Arial" w:cs="Arial" w:eastAsia="Arial" w:hAnsi="Arial"/>
                <w:sz w:val="18"/>
                <w:szCs w:val="18"/>
                <w:color w:val="auto"/>
              </w:rPr>
              <w:t>355.5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1,005.1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1,039.9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 xml:space="preserve">100.0 </w:t>
            </w:r>
            <w:r>
              <w:rPr>
                <w:rFonts w:ascii="Arial" w:cs="Arial" w:eastAsia="Arial" w:hAnsi="Arial"/>
                <w:sz w:val="18"/>
                <w:szCs w:val="18"/>
                <w:color w:val="auto"/>
                <w:highlight w:val="white"/>
                <w:w w:val="99"/>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3429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Company-owned Stores</w:t>
      </w:r>
    </w:p>
    <w:p>
      <w:pPr>
        <w:spacing w:after="0" w:line="131" w:lineRule="exact"/>
        <w:rPr>
          <w:sz w:val="20"/>
          <w:szCs w:val="20"/>
          <w:color w:val="auto"/>
        </w:rPr>
      </w:pPr>
    </w:p>
    <w:p>
      <w:pPr>
        <w:ind w:right="220" w:firstLine="255"/>
        <w:spacing w:after="0" w:line="257" w:lineRule="auto"/>
        <w:rPr>
          <w:sz w:val="20"/>
          <w:szCs w:val="20"/>
          <w:color w:val="auto"/>
        </w:rPr>
      </w:pPr>
      <w:r>
        <w:rPr>
          <w:rFonts w:ascii="Arial" w:cs="Arial" w:eastAsia="Arial" w:hAnsi="Arial"/>
          <w:sz w:val="18"/>
          <w:szCs w:val="18"/>
          <w:color w:val="auto"/>
        </w:rPr>
        <w:t>Revenues from U.S. Company-owned store operations decreased $26.1 million, or 23.2%, in the third quarter of 2023, and decreased $69.9 million, or 21.3%, in the three fiscal quarters of 2023 primarily due to a decrease in the average number of U.S. Company-owned stores open during the period resulting from the refranchising of 114 U.S. Company-owned stores in Arizona and Utah in the fourth quarter of 2022 to certain of our U.S. franchisees (the “2022 Store Sale”). This decrease was partially offset by higher same store sales, and, to a lesser extent in the three fiscal quarters of 2023, our purchase of 23 U.S. franchise stores in Michigan in the first quarter of 2022.</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36" w:right="259" w:bottom="1440" w:gutter="0" w:footer="0" w:header="0"/>
        </w:sectPr>
      </w:pPr>
    </w:p>
    <w:bookmarkStart w:id="19" w:name="page20"/>
    <w:bookmarkEnd w:id="19"/>
    <w:p>
      <w:pPr>
        <w:ind w:left="260"/>
        <w:spacing w:after="0"/>
        <w:rPr>
          <w:sz w:val="20"/>
          <w:szCs w:val="20"/>
          <w:color w:val="auto"/>
        </w:rPr>
      </w:pPr>
      <w:r>
        <w:rPr>
          <w:rFonts w:ascii="Arial" w:cs="Arial" w:eastAsia="Arial" w:hAnsi="Arial"/>
          <w:sz w:val="17"/>
          <w:szCs w:val="17"/>
          <w:color w:val="auto"/>
        </w:rPr>
        <w:t>U.S. Company-owned same store sales increased 2.9% in the third quarter of 2023 and increased 5.2% in the three fiscal quarters of 2023.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Company-owned same store sales declined 1.9% in the third quarter of 2022 and declined 7.3% in the three fiscal quarters of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Franchise Royalties and Fees</w:t>
      </w:r>
    </w:p>
    <w:p>
      <w:pPr>
        <w:spacing w:after="0" w:line="131"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Revenues from U.S. franchise royalties and fees increased $9.4 million, or 7.3%, in the third quarter of 2023, and increased $31.2 million, or 8.2%, in the three fiscal quarters of 2023 primarily due to an increase in fees paid by our franchisees for the use of our technology platforms, as well as an increase in the average number of U.S. franchised stores open during the period resulting from the 2022 Store Sale, and, to a lesser extent, net store growth. Lower same store sales in the third quarter of 2023 partially offset these increases in revenue, while higher same store sales in the three fiscal quarters of 2023 also contributed to the increase in U.S. franchise royalties and fees.</w:t>
      </w:r>
    </w:p>
    <w:p>
      <w:pPr>
        <w:spacing w:after="0" w:line="188"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U.S. franchise same store sales declined 0.7% in the third quarter of 2023 and increased 0.8% in the three fiscal quarters of 2023. U.S. franchise same store sales increased 2.2% in the third quarter of 2022 and declined 1.2% in the three fiscal quarters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Franchise Advertising</w:t>
      </w:r>
    </w:p>
    <w:p>
      <w:pPr>
        <w:spacing w:after="0" w:line="131" w:lineRule="exact"/>
        <w:rPr>
          <w:sz w:val="20"/>
          <w:szCs w:val="20"/>
          <w:color w:val="auto"/>
        </w:rPr>
      </w:pPr>
    </w:p>
    <w:p>
      <w:pPr>
        <w:ind w:right="40" w:firstLine="284"/>
        <w:spacing w:after="0" w:line="259" w:lineRule="auto"/>
        <w:rPr>
          <w:sz w:val="20"/>
          <w:szCs w:val="20"/>
          <w:color w:val="auto"/>
        </w:rPr>
      </w:pPr>
      <w:r>
        <w:rPr>
          <w:rFonts w:ascii="Arial" w:cs="Arial" w:eastAsia="Arial" w:hAnsi="Arial"/>
          <w:sz w:val="18"/>
          <w:szCs w:val="18"/>
          <w:color w:val="auto"/>
        </w:rPr>
        <w:t>Revenues from U.S. franchise advertising decreased $2.7 million, or 2.3%, in the third quarter of 2023 due to a temporary reduction of 0.25% to the standard 6.0% advertising contribution which was effectuated at the beginning of the second quarter of 2023, as well as a decline in U.S. franchise same store sales in the third quarter of 2023. These decreases were partially offset by an increase in the average number of U.S. franchised stores open during the period resulting from the 2022 Store Sale, and, to a lesser extent, net store growth.</w:t>
      </w:r>
    </w:p>
    <w:p>
      <w:pPr>
        <w:spacing w:after="0" w:line="92" w:lineRule="exact"/>
        <w:rPr>
          <w:sz w:val="20"/>
          <w:szCs w:val="20"/>
          <w:color w:val="auto"/>
        </w:rPr>
      </w:pPr>
    </w:p>
    <w:p>
      <w:pPr>
        <w:jc w:val="both"/>
        <w:ind w:right="80" w:firstLine="284"/>
        <w:spacing w:after="0" w:line="259" w:lineRule="auto"/>
        <w:rPr>
          <w:sz w:val="20"/>
          <w:szCs w:val="20"/>
          <w:color w:val="auto"/>
        </w:rPr>
      </w:pPr>
      <w:r>
        <w:rPr>
          <w:rFonts w:ascii="Arial" w:cs="Arial" w:eastAsia="Arial" w:hAnsi="Arial"/>
          <w:sz w:val="18"/>
          <w:szCs w:val="18"/>
          <w:color w:val="auto"/>
        </w:rPr>
        <w:t>Revenues from U.S. franchise advertising increased $3.9 million, or 1.2%, in the three fiscal quarters of 2023 due to an increase in the average number of U.S. franchised stores open during the period resulting from the 2022 Store Sale, and, to a lesser extent, net store growth. Revenues from U.S. franchise advertising also benefited from higher same store sales in the three fiscal quarters of 2023. These increases were partially offset by the 0.25% reduction in the standard advertising contribution referenced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31"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Supply chain revenues decreased $28.0 million, or 4.3%, in the third quarter of 2023 due to lower order volumes at our U.S. franchised stores as well as a decrease in our market basket pricing to stores of 1.7% in the third quarter of 2023, which resulted in an estimated $12.8 million decrease in supply chain revenues. Supply chain revenues decreased $44.2 million, or 2.3%, in the three fiscal quarters of 2023 due primarily to lower order volumes at our U.S. franchised stores. Our market basket pricing to stores increased 0.2% during the three fiscal quarters of 2023 which did not have a significant impact on supply chain revenues. The market basket pricing change, a statistical measure utilized by management, is calculated as the percentage change of the market basket purchased by an average U.S. store (based on average weekly unit sales) from our U.S. supply chain centers against the comparable period of the prior year. We believe this measure is important to understanding Company performance because as our market basket prices fluctuate, our revenues, cost of sales and gross margin percentages in our supply chain segment also fluctuate.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Royalties and Fee Revenues</w:t>
      </w:r>
    </w:p>
    <w:p>
      <w:pPr>
        <w:spacing w:after="0" w:line="117" w:lineRule="exact"/>
        <w:rPr>
          <w:sz w:val="20"/>
          <w:szCs w:val="20"/>
          <w:color w:val="auto"/>
        </w:rPr>
      </w:pPr>
    </w:p>
    <w:p>
      <w:pPr>
        <w:ind w:right="20" w:firstLine="255"/>
        <w:spacing w:after="0" w:line="270" w:lineRule="auto"/>
        <w:rPr>
          <w:sz w:val="20"/>
          <w:szCs w:val="20"/>
          <w:color w:val="auto"/>
        </w:rPr>
      </w:pPr>
      <w:r>
        <w:rPr>
          <w:rFonts w:ascii="Arial" w:cs="Arial" w:eastAsia="Arial" w:hAnsi="Arial"/>
          <w:sz w:val="17"/>
          <w:szCs w:val="17"/>
          <w:color w:val="auto"/>
        </w:rPr>
        <w:t>Revenues from international franchise royalties and fees increased $6.1 million, or 9.1%, in the third quarter of 2023, and increased $10.5 million, or 5.2%, in the three fiscal quarters of 2023 due primarily to same store sales growth (excluding foreign currency impact) and an increase in the average number of international franchised stores open during the period, resulting from net store growth during the trailing four quarters. The negative impact of changes in foreign currency exchange rates of $0.2 million in the third quarter of 2023 and $6.4 million in the three fiscal quarters of 2023 partially offset the increases in international franchise royalties and fees.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73" w:lineRule="exact"/>
        <w:rPr>
          <w:sz w:val="20"/>
          <w:szCs w:val="20"/>
          <w:color w:val="auto"/>
        </w:rPr>
      </w:pPr>
    </w:p>
    <w:p>
      <w:pPr>
        <w:jc w:val="both"/>
        <w:ind w:right="540" w:firstLine="255"/>
        <w:spacing w:after="0" w:line="286" w:lineRule="auto"/>
        <w:rPr>
          <w:sz w:val="20"/>
          <w:szCs w:val="20"/>
          <w:color w:val="auto"/>
        </w:rPr>
      </w:pPr>
      <w:r>
        <w:rPr>
          <w:rFonts w:ascii="Arial" w:cs="Arial" w:eastAsia="Arial" w:hAnsi="Arial"/>
          <w:sz w:val="17"/>
          <w:szCs w:val="17"/>
          <w:color w:val="auto"/>
        </w:rPr>
        <w:t>Excluding the impact of foreign currency exchange rates, international franchise same store sales increased 3.3% in the third quarter of 2023 and increased 2.6% in the three fiscal quarters of 2023. Excluding the impact of foreign currency exchange rates, international franchise same store sales declined 1.8% in the third quarter of 2022 and declined 0.8% in the three fiscal quarters of 2022.</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Cost of Sales / Gross Margin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left="157"/>
              <w:spacing w:after="0"/>
              <w:rPr>
                <w:sz w:val="20"/>
                <w:szCs w:val="20"/>
                <w:color w:val="auto"/>
              </w:rPr>
            </w:pPr>
            <w:r>
              <w:rPr>
                <w:rFonts w:ascii="Arial" w:cs="Arial" w:eastAsia="Arial" w:hAnsi="Arial"/>
                <w:sz w:val="14"/>
                <w:szCs w:val="14"/>
                <w:b w:val="1"/>
                <w:bCs w:val="1"/>
                <w:color w:val="auto"/>
              </w:rPr>
              <w:t>Third Quarter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Three Fiscal Quarters</w:t>
            </w:r>
          </w:p>
        </w:tc>
        <w:tc>
          <w:tcPr>
            <w:tcW w:w="220" w:type="dxa"/>
            <w:vAlign w:val="bottom"/>
          </w:tcPr>
          <w:p>
            <w:pPr>
              <w:spacing w:after="0"/>
              <w:rPr>
                <w:sz w:val="14"/>
                <w:szCs w:val="14"/>
                <w:color w:val="auto"/>
              </w:rPr>
            </w:pPr>
          </w:p>
        </w:tc>
        <w:tc>
          <w:tcPr>
            <w:tcW w:w="186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3"/>
              </w:rPr>
              <w:t>Three Fiscal Quarters</w:t>
            </w:r>
          </w:p>
        </w:tc>
      </w:tr>
      <w:tr>
        <w:trPr>
          <w:trHeight w:val="185"/>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91"/>
              </w:rPr>
              <w:t>of 2023</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1"/>
              </w:rPr>
              <w:t>of 2022</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1"/>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5"/>
              </w:rPr>
              <w:t>of 2022</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1,027.4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1,068.6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$3,076.4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$3,144.9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3620" w:type="dxa"/>
            <w:vAlign w:val="bottom"/>
          </w:tcPr>
          <w:p>
            <w:pPr>
              <w:ind w:left="20"/>
              <w:spacing w:after="0"/>
              <w:rPr>
                <w:sz w:val="20"/>
                <w:szCs w:val="20"/>
                <w:color w:val="auto"/>
              </w:rPr>
            </w:pPr>
            <w:r>
              <w:rPr>
                <w:rFonts w:ascii="Arial" w:cs="Arial" w:eastAsia="Arial" w:hAnsi="Arial"/>
                <w:sz w:val="18"/>
                <w:szCs w:val="18"/>
                <w:color w:val="auto"/>
              </w:rPr>
              <w:t>Total cost of sales</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629.2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61.2 %</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64.3 %</w:t>
            </w:r>
          </w:p>
        </w:tc>
        <w:tc>
          <w:tcPr>
            <w:tcW w:w="680" w:type="dxa"/>
            <w:vAlign w:val="bottom"/>
          </w:tcPr>
          <w:p>
            <w:pPr>
              <w:jc w:val="right"/>
              <w:spacing w:after="0"/>
              <w:rPr>
                <w:sz w:val="20"/>
                <w:szCs w:val="20"/>
                <w:color w:val="auto"/>
              </w:rPr>
            </w:pPr>
            <w:r>
              <w:rPr>
                <w:rFonts w:ascii="Arial" w:cs="Arial" w:eastAsia="Arial" w:hAnsi="Arial"/>
                <w:sz w:val="18"/>
                <w:szCs w:val="18"/>
                <w:color w:val="auto"/>
              </w:rPr>
              <w:t>1,888.0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61.4 %  2,008.2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63.9 %</w:t>
            </w:r>
          </w:p>
        </w:tc>
      </w:tr>
      <w:tr>
        <w:trPr>
          <w:trHeight w:val="237"/>
        </w:trPr>
        <w:tc>
          <w:tcPr>
            <w:tcW w:w="362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2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35.7</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$1,188.4</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$1,136.7</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7"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Consolidated cost of sales consists of U.S. Company-owned store and supply chain costs incurred to generate related revenues. Components of consolidated cost of sales primarily include food, labor, delivery and occupancy costs. Consolidated gross margin (which we define as revenues less cost of sales) increased $16.3 million, or 4.3%, in the third quarter of 2023, and increased $51.7 million, or 4.5%, in the three fiscal quarters of 2023 due primarily to higher global franchise royalty revenues, as well as improved procurement productivity within supply chain. Franchise revenues do not have a cost of sales component, so changes in these revenues have a disproportionate effect on gross margin. Additionally, as our market basket prices fluctuate, our revenues and gross margin percentages in our supply chain segment also fluctuate; however, actual product-level dollar margins remain unchanged.</w:t>
      </w:r>
    </w:p>
    <w:p>
      <w:pPr>
        <w:spacing w:after="0" w:line="56" w:lineRule="exact"/>
        <w:rPr>
          <w:sz w:val="20"/>
          <w:szCs w:val="20"/>
          <w:color w:val="auto"/>
        </w:rPr>
      </w:pPr>
    </w:p>
    <w:p>
      <w:pPr>
        <w:ind w:right="280" w:firstLine="255"/>
        <w:spacing w:after="0" w:line="301" w:lineRule="auto"/>
        <w:rPr>
          <w:sz w:val="20"/>
          <w:szCs w:val="20"/>
          <w:color w:val="auto"/>
        </w:rPr>
      </w:pPr>
      <w:r>
        <w:rPr>
          <w:rFonts w:ascii="Arial" w:cs="Arial" w:eastAsia="Arial" w:hAnsi="Arial"/>
          <w:sz w:val="16"/>
          <w:szCs w:val="16"/>
          <w:color w:val="auto"/>
        </w:rPr>
        <w:t>As a percentage of revenues, the consolidated gross margin increased 3.1 percentage points in the third quarter of 2023 and increased 2.5 percentage points in the three fiscal quarters of 2023. U.S. Company-owned store gross margin increased 3.5 percentage points in the third quarter of 2023 and increased 2.3 percentage points in the three fiscal quarters of 2023. Supply chain gross margin increased 1.0 percentage point in the third quarter of 2023 and increased 0.7 percentage points in the three fiscal quarters of 2023. These changes in gross margin are described in more detail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Company-Owned Store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6"/>
          </w:tcPr>
          <w:p>
            <w:pPr>
              <w:jc w:val="center"/>
              <w:ind w:right="530"/>
              <w:spacing w:after="0"/>
              <w:rPr>
                <w:sz w:val="20"/>
                <w:szCs w:val="20"/>
                <w:color w:val="auto"/>
              </w:rPr>
            </w:pPr>
            <w:r>
              <w:rPr>
                <w:rFonts w:ascii="Arial" w:cs="Arial" w:eastAsia="Arial" w:hAnsi="Arial"/>
                <w:sz w:val="14"/>
                <w:szCs w:val="14"/>
                <w:b w:val="1"/>
                <w:bCs w:val="1"/>
                <w:color w:val="auto"/>
              </w:rPr>
              <w:t>Third Quarter</w:t>
            </w:r>
          </w:p>
        </w:tc>
        <w:tc>
          <w:tcPr>
            <w:tcW w:w="1820" w:type="dxa"/>
            <w:vAlign w:val="bottom"/>
            <w:gridSpan w:val="6"/>
          </w:tcPr>
          <w:p>
            <w:pPr>
              <w:jc w:val="center"/>
              <w:ind w:right="430"/>
              <w:spacing w:after="0"/>
              <w:rPr>
                <w:sz w:val="20"/>
                <w:szCs w:val="20"/>
                <w:color w:val="auto"/>
              </w:rPr>
            </w:pPr>
            <w:r>
              <w:rPr>
                <w:rFonts w:ascii="Arial" w:cs="Arial" w:eastAsia="Arial" w:hAnsi="Arial"/>
                <w:sz w:val="14"/>
                <w:szCs w:val="14"/>
                <w:b w:val="1"/>
                <w:bCs w:val="1"/>
                <w:color w:val="auto"/>
              </w:rPr>
              <w:t>Third Quarter</w:t>
            </w:r>
          </w:p>
        </w:tc>
        <w:tc>
          <w:tcPr>
            <w:tcW w:w="1840" w:type="dxa"/>
            <w:vAlign w:val="bottom"/>
            <w:gridSpan w:val="6"/>
          </w:tcPr>
          <w:p>
            <w:pPr>
              <w:jc w:val="center"/>
              <w:ind w:right="390"/>
              <w:spacing w:after="0"/>
              <w:rPr>
                <w:sz w:val="20"/>
                <w:szCs w:val="20"/>
                <w:color w:val="auto"/>
              </w:rPr>
            </w:pPr>
            <w:r>
              <w:rPr>
                <w:rFonts w:ascii="Arial" w:cs="Arial" w:eastAsia="Arial" w:hAnsi="Arial"/>
                <w:sz w:val="14"/>
                <w:szCs w:val="14"/>
                <w:b w:val="1"/>
                <w:bCs w:val="1"/>
                <w:color w:val="auto"/>
                <w:w w:val="94"/>
              </w:rPr>
              <w:t>Three Fiscal Quarters</w:t>
            </w:r>
          </w:p>
        </w:tc>
        <w:tc>
          <w:tcPr>
            <w:tcW w:w="168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4"/>
              </w:rPr>
              <w:t>Three Fiscal Quarters</w:t>
            </w:r>
          </w:p>
        </w:tc>
      </w:tr>
      <w:tr>
        <w:trPr>
          <w:trHeight w:val="185"/>
        </w:trPr>
        <w:tc>
          <w:tcPr>
            <w:tcW w:w="3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91"/>
              </w:rPr>
              <w:t>of 2023</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w w:val="95"/>
              </w:rPr>
              <w:t>of 2022</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1"/>
              </w:rPr>
              <w:t>of 2023</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4"/>
        </w:trPr>
        <w:tc>
          <w:tcPr>
            <w:tcW w:w="38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328.8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3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84.2 %</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87.7 %</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82.9 %</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85.2 %</w:t>
            </w:r>
          </w:p>
        </w:tc>
      </w:tr>
      <w:tr>
        <w:trPr>
          <w:trHeight w:val="237"/>
        </w:trPr>
        <w:tc>
          <w:tcPr>
            <w:tcW w:w="3820" w:type="dxa"/>
            <w:vAlign w:val="bottom"/>
          </w:tcPr>
          <w:p>
            <w:pPr>
              <w:ind w:left="200"/>
              <w:spacing w:after="0"/>
              <w:rPr>
                <w:sz w:val="20"/>
                <w:szCs w:val="20"/>
                <w:color w:val="auto"/>
              </w:rPr>
            </w:pPr>
            <w:r>
              <w:rPr>
                <w:rFonts w:ascii="Arial" w:cs="Arial" w:eastAsia="Arial" w:hAnsi="Arial"/>
                <w:sz w:val="18"/>
                <w:szCs w:val="18"/>
                <w:color w:val="auto"/>
              </w:rPr>
              <w:t>Store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7" w:lineRule="exact"/>
        <w:rPr>
          <w:sz w:val="20"/>
          <w:szCs w:val="20"/>
          <w:color w:val="auto"/>
        </w:rPr>
      </w:pPr>
    </w:p>
    <w:p>
      <w:pPr>
        <w:ind w:right="180" w:firstLine="255"/>
        <w:spacing w:after="0" w:line="301" w:lineRule="auto"/>
        <w:rPr>
          <w:sz w:val="20"/>
          <w:szCs w:val="20"/>
          <w:color w:val="auto"/>
        </w:rPr>
      </w:pPr>
      <w:r>
        <w:rPr>
          <w:rFonts w:ascii="Arial" w:cs="Arial" w:eastAsia="Arial" w:hAnsi="Arial"/>
          <w:sz w:val="16"/>
          <w:szCs w:val="16"/>
          <w:color w:val="auto"/>
        </w:rPr>
        <w:t>U.S. Company-owned store gross margin (which does not include certain store-level costs such as royalties and advertising) decreased $0.1 million, or 1.0%, in the third quarter of 2023 and decreased $4.5 million, or 9.2%, in the three fiscal quarters of 2023 due primarily to the 2022 Store Sale. As a percentage of store revenues, the U.S. Company-owned store gross margin increased 3.5 percentage points in the third quarter of 2023 and increased 2.3 percentage points in the three fiscal quarters of 2023. These changes in gross margin as a percentage of revenues are discussed in additional detail below.</w:t>
      </w:r>
    </w:p>
    <w:p>
      <w:pPr>
        <w:spacing w:after="0" w:line="49" w:lineRule="exact"/>
        <w:rPr>
          <w:sz w:val="20"/>
          <w:szCs w:val="20"/>
          <w:color w:val="auto"/>
        </w:rPr>
      </w:pPr>
    </w:p>
    <w:p>
      <w:pPr>
        <w:ind w:left="940" w:right="180" w:hanging="303"/>
        <w:spacing w:after="0" w:line="25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Food costs decreased 3.5 percentage points to 29.0% in the third quarter of 2023, and decreased 2.7 percentage points to 29.0% in the three fiscal quarters of 2023 driven primarily by higher same store sales as a result of increases in menu and national offer pricing and improved sales leverage, as well as the impact of the 2022 Store Sale due to higher average food costs in the markets in which the sold stores operated. The decrease in the market basket pricing to stores also contributed to the improvement in food cost as a percentage of U.S. Company-owned store revenues in the third quarter of 2023.</w:t>
      </w:r>
    </w:p>
    <w:p>
      <w:pPr>
        <w:spacing w:after="0" w:line="79" w:lineRule="exact"/>
        <w:rPr>
          <w:rFonts w:ascii="Arial" w:cs="Arial" w:eastAsia="Arial" w:hAnsi="Arial"/>
          <w:sz w:val="18"/>
          <w:szCs w:val="18"/>
          <w:color w:val="auto"/>
        </w:rPr>
      </w:pPr>
    </w:p>
    <w:p>
      <w:pPr>
        <w:ind w:left="940" w:right="300" w:hanging="303"/>
        <w:spacing w:after="0" w:line="263"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costs increased 0.2 percentage points to 31.8% in the third quarter of 2023 and increased 0.7 percentage points to 31.2% in the three fiscal quarters of 2023 due primarily to higher wage rates in our U.S. Company-owned stores in the third quarter and three fiscal quarters of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Gross Margin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6"/>
          </w:tcPr>
          <w:p>
            <w:pPr>
              <w:jc w:val="center"/>
              <w:ind w:right="450"/>
              <w:spacing w:after="0"/>
              <w:rPr>
                <w:sz w:val="20"/>
                <w:szCs w:val="20"/>
                <w:color w:val="auto"/>
              </w:rPr>
            </w:pPr>
            <w:r>
              <w:rPr>
                <w:rFonts w:ascii="Arial" w:cs="Arial" w:eastAsia="Arial" w:hAnsi="Arial"/>
                <w:sz w:val="14"/>
                <w:szCs w:val="14"/>
                <w:b w:val="1"/>
                <w:bCs w:val="1"/>
                <w:color w:val="auto"/>
              </w:rPr>
              <w:t>Third Quarter</w:t>
            </w:r>
          </w:p>
        </w:tc>
        <w:tc>
          <w:tcPr>
            <w:tcW w:w="1900" w:type="dxa"/>
            <w:vAlign w:val="bottom"/>
            <w:gridSpan w:val="6"/>
          </w:tcPr>
          <w:p>
            <w:pPr>
              <w:jc w:val="center"/>
              <w:ind w:right="370"/>
              <w:spacing w:after="0"/>
              <w:rPr>
                <w:sz w:val="20"/>
                <w:szCs w:val="20"/>
                <w:color w:val="auto"/>
              </w:rPr>
            </w:pPr>
            <w:r>
              <w:rPr>
                <w:rFonts w:ascii="Arial" w:cs="Arial" w:eastAsia="Arial" w:hAnsi="Arial"/>
                <w:sz w:val="14"/>
                <w:szCs w:val="14"/>
                <w:b w:val="1"/>
                <w:bCs w:val="1"/>
                <w:color w:val="auto"/>
                <w:w w:val="94"/>
              </w:rPr>
              <w:t>Three Fiscal Quarters</w:t>
            </w:r>
          </w:p>
        </w:tc>
        <w:tc>
          <w:tcPr>
            <w:tcW w:w="174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3"/>
              </w:rPr>
              <w:t>Three Fiscal Quarters</w:t>
            </w:r>
          </w:p>
        </w:tc>
      </w:tr>
      <w:tr>
        <w:trPr>
          <w:trHeight w:val="185"/>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4"/>
                <w:szCs w:val="14"/>
                <w:b w:val="1"/>
                <w:bCs w:val="1"/>
                <w:color w:val="auto"/>
                <w:w w:val="91"/>
              </w:rPr>
              <w:t>of 2023</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1"/>
              </w:rPr>
              <w:t>of 2023</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5"/>
              </w:rPr>
              <w:t>of 2022</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618.1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646.1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1,858.0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1,902.2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3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556.6</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90.0 %</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91.0 %</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1,673.4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90.1 %</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1,728.2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90.8 %</w:t>
            </w:r>
          </w:p>
        </w:tc>
      </w:tr>
      <w:tr>
        <w:trPr>
          <w:trHeight w:val="237"/>
        </w:trPr>
        <w:tc>
          <w:tcPr>
            <w:tcW w:w="3620" w:type="dxa"/>
            <w:vAlign w:val="bottom"/>
          </w:tcPr>
          <w:p>
            <w:pPr>
              <w:ind w:left="200"/>
              <w:spacing w:after="0"/>
              <w:rPr>
                <w:sz w:val="20"/>
                <w:szCs w:val="20"/>
                <w:color w:val="auto"/>
              </w:rPr>
            </w:pPr>
            <w:r>
              <w:rPr>
                <w:rFonts w:ascii="Arial" w:cs="Arial" w:eastAsia="Arial" w:hAnsi="Arial"/>
                <w:sz w:val="18"/>
                <w:szCs w:val="18"/>
                <w:color w:val="auto"/>
              </w:rPr>
              <w:t>Supply chain gross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2"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Supply chain gross margin increased $3.6 million, or 6.2%, in the third quarter of 2023, and increased $10.6 million, or 6.1%, in the three fiscal quarters of 2023. As a percentage of supply chain revenues, the supply chain gross margin increased 1.0 percentage point in the third quarter of 2023, and increased 0.7 percentage points in the three fiscal quarters of 2023 due primarily to procurement productivity. Lower food costs as a percentage of supply chain revenues also benefited the supply chain gross margin in the third quarter of 2023. These improvements in supply chain gross margin as a percentage of supply chain revenues were partially offset in both the third quarter and three fiscal quarters of 2023 by higher labor costs as a percentage of supply chain revenues.</w:t>
      </w:r>
    </w:p>
    <w:p>
      <w:pPr>
        <w:spacing w:after="0" w:line="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t>General and Administrative Expenses</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General and administrative expenses increased $6.0 million, or 6.6%, in the third quarter of 2023, driven primarily by higher labor costs. General and administrative expenses increased $4.4 million, or 1.5%, in the three fiscal quarters of 2023, driven primarily by higher labor costs, partially offset by lower travel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Franchise Advertising Expenses</w:t>
      </w:r>
    </w:p>
    <w:p>
      <w:pPr>
        <w:spacing w:after="0" w:line="131"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U.S. franchise advertising expenses decreased $2.7 million, or 2.3%, consistent with the decrease in U.S. franchise advertising revenues in the third quarter of 2023. U.S. franchise advertising expenses increased $3.9 million, or 1.2%, consistent with the increase in U.S. franchise advertising revenues in the three fiscal quarters of 2023.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w:t>
      </w:r>
    </w:p>
    <w:p>
      <w:pPr>
        <w:spacing w:after="0" w:line="131" w:lineRule="exact"/>
        <w:rPr>
          <w:sz w:val="20"/>
          <w:szCs w:val="20"/>
          <w:color w:val="auto"/>
        </w:rPr>
      </w:pPr>
    </w:p>
    <w:p>
      <w:pPr>
        <w:ind w:right="420" w:firstLine="255"/>
        <w:spacing w:after="0" w:line="263" w:lineRule="auto"/>
        <w:rPr>
          <w:sz w:val="20"/>
          <w:szCs w:val="20"/>
          <w:color w:val="auto"/>
        </w:rPr>
      </w:pPr>
      <w:r>
        <w:rPr>
          <w:rFonts w:ascii="Arial" w:cs="Arial" w:eastAsia="Arial" w:hAnsi="Arial"/>
          <w:sz w:val="18"/>
          <w:szCs w:val="18"/>
          <w:color w:val="auto"/>
        </w:rPr>
        <w:t>During the third quarter and three fiscal quarters of 2023, we recorded a $28.2 million and $13.3 million, respectively, unrealized gain on our investment in DPC Dash (Note 5) based on the active exchange quoted price for the equity security. We did not record any adjustments to the carrying amount in the first quarter of 2023 or three fiscal quarters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17"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Interest expense, net decreased $2.5 million, or 5.6%, in the third quarter of 2023, and decreased $7.4 million, or 5.5%, in the three fiscal quarters of 2023, each driven by higher interest income on our cash equivalents.</w:t>
      </w:r>
    </w:p>
    <w:p>
      <w:pPr>
        <w:spacing w:after="0" w:line="62"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Our weighted average borrowing rate increased to 3.8% in both the third quarter and three fiscal quarters of 2023 from 3.7% in both the third quarter and three fiscal quarters of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117" w:lineRule="exact"/>
        <w:rPr>
          <w:sz w:val="20"/>
          <w:szCs w:val="20"/>
          <w:color w:val="auto"/>
        </w:rPr>
      </w:pPr>
    </w:p>
    <w:p>
      <w:pPr>
        <w:ind w:firstLine="255"/>
        <w:spacing w:after="0" w:line="285" w:lineRule="auto"/>
        <w:rPr>
          <w:sz w:val="20"/>
          <w:szCs w:val="20"/>
          <w:color w:val="auto"/>
        </w:rPr>
      </w:pPr>
      <w:r>
        <w:rPr>
          <w:rFonts w:ascii="Arial" w:cs="Arial" w:eastAsia="Arial" w:hAnsi="Arial"/>
          <w:sz w:val="16"/>
          <w:szCs w:val="16"/>
          <w:color w:val="auto"/>
        </w:rPr>
        <w:t>Provision for income taxes decreased $3.4 million, or 11.0%, in the third quarter of 2023 due to a lower effective tax rate, partially offset by higher income before provision for income taxes. The effective tax rate decreased to 15.9% during the third quarter of 2023 as compared to 23.8% in the third quarter of 2022, driven in part by higher foreign tax credits and by a 1.1 percentage point change in the impact of excess tax benefits from equity-based compensation, which are recorded as a reduction to the income tax provision. Provision for income taxes decreased $4.0 million, or 4.5%, in the three fiscal quarters of 2023 due to a lower effective tax rate, partially offset by higher income before provision for income taxes. The effective tax rate decreased to</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19.0% during the three fiscal quarters of 2023 as compared to 23.3% in the three fiscal quarters of 2022, driven in part by higher foreign tax credits and by a 0.4 percentage point change in the impact of excess tax benefits from equity-based compensation, which are recorded as a reduction to the income tax provision.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Segment Income</w:t>
      </w:r>
    </w:p>
    <w:p>
      <w:pPr>
        <w:spacing w:after="0" w:line="117" w:lineRule="exact"/>
        <w:rPr>
          <w:sz w:val="20"/>
          <w:szCs w:val="20"/>
          <w:color w:val="auto"/>
        </w:rPr>
      </w:pPr>
    </w:p>
    <w:p>
      <w:pPr>
        <w:ind w:right="500" w:firstLine="255"/>
        <w:spacing w:after="0" w:line="279" w:lineRule="auto"/>
        <w:rPr>
          <w:sz w:val="20"/>
          <w:szCs w:val="20"/>
          <w:color w:val="auto"/>
        </w:rPr>
      </w:pPr>
      <w:r>
        <w:rPr>
          <w:rFonts w:ascii="Arial" w:cs="Arial" w:eastAsia="Arial" w:hAnsi="Arial"/>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63"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In the first quarter of 2023, we changed our allocation methodology for certain costs which support certain internally developed software used across our franchise system. The change in allocation methodology of certain software development costs resulted in an estimated increase in U.S. stores Segment Income of $15.9 million, an estimated increase in international franchise Segment Income of $2.0 million and an estimated decrease in other Segment Income of $17.9 million in the third quarter of 2023. The change in allocation methodology of certain software development costs resulted in an estimated increase in U.S. stores Segment Income of $41.8 million, an estimated increase in international franchise Segment Income of $5.9 million and an estimated decrease in other Segment Income of $47.7 million in the three fiscal quarters of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Three Fiscal</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Fiscal</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Quarters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of 2023</w:t>
            </w:r>
          </w:p>
        </w:tc>
        <w:tc>
          <w:tcPr>
            <w:tcW w:w="10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 2022</w:t>
            </w:r>
          </w:p>
        </w:tc>
        <w:tc>
          <w:tcPr>
            <w:tcW w:w="14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of 2023</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of 2022</w:t>
            </w:r>
          </w:p>
        </w:tc>
        <w:tc>
          <w:tcPr>
            <w:tcW w:w="0" w:type="dxa"/>
            <w:vAlign w:val="bottom"/>
          </w:tcPr>
          <w:p>
            <w:pPr>
              <w:spacing w:after="0"/>
              <w:rPr>
                <w:sz w:val="1"/>
                <w:szCs w:val="1"/>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stores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Supply chain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 franchise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(54.4 )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Stores</w:t>
      </w:r>
    </w:p>
    <w:p>
      <w:pPr>
        <w:spacing w:after="0" w:line="117" w:lineRule="exact"/>
        <w:rPr>
          <w:sz w:val="20"/>
          <w:szCs w:val="20"/>
          <w:color w:val="auto"/>
        </w:rPr>
      </w:pPr>
    </w:p>
    <w:p>
      <w:pPr>
        <w:ind w:right="60" w:firstLine="255"/>
        <w:spacing w:after="0" w:line="271" w:lineRule="auto"/>
        <w:rPr>
          <w:sz w:val="20"/>
          <w:szCs w:val="20"/>
          <w:color w:val="auto"/>
        </w:rPr>
      </w:pPr>
      <w:r>
        <w:rPr>
          <w:rFonts w:ascii="Arial" w:cs="Arial" w:eastAsia="Arial" w:hAnsi="Arial"/>
          <w:sz w:val="17"/>
          <w:szCs w:val="17"/>
          <w:color w:val="auto"/>
        </w:rPr>
        <w:t>U.S. stores Segment Income increased $19.8 million, or 19.7%, in the third quarter of 2023, primarily due to the change in allocation methodology for certain software development costs, as well as higher U.S. franchise royalties and fees revenues, each as discussed above. These increases were partially offset by the $0.1 million decrease in U.S. Company-owned store gross margin, as discussed above. U.S. stores Segment Income increased $54.8 million, or 18.1%, in the three fiscal quarters of 2023, primarily due to the change in allocation methodology for certain software development costs, as well as higher U.S. franchise royalties and fees revenues, each as discussed above. These increases were partially offset by the $4.5 million decrease in U.S. Company-owned store gross margin,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Supply chain Segment Income increased $5.4 million, or 10.7%, in the third quarter of 2023, primarily due to the $3.6 million increase in supply chain gross margin described above. Supply chain Segment Income increased $13.9 million, or 9.3%, in the three fiscal quarters of 2023, primarily due to the $10.6 million increase in supply chain gross margin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w:t>
      </w:r>
    </w:p>
    <w:p>
      <w:pPr>
        <w:spacing w:after="0" w:line="117" w:lineRule="exact"/>
        <w:rPr>
          <w:sz w:val="20"/>
          <w:szCs w:val="20"/>
          <w:color w:val="auto"/>
        </w:rPr>
      </w:pPr>
    </w:p>
    <w:p>
      <w:pPr>
        <w:ind w:right="80" w:firstLine="255"/>
        <w:spacing w:after="0" w:line="296" w:lineRule="auto"/>
        <w:rPr>
          <w:sz w:val="20"/>
          <w:szCs w:val="20"/>
          <w:color w:val="auto"/>
        </w:rPr>
      </w:pPr>
      <w:r>
        <w:rPr>
          <w:rFonts w:ascii="Arial" w:cs="Arial" w:eastAsia="Arial" w:hAnsi="Arial"/>
          <w:sz w:val="16"/>
          <w:szCs w:val="16"/>
          <w:color w:val="auto"/>
        </w:rPr>
        <w:t>International franchise Segment Income increased $7.7 million, or 14.4%, in the third quarter of 2023, primarily due to higher international franchise royalties and fees revenues as well as the change in allocation methodology for certain software development costs, each as discussed above. International franchise Segment Income increased $16.8 million, or 10.4%, in the three fiscal quarters of 2023, primarily due to higher international franchise royalties and fees revenues as well as the change in allocation methodology for certain software development costs, each as discussed above. International franchise revenues do not have a cost of sales component, so changes in these revenues have a disproportionate effect on international franchise Segment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40" w:firstLine="255"/>
        <w:spacing w:after="0" w:line="255" w:lineRule="auto"/>
        <w:rPr>
          <w:sz w:val="20"/>
          <w:szCs w:val="20"/>
          <w:color w:val="auto"/>
        </w:rPr>
      </w:pPr>
      <w:r>
        <w:rPr>
          <w:rFonts w:ascii="Arial" w:cs="Arial" w:eastAsia="Arial" w:hAnsi="Arial"/>
          <w:sz w:val="18"/>
          <w:szCs w:val="18"/>
          <w:color w:val="auto"/>
        </w:rPr>
        <w:t>Other Segment Income decreased $16.9 million, or 578.6%, in the third quarter of 2023, and decreased $38.1 million, or 234.7%, in the three fiscal quarters of 2023 due primarily to the change in allocation methodology for certain software development costs as discussed above, as well as higher labor costs. These decreases were partially offset by lower travel costs in the three fiscal quarters of 2023.</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281"/>
        <w:spacing w:after="0" w:line="272" w:lineRule="auto"/>
        <w:rPr>
          <w:sz w:val="20"/>
          <w:szCs w:val="20"/>
          <w:color w:val="auto"/>
        </w:rPr>
      </w:pPr>
      <w:r>
        <w:rPr>
          <w:rFonts w:ascii="Arial" w:cs="Arial" w:eastAsia="Arial" w:hAnsi="Arial"/>
          <w:sz w:val="17"/>
          <w:szCs w:val="17"/>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These factors allow us to manage our working capital and our ongoing cash flows from operations to invest in our business and other strategic opportunities, pay dividends and repurchase and retire shares of our common stock. As of September 10, 2023, we had working capital of $26.2 million, excluding restricted cash and cash equivalents of $202.3 million, advertising fund assets, restricted, of $151.5 million and advertising fund liabilities of $147.3 million. Working capital includes total unrestricted cash and cash equivalents of $80.9 million.</w:t>
      </w:r>
    </w:p>
    <w:p>
      <w:pPr>
        <w:spacing w:after="0" w:line="83" w:lineRule="exact"/>
        <w:rPr>
          <w:sz w:val="20"/>
          <w:szCs w:val="20"/>
          <w:color w:val="auto"/>
        </w:rPr>
      </w:pPr>
    </w:p>
    <w:p>
      <w:pPr>
        <w:ind w:firstLine="281"/>
        <w:spacing w:after="0" w:line="269" w:lineRule="auto"/>
        <w:rPr>
          <w:sz w:val="20"/>
          <w:szCs w:val="20"/>
          <w:color w:val="auto"/>
        </w:rPr>
      </w:pPr>
      <w:r>
        <w:rPr>
          <w:rFonts w:ascii="Arial" w:cs="Arial" w:eastAsia="Arial" w:hAnsi="Arial"/>
          <w:sz w:val="17"/>
          <w:szCs w:val="17"/>
          <w:color w:val="auto"/>
        </w:rPr>
        <w:t>Our primary sources of liquidity are cash flows from operations and availability of borrowings under our 2022 and 2021 Variable Funding Notes (as defined below). During the three fiscal quarters of 2023, we experienced an increase in both U.S. and international same store sales (excluding foreign currency impact) versus the comparable periods in the prior year. Additionally, both our U.S. and international businesses grew store counts during the three fiscal quarters of 2023. These factors contributed to our continued ability to generate positive operating cash flows. In addition to our cash flows from operations, we have two variable funding note facilities. These facilities include our Series 2022-1 Variable Funding Senior Secured Notes, Class A-1 Notes (the “2022 Variable Funding Notes”), which allows for advances of up to $120.0 million, as well as our Series 2021-1 Variable Funding Senior Secured Notes, Class A-1 Notes (the “2021 Variable Funding Notes,” and, together with the 2022 Variable Funding Notes, the “2022 and 2021 Variable Funding Notes”), which allows for advances of up to $200.0 million and certain other credit instruments, including letters of credit. The letters of credit primarily relate to our casualty insurance programs. As of September 10, 2023, we had no outstanding borrowings and $277.8 million of available borrowing capacity under our 2022 and 2021 Variable Funding Notes, net of letters of credit issued of $42.2 million.</w:t>
      </w:r>
    </w:p>
    <w:p>
      <w:pPr>
        <w:spacing w:after="0" w:line="91" w:lineRule="exact"/>
        <w:rPr>
          <w:sz w:val="20"/>
          <w:szCs w:val="20"/>
          <w:color w:val="auto"/>
        </w:rPr>
      </w:pPr>
    </w:p>
    <w:p>
      <w:pPr>
        <w:ind w:right="120" w:firstLine="281"/>
        <w:spacing w:after="0" w:line="286" w:lineRule="auto"/>
        <w:rPr>
          <w:sz w:val="20"/>
          <w:szCs w:val="20"/>
          <w:color w:val="auto"/>
        </w:rPr>
      </w:pPr>
      <w:r>
        <w:rPr>
          <w:rFonts w:ascii="Arial" w:cs="Arial" w:eastAsia="Arial" w:hAnsi="Arial"/>
          <w:sz w:val="17"/>
          <w:szCs w:val="17"/>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core business and other strategic opportunities, service our indebtedness, pay dividends and repurchase shares of our common stock.</w:t>
      </w:r>
    </w:p>
    <w:p>
      <w:pPr>
        <w:spacing w:after="0" w:line="71" w:lineRule="exact"/>
        <w:rPr>
          <w:sz w:val="20"/>
          <w:szCs w:val="20"/>
          <w:color w:val="auto"/>
        </w:rPr>
      </w:pPr>
    </w:p>
    <w:p>
      <w:pPr>
        <w:ind w:firstLine="281"/>
        <w:spacing w:after="0" w:line="255" w:lineRule="auto"/>
        <w:rPr>
          <w:sz w:val="20"/>
          <w:szCs w:val="20"/>
          <w:color w:val="auto"/>
        </w:rPr>
      </w:pPr>
      <w:r>
        <w:rPr>
          <w:rFonts w:ascii="Arial" w:cs="Arial" w:eastAsia="Arial" w:hAnsi="Arial"/>
          <w:sz w:val="18"/>
          <w:szCs w:val="18"/>
          <w:color w:val="auto"/>
        </w:rPr>
        <w:t>Our ability to continue to fund these items and continue to service our debt could be adversely affected by the occurrence of any of the events described under “Risk Factors” in our 2022 Form 10-K.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outstanding senior notes and to service, extend or refinance our 2022 and 2021 Variable Funding Notes will be subject to future economic conditions and to financial, business and other factors, many of which are beyond our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As of September 10, 2023, we had $151.0 million of restricted cash held for future principal and interest payments and other working capital requirements of our asset-backed securitization structure, $51.1 million of restricted cash held in a three-month interest reserve as required by the related debt agreements and $0.2 million of other restricted cash for a total of $202.3 million of restricted cash and cash equivalents. As of September 10, 2023, we also held $136.6 million of advertising fund restricted cash and cash equivalents, which can only be used for activities that promote the Domino’s brand.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jc w:val="both"/>
        <w:ind w:right="340" w:firstLine="255"/>
        <w:spacing w:after="0" w:line="259" w:lineRule="auto"/>
        <w:rPr>
          <w:sz w:val="20"/>
          <w:szCs w:val="20"/>
          <w:color w:val="auto"/>
        </w:rPr>
      </w:pPr>
      <w:r>
        <w:rPr>
          <w:rFonts w:ascii="Arial" w:cs="Arial" w:eastAsia="Arial" w:hAnsi="Arial"/>
          <w:sz w:val="18"/>
          <w:szCs w:val="18"/>
          <w:color w:val="auto"/>
        </w:rPr>
        <w:t>As of September 10, 2023, we had approximately $4.99 billion of long-term debt, of which $55.8 million was classified as a current liability. As of September 10, 2023, our fixed rate notes from the recapitalizations we completed in 2021, 2019, 2018, 2017 and 2015 had original scheduled principal payments of $12.9 million in the remainder of 2023, $51.5 million in 2024, $1.17 billion in 2025, $39.3 million in 2026, $1.31 billion in 2027, $811.5 million in 2028, $625.9 million in 2029, $10.0 million in 2030 and $905.0 million in 2031.</w:t>
      </w:r>
    </w:p>
    <w:p>
      <w:pPr>
        <w:spacing w:after="0" w:line="92" w:lineRule="exact"/>
        <w:rPr>
          <w:sz w:val="20"/>
          <w:szCs w:val="20"/>
          <w:color w:val="auto"/>
        </w:rPr>
      </w:pPr>
    </w:p>
    <w:p>
      <w:pPr>
        <w:ind w:right="60" w:firstLine="281"/>
        <w:spacing w:after="0" w:line="308" w:lineRule="auto"/>
        <w:rPr>
          <w:sz w:val="20"/>
          <w:szCs w:val="20"/>
          <w:color w:val="auto"/>
        </w:rPr>
      </w:pPr>
      <w:r>
        <w:rPr>
          <w:rFonts w:ascii="Arial" w:cs="Arial" w:eastAsia="Arial" w:hAnsi="Arial"/>
          <w:sz w:val="17"/>
          <w:szCs w:val="17"/>
          <w:color w:val="auto"/>
        </w:rPr>
        <w:t>In accordance with our debt agreements, the payment of principal on the outstanding senior notes may be suspended if our leverage ratio is less than or equal to 5.0x total debt to adjusted EBITDA, as defined in the related agreements, and no catch-up provisions are applicable.</w:t>
      </w:r>
    </w:p>
    <w:p>
      <w:pPr>
        <w:spacing w:after="0" w:line="52" w:lineRule="exact"/>
        <w:rPr>
          <w:sz w:val="20"/>
          <w:szCs w:val="20"/>
          <w:color w:val="auto"/>
        </w:rPr>
      </w:pPr>
    </w:p>
    <w:p>
      <w:pPr>
        <w:ind w:right="40" w:firstLine="281"/>
        <w:spacing w:after="0" w:line="263" w:lineRule="auto"/>
        <w:rPr>
          <w:sz w:val="20"/>
          <w:szCs w:val="20"/>
          <w:color w:val="auto"/>
        </w:rPr>
      </w:pPr>
      <w:r>
        <w:rPr>
          <w:rFonts w:ascii="Arial" w:cs="Arial" w:eastAsia="Arial" w:hAnsi="Arial"/>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31" w:lineRule="exact"/>
        <w:rPr>
          <w:sz w:val="20"/>
          <w:szCs w:val="20"/>
          <w:color w:val="auto"/>
        </w:rPr>
      </w:pPr>
    </w:p>
    <w:p>
      <w:pPr>
        <w:ind w:right="280" w:firstLine="281"/>
        <w:spacing w:after="0" w:line="263"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2022 and 2021 Variable Funding Notes. On July 20, 2021, our Board of Directors authorized a share repurchase program to repurchase up to $1.0 billion of our common stock.</w:t>
      </w:r>
    </w:p>
    <w:p>
      <w:pPr>
        <w:spacing w:after="0" w:line="116" w:lineRule="exact"/>
        <w:rPr>
          <w:sz w:val="20"/>
          <w:szCs w:val="20"/>
          <w:color w:val="auto"/>
        </w:rPr>
      </w:pPr>
    </w:p>
    <w:p>
      <w:pPr>
        <w:ind w:firstLine="284"/>
        <w:spacing w:after="0" w:line="259" w:lineRule="auto"/>
        <w:rPr>
          <w:sz w:val="20"/>
          <w:szCs w:val="20"/>
          <w:color w:val="auto"/>
        </w:rPr>
      </w:pPr>
      <w:r>
        <w:rPr>
          <w:rFonts w:ascii="Arial" w:cs="Arial" w:eastAsia="Arial" w:hAnsi="Arial"/>
          <w:sz w:val="18"/>
          <w:szCs w:val="18"/>
          <w:color w:val="auto"/>
        </w:rPr>
        <w:t>During the third quarter of 2023, we repurchased and retired 229,860 shares of our common stock under our Board of Directors-approved share repurchase program for a total of approximately $90.0 million. During the three fiscal quarters of 2023, we repurchased and retired 622,405 shares of our common stock under our Board of Directors-approved share repurchase program for a total of approximately $210.8 million. As of September 10, 2023, we had a total remaining authorized amount for share repurchases of approximately $199.5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1"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On July 20, 2023, our Board of Directors declared a $1.21 per share quarterly dividend on our outstanding common stock for shareholders of record as of September 15, 2023, which was paid on September 29, 2023. We had approximately $43.4 million accrued for common stock dividends at September 10, 2023. Subsequent to the end of the third quarter, on October 10, 2023, our Board of Directors declared a $1.21 per share quarterly dividend on our outstanding common stock for shareholders of record as of December 15, 2023, to be paid on December 29,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Three Fiscal Quarters</w:t>
            </w:r>
          </w:p>
        </w:tc>
        <w:tc>
          <w:tcPr>
            <w:tcW w:w="180" w:type="dxa"/>
            <w:vAlign w:val="bottom"/>
          </w:tcPr>
          <w:p>
            <w:pPr>
              <w:spacing w:after="0"/>
              <w:rPr>
                <w:sz w:val="14"/>
                <w:szCs w:val="14"/>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Three Fiscal Quarters</w:t>
            </w:r>
          </w:p>
        </w:tc>
      </w:tr>
      <w:tr>
        <w:trPr>
          <w:trHeight w:val="185"/>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of 2023</w:t>
            </w:r>
          </w:p>
        </w:tc>
        <w:tc>
          <w:tcPr>
            <w:tcW w:w="180" w:type="dxa"/>
            <w:vAlign w:val="bottom"/>
          </w:tcPr>
          <w:p>
            <w:pPr>
              <w:spacing w:after="0"/>
              <w:rPr>
                <w:sz w:val="16"/>
                <w:szCs w:val="16"/>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of 2022</w:t>
            </w:r>
          </w:p>
        </w:tc>
      </w:tr>
      <w:tr>
        <w:trPr>
          <w:trHeight w:val="237"/>
        </w:trPr>
        <w:tc>
          <w:tcPr>
            <w:tcW w:w="6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flows provided by (used in)</w:t>
            </w:r>
          </w:p>
        </w:tc>
        <w:tc>
          <w:tcPr>
            <w:tcW w:w="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422.1</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(60.0 )</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(58.7 )</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(337.2 )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(304.3 )</w:t>
            </w: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(0.3 )</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(0.6 )</w:t>
            </w:r>
          </w:p>
        </w:tc>
      </w:tr>
      <w:tr>
        <w:trPr>
          <w:trHeight w:val="20"/>
        </w:trPr>
        <w:tc>
          <w:tcPr>
            <w:tcW w:w="69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(33.4 )</w:t>
            </w: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right="300" w:firstLine="281"/>
        <w:spacing w:after="0" w:line="271" w:lineRule="auto"/>
        <w:rPr>
          <w:sz w:val="20"/>
          <w:szCs w:val="20"/>
          <w:color w:val="auto"/>
        </w:rPr>
      </w:pPr>
      <w:r>
        <w:rPr>
          <w:rFonts w:ascii="Arial" w:cs="Arial" w:eastAsia="Arial" w:hAnsi="Arial"/>
          <w:sz w:val="17"/>
          <w:szCs w:val="17"/>
          <w:color w:val="auto"/>
        </w:rPr>
        <w:t>Cash provided by operating activities increased $92.0 million in the three fiscal quarters of 2023, primarily due to the positive impact of changes in operating assets and liabilities of $54.9 million. The positive impact of changes in operating assets and liabilities primarily related to the timing of payments on accrued liabilities and inventory as well as changes in inventory pricing and the timing of payments on accounts payable in the three fiscal quarters of 2023 as compared to the three fiscal quarters of 2022. Additionally, net income increased $67.9 million and non-cash adjustments decreased $28.9 million, resulting in an overall increase to cash provided by operating activities in the three fiscal quarters of 2023 as compared to the three fiscal quarters of 2022 of $39.0 million. These increases in cash provided by operating activities were partially offset by a $1.9 million negative impact of changes in advertising fund assets and liabilities, restricted, in the three fiscal quarters of 2023 as compared to the three fiscal quarters of 2022 due to payments for advertising activities outpacing receipts for advertising contributions.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900" w:firstLine="281"/>
        <w:spacing w:after="0" w:line="308" w:lineRule="auto"/>
        <w:rPr>
          <w:sz w:val="20"/>
          <w:szCs w:val="20"/>
          <w:color w:val="auto"/>
        </w:rPr>
      </w:pPr>
      <w:r>
        <w:rPr>
          <w:rFonts w:ascii="Arial" w:cs="Arial" w:eastAsia="Arial" w:hAnsi="Arial"/>
          <w:sz w:val="17"/>
          <w:szCs w:val="17"/>
          <w:color w:val="auto"/>
        </w:rPr>
        <w:t>Cash used in investing activities was $60.0 million in the three fiscal quarters of 2023, which primarily consisted of $59.3 million of capital expenditures (driven primarily by investments in technological initiatives, supply chain centers and corporate store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right="120" w:firstLine="284"/>
        <w:spacing w:after="0" w:line="259" w:lineRule="auto"/>
        <w:rPr>
          <w:sz w:val="20"/>
          <w:szCs w:val="20"/>
          <w:color w:val="auto"/>
        </w:rPr>
      </w:pPr>
      <w:r>
        <w:rPr>
          <w:rFonts w:ascii="Arial" w:cs="Arial" w:eastAsia="Arial" w:hAnsi="Arial"/>
          <w:sz w:val="18"/>
          <w:szCs w:val="18"/>
          <w:color w:val="auto"/>
        </w:rPr>
        <w:t>Cash used in financing activities was $337.2 million in the three fiscal quarters of 2023, which included the repurchase of approximately $210.8 million in common stock under our Board of Directors-approved share repurchase program, dividend payments of $85.6 million, repayments of long-term debt and finance lease obligations of $41.3 million and tax payments for the vesting of restricted stock of $5.2 million. These uses of cash were partially offset by proceeds from the exercise of stock options of $5.8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80" w:firstLine="284"/>
        <w:spacing w:after="0" w:line="254" w:lineRule="auto"/>
        <w:rPr>
          <w:sz w:val="20"/>
          <w:szCs w:val="20"/>
          <w:color w:val="auto"/>
        </w:rPr>
      </w:pPr>
      <w:r>
        <w:rPr>
          <w:rFonts w:ascii="Arial" w:cs="Arial" w:eastAsia="Arial" w:hAnsi="Arial"/>
          <w:sz w:val="18"/>
          <w:szCs w:val="18"/>
          <w:color w:val="auto"/>
        </w:rPr>
        <w:t>For a description of the Company’s critical accounting estimates, refer to “Part II—Item 7—Management’s Discussion and Analysis of Financial Condition and Results of Operations” in the 2022 Form 10-K. The Company considers its most significant accounting policies and estimates to be long-lived assets, casualty insurance reserves and income taxes. There have been no material changes to the Company’s critical accounting estimates since January 1, 2023.</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2022 Form 10-K for the fiscal year ended January 1, 2023.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labor shortages or changes in operating expenses resulting from increases in prices of food (particularly cheese), fuel and other commodity costs, labor, utilities, insurance, employee benefits and other operating costs or negative economic conditions; our ability to manage difficulties associated with or related to the COVID-19 pandemic and the effects of COVID-19 and related regulations and policies on our business and supply chain, including impacts on the availability of labor; the effectiveness of our advertising, operations and promotional initiatives; shortages, interruptions or disruptions in the supply or delivery of fresh food products and store equipment;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120" w:firstLine="284"/>
        <w:spacing w:after="0" w:line="259" w:lineRule="auto"/>
        <w:rPr>
          <w:sz w:val="20"/>
          <w:szCs w:val="20"/>
          <w:color w:val="auto"/>
        </w:rPr>
      </w:pPr>
      <w:r>
        <w:rPr>
          <w:rFonts w:ascii="Arial" w:cs="Arial" w:eastAsia="Arial" w:hAnsi="Arial"/>
          <w:sz w:val="18"/>
          <w:szCs w:val="18"/>
          <w:color w:val="auto"/>
        </w:rPr>
        <w:t>We do not engage in speculative transactions, nor do we hold or issue financial instruments for trading purposes. In connection with the recapitalizations of our business, we have issued fixed rate notes and entered into our 2022 and 2021 Variable Funding Notes and, at September 10, 2023, we are exposed to interest rate risk on borrowings under our 2022 and 2021 Variable Funding Notes. As of September 10, 2023, we had no outstanding borrowings under our 2022 and 2021 Variable Funding Notes.</w:t>
      </w:r>
    </w:p>
    <w:p>
      <w:pPr>
        <w:spacing w:after="0" w:line="187" w:lineRule="exact"/>
        <w:rPr>
          <w:sz w:val="20"/>
          <w:szCs w:val="20"/>
          <w:color w:val="auto"/>
        </w:rPr>
      </w:pPr>
    </w:p>
    <w:p>
      <w:pPr>
        <w:ind w:right="100" w:firstLine="284"/>
        <w:spacing w:after="0" w:line="259" w:lineRule="auto"/>
        <w:rPr>
          <w:sz w:val="20"/>
          <w:szCs w:val="20"/>
          <w:color w:val="auto"/>
        </w:rPr>
      </w:pPr>
      <w:r>
        <w:rPr>
          <w:rFonts w:ascii="Arial" w:cs="Arial" w:eastAsia="Arial" w:hAnsi="Arial"/>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187" w:lineRule="exact"/>
        <w:rPr>
          <w:sz w:val="20"/>
          <w:szCs w:val="20"/>
          <w:color w:val="auto"/>
        </w:rPr>
      </w:pPr>
    </w:p>
    <w:p>
      <w:pPr>
        <w:ind w:firstLine="284"/>
        <w:spacing w:after="0" w:line="277" w:lineRule="auto"/>
        <w:rPr>
          <w:sz w:val="20"/>
          <w:szCs w:val="20"/>
          <w:color w:val="auto"/>
        </w:rPr>
      </w:pPr>
      <w:r>
        <w:rPr>
          <w:rFonts w:ascii="Arial" w:cs="Arial" w:eastAsia="Arial" w:hAnsi="Arial"/>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170" w:lineRule="exact"/>
        <w:rPr>
          <w:sz w:val="20"/>
          <w:szCs w:val="20"/>
          <w:color w:val="auto"/>
        </w:rPr>
      </w:pPr>
    </w:p>
    <w:p>
      <w:pPr>
        <w:ind w:right="120" w:firstLine="284"/>
        <w:spacing w:after="0" w:line="293" w:lineRule="auto"/>
        <w:rPr>
          <w:sz w:val="20"/>
          <w:szCs w:val="20"/>
          <w:color w:val="auto"/>
        </w:rPr>
      </w:pPr>
      <w:r>
        <w:rPr>
          <w:rFonts w:ascii="Arial" w:cs="Arial" w:eastAsia="Arial" w:hAnsi="Arial"/>
          <w:sz w:val="16"/>
          <w:szCs w:val="16"/>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284"/>
        <w:spacing w:after="0" w:line="254" w:lineRule="auto"/>
        <w:rPr>
          <w:sz w:val="20"/>
          <w:szCs w:val="20"/>
          <w:color w:val="auto"/>
        </w:rPr>
      </w:pPr>
      <w:r>
        <w:rPr>
          <w:rFonts w:ascii="Arial" w:cs="Arial" w:eastAsia="Arial" w:hAnsi="Arial"/>
          <w:sz w:val="18"/>
          <w:szCs w:val="18"/>
          <w:color w:val="auto"/>
        </w:rPr>
        <w:t>We have exposure to various foreign currency exchange rate fluctuations for revenues generated by our operations outside the U.S., which can adversely impact our net income and cash flows. Approximately 7.1% of our total revenues in the third quarter of 2023, approximately 6.9% of our total revenues in the three fiscal quarters of 2023, approximately 6.3% of our total revenues in the third quarter of 2022 and approximately 6.4% of our total revenues in the three fiscal quarters of 2022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$18.8 million in the three fiscal quarters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284"/>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Weiner and Mr. Reddy concluded that the Company’s disclosure controls and procedures were effective.</w:t>
      </w:r>
    </w:p>
    <w:p>
      <w:pPr>
        <w:spacing w:after="0" w:line="171" w:lineRule="exact"/>
        <w:rPr>
          <w:sz w:val="20"/>
          <w:szCs w:val="20"/>
          <w:color w:val="auto"/>
        </w:rPr>
      </w:pPr>
    </w:p>
    <w:p>
      <w:pPr>
        <w:ind w:right="100" w:firstLine="284"/>
        <w:spacing w:after="0" w:line="255" w:lineRule="auto"/>
        <w:rPr>
          <w:sz w:val="20"/>
          <w:szCs w:val="20"/>
          <w:color w:val="auto"/>
        </w:rPr>
      </w:pPr>
      <w:r>
        <w:rPr>
          <w:rFonts w:ascii="Arial" w:cs="Arial" w:eastAsia="Arial" w:hAnsi="Arial"/>
          <w:sz w:val="18"/>
          <w:szCs w:val="18"/>
          <w:color w:val="auto"/>
        </w:rPr>
        <w:t>During the quarterly period ended September 10, 2023,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281"/>
        <w:spacing w:after="0" w:line="342" w:lineRule="auto"/>
        <w:rPr>
          <w:sz w:val="20"/>
          <w:szCs w:val="20"/>
          <w:color w:val="auto"/>
        </w:rPr>
      </w:pPr>
      <w:r>
        <w:rPr>
          <w:rFonts w:ascii="Arial" w:cs="Arial" w:eastAsia="Arial" w:hAnsi="Arial"/>
          <w:sz w:val="16"/>
          <w:szCs w:val="16"/>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24" w:lineRule="exact"/>
        <w:rPr>
          <w:sz w:val="20"/>
          <w:szCs w:val="20"/>
          <w:color w:val="auto"/>
        </w:rPr>
      </w:pPr>
    </w:p>
    <w:p>
      <w:pPr>
        <w:ind w:right="420" w:firstLine="281"/>
        <w:spacing w:after="0" w:line="277"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have been no material changes with respect to those risk factors previously disclosed in Item 1A “Risk Factors” in Part I of our 2022 Form 10-K.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 Dollar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Value of Shares that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 Part of</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May Yet Be Purchased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Average Price Paid</w:t>
            </w:r>
          </w:p>
        </w:tc>
        <w:tc>
          <w:tcPr>
            <w:tcW w:w="36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Publicly Announced</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Under the Program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Per Share</w:t>
            </w:r>
          </w:p>
        </w:tc>
        <w:tc>
          <w:tcPr>
            <w:tcW w:w="36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 (2)</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Period #7 (June 19, 2023</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 July 16, 2023)</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333.05</w:t>
            </w:r>
          </w:p>
        </w:tc>
        <w:tc>
          <w:tcPr>
            <w:tcW w:w="360" w:type="dxa"/>
            <w:vAlign w:val="bottom"/>
            <w:shd w:val="clear" w:color="auto" w:fill="CFF0FC"/>
          </w:tcPr>
          <w:p>
            <w:pPr>
              <w:spacing w:after="0"/>
              <w:rPr>
                <w:sz w:val="21"/>
                <w:szCs w:val="21"/>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20"/>
              <w:spacing w:after="0"/>
              <w:rPr>
                <w:sz w:val="20"/>
                <w:szCs w:val="20"/>
                <w:color w:val="auto"/>
              </w:rPr>
            </w:pPr>
            <w:r>
              <w:rPr>
                <w:rFonts w:ascii="Arial" w:cs="Arial" w:eastAsia="Arial" w:hAnsi="Arial"/>
                <w:sz w:val="18"/>
                <w:szCs w:val="18"/>
                <w:color w:val="auto"/>
              </w:rPr>
              <w:t>Period #8 (July 17, 2023</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120"/>
              <w:spacing w:after="0"/>
              <w:rPr>
                <w:sz w:val="20"/>
                <w:szCs w:val="20"/>
                <w:color w:val="auto"/>
              </w:rPr>
            </w:pPr>
            <w:r>
              <w:rPr>
                <w:rFonts w:ascii="Arial" w:cs="Arial" w:eastAsia="Arial" w:hAnsi="Arial"/>
                <w:sz w:val="18"/>
                <w:szCs w:val="18"/>
                <w:color w:val="auto"/>
              </w:rPr>
              <w:t>to August 13, 2023)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99,711</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398.90</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98,000</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250,420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Period #9 (August 14, 2023</w:t>
            </w:r>
          </w:p>
        </w:tc>
        <w:tc>
          <w:tcPr>
            <w:tcW w:w="120" w:type="dxa"/>
            <w:vAlign w:val="bottom"/>
            <w:vMerge w:val="restart"/>
            <w:shd w:val="clear" w:color="auto" w:fill="CFF0FC"/>
          </w:tcPr>
          <w:p>
            <w:pPr>
              <w:spacing w:after="0"/>
              <w:rPr>
                <w:sz w:val="19"/>
                <w:szCs w:val="19"/>
                <w:color w:val="auto"/>
              </w:rPr>
            </w:pP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132,978</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386.13</w:t>
            </w:r>
          </w:p>
        </w:tc>
        <w:tc>
          <w:tcPr>
            <w:tcW w:w="360" w:type="dxa"/>
            <w:vAlign w:val="bottom"/>
            <w:vMerge w:val="restart"/>
            <w:shd w:val="clear" w:color="auto" w:fill="CFF0FC"/>
          </w:tcPr>
          <w:p>
            <w:pPr>
              <w:spacing w:after="0"/>
              <w:rPr>
                <w:sz w:val="19"/>
                <w:szCs w:val="19"/>
                <w:color w:val="auto"/>
              </w:rPr>
            </w:pPr>
          </w:p>
        </w:tc>
        <w:tc>
          <w:tcPr>
            <w:tcW w:w="2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131,860</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199,511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 September 10, 2023)</w:t>
            </w: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660" w:type="dxa"/>
            <w:vAlign w:val="bottom"/>
            <w:tcBorders>
              <w:bottom w:val="single" w:sz="8" w:color="auto"/>
            </w:tcBorders>
            <w:vMerge w:val="continue"/>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CFF0FC"/>
            </w:tcBorders>
            <w:vMerge w:val="continue"/>
            <w:shd w:val="clear" w:color="auto" w:fill="CFF0FC"/>
          </w:tcPr>
          <w:p>
            <w:pPr>
              <w:spacing w:after="0"/>
              <w:rPr>
                <w:sz w:val="20"/>
                <w:szCs w:val="20"/>
                <w:color w:val="auto"/>
              </w:rPr>
            </w:pPr>
          </w:p>
        </w:tc>
        <w:tc>
          <w:tcPr>
            <w:tcW w:w="2100" w:type="dxa"/>
            <w:vAlign w:val="bottom"/>
            <w:tcBorders>
              <w:bottom w:val="single" w:sz="8" w:color="auto"/>
            </w:tcBorders>
            <w:vMerge w:val="continue"/>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234,389</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391.18</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229,860</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199,511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-187960</wp:posOffset>
            </wp:positionV>
            <wp:extent cx="7683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-187960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8" w:lineRule="exact"/>
        <w:rPr>
          <w:sz w:val="20"/>
          <w:szCs w:val="20"/>
          <w:color w:val="auto"/>
        </w:rPr>
      </w:pPr>
    </w:p>
    <w:p>
      <w:pPr>
        <w:ind w:left="480" w:hanging="459"/>
        <w:spacing w:after="0"/>
        <w:tabs>
          <w:tab w:leader="none" w:pos="480" w:val="left"/>
        </w:tabs>
        <w:numPr>
          <w:ilvl w:val="0"/>
          <w:numId w:val="9"/>
        </w:numPr>
        <w:rPr>
          <w:rFonts w:ascii="Arial" w:cs="Arial" w:eastAsia="Arial" w:hAnsi="Arial"/>
          <w:sz w:val="15"/>
          <w:szCs w:val="15"/>
          <w:color w:val="auto"/>
        </w:rPr>
      </w:pPr>
      <w:r>
        <w:rPr>
          <w:rFonts w:ascii="Arial" w:cs="Arial" w:eastAsia="Arial" w:hAnsi="Arial"/>
          <w:sz w:val="15"/>
          <w:szCs w:val="15"/>
          <w:color w:val="auto"/>
        </w:rPr>
        <w:t>4,529 shares in the third quarter of 2023 were purchased as part of the Company’s employee stock payroll deduction plan at an average price of $372.78.</w:t>
      </w:r>
    </w:p>
    <w:p>
      <w:pPr>
        <w:spacing w:after="0" w:line="165" w:lineRule="exact"/>
        <w:rPr>
          <w:rFonts w:ascii="Arial" w:cs="Arial" w:eastAsia="Arial" w:hAnsi="Arial"/>
          <w:sz w:val="15"/>
          <w:szCs w:val="15"/>
          <w:color w:val="auto"/>
        </w:rPr>
      </w:pPr>
    </w:p>
    <w:p>
      <w:pPr>
        <w:ind w:left="480" w:right="700" w:hanging="459"/>
        <w:spacing w:after="0" w:line="291"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July 20, 2021, the Company’s Board of Directors authorized a share repurchase program to repurchase up to $1.0 billion of the Company’s common stock. As of September 10, 2023, $199.5 million remained available for future purchases of the Company’s common stock under this share repurchase program.</w:t>
      </w:r>
    </w:p>
    <w:p>
      <w:pPr>
        <w:spacing w:after="0" w:line="109" w:lineRule="exact"/>
        <w:rPr>
          <w:rFonts w:ascii="Arial" w:cs="Arial" w:eastAsia="Arial" w:hAnsi="Arial"/>
          <w:sz w:val="14"/>
          <w:szCs w:val="14"/>
          <w:color w:val="auto"/>
        </w:rPr>
      </w:pPr>
    </w:p>
    <w:p>
      <w:pPr>
        <w:ind w:left="480" w:right="60"/>
        <w:spacing w:after="0" w:line="255" w:lineRule="auto"/>
        <w:rPr>
          <w:rFonts w:ascii="Arial" w:cs="Arial" w:eastAsia="Arial" w:hAnsi="Arial"/>
          <w:sz w:val="14"/>
          <w:szCs w:val="14"/>
          <w:color w:val="auto"/>
        </w:rPr>
      </w:pPr>
      <w:r>
        <w:rPr>
          <w:rFonts w:ascii="Arial" w:cs="Arial" w:eastAsia="Arial" w:hAnsi="Arial"/>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17" w:lineRule="exact"/>
        <w:rPr>
          <w:sz w:val="20"/>
          <w:szCs w:val="20"/>
          <w:color w:val="auto"/>
        </w:rPr>
      </w:pPr>
    </w:p>
    <w:p>
      <w:pPr>
        <w:ind w:right="220" w:firstLine="255"/>
        <w:spacing w:after="0" w:line="255" w:lineRule="auto"/>
        <w:rPr>
          <w:sz w:val="20"/>
          <w:szCs w:val="20"/>
          <w:color w:val="auto"/>
        </w:rPr>
      </w:pPr>
      <w:r>
        <w:rPr>
          <w:rFonts w:ascii="Arial" w:cs="Arial" w:eastAsia="Arial" w:hAnsi="Arial"/>
          <w:sz w:val="18"/>
          <w:szCs w:val="18"/>
          <w:color w:val="auto"/>
        </w:rPr>
        <w:t>During the fiscal quarter ended September 10, 2023,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6"/>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2"/>
              </w:rPr>
              <w:t>Certification of Chief Executive Officer pursuant to Section 302 of the Sarbanes-Oxley Act of 2002, relating to Domino’s Pizza, Inc.</w:t>
            </w:r>
          </w:p>
        </w:tc>
        <w:tc>
          <w:tcPr>
            <w:tcW w:w="6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0000FF"/>
                <w:w w:val="98"/>
              </w:rPr>
              <w:t>Certification of Chief Financial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Certification of Chief Executive Officer pursuant to Section 1350, Chapter 63 of Title 18, United States Code, as adopted pursuant to Section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Arial" w:cs="Arial" w:eastAsia="Arial" w:hAnsi="Arial"/>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Chief Financial Officer pursuant to Section 1350, Chapter 63 of Title 18, United States Code, as adopted pursuant to Section</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Arial" w:cs="Arial" w:eastAsia="Arial" w:hAnsi="Arial"/>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542"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DOMINO’S PIZZA, INC.</w:t>
            </w:r>
          </w:p>
        </w:tc>
        <w:tc>
          <w:tcPr>
            <w:tcW w:w="16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160" w:type="dxa"/>
            <w:vAlign w:val="bottom"/>
          </w:tcPr>
          <w:p>
            <w:pPr>
              <w:spacing w:after="0"/>
              <w:rPr>
                <w:sz w:val="20"/>
                <w:szCs w:val="20"/>
                <w:color w:val="auto"/>
              </w:rPr>
            </w:pPr>
          </w:p>
        </w:tc>
      </w:tr>
      <w:tr>
        <w:trPr>
          <w:trHeight w:val="466"/>
        </w:trPr>
        <w:tc>
          <w:tcPr>
            <w:tcW w:w="3700" w:type="dxa"/>
            <w:vAlign w:val="bottom"/>
          </w:tcPr>
          <w:p>
            <w:pPr>
              <w:ind w:left="200"/>
              <w:spacing w:after="0"/>
              <w:rPr>
                <w:sz w:val="20"/>
                <w:szCs w:val="20"/>
                <w:color w:val="auto"/>
              </w:rPr>
            </w:pPr>
            <w:r>
              <w:rPr>
                <w:rFonts w:ascii="Arial" w:cs="Arial" w:eastAsia="Arial" w:hAnsi="Arial"/>
                <w:sz w:val="18"/>
                <w:szCs w:val="18"/>
                <w:color w:val="auto"/>
              </w:rPr>
              <w:t>Date: October 12, 2023</w:t>
            </w:r>
          </w:p>
        </w:tc>
        <w:tc>
          <w:tcPr>
            <w:tcW w:w="21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Sandeep Reddy</w:t>
            </w:r>
          </w:p>
        </w:tc>
        <w:tc>
          <w:tcPr>
            <w:tcW w:w="160" w:type="dxa"/>
            <w:vAlign w:val="bottom"/>
          </w:tcPr>
          <w:p>
            <w:pPr>
              <w:spacing w:after="0"/>
              <w:rPr>
                <w:sz w:val="24"/>
                <w:szCs w:val="24"/>
                <w:color w:val="auto"/>
              </w:rPr>
            </w:pPr>
          </w:p>
        </w:tc>
      </w:tr>
      <w:tr>
        <w:trPr>
          <w:trHeight w:val="215"/>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Sandeep Reddy</w:t>
            </w:r>
          </w:p>
        </w:tc>
        <w:tc>
          <w:tcPr>
            <w:tcW w:w="16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16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160" w:type="dxa"/>
            <w:vAlign w:val="bottom"/>
          </w:tcPr>
          <w:p>
            <w:pPr>
              <w:spacing w:after="0"/>
              <w:rPr>
                <w:sz w:val="20"/>
                <w:szCs w:val="20"/>
                <w:color w:val="auto"/>
              </w:rPr>
            </w:pPr>
          </w:p>
        </w:tc>
      </w:tr>
      <w:tr>
        <w:trPr>
          <w:trHeight w:val="445"/>
        </w:trPr>
        <w:tc>
          <w:tcPr>
            <w:tcW w:w="3700" w:type="dxa"/>
            <w:vAlign w:val="bottom"/>
          </w:tcPr>
          <w:p>
            <w:pPr>
              <w:spacing w:after="0"/>
              <w:rPr>
                <w:sz w:val="24"/>
                <w:szCs w:val="24"/>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OF DOMINO’S PIZZA,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Domino’s Pizza, Inc.;</w:t>
      </w:r>
    </w:p>
    <w:p>
      <w:pPr>
        <w:spacing w:after="0" w:line="15" w:lineRule="exact"/>
        <w:rPr>
          <w:rFonts w:ascii="Arial" w:cs="Arial" w:eastAsia="Arial" w:hAnsi="Arial"/>
          <w:sz w:val="20"/>
          <w:szCs w:val="20"/>
          <w:color w:val="auto"/>
        </w:rPr>
      </w:pPr>
    </w:p>
    <w:p>
      <w:pPr>
        <w:ind w:left="380" w:right="120" w:hanging="372"/>
        <w:spacing w:after="0" w:line="239" w:lineRule="auto"/>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80" w:right="180" w:hanging="372"/>
        <w:spacing w:after="0" w:line="299"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66"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ind w:left="760" w:right="160" w:hanging="378"/>
        <w:spacing w:after="0" w:line="252" w:lineRule="auto"/>
        <w:tabs>
          <w:tab w:leader="none" w:pos="760" w:val="left"/>
        </w:tabs>
        <w:numPr>
          <w:ilvl w:val="1"/>
          <w:numId w:val="1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hanging="378"/>
        <w:spacing w:after="0" w:line="239" w:lineRule="auto"/>
        <w:tabs>
          <w:tab w:leader="none" w:pos="7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760" w:right="100" w:hanging="378"/>
        <w:spacing w:after="0" w:line="239" w:lineRule="auto"/>
        <w:tabs>
          <w:tab w:leader="none" w:pos="7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760" w:right="220" w:hanging="378"/>
        <w:spacing w:after="0" w:line="252" w:lineRule="auto"/>
        <w:tabs>
          <w:tab w:leader="none" w:pos="760" w:val="left"/>
        </w:tabs>
        <w:numPr>
          <w:ilvl w:val="1"/>
          <w:numId w:val="1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80" w:right="80" w:hanging="372"/>
        <w:spacing w:after="0" w:line="239" w:lineRule="auto"/>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760" w:right="60" w:hanging="378"/>
        <w:spacing w:after="0" w:line="266" w:lineRule="auto"/>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4" w:lineRule="auto"/>
        <w:tabs>
          <w:tab w:leader="none" w:pos="7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12, 2023</w:t>
            </w:r>
          </w:p>
        </w:tc>
        <w:tc>
          <w:tcPr>
            <w:tcW w:w="228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Russell J. Weiner</w:t>
            </w:r>
          </w:p>
        </w:tc>
      </w:tr>
      <w:tr>
        <w:trPr>
          <w:trHeight w:val="226"/>
        </w:trPr>
        <w:tc>
          <w:tcPr>
            <w:tcW w:w="1920" w:type="dxa"/>
            <w:vAlign w:val="bottom"/>
          </w:tcPr>
          <w:p>
            <w:pPr>
              <w:ind w:left="20"/>
              <w:spacing w:after="0"/>
              <w:rPr>
                <w:sz w:val="20"/>
                <w:szCs w:val="20"/>
                <w:color w:val="auto"/>
              </w:rPr>
            </w:pPr>
            <w:r>
              <w:rPr>
                <w:rFonts w:ascii="Arial" w:cs="Arial" w:eastAsia="Arial" w:hAnsi="Arial"/>
                <w:sz w:val="18"/>
                <w:szCs w:val="18"/>
                <w:color w:val="auto"/>
              </w:rPr>
              <w:t>Date</w:t>
            </w:r>
          </w:p>
        </w:tc>
        <w:tc>
          <w:tcPr>
            <w:tcW w:w="2280" w:type="dxa"/>
            <w:vAlign w:val="bottom"/>
          </w:tcPr>
          <w:p>
            <w:pPr>
              <w:spacing w:after="0"/>
              <w:rPr>
                <w:sz w:val="19"/>
                <w:szCs w:val="19"/>
                <w:color w:val="auto"/>
              </w:rPr>
            </w:pPr>
          </w:p>
        </w:tc>
        <w:tc>
          <w:tcPr>
            <w:tcW w:w="7040" w:type="dxa"/>
            <w:vAlign w:val="bottom"/>
          </w:tcPr>
          <w:p>
            <w:pPr>
              <w:ind w:left="20"/>
              <w:spacing w:after="0" w:line="227" w:lineRule="exact"/>
              <w:rPr>
                <w:sz w:val="20"/>
                <w:szCs w:val="20"/>
                <w:color w:val="auto"/>
              </w:rPr>
            </w:pPr>
            <w:r>
              <w:rPr>
                <w:rFonts w:ascii="Arial" w:cs="Arial" w:eastAsia="Arial" w:hAnsi="Arial"/>
                <w:sz w:val="20"/>
                <w:szCs w:val="20"/>
                <w:color w:val="auto"/>
              </w:rPr>
              <w:t>Russell J. Weiner</w:t>
            </w:r>
          </w:p>
        </w:tc>
      </w:tr>
      <w:tr>
        <w:trPr>
          <w:trHeight w:val="250"/>
        </w:trPr>
        <w:tc>
          <w:tcPr>
            <w:tcW w:w="19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786"/>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FINANCIAL OFFICER OF DOMINO’S PIZZA,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Domino’s Pizza, Inc.;</w:t>
      </w:r>
    </w:p>
    <w:p>
      <w:pPr>
        <w:spacing w:after="0" w:line="15" w:lineRule="exact"/>
        <w:rPr>
          <w:rFonts w:ascii="Arial" w:cs="Arial" w:eastAsia="Arial" w:hAnsi="Arial"/>
          <w:sz w:val="20"/>
          <w:szCs w:val="20"/>
          <w:color w:val="auto"/>
        </w:rPr>
      </w:pPr>
    </w:p>
    <w:p>
      <w:pPr>
        <w:ind w:left="380" w:right="120" w:hanging="372"/>
        <w:spacing w:after="0" w:line="239" w:lineRule="auto"/>
        <w:tabs>
          <w:tab w:leader="none" w:pos="3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80" w:right="180" w:hanging="372"/>
        <w:spacing w:after="0" w:line="299"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66"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ind w:left="760" w:right="160" w:hanging="378"/>
        <w:spacing w:after="0" w:line="252" w:lineRule="auto"/>
        <w:tabs>
          <w:tab w:leader="none" w:pos="7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hanging="378"/>
        <w:spacing w:after="0" w:line="239" w:lineRule="auto"/>
        <w:tabs>
          <w:tab w:leader="none" w:pos="760" w:val="left"/>
        </w:tabs>
        <w:numPr>
          <w:ilvl w:val="1"/>
          <w:numId w:val="1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760" w:right="100" w:hanging="378"/>
        <w:spacing w:after="0" w:line="239" w:lineRule="auto"/>
        <w:tabs>
          <w:tab w:leader="none" w:pos="760" w:val="left"/>
        </w:tabs>
        <w:numPr>
          <w:ilvl w:val="1"/>
          <w:numId w:val="1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760" w:right="220" w:hanging="378"/>
        <w:spacing w:after="0" w:line="252" w:lineRule="auto"/>
        <w:tabs>
          <w:tab w:leader="none" w:pos="7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80" w:right="80" w:hanging="372"/>
        <w:spacing w:after="0" w:line="239" w:lineRule="auto"/>
        <w:tabs>
          <w:tab w:leader="none" w:pos="3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760" w:right="60" w:hanging="378"/>
        <w:spacing w:after="0" w:line="266"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4" w:lineRule="auto"/>
        <w:tabs>
          <w:tab w:leader="none" w:pos="760" w:val="left"/>
        </w:tabs>
        <w:numPr>
          <w:ilvl w:val="1"/>
          <w:numId w:val="1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12, 2023</w:t>
            </w:r>
          </w:p>
        </w:tc>
        <w:tc>
          <w:tcPr>
            <w:tcW w:w="228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Sandeep Reddy</w:t>
            </w:r>
          </w:p>
        </w:tc>
      </w:tr>
      <w:tr>
        <w:trPr>
          <w:trHeight w:val="226"/>
        </w:trPr>
        <w:tc>
          <w:tcPr>
            <w:tcW w:w="1920" w:type="dxa"/>
            <w:vAlign w:val="bottom"/>
          </w:tcPr>
          <w:p>
            <w:pPr>
              <w:ind w:left="20"/>
              <w:spacing w:after="0"/>
              <w:rPr>
                <w:sz w:val="20"/>
                <w:szCs w:val="20"/>
                <w:color w:val="auto"/>
              </w:rPr>
            </w:pPr>
            <w:r>
              <w:rPr>
                <w:rFonts w:ascii="Arial" w:cs="Arial" w:eastAsia="Arial" w:hAnsi="Arial"/>
                <w:sz w:val="18"/>
                <w:szCs w:val="18"/>
                <w:color w:val="auto"/>
              </w:rPr>
              <w:t>Date</w:t>
            </w:r>
          </w:p>
        </w:tc>
        <w:tc>
          <w:tcPr>
            <w:tcW w:w="2280" w:type="dxa"/>
            <w:vAlign w:val="bottom"/>
          </w:tcPr>
          <w:p>
            <w:pPr>
              <w:spacing w:after="0"/>
              <w:rPr>
                <w:sz w:val="19"/>
                <w:szCs w:val="19"/>
                <w:color w:val="auto"/>
              </w:rPr>
            </w:pPr>
          </w:p>
        </w:tc>
        <w:tc>
          <w:tcPr>
            <w:tcW w:w="7040" w:type="dxa"/>
            <w:vAlign w:val="bottom"/>
          </w:tcPr>
          <w:p>
            <w:pPr>
              <w:ind w:left="20"/>
              <w:spacing w:after="0" w:line="227" w:lineRule="exact"/>
              <w:rPr>
                <w:sz w:val="20"/>
                <w:szCs w:val="20"/>
                <w:color w:val="auto"/>
              </w:rPr>
            </w:pPr>
            <w:r>
              <w:rPr>
                <w:rFonts w:ascii="Arial" w:cs="Arial" w:eastAsia="Arial" w:hAnsi="Arial"/>
                <w:sz w:val="20"/>
                <w:szCs w:val="20"/>
                <w:color w:val="auto"/>
              </w:rPr>
              <w:t>Sandeep Reddy</w:t>
            </w:r>
          </w:p>
        </w:tc>
      </w:tr>
      <w:tr>
        <w:trPr>
          <w:trHeight w:val="250"/>
        </w:trPr>
        <w:tc>
          <w:tcPr>
            <w:tcW w:w="19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340"/>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32.1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18 U.S.C. SECTION 1350</w:t>
      </w:r>
    </w:p>
    <w:p>
      <w:pPr>
        <w:jc w:val="center"/>
        <w:ind w:right="-19"/>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connection with the Quarterly Report of Domino’s Pizza, Inc. (the “Company”) on Form 10-Q for the period ended September 10, 2023,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5" w:lineRule="exact"/>
        <w:rPr>
          <w:sz w:val="20"/>
          <w:szCs w:val="20"/>
          <w:color w:val="auto"/>
        </w:rPr>
      </w:pPr>
    </w:p>
    <w:p>
      <w:pPr>
        <w:ind w:left="760" w:right="340" w:hanging="378"/>
        <w:spacing w:after="0" w:line="250" w:lineRule="auto"/>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201" w:lineRule="exact"/>
        <w:rPr>
          <w:rFonts w:ascii="Arial" w:cs="Arial" w:eastAsia="Arial" w:hAnsi="Arial"/>
          <w:sz w:val="22"/>
          <w:szCs w:val="22"/>
          <w:color w:val="auto"/>
        </w:rPr>
      </w:pPr>
    </w:p>
    <w:p>
      <w:pPr>
        <w:ind w:left="760" w:right="400" w:hanging="378"/>
        <w:spacing w:after="0" w:line="250" w:lineRule="auto"/>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 Russell J. Weiner</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-157480</wp:posOffset>
            </wp:positionV>
            <wp:extent cx="33515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12, 2023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32.2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jc w:val="center"/>
        <w:ind w:right="-59"/>
        <w:spacing w:after="0" w:line="230" w:lineRule="auto"/>
        <w:rPr>
          <w:sz w:val="20"/>
          <w:szCs w:val="20"/>
          <w:color w:val="auto"/>
        </w:rPr>
      </w:pPr>
      <w:r>
        <w:rPr>
          <w:rFonts w:ascii="Arial" w:cs="Arial" w:eastAsia="Arial" w:hAnsi="Arial"/>
          <w:sz w:val="22"/>
          <w:szCs w:val="22"/>
          <w:b w:val="1"/>
          <w:bCs w:val="1"/>
          <w:color w:val="auto"/>
        </w:rPr>
        <w:t>18 U.S.C. SECTION 1350</w:t>
      </w:r>
    </w:p>
    <w:p>
      <w:pPr>
        <w:jc w:val="center"/>
        <w:ind w:right="-19"/>
        <w:spacing w:after="0" w:line="231" w:lineRule="auto"/>
        <w:rPr>
          <w:sz w:val="20"/>
          <w:szCs w:val="20"/>
          <w:color w:val="auto"/>
        </w:rPr>
      </w:pPr>
      <w:r>
        <w:rPr>
          <w:rFonts w:ascii="Arial" w:cs="Arial" w:eastAsia="Arial" w:hAnsi="Arial"/>
          <w:sz w:val="22"/>
          <w:szCs w:val="22"/>
          <w:b w:val="1"/>
          <w:bCs w:val="1"/>
          <w:color w:val="auto"/>
        </w:rPr>
        <w:t>AS ADOPTED PURSUANT TO</w:t>
      </w:r>
    </w:p>
    <w:p>
      <w:pPr>
        <w:jc w:val="center"/>
        <w:ind w:right="-59"/>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connection with the Quarterly Report of Domino’s Pizza, Inc. (the “Company”) on Form 10-Q for the period ended September 10, 2023,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5" w:lineRule="exact"/>
        <w:rPr>
          <w:sz w:val="20"/>
          <w:szCs w:val="20"/>
          <w:color w:val="auto"/>
        </w:rPr>
      </w:pPr>
    </w:p>
    <w:p>
      <w:pPr>
        <w:ind w:left="760" w:right="340" w:hanging="378"/>
        <w:spacing w:after="0" w:line="250" w:lineRule="auto"/>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201" w:lineRule="exact"/>
        <w:rPr>
          <w:rFonts w:ascii="Arial" w:cs="Arial" w:eastAsia="Arial" w:hAnsi="Arial"/>
          <w:sz w:val="22"/>
          <w:szCs w:val="22"/>
          <w:color w:val="auto"/>
        </w:rPr>
      </w:pPr>
    </w:p>
    <w:p>
      <w:pPr>
        <w:ind w:left="760" w:right="400" w:hanging="378"/>
        <w:spacing w:after="0" w:line="250" w:lineRule="auto"/>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 Sandeep Reddy</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-157480</wp:posOffset>
            </wp:positionV>
            <wp:extent cx="33515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12, 2023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2023-10-12T05:22:59Z</dcterms:created>
  <dcterms:modified xsi:type="dcterms:W3CDTF">2023-10-12T05:22:59Z</dcterms:modified>
</cp:coreProperties>
</file>