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640" w:right="1600" w:hanging="3632"/>
        <w:spacing w:after="0" w:line="401"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11, 2022</w:t>
      </w:r>
    </w:p>
    <w:p>
      <w:pPr>
        <w:spacing w:after="0" w:line="28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540" w:type="dxa"/>
        <w:tblCellMar>
          <w:top w:w="0" w:type="dxa"/>
          <w:left w:w="0" w:type="dxa"/>
          <w:bottom w:w="0" w:type="dxa"/>
          <w:right w:w="0" w:type="dxa"/>
        </w:tblCellMar>
      </w:tblPr>
      <w:tr>
        <w:trPr>
          <w:trHeight w:val="191"/>
        </w:trPr>
        <w:tc>
          <w:tcPr>
            <w:tcW w:w="2960" w:type="dxa"/>
            <w:vAlign w:val="bottom"/>
          </w:tcPr>
          <w:p>
            <w:pPr>
              <w:jc w:val="center"/>
              <w:ind w:right="439"/>
              <w:spacing w:after="0" w:line="191"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jc w:val="right"/>
              <w:ind w:right="61"/>
              <w:spacing w:after="0" w:line="191" w:lineRule="exact"/>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6080" w:type="dxa"/>
            <w:vAlign w:val="bottom"/>
            <w:gridSpan w:val="3"/>
          </w:tcPr>
          <w:p>
            <w:pPr>
              <w:jc w:val="center"/>
              <w:ind w:right="36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6080" w:type="dxa"/>
            <w:vAlign w:val="bottom"/>
            <w:gridSpan w:val="3"/>
          </w:tcPr>
          <w:p>
            <w:pPr>
              <w:jc w:val="center"/>
              <w:ind w:right="36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89"/>
        </w:trPr>
        <w:tc>
          <w:tcPr>
            <w:tcW w:w="6080" w:type="dxa"/>
            <w:vAlign w:val="bottom"/>
            <w:gridSpan w:val="3"/>
          </w:tcPr>
          <w:p>
            <w:pPr>
              <w:jc w:val="center"/>
              <w:ind w:right="36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1440" w:type="dxa"/>
            <w:vAlign w:val="bottom"/>
          </w:tcPr>
          <w:p>
            <w:pPr>
              <w:spacing w:after="0"/>
              <w:rPr>
                <w:sz w:val="16"/>
                <w:szCs w:val="16"/>
                <w:color w:val="auto"/>
              </w:rPr>
            </w:pPr>
          </w:p>
        </w:tc>
      </w:tr>
      <w:tr>
        <w:trPr>
          <w:trHeight w:val="227"/>
        </w:trPr>
        <w:tc>
          <w:tcPr>
            <w:tcW w:w="6080" w:type="dxa"/>
            <w:vAlign w:val="bottom"/>
            <w:gridSpan w:val="3"/>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6080" w:type="dxa"/>
            <w:vAlign w:val="bottom"/>
            <w:gridSpan w:val="3"/>
          </w:tcPr>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5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(734) 930-3030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0"/>
        </w:trPr>
        <w:tc>
          <w:tcPr>
            <w:tcW w:w="6080" w:type="dxa"/>
            <w:vAlign w:val="bottom"/>
            <w:gridSpan w:val="3"/>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90"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240" w:firstLine="255"/>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right="40" w:firstLine="255"/>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line="202" w:lineRule="exact"/>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63" w:lineRule="exact"/>
        <w:rPr>
          <w:sz w:val="24"/>
          <w:szCs w:val="24"/>
          <w:color w:val="auto"/>
        </w:rPr>
      </w:pPr>
    </w:p>
    <w:p>
      <w:pPr>
        <w:jc w:val="both"/>
        <w:ind w:right="200" w:firstLine="255"/>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260" w:right="148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6, 2022, Domino’s Pizza, Inc. had 35,399,379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4" w:right="3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680" w:type="dxa"/>
            <w:vAlign w:val="bottom"/>
            <w:gridSpan w:val="11"/>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1380" w:type="dxa"/>
            <w:vAlign w:val="bottom"/>
            <w:gridSpan w:val="3"/>
            <w:vMerge w:val="continue"/>
          </w:tcPr>
          <w:p>
            <w:pPr>
              <w:spacing w:after="0"/>
              <w:rPr>
                <w:sz w:val="13"/>
                <w:szCs w:val="13"/>
                <w:color w:val="auto"/>
              </w:rPr>
            </w:pPr>
          </w:p>
        </w:tc>
        <w:tc>
          <w:tcPr>
            <w:tcW w:w="2400" w:type="dxa"/>
            <w:vAlign w:val="bottom"/>
            <w:tcBorders>
              <w:bottom w:val="single" w:sz="8" w:color="0000EE"/>
            </w:tcBorders>
            <w:gridSpan w:val="10"/>
            <w:vMerge w:val="continue"/>
          </w:tcPr>
          <w:p>
            <w:pPr>
              <w:spacing w:after="0"/>
              <w:rPr>
                <w:sz w:val="13"/>
                <w:szCs w:val="13"/>
                <w:color w:val="auto"/>
              </w:rPr>
            </w:pPr>
          </w:p>
        </w:tc>
        <w:tc>
          <w:tcPr>
            <w:tcW w:w="6680" w:type="dxa"/>
            <w:vAlign w:val="bottom"/>
            <w:gridSpan w:val="11"/>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September 11, 2022 and January 2,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and three fiscal quarters ended September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60" w:type="dxa"/>
            <w:vAlign w:val="bottom"/>
            <w:tcBorders>
              <w:top w:val="single" w:sz="8" w:color="0000EE"/>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11, 2022 and September 12, 2021</w:t>
            </w: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and three fiscal quarters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9"/>
              </w:rPr>
              <w:t>ended September 11, 2022 and September 12, 2021</w:t>
            </w:r>
          </w:p>
        </w:tc>
        <w:tc>
          <w:tcPr>
            <w:tcW w:w="4820" w:type="dxa"/>
            <w:vAlign w:val="bottom"/>
            <w:tcBorders>
              <w:top w:val="single" w:sz="8" w:color="0000EE"/>
            </w:tcBorders>
            <w:gridSpan w:val="6"/>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Three fiscal quarters ended September 11, 2022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0" w:type="dxa"/>
            <w:vAlign w:val="bottom"/>
            <w:tcBorders>
              <w:top w:val="single" w:sz="8" w:color="0000EE"/>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September 12, 2021</w:t>
            </w:r>
          </w:p>
        </w:tc>
        <w:tc>
          <w:tcPr>
            <w:tcW w:w="48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6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8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EE"/>
            </w:tcBorders>
            <w:gridSpan w:val="4"/>
          </w:tcPr>
          <w:p>
            <w:pPr>
              <w:spacing w:after="0"/>
              <w:rPr>
                <w:sz w:val="24"/>
                <w:szCs w:val="24"/>
                <w:color w:val="auto"/>
              </w:rPr>
            </w:pPr>
          </w:p>
        </w:tc>
        <w:tc>
          <w:tcPr>
            <w:tcW w:w="706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2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EE"/>
            </w:tcBorders>
            <w:gridSpan w:val="3"/>
          </w:tcPr>
          <w:p>
            <w:pPr>
              <w:spacing w:after="0"/>
              <w:rPr>
                <w:sz w:val="24"/>
                <w:szCs w:val="24"/>
                <w:color w:val="auto"/>
              </w:rPr>
            </w:pPr>
          </w:p>
        </w:tc>
        <w:tc>
          <w:tcPr>
            <w:tcW w:w="67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6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13"/>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ind w:right="40"/>
        <w:spacing w:after="0" w:line="182" w:lineRule="auto"/>
        <w:rPr>
          <w:sz w:val="20"/>
          <w:szCs w:val="20"/>
          <w:color w:val="auto"/>
        </w:rPr>
      </w:pPr>
      <w:r>
        <w:rPr>
          <w:rFonts w:ascii="Times New Roman" w:cs="Times New Roman" w:eastAsia="Times New Roman" w:hAnsi="Times New Roman"/>
          <w:sz w:val="18"/>
          <w:szCs w:val="18"/>
          <w:b w:val="1"/>
          <w:bCs w:val="1"/>
          <w:color w:val="auto"/>
        </w:rPr>
        <w:t>Domino’s Pizza, Inc. and Subsidiaries</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17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11, 2022</w:t>
            </w:r>
          </w:p>
        </w:tc>
        <w:tc>
          <w:tcPr>
            <w:tcW w:w="240" w:type="dxa"/>
            <w:vAlign w:val="bottom"/>
          </w:tcPr>
          <w:p>
            <w:pPr>
              <w:spacing w:after="0"/>
              <w:rPr>
                <w:sz w:val="14"/>
                <w:szCs w:val="14"/>
                <w:color w:val="auto"/>
              </w:rPr>
            </w:pPr>
          </w:p>
        </w:tc>
        <w:tc>
          <w:tcPr>
            <w:tcW w:w="174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January 2, 2022 (1)</w:t>
            </w: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114,776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148,160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242,775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255,327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181,200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180,904</w:t>
            </w:r>
          </w:p>
        </w:tc>
        <w:tc>
          <w:tcPr>
            <w:tcW w:w="100" w:type="dxa"/>
            <w:vAlign w:val="bottom"/>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826,398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193,572</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312,772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660,930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642,531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tcPr>
          <w:p>
            <w:pPr>
              <w:spacing w:after="0"/>
              <w:rPr>
                <w:sz w:val="18"/>
                <w:szCs w:val="18"/>
                <w:color w:val="auto"/>
              </w:rPr>
            </w:pPr>
          </w:p>
        </w:tc>
        <w:tc>
          <w:tcPr>
            <w:tcW w:w="1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(349,643 )</w:t>
            </w:r>
          </w:p>
        </w:tc>
        <w:tc>
          <w:tcPr>
            <w:tcW w:w="2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(318,466 )</w:t>
            </w: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311,287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217,739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210,702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95,558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508,724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1,646,409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deficit</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173,737</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144,880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578,737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590,741</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5,097,292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5,014,638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184,471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5,384,217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(4,313,643 )</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(4,207,917 )</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(3,843 )</w:t>
            </w:r>
          </w:p>
        </w:tc>
        <w:tc>
          <w:tcPr>
            <w:tcW w:w="2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(2,820 )</w:t>
            </w: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(4,316,545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(4,209,536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1,646,409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-5777230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-4653915</wp:posOffset>
            </wp:positionV>
            <wp:extent cx="685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-4653915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-3539490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-2133600</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6" w:lineRule="exact"/>
        <w:rPr>
          <w:sz w:val="20"/>
          <w:szCs w:val="20"/>
          <w:color w:val="auto"/>
        </w:rPr>
      </w:pPr>
    </w:p>
    <w:p>
      <w:pPr>
        <w:ind w:right="200"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at January 2, 2022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4"/>
                <w:szCs w:val="14"/>
                <w:color w:val="auto"/>
              </w:rPr>
            </w:pPr>
          </w:p>
        </w:tc>
        <w:tc>
          <w:tcPr>
            <w:tcW w:w="25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5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2"/>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r>
      <w:tr>
        <w:trPr>
          <w:trHeight w:val="187"/>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328,785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337,749</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121,624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379,261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372,946</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1,760,119</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202,803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207,068</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108,578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331,863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336,278</w:t>
            </w:r>
          </w:p>
        </w:tc>
        <w:tc>
          <w:tcPr>
            <w:tcW w:w="100" w:type="dxa"/>
            <w:vAlign w:val="bottom"/>
          </w:tcPr>
          <w:p>
            <w:pPr>
              <w:spacing w:after="0"/>
              <w:rPr>
                <w:sz w:val="18"/>
                <w:szCs w:val="18"/>
                <w:color w:val="auto"/>
              </w:rPr>
            </w:pPr>
          </w:p>
        </w:tc>
      </w:tr>
      <w:tr>
        <w:trPr>
          <w:trHeight w:val="20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1,068,596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997,990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3,144,927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86,932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280,029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260,693</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588,157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525,858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1,728,159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1,571,426</w:t>
            </w:r>
          </w:p>
        </w:tc>
        <w:tc>
          <w:tcPr>
            <w:tcW w:w="100" w:type="dxa"/>
            <w:vAlign w:val="bottom"/>
          </w:tcPr>
          <w:p>
            <w:pPr>
              <w:spacing w:after="0"/>
              <w:rPr>
                <w:sz w:val="18"/>
                <w:szCs w:val="18"/>
                <w:color w:val="auto"/>
              </w:rPr>
            </w:pPr>
          </w:p>
        </w:tc>
      </w:tr>
      <w:tr>
        <w:trPr>
          <w:trHeight w:val="20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686,746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612,790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2,008,188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1,182,041</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288,043</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108,578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331,863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336,278</w:t>
            </w:r>
          </w:p>
        </w:tc>
        <w:tc>
          <w:tcPr>
            <w:tcW w:w="100" w:type="dxa"/>
            <w:vAlign w:val="bottom"/>
          </w:tcPr>
          <w:p>
            <w:pPr>
              <w:spacing w:after="0"/>
              <w:rPr>
                <w:sz w:val="18"/>
                <w:szCs w:val="18"/>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176,452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180,280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519,107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557,720</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(45,437 )</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(45,523 )</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(137,160 )</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(130,822 )</w:t>
            </w: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131,848</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134,805</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383,048</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429,536</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74,754</w:t>
            </w:r>
          </w:p>
        </w:tc>
        <w:tc>
          <w:tcPr>
            <w:tcW w:w="100" w:type="dxa"/>
            <w:vAlign w:val="bottom"/>
          </w:tcPr>
          <w:p>
            <w:pPr>
              <w:spacing w:after="0"/>
              <w:rPr>
                <w:sz w:val="18"/>
                <w:szCs w:val="18"/>
                <w:color w:val="auto"/>
              </w:rPr>
            </w:pP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120,402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293,961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18"/>
                <w:szCs w:val="18"/>
                <w:color w:val="auto"/>
              </w:rPr>
            </w:pPr>
          </w:p>
        </w:tc>
      </w:tr>
      <w:tr>
        <w:trPr>
          <w:trHeight w:val="234"/>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-2419985</wp:posOffset>
            </wp:positionV>
            <wp:extent cx="7747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-2419985</wp:posOffset>
            </wp:positionV>
            <wp:extent cx="7747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-2419985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-2419985</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-1854200</wp:posOffset>
            </wp:positionV>
            <wp:extent cx="774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-1854200</wp:posOffset>
            </wp:positionV>
            <wp:extent cx="7747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-1854200</wp:posOffset>
            </wp:positionV>
            <wp:extent cx="68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-1854200</wp:posOffset>
            </wp:positionV>
            <wp:extent cx="6858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-448310</wp:posOffset>
            </wp:positionV>
            <wp:extent cx="276860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68600" cy="16319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16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328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Pr>
          <w:p>
            <w:pPr>
              <w:spacing w:after="0"/>
              <w:rPr>
                <w:sz w:val="16"/>
                <w:szCs w:val="16"/>
                <w:color w:val="auto"/>
              </w:rPr>
            </w:pPr>
          </w:p>
        </w:tc>
      </w:tr>
      <w:tr>
        <w:trPr>
          <w:trHeight w:val="158"/>
        </w:trPr>
        <w:tc>
          <w:tcPr>
            <w:tcW w:w="38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6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97"/>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120,402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354,782</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(404 )</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(1,023 )</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50"/>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100,551</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119,998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292,938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16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58"/>
        </w:trPr>
        <w:tc>
          <w:tcPr>
            <w:tcW w:w="76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ind w:right="57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271"/>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293,961</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(907 )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(18,258 )</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(2,500 )</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(49,288 )</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(4,422 )</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330,154</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484,601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(50,508 )</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(50,652 )</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(40,000 )</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franchise operations and other assets</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(6,814 )</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(1,375 )</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(58,697 )</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(90,346 )</w:t>
            </w: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(41,441 )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(896,193 )</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(293,739 )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(1,104,687 )</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(10,691 )</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(6,817 )</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(79,689 )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(71,218 )</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financing costs</w:t>
            </w:r>
          </w:p>
        </w:tc>
        <w:tc>
          <w:tcPr>
            <w:tcW w:w="240" w:type="dxa"/>
            <w:vAlign w:val="bottom"/>
          </w:tcPr>
          <w:p>
            <w:pPr>
              <w:spacing w:after="0"/>
              <w:rPr>
                <w:sz w:val="18"/>
                <w:szCs w:val="18"/>
                <w:color w:val="auto"/>
              </w:rPr>
            </w:pPr>
          </w:p>
        </w:tc>
        <w:tc>
          <w:tcPr>
            <w:tcW w:w="1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(14,938 )</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(304,264 )</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(228,149 )</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4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(33,418 )</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180,579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161,741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490,480</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6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114,776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157,722</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457,062</w:t>
            </w:r>
          </w:p>
        </w:tc>
        <w:tc>
          <w:tcPr>
            <w:tcW w:w="30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668,310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-4542790</wp:posOffset>
            </wp:positionV>
            <wp:extent cx="685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-3702685</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-2313940</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-2022475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-950595</wp:posOffset>
            </wp:positionV>
            <wp:extent cx="126873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873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-264795</wp:posOffset>
            </wp:positionV>
            <wp:extent cx="6858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percentages, share and per share amounts)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11,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2, 2022 included in the Company’s 2021 Annual Report on Form 10-K, filed with the Securities and Exchange Commission on March 1, 2022 (the “2021 Form 10-K”).</w:t>
      </w:r>
    </w:p>
    <w:p>
      <w:pPr>
        <w:spacing w:after="0" w:line="7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fiscal quarter and three fiscal quarters ended September 11, 2022 are not necessarily indicative of the results that may be expected for the fiscal year ending January 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212" w:lineRule="exact"/>
        <w:rPr>
          <w:sz w:val="20"/>
          <w:szCs w:val="20"/>
          <w:color w:val="auto"/>
        </w:rPr>
      </w:pPr>
    </w:p>
    <w:p>
      <w:pPr>
        <w:ind w:right="160" w:firstLine="255"/>
        <w:spacing w:after="0" w:line="247" w:lineRule="auto"/>
        <w:rPr>
          <w:sz w:val="20"/>
          <w:szCs w:val="20"/>
          <w:color w:val="auto"/>
        </w:rPr>
      </w:pPr>
      <w:r>
        <w:rPr>
          <w:rFonts w:ascii="Times New Roman" w:cs="Times New Roman" w:eastAsia="Times New Roman" w:hAnsi="Times New Roman"/>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14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Fiscal Quarters Ended September 11, 2022 and September 12,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3940" w:type="dxa"/>
            <w:vAlign w:val="bottom"/>
            <w:shd w:val="clear" w:color="auto" w:fill="CFF0FC"/>
          </w:tcPr>
          <w:p>
            <w:pPr>
              <w:jc w:val="center"/>
              <w:ind w:right="3110"/>
              <w:spacing w:after="0"/>
              <w:rPr>
                <w:sz w:val="20"/>
                <w:szCs w:val="20"/>
                <w:color w:val="auto"/>
              </w:rPr>
            </w:pPr>
            <w:r>
              <w:rPr>
                <w:rFonts w:ascii="Times New Roman" w:cs="Times New Roman" w:eastAsia="Times New Roman" w:hAnsi="Times New Roman"/>
                <w:sz w:val="18"/>
                <w:szCs w:val="18"/>
                <w:color w:val="auto"/>
                <w:w w:val="99"/>
              </w:rPr>
              <w:t>Revenues</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355,459</w:t>
            </w:r>
          </w:p>
        </w:tc>
        <w:tc>
          <w:tcPr>
            <w:tcW w:w="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683,267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67,055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(37,185 )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1,068,596</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5"/>
              </w:rPr>
              <w:t>338,618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619,840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70,553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(31,021 )</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997,990</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5"/>
              </w:rPr>
              <w:t>100,529</w:t>
            </w:r>
          </w:p>
        </w:tc>
        <w:tc>
          <w:tcPr>
            <w:tcW w:w="4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49,892</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53,762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(2,919 )</w:t>
            </w: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201,264</w:t>
            </w:r>
          </w:p>
        </w:tc>
        <w:tc>
          <w:tcPr>
            <w:tcW w:w="100" w:type="dxa"/>
            <w:vAlign w:val="bottom"/>
            <w:shd w:val="clear" w:color="auto" w:fill="CFF0FC"/>
          </w:tcPr>
          <w:p>
            <w:pPr>
              <w:spacing w:after="0"/>
              <w:rPr>
                <w:sz w:val="18"/>
                <w:szCs w:val="18"/>
                <w:color w:val="auto"/>
              </w:rPr>
            </w:pPr>
          </w:p>
        </w:tc>
      </w:tr>
      <w:tr>
        <w:trPr>
          <w:trHeight w:val="234"/>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101,968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(10,010 )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202,848</w:t>
            </w:r>
          </w:p>
        </w:tc>
        <w:tc>
          <w:tcPr>
            <w:tcW w:w="100" w:type="dxa"/>
            <w:vAlign w:val="bottom"/>
          </w:tcPr>
          <w:p>
            <w:pPr>
              <w:spacing w:after="0"/>
              <w:rPr>
                <w:sz w:val="20"/>
                <w:szCs w:val="20"/>
                <w:color w:val="auto"/>
              </w:rPr>
            </w:pPr>
          </w:p>
        </w:tc>
      </w:tr>
      <w:tr>
        <w:trPr>
          <w:trHeight w:val="400"/>
        </w:trPr>
        <w:tc>
          <w:tcPr>
            <w:tcW w:w="3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Three Fiscal Quarters Ended September 11, 2022 and September 12,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36"/>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10"/>
        </w:trPr>
        <w:tc>
          <w:tcPr>
            <w:tcW w:w="3940" w:type="dxa"/>
            <w:vAlign w:val="bottom"/>
            <w:shd w:val="clear" w:color="auto" w:fill="CFF0FC"/>
          </w:tcPr>
          <w:p>
            <w:pPr>
              <w:jc w:val="center"/>
              <w:ind w:right="3110"/>
              <w:spacing w:after="0"/>
              <w:rPr>
                <w:sz w:val="20"/>
                <w:szCs w:val="20"/>
                <w:color w:val="auto"/>
              </w:rPr>
            </w:pPr>
            <w:r>
              <w:rPr>
                <w:rFonts w:ascii="Times New Roman" w:cs="Times New Roman" w:eastAsia="Times New Roman" w:hAnsi="Times New Roman"/>
                <w:sz w:val="18"/>
                <w:szCs w:val="18"/>
                <w:color w:val="auto"/>
                <w:w w:val="99"/>
              </w:rPr>
              <w:t>Revenues</w:t>
            </w: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1,039,909</w:t>
            </w:r>
          </w:p>
        </w:tc>
        <w:tc>
          <w:tcPr>
            <w:tcW w:w="4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2,008,526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202,803</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(106,311 )</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3,144,927</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1,046,973</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1,854,609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207,068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(94,490 )</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3,014,160</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301,876</w:t>
            </w:r>
          </w:p>
        </w:tc>
        <w:tc>
          <w:tcPr>
            <w:tcW w:w="4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149,874</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(16,250 )</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597,198</w:t>
            </w:r>
          </w:p>
        </w:tc>
        <w:tc>
          <w:tcPr>
            <w:tcW w:w="100" w:type="dxa"/>
            <w:vAlign w:val="bottom"/>
            <w:shd w:val="clear" w:color="auto" w:fill="CFF0FC"/>
          </w:tcPr>
          <w:p>
            <w:pPr>
              <w:spacing w:after="0"/>
              <w:rPr>
                <w:sz w:val="18"/>
                <w:szCs w:val="18"/>
                <w:color w:val="auto"/>
              </w:rPr>
            </w:pPr>
          </w:p>
        </w:tc>
      </w:tr>
      <w:tr>
        <w:trPr>
          <w:trHeight w:val="234"/>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(25,726 )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628,394</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5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3"/>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3"/>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201,264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202,848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597,198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(18,933 )</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(16,578 )</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(56,026 )</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(50,219 )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(5,852 )</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(5,953 )</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(21,590 )</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(19,453 )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Recapitalization-related expenses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176,452</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180,280</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519,107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(45,437 )</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(45,523 )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(137,160 )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(130,822 )</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131,848</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134,805</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383,048</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429,536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-1062355</wp:posOffset>
            </wp:positionV>
            <wp:extent cx="7747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-1062355</wp:posOffset>
            </wp:positionV>
            <wp:extent cx="7747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-504825</wp:posOffset>
            </wp:positionV>
            <wp:extent cx="7747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-504825</wp:posOffset>
            </wp:positionV>
            <wp:extent cx="7747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-504825</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Pr>
          <w:p>
            <w:pPr>
              <w:spacing w:after="0"/>
              <w:rPr>
                <w:sz w:val="16"/>
                <w:szCs w:val="16"/>
                <w:color w:val="auto"/>
              </w:rPr>
            </w:pPr>
          </w:p>
        </w:tc>
      </w:tr>
      <w:tr>
        <w:trPr>
          <w:trHeight w:val="158"/>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97"/>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7"/>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55"/>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r>
      <w:tr>
        <w:trPr>
          <w:trHeight w:val="187"/>
        </w:trPr>
        <w:tc>
          <w:tcPr>
            <w:tcW w:w="5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4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120,402</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293,961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weighted average number of shares</w:t>
            </w:r>
          </w:p>
        </w:tc>
        <w:tc>
          <w:tcPr>
            <w:tcW w:w="1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35,692,744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36,627,660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35,869,581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37,639,418</w:t>
            </w:r>
          </w:p>
        </w:tc>
        <w:tc>
          <w:tcPr>
            <w:tcW w:w="100" w:type="dxa"/>
            <w:vAlign w:val="bottom"/>
          </w:tcPr>
          <w:p>
            <w:pPr>
              <w:spacing w:after="0"/>
              <w:rPr>
                <w:sz w:val="17"/>
                <w:szCs w:val="17"/>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36,062,316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37,130,209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36,265,918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38,144,509</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-573405</wp:posOffset>
            </wp:positionV>
            <wp:extent cx="263144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31440" cy="163195"/>
                    </a:xfrm>
                    <a:prstGeom prst="rect">
                      <a:avLst/>
                    </a:prstGeom>
                    <a:noFill/>
                  </pic:spPr>
                </pic:pic>
              </a:graphicData>
            </a:graphic>
          </wp:anchor>
        </w:drawing>
      </w:r>
    </w:p>
    <w:p>
      <w:pPr>
        <w:spacing w:after="0" w:line="178"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fiscal quarters and three fiscal quarters each ended September 11, 2022 and September 12, 2021 do not include the following because the effect of including these shares would be anti-dilutive or because the performance condition for these awards had not yet been met: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Pr>
          <w:p>
            <w:pPr>
              <w:spacing w:after="0"/>
              <w:rPr>
                <w:sz w:val="16"/>
                <w:szCs w:val="16"/>
                <w:color w:val="auto"/>
              </w:rPr>
            </w:pPr>
          </w:p>
        </w:tc>
      </w:tr>
      <w:tr>
        <w:trPr>
          <w:trHeight w:val="158"/>
        </w:trPr>
        <w:tc>
          <w:tcPr>
            <w:tcW w:w="5320" w:type="dxa"/>
            <w:vAlign w:val="bottom"/>
          </w:tcPr>
          <w:p>
            <w:pPr>
              <w:spacing w:after="0"/>
              <w:rPr>
                <w:sz w:val="13"/>
                <w:szCs w:val="13"/>
                <w:color w:val="auto"/>
              </w:rPr>
            </w:pPr>
          </w:p>
        </w:tc>
        <w:tc>
          <w:tcPr>
            <w:tcW w:w="128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20" w:type="dxa"/>
            <w:vAlign w:val="bottom"/>
          </w:tcPr>
          <w:p>
            <w:pPr>
              <w:spacing w:after="0"/>
              <w:rPr>
                <w:sz w:val="13"/>
                <w:szCs w:val="13"/>
                <w:color w:val="auto"/>
              </w:rPr>
            </w:pPr>
          </w:p>
        </w:tc>
        <w:tc>
          <w:tcPr>
            <w:tcW w:w="132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220" w:type="dxa"/>
            <w:vAlign w:val="bottom"/>
          </w:tcPr>
          <w:p>
            <w:pPr>
              <w:spacing w:after="0"/>
              <w:rPr>
                <w:sz w:val="13"/>
                <w:szCs w:val="13"/>
                <w:color w:val="auto"/>
              </w:rPr>
            </w:pPr>
          </w:p>
        </w:tc>
        <w:tc>
          <w:tcPr>
            <w:tcW w:w="1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20" w:type="dxa"/>
            <w:vAlign w:val="bottom"/>
          </w:tcPr>
          <w:p>
            <w:pPr>
              <w:spacing w:after="0"/>
              <w:rPr>
                <w:sz w:val="13"/>
                <w:szCs w:val="13"/>
                <w:color w:val="auto"/>
              </w:rPr>
            </w:pPr>
          </w:p>
        </w:tc>
        <w:tc>
          <w:tcPr>
            <w:tcW w:w="1320" w:type="dxa"/>
            <w:vAlign w:val="bottom"/>
          </w:tcPr>
          <w:p>
            <w:pPr>
              <w:jc w:val="right"/>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117,328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80,103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62,131</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third quarter of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262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19,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35,899,646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(4,180,367</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($1.10 per share)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(39,035 )</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(20,787 )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(7,925 )</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(371 )</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(490,789 )</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(1,699 )</w:t>
            </w:r>
          </w:p>
        </w:tc>
        <w:tc>
          <w:tcPr>
            <w:tcW w:w="2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(194,374 )</w:t>
            </w: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11,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35,398,212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(4,313,643 )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6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-504825</wp:posOffset>
            </wp:positionV>
            <wp:extent cx="7747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-504825</wp:posOffset>
            </wp:positionV>
            <wp:extent cx="685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-504825</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-504825</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three fiscal quarters of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50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36,138,273</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(4,207,917</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7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($3.30 per share)</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(118,403 )</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(26,612 )</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(10,320 )</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(371 )</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(739,847 )</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(12,819 )</w:t>
            </w:r>
          </w:p>
        </w:tc>
        <w:tc>
          <w:tcPr>
            <w:tcW w:w="2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(280,913 )</w:t>
            </w: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11,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35,398,212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(4,313,643 )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-170815</wp:posOffset>
            </wp:positionV>
            <wp:extent cx="7747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640" w:firstLine="255"/>
        <w:spacing w:after="0" w:line="266" w:lineRule="auto"/>
        <w:rPr>
          <w:sz w:val="20"/>
          <w:szCs w:val="20"/>
          <w:color w:val="auto"/>
        </w:rPr>
      </w:pPr>
      <w:r>
        <w:rPr>
          <w:rFonts w:ascii="Times New Roman" w:cs="Times New Roman" w:eastAsia="Times New Roman" w:hAnsi="Times New Roman"/>
          <w:sz w:val="18"/>
          <w:szCs w:val="18"/>
          <w:color w:val="auto"/>
        </w:rPr>
        <w:t>Subsequent to the end of the third quarter of 2022, on October 11, 2022, the Company’s Board of Directors declared a $1.10 per share quarterly dividend on its outstanding common stock for shareholders of record as of December 15, 2022 to be paid on December 30, 2022.</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third quarter of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62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36,853,571</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(4,146,702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7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($0.94 per share)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(34,400 )</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(11,918 )</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(5,730 )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(391,007 )</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(14,801 )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(64,882 )</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113,903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12,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36,565,487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(4,125,582 )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-170815</wp:posOffset>
            </wp:positionV>
            <wp:extent cx="7747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three fiscal quarters of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62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3,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38,868,350</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(3,303,492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7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($2.82 per share)</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(105,555 )</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(980 )</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(14,819 )</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(6,817 )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(2,469,473 )</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(33,345 )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(1,071,317 )</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182,409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12,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36,565,487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(4,125,582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99"/>
        </w:trPr>
        <w:tc>
          <w:tcPr>
            <w:tcW w:w="474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-376555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-359410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-376555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-359410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-376555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-359410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-376555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-359410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5. 2022 Variable Funding Notes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Subsequent to the end of the third quarter of 2022, on September 16, 2022 (the “Closing Date”), certain of the Company’s subsidiaries issued a new</w:t>
      </w:r>
    </w:p>
    <w:p>
      <w:pPr>
        <w:spacing w:after="0" w:line="16"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variable funding note facility which allows for advances of up to $120.0 million of Series 2022-1 Variable Funding Senior Secured Notes, Class A-1 Notes (the “2022 Variable Funding Notes”). The 2022 Variable Funding Notes were undrawn on the Closing Date. The Company's existing $200.0 million Series 2021-1 Variable Funding Senior Secured Notes, Class A-1 Notes (the “2021 Variable Funding Notes”) also remain in place.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Fair Value Measurements</w:t>
      </w:r>
    </w:p>
    <w:p>
      <w:pPr>
        <w:spacing w:after="0" w:line="17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Investments</w:t>
      </w:r>
    </w:p>
    <w:p>
      <w:pPr>
        <w:spacing w:after="0" w:line="185" w:lineRule="exact"/>
        <w:rPr>
          <w:sz w:val="20"/>
          <w:szCs w:val="20"/>
          <w:color w:val="auto"/>
        </w:rPr>
      </w:pPr>
    </w:p>
    <w:p>
      <w:pPr>
        <w:jc w:val="both"/>
        <w:ind w:right="220" w:firstLine="255"/>
        <w:spacing w:after="0" w:line="258"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September 11, 2022 and January 2,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At September 11, 2022</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center"/>
              <w:ind w:right="21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tcPr>
          <w:p>
            <w:pPr>
              <w:jc w:val="center"/>
              <w:ind w:left="262"/>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21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73,258</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73,258</w:t>
            </w:r>
          </w:p>
        </w:tc>
        <w:tc>
          <w:tcPr>
            <w:tcW w:w="24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At January 2, 2022</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center"/>
              <w:ind w:right="21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tcPr>
          <w:p>
            <w:pPr>
              <w:jc w:val="center"/>
              <w:ind w:left="262"/>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21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24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a privately-held business company limited by shares incorporated with limited liability under the laws of the British Virgin Islands (“DPC Dash”). Through its subsidiaries, DPC Dash serves as the Company’s master franchisee in China that owns and operates Domino’s Pizza stores in that market. The Company’s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right="260" w:firstLine="255"/>
        <w:spacing w:after="0" w:line="269" w:lineRule="auto"/>
        <w:rPr>
          <w:sz w:val="20"/>
          <w:szCs w:val="20"/>
          <w:color w:val="auto"/>
        </w:rPr>
      </w:pPr>
      <w:r>
        <w:rPr>
          <w:rFonts w:ascii="Times New Roman" w:cs="Times New Roman" w:eastAsia="Times New Roman" w:hAnsi="Times New Roman"/>
          <w:sz w:val="17"/>
          <w:szCs w:val="17"/>
          <w:color w:val="auto"/>
        </w:rPr>
        <w:t>The Company did not record any adjustments to the carrying amount of $125.8 million in the third quarter or three fiscal quarters of 2022. The following table summarizes the reconciliation of the carrying amount of the Company’s investment in DPC Dash from the opening balance at January 3,</w:t>
      </w:r>
    </w:p>
    <w:p>
      <w:pPr>
        <w:spacing w:after="0"/>
        <w:rPr>
          <w:sz w:val="20"/>
          <w:szCs w:val="20"/>
          <w:color w:val="auto"/>
        </w:rPr>
      </w:pPr>
      <w:r>
        <w:rPr>
          <w:rFonts w:ascii="Times New Roman" w:cs="Times New Roman" w:eastAsia="Times New Roman" w:hAnsi="Times New Roman"/>
          <w:sz w:val="18"/>
          <w:szCs w:val="18"/>
          <w:color w:val="auto"/>
        </w:rPr>
        <w:t>2021 to the closing balance at September 12, 2021 as a result of the additional investment made in the first quarter of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Fiscal Quarters Ended September 12, 2021</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44"/>
              <w:spacing w:after="0" w:line="158"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64"/>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6"/>
                <w:szCs w:val="16"/>
                <w:color w:val="auto"/>
              </w:rPr>
            </w:pPr>
          </w:p>
        </w:tc>
        <w:tc>
          <w:tcPr>
            <w:tcW w:w="12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212"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fixed rate notes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September 11, 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January 2, 2022</w:t>
            </w:r>
          </w:p>
        </w:tc>
        <w:tc>
          <w:tcPr>
            <w:tcW w:w="10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09"/>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734,396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777,480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1,000,038</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409,063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394,336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420,907</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407,788</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590,996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693,031</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849,133</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987,500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834,438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1,017,885</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The Company’s 2021 Variable Funding Notes are a variable rate loan and the fair value of this loan approximates book value based on the borrowing rates currently available for variable rate loans obtained from third party lending institutions. This fair value represents a Level 2 measurement. The Company had $120.0 million of outstanding borrowings under its 2021 Variable Funding Notes at September 11, 2022 and, subsequent to the end of the third quarter of 2022, repaid $60.0 million of these outstanding borrowings. The Company did not have any outstanding borrowings under its 2021 Variable Funding Notes as of January 2, 2022.</w:t>
      </w:r>
    </w:p>
    <w:p>
      <w:pPr>
        <w:spacing w:after="0" w:line="181" w:lineRule="exact"/>
        <w:rPr>
          <w:sz w:val="20"/>
          <w:szCs w:val="20"/>
          <w:color w:val="auto"/>
        </w:rPr>
      </w:pPr>
    </w:p>
    <w:p>
      <w:pPr>
        <w:jc w:val="right"/>
        <w:ind w:left="300" w:right="9540" w:hanging="292"/>
        <w:spacing w:after="0" w:line="505" w:lineRule="auto"/>
        <w:tabs>
          <w:tab w:leader="none" w:pos="1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left="300" w:right="240" w:firstLine="282"/>
        <w:spacing w:after="0" w:line="250"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$5.5 million and $5.4 million were included in current other accrued liabilities as of September 11, 2022 and January 2, 2022, respectively. Deferred franchise fees and deferred development fees of $23.3 million and $24.3 million were included in long-term other accrued liabilities as of September 11, 2022 and January 2, 2022, respectively.</w:t>
      </w:r>
    </w:p>
    <w:p>
      <w:pPr>
        <w:spacing w:after="0" w:line="164" w:lineRule="exact"/>
        <w:rPr>
          <w:sz w:val="20"/>
          <w:szCs w:val="20"/>
          <w:color w:val="auto"/>
        </w:rPr>
      </w:pPr>
    </w:p>
    <w:p>
      <w:pPr>
        <w:ind w:left="300" w:right="120" w:firstLine="282"/>
        <w:spacing w:after="0" w:line="282" w:lineRule="auto"/>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three fiscal quarters of 2022 and the three fiscal quarters of 2021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58"/>
        </w:trPr>
        <w:tc>
          <w:tcPr>
            <w:tcW w:w="7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620"/>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56"/>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at beginning of 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(4,688 )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(3,944 )</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212" w:lineRule="exact"/>
        <w:rPr>
          <w:sz w:val="20"/>
          <w:szCs w:val="20"/>
          <w:color w:val="auto"/>
        </w:rPr>
      </w:pPr>
    </w:p>
    <w:p>
      <w:pPr>
        <w:ind w:left="300" w:right="280" w:firstLine="287"/>
        <w:spacing w:after="0" w:line="258" w:lineRule="auto"/>
        <w:rPr>
          <w:sz w:val="20"/>
          <w:szCs w:val="20"/>
          <w:color w:val="auto"/>
        </w:rPr>
      </w:pPr>
      <w:r>
        <w:rPr>
          <w:rFonts w:ascii="Times New Roman" w:cs="Times New Roman" w:eastAsia="Times New Roman" w:hAnsi="Times New Roman"/>
          <w:sz w:val="18"/>
          <w:szCs w:val="18"/>
          <w:color w:val="auto"/>
        </w:rPr>
        <w:t>As of September 11, 2022, advertising fund assets, restricted of $181.2 million consisted of $157.7 million of cash and cash equivalents, $16.4 million of accounts receivable and $7.1 million of prepaid expenses. As of September 11, 2022, advertising fund cash and cash equivalents included $7.9 million of cash contributed from U.S. Company-owned stores that had not yet been expended.</w:t>
      </w:r>
    </w:p>
    <w:p>
      <w:pPr>
        <w:spacing w:after="0" w:line="156" w:lineRule="exact"/>
        <w:rPr>
          <w:sz w:val="20"/>
          <w:szCs w:val="20"/>
          <w:color w:val="auto"/>
        </w:rPr>
      </w:pPr>
    </w:p>
    <w:p>
      <w:pPr>
        <w:ind w:left="300" w:right="20" w:firstLine="284"/>
        <w:spacing w:after="0" w:line="258" w:lineRule="auto"/>
        <w:rPr>
          <w:sz w:val="20"/>
          <w:szCs w:val="20"/>
          <w:color w:val="auto"/>
        </w:rPr>
      </w:pPr>
      <w:r>
        <w:rPr>
          <w:rFonts w:ascii="Times New Roman" w:cs="Times New Roman" w:eastAsia="Times New Roman" w:hAnsi="Times New Roman"/>
          <w:sz w:val="18"/>
          <w:szCs w:val="18"/>
          <w:color w:val="auto"/>
        </w:rPr>
        <w:t>As of January 2, 2022, advertising fund assets, restricted of $180.9 million consisted of $161.7 million of cash and cash equivalents, $14.5 million of accounts receivable and $4.7 million of prepaid expenses. As of January 2, 2022, advertising fund cash and cash equivalents included $7.2 million of cash contributed from U.S. Company-owned stores that had not yet been expended.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600" w:firstLine="284"/>
        <w:spacing w:after="0" w:line="266"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supply chain vehicles, equipment and its corporate headquarters with expiration dates through 2041.</w:t>
      </w:r>
    </w:p>
    <w:p>
      <w:pPr>
        <w:spacing w:after="0" w:line="54" w:lineRule="exact"/>
        <w:rPr>
          <w:sz w:val="20"/>
          <w:szCs w:val="20"/>
          <w:color w:val="auto"/>
        </w:rPr>
      </w:pPr>
    </w:p>
    <w:p>
      <w:pPr>
        <w:ind w:right="120" w:firstLine="281"/>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cost for the third quarter and three fiscal quarters of 2022 and the third quarter and three fiscal quarters of 2021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Pr>
          <w:p>
            <w:pPr>
              <w:spacing w:after="0"/>
              <w:rPr>
                <w:sz w:val="16"/>
                <w:szCs w:val="16"/>
                <w:color w:val="auto"/>
              </w:rPr>
            </w:pPr>
          </w:p>
        </w:tc>
      </w:tr>
      <w:tr>
        <w:trPr>
          <w:trHeight w:val="158"/>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78"/>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16"/>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58"/>
              <w:spacing w:after="0" w:line="158"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16"/>
              <w:spacing w:after="0" w:line="158"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3"/>
                <w:szCs w:val="13"/>
                <w:color w:val="auto"/>
              </w:rPr>
            </w:pPr>
          </w:p>
        </w:tc>
      </w:tr>
      <w:tr>
        <w:trPr>
          <w:trHeight w:val="187"/>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8"/>
                <w:szCs w:val="18"/>
                <w:color w:val="auto"/>
              </w:rPr>
            </w:pPr>
          </w:p>
        </w:tc>
      </w:tr>
      <w:tr>
        <w:trPr>
          <w:trHeight w:val="25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00" w:firstLine="281"/>
        <w:spacing w:after="0" w:line="246" w:lineRule="auto"/>
        <w:rPr>
          <w:sz w:val="20"/>
          <w:szCs w:val="20"/>
          <w:color w:val="auto"/>
        </w:rPr>
      </w:pPr>
      <w:r>
        <w:rPr>
          <w:rFonts w:ascii="Times New Roman" w:cs="Times New Roman" w:eastAsia="Times New Roman" w:hAnsi="Times New Roman"/>
          <w:sz w:val="18"/>
          <w:szCs w:val="18"/>
          <w:color w:val="auto"/>
        </w:rPr>
        <w:t>Rent expense totaled $17.5 million and $55.4 million in the third quarter and three fiscal quarters of 2022, respectively. Rent expense totaled $18.3 million and $54.4 million in the third quarter and three fiscal quarters of 2021, respectively. Rent expense includes operating lease cost, as well as expense for non-lease components including common area maintenance, real estate taxes and other costs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$1.3 million and $5.1 million in the third quarter and three fiscal quarters of 2022, respectively. Rent expense for short-term supply chain center tractor and trailer rentals was $1.8 million and $5.6 million in the third quarter and three fiscal quarters of 2021, respectively. Variable rent expense and rent expense for other short-term leases were immaterial in both the third quarter and three fiscal quarters of 2022 and 2021.</w:t>
      </w:r>
    </w:p>
    <w:p>
      <w:pPr>
        <w:spacing w:after="0" w:line="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September 11, 2022 and January 2, 2022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11,</w:t>
            </w:r>
          </w:p>
        </w:tc>
        <w:tc>
          <w:tcPr>
            <w:tcW w:w="280" w:type="dxa"/>
            <w:vAlign w:val="bottom"/>
          </w:tcPr>
          <w:p>
            <w:pPr>
              <w:spacing w:after="0"/>
              <w:rPr>
                <w:sz w:val="15"/>
                <w:szCs w:val="15"/>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85,489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w:t>
            </w:r>
          </w:p>
        </w:tc>
        <w:tc>
          <w:tcPr>
            <w:tcW w:w="2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87,291</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(18,031 )</w:t>
            </w:r>
          </w:p>
        </w:tc>
        <w:tc>
          <w:tcPr>
            <w:tcW w:w="2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(14,423 )</w:t>
            </w:r>
          </w:p>
        </w:tc>
      </w:tr>
      <w:tr>
        <w:trPr>
          <w:trHeight w:val="250"/>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69,260</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69,591</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72,250</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73,878</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-607695</wp:posOffset>
            </wp:positionV>
            <wp:extent cx="128587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5875"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40" w:firstLine="281"/>
        <w:spacing w:after="0" w:line="282" w:lineRule="auto"/>
        <w:rPr>
          <w:sz w:val="20"/>
          <w:szCs w:val="20"/>
          <w:color w:val="auto"/>
        </w:rPr>
      </w:pPr>
      <w:r>
        <w:rPr>
          <w:rFonts w:ascii="Times New Roman" w:cs="Times New Roman" w:eastAsia="Times New Roman" w:hAnsi="Times New Roman"/>
          <w:sz w:val="18"/>
          <w:szCs w:val="18"/>
          <w:color w:val="auto"/>
        </w:rPr>
        <w:t>As of September 11, 2022 and January 2, 2022, the weighted average remaining lease term and weighted average discount rate for the Company’s operating and finance leases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September 11, 2022</w:t>
            </w: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January 2, 2022</w:t>
            </w:r>
          </w:p>
        </w:tc>
        <w:tc>
          <w:tcPr>
            <w:tcW w:w="800" w:type="dxa"/>
            <w:vAlign w:val="bottom"/>
            <w:tcBorders>
              <w:bottom w:val="single" w:sz="8" w:color="auto"/>
            </w:tcBorders>
          </w:tcPr>
          <w:p>
            <w:pPr>
              <w:spacing w:after="0"/>
              <w:rPr>
                <w:sz w:val="16"/>
                <w:szCs w:val="16"/>
                <w:color w:val="auto"/>
              </w:rPr>
            </w:pPr>
          </w:p>
        </w:tc>
      </w:tr>
      <w:tr>
        <w:trPr>
          <w:trHeight w:val="213"/>
        </w:trPr>
        <w:tc>
          <w:tcPr>
            <w:tcW w:w="544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8"/>
                <w:szCs w:val="18"/>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2"/>
        </w:trPr>
        <w:tc>
          <w:tcPr>
            <w:tcW w:w="5440" w:type="dxa"/>
            <w:vAlign w:val="bottom"/>
          </w:tcPr>
          <w:p>
            <w:pPr>
              <w:spacing w:after="0"/>
              <w:rPr>
                <w:sz w:val="18"/>
                <w:szCs w:val="18"/>
                <w:color w:val="auto"/>
              </w:rPr>
            </w:pPr>
          </w:p>
        </w:tc>
        <w:tc>
          <w:tcPr>
            <w:tcW w:w="15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8"/>
                <w:szCs w:val="18"/>
                <w:color w:val="auto"/>
              </w:rPr>
            </w:pPr>
          </w:p>
        </w:tc>
        <w:tc>
          <w:tcPr>
            <w:tcW w:w="15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00"/>
        </w:trPr>
        <w:tc>
          <w:tcPr>
            <w:tcW w:w="5440" w:type="dxa"/>
            <w:vAlign w:val="bottom"/>
          </w:tcPr>
          <w:p>
            <w:pPr>
              <w:spacing w:after="0"/>
              <w:rPr>
                <w:sz w:val="24"/>
                <w:szCs w:val="24"/>
                <w:color w:val="auto"/>
              </w:rPr>
            </w:pPr>
          </w:p>
        </w:tc>
        <w:tc>
          <w:tcPr>
            <w:tcW w:w="150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8"/>
        </w:trPr>
        <w:tc>
          <w:tcPr>
            <w:tcW w:w="54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right="20" w:firstLine="284"/>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third quarter and three fiscal quarters of 2022 and the third quarter and three fiscal quarters of 2021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Pr>
          <w:p>
            <w:pPr>
              <w:spacing w:after="0"/>
              <w:rPr>
                <w:sz w:val="16"/>
                <w:szCs w:val="16"/>
                <w:color w:val="auto"/>
              </w:rPr>
            </w:pPr>
          </w:p>
        </w:tc>
      </w:tr>
      <w:tr>
        <w:trPr>
          <w:trHeight w:val="213"/>
        </w:trPr>
        <w:tc>
          <w:tcPr>
            <w:tcW w:w="60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11,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12,</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11,</w:t>
            </w:r>
          </w:p>
        </w:tc>
        <w:tc>
          <w:tcPr>
            <w:tcW w:w="320" w:type="dxa"/>
            <w:vAlign w:val="bottom"/>
          </w:tcPr>
          <w:p>
            <w:pPr>
              <w:spacing w:after="0"/>
              <w:rPr>
                <w:sz w:val="18"/>
                <w:szCs w:val="18"/>
                <w:color w:val="auto"/>
              </w:rPr>
            </w:pPr>
          </w:p>
        </w:tc>
        <w:tc>
          <w:tcPr>
            <w:tcW w:w="10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12,</w:t>
            </w:r>
          </w:p>
        </w:tc>
        <w:tc>
          <w:tcPr>
            <w:tcW w:w="100" w:type="dxa"/>
            <w:vAlign w:val="bottom"/>
          </w:tcPr>
          <w:p>
            <w:pPr>
              <w:spacing w:after="0"/>
              <w:rPr>
                <w:sz w:val="18"/>
                <w:szCs w:val="18"/>
                <w:color w:val="auto"/>
              </w:rPr>
            </w:pPr>
          </w:p>
        </w:tc>
      </w:tr>
      <w:tr>
        <w:trPr>
          <w:trHeight w:val="199"/>
        </w:trPr>
        <w:tc>
          <w:tcPr>
            <w:tcW w:w="6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5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Maturities of lease liabilities as of September 11,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7"/>
        </w:trPr>
        <w:tc>
          <w:tcPr>
            <w:tcW w:w="702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3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43,399</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35,257</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81,564</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77,868</w:t>
            </w:r>
          </w:p>
        </w:tc>
        <w:tc>
          <w:tcPr>
            <w:tcW w:w="100" w:type="dxa"/>
            <w:vAlign w:val="bottom"/>
          </w:tcPr>
          <w:p>
            <w:pPr>
              <w:spacing w:after="0"/>
              <w:rPr>
                <w:sz w:val="18"/>
                <w:szCs w:val="18"/>
                <w:color w:val="auto"/>
              </w:rPr>
            </w:pPr>
          </w:p>
        </w:tc>
      </w:tr>
      <w:tr>
        <w:trPr>
          <w:trHeight w:val="21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3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260,274</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 amounts representing interest</w:t>
            </w:r>
          </w:p>
        </w:tc>
        <w:tc>
          <w:tcPr>
            <w:tcW w:w="1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(29,203 )</w:t>
            </w:r>
          </w:p>
        </w:tc>
        <w:tc>
          <w:tcPr>
            <w:tcW w:w="4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(39,319 )</w:t>
            </w:r>
          </w:p>
        </w:tc>
      </w:tr>
      <w:tr>
        <w:trPr>
          <w:trHeight w:val="249"/>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00" w:type="dxa"/>
            <w:vAlign w:val="bottom"/>
            <w:tcBorders>
              <w:top w:val="single" w:sz="8" w:color="auto"/>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231,071</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-316230</wp:posOffset>
            </wp:positionV>
            <wp:extent cx="685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80" w:firstLine="284"/>
        <w:spacing w:after="0" w:line="250" w:lineRule="auto"/>
        <w:rPr>
          <w:sz w:val="20"/>
          <w:szCs w:val="20"/>
          <w:color w:val="auto"/>
        </w:rPr>
      </w:pPr>
      <w:r>
        <w:rPr>
          <w:rFonts w:ascii="Times New Roman" w:cs="Times New Roman" w:eastAsia="Times New Roman" w:hAnsi="Times New Roman"/>
          <w:sz w:val="18"/>
          <w:szCs w:val="18"/>
          <w:color w:val="auto"/>
        </w:rPr>
        <w:t>As of September 11, 2022, the Company had additional leases for one supply chain center, one storage warehouse facility and certain supply chain and U.S. Company-owned store vehicles that had not yet commenced with estimated future minimum rental commitments of approximately $72.3 million. These leases are expected to commence in 2022 and 2023 with lease terms of up to 16 years. These undiscounted amounts are not included in the table above.</w:t>
      </w:r>
    </w:p>
    <w:p>
      <w:pPr>
        <w:spacing w:after="0" w:line="69" w:lineRule="exact"/>
        <w:rPr>
          <w:sz w:val="20"/>
          <w:szCs w:val="20"/>
          <w:color w:val="auto"/>
        </w:rPr>
      </w:pPr>
    </w:p>
    <w:p>
      <w:pPr>
        <w:ind w:right="160" w:firstLine="284"/>
        <w:spacing w:after="0" w:line="280" w:lineRule="auto"/>
        <w:rPr>
          <w:sz w:val="20"/>
          <w:szCs w:val="20"/>
          <w:color w:val="auto"/>
        </w:rPr>
      </w:pPr>
      <w:r>
        <w:rPr>
          <w:rFonts w:ascii="Times New Roman" w:cs="Times New Roman" w:eastAsia="Times New Roman" w:hAnsi="Times New Roman"/>
          <w:sz w:val="17"/>
          <w:szCs w:val="17"/>
          <w:color w:val="auto"/>
        </w:rPr>
        <w:t>The Company has guaranteed lease payments related to certain franchisees’ and others’ lease arrangements. The maximum amount of potential future payments under these guarantees was $7.1 million and $9.1 million as of September 11, 2022 and January 2, 2022, respectively. The Company does not believe these arrangements have had or are likely to have a material effect on its results of operations, financial condition, revenues, expenses or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9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$6.0 million at September 11, 2022 and $5.4 million at January 2, 2022. The Company also had $0.1 million of non-cash investing activities related to lease incentives in the three fiscal quarters of both 2022 and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89" w:lineRule="exact"/>
        <w:rPr>
          <w:sz w:val="20"/>
          <w:szCs w:val="20"/>
          <w:color w:val="auto"/>
        </w:rPr>
      </w:pPr>
    </w:p>
    <w:p>
      <w:pPr>
        <w:ind w:right="320" w:firstLine="255"/>
        <w:spacing w:after="0" w:line="299" w:lineRule="auto"/>
        <w:rPr>
          <w:sz w:val="20"/>
          <w:szCs w:val="20"/>
          <w:color w:val="auto"/>
        </w:rPr>
      </w:pPr>
      <w:r>
        <w:rPr>
          <w:rFonts w:ascii="Times New Roman" w:cs="Times New Roman" w:eastAsia="Times New Roman" w:hAnsi="Times New Roman"/>
          <w:sz w:val="18"/>
          <w:szCs w:val="18"/>
          <w:color w:val="auto"/>
        </w:rPr>
        <w:t>During the first quarter of 2022, the Company purchased 23 U.S. franchised stores from certain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existing U.S. franchisees for $6.8 million, which included $4.0 million of intangibles, $1.7 million of equipment and leasehold improvements and $1.1 million of goodwill.</w:t>
      </w:r>
    </w:p>
    <w:p>
      <w:pPr>
        <w:spacing w:after="0" w:line="112"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Subsequent to the end of the third quarter of 2022, the Company sold 114 U.S. Company-owned stores in Arizona and Utah to certain of its franchisees for $41.1 million, and the Company expects to record a gain on this transaction in the fourth quarter of 2022. The accounting for this transaction is still in process as of the date these condensed consolidated financial statements were issued and therefore the Company is unable to make any additional disclosures.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ind w:left="252" w:right="8080" w:hanging="252"/>
        <w:spacing w:after="0" w:line="445" w:lineRule="auto"/>
        <w:tabs>
          <w:tab w:leader="none" w:pos="26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New Accounting Pronouncements </w:t>
      </w:r>
      <w:r>
        <w:rPr>
          <w:rFonts w:ascii="Times New Roman" w:cs="Times New Roman" w:eastAsia="Times New Roman" w:hAnsi="Times New Roman"/>
          <w:sz w:val="17"/>
          <w:szCs w:val="17"/>
          <w:u w:val="single" w:color="auto"/>
          <w:color w:val="auto"/>
        </w:rPr>
        <w:t>Accounting Standards Not Yet Adopted</w:t>
      </w:r>
    </w:p>
    <w:p>
      <w:pPr>
        <w:spacing w:after="0" w:line="4" w:lineRule="exact"/>
        <w:rPr>
          <w:sz w:val="20"/>
          <w:szCs w:val="20"/>
          <w:color w:val="auto"/>
        </w:rPr>
      </w:pPr>
    </w:p>
    <w:p>
      <w:pPr>
        <w:ind w:left="512" w:right="180" w:firstLine="254"/>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w:t>
      </w:r>
    </w:p>
    <w:p>
      <w:pPr>
        <w:spacing w:after="0" w:line="133"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18"/>
          <w:szCs w:val="18"/>
          <w:i w:val="1"/>
          <w:iCs w:val="1"/>
          <w:color w:val="auto"/>
        </w:rPr>
        <w:t>Accounting Standards Update (“ASU”) 2020-04, Facilitation of the Effects of Reference Rate Reform on Financial Reporting</w:t>
      </w:r>
    </w:p>
    <w:p>
      <w:pPr>
        <w:spacing w:after="0" w:line="212" w:lineRule="exact"/>
        <w:rPr>
          <w:sz w:val="20"/>
          <w:szCs w:val="20"/>
          <w:color w:val="auto"/>
        </w:rPr>
      </w:pPr>
    </w:p>
    <w:p>
      <w:pPr>
        <w:ind w:left="512" w:firstLine="254"/>
        <w:spacing w:after="0" w:line="241"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 (“ASU 2020-04”)</w:t>
      </w:r>
      <w:r>
        <w:rPr>
          <w:rFonts w:ascii="Times New Roman" w:cs="Times New Roman" w:eastAsia="Times New Roman" w:hAnsi="Times New Roman"/>
          <w:sz w:val="18"/>
          <w:szCs w:val="18"/>
          <w:color w:val="auto"/>
        </w:rPr>
        <w:t>, which provides temporary optional expedients and exceptions for applying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to contracts, hedging relationships and other transactions affected by reference rate reform. The Company’s 2021 Variable Funding Notes bear interest at fluctuating interest rates based on LIBOR. However, the associated loan documents contemplate a transition from LIBOR to secured overnight financing rate (“SOFR”) in the event that LIBOR ceases to exist. The Company’s 2022 Variable Funding Notes bear interest at fluctuating interest rates based on SOFR. ASU 2020-04 may currently be adopted and may be applied prospectively to contract modifications made on or before December 31, 2022. The Company does not expect the adoption of this guidance to have a material impact on its condensed consolidated financial statements.</w:t>
      </w:r>
    </w:p>
    <w:p>
      <w:pPr>
        <w:spacing w:after="0" w:line="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2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85"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The 2022 and 2021 third quarters referenced herein represent the twelve-week periods ended September 11, 2022 and September 12, 2021, respectively. The 2022 and 2021 three fiscal quarters referenced herein represent the thirty-six-week periods ended September 11, 2022 and September 12, 2021, respectively. In this section, we discuss the results of our operations for the third quarter and three fiscal quarters of 2022 as compared to the third quarter and three fiscal quarters of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60" w:firstLine="281"/>
        <w:spacing w:after="0" w:line="24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19,500 locations in over 90 markets around the world as of September 11, 2022, and operates two distinct service models within its stores with a significant business in both delivery and carryout. Founded in 1960, our roots are in convenient pizza delivery, while a significant amount of our sales also come from carryout customers. We are a highly recognized global brand, and we focus on serving neighborhoods locally through our large worldwide network of franchise owners and U.S. Company-owned stores. We are primarily a franchisor, with approximately 98% of Domino’s global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181" w:lineRule="exact"/>
        <w:rPr>
          <w:sz w:val="20"/>
          <w:szCs w:val="20"/>
          <w:color w:val="auto"/>
        </w:rPr>
      </w:pPr>
    </w:p>
    <w:p>
      <w:pPr>
        <w:ind w:right="20" w:firstLine="281"/>
        <w:spacing w:after="0" w:line="250" w:lineRule="auto"/>
        <w:rPr>
          <w:sz w:val="20"/>
          <w:szCs w:val="20"/>
          <w:color w:val="auto"/>
        </w:rPr>
      </w:pPr>
      <w:r>
        <w:rPr>
          <w:rFonts w:ascii="Times New Roman" w:cs="Times New Roman" w:eastAsia="Times New Roman" w:hAnsi="Times New Roman"/>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77" w:lineRule="exact"/>
        <w:rPr>
          <w:sz w:val="20"/>
          <w:szCs w:val="20"/>
          <w:color w:val="auto"/>
        </w:rPr>
      </w:pPr>
    </w:p>
    <w:p>
      <w:pPr>
        <w:ind w:right="20" w:firstLine="281"/>
        <w:spacing w:after="0" w:line="227"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73" w:lineRule="exact"/>
        <w:rPr>
          <w:sz w:val="20"/>
          <w:szCs w:val="20"/>
          <w:color w:val="auto"/>
        </w:rPr>
      </w:pPr>
    </w:p>
    <w:p>
      <w:pPr>
        <w:ind w:right="20" w:firstLine="281"/>
        <w:spacing w:after="0" w:line="250" w:lineRule="auto"/>
        <w:rPr>
          <w:sz w:val="20"/>
          <w:szCs w:val="20"/>
          <w:color w:val="auto"/>
        </w:rPr>
      </w:pPr>
      <w:r>
        <w:rPr>
          <w:rFonts w:ascii="Times New Roman" w:cs="Times New Roman" w:eastAsia="Times New Roman" w:hAnsi="Times New Roman"/>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We believe we have a proven business model for success, which includes leading with technology, service and product innovation and leveraging our global scale, which has historically driven strong returns for our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2022 Highlights</w:t>
      </w:r>
    </w:p>
    <w:p>
      <w:pPr>
        <w:spacing w:after="0" w:line="216" w:lineRule="exact"/>
        <w:rPr>
          <w:sz w:val="20"/>
          <w:szCs w:val="20"/>
          <w:color w:val="auto"/>
        </w:rPr>
      </w:pPr>
    </w:p>
    <w:p>
      <w:pPr>
        <w:ind w:left="760" w:right="340" w:hanging="378"/>
        <w:spacing w:after="0" w:line="24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4.7% as compared to the third quarter of 2021. U.S. retail sales increased 4.1% and international retail sales, excluding foreign currency impact, increased 5.2% as compared to the third quarter of 2021.</w:t>
      </w:r>
    </w:p>
    <w:p>
      <w:pPr>
        <w:ind w:left="760" w:hanging="378"/>
        <w:spacing w:after="0" w:line="23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increased 2.0% in our U.S. stores and declined 1.8% in our international stores (excluding foreign currency impact).</w:t>
      </w:r>
    </w:p>
    <w:p>
      <w:pPr>
        <w:ind w:left="76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7.1%.</w:t>
      </w:r>
    </w:p>
    <w:p>
      <w:pPr>
        <w:ind w:left="76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2.1%.</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16.5%.</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decreased 13.9%.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Fiscal Quarters of 2022 Highlights</w:t>
      </w:r>
    </w:p>
    <w:p>
      <w:pPr>
        <w:spacing w:after="0" w:line="216" w:lineRule="exact"/>
        <w:rPr>
          <w:sz w:val="20"/>
          <w:szCs w:val="20"/>
          <w:color w:val="auto"/>
        </w:rPr>
      </w:pPr>
    </w:p>
    <w:p>
      <w:pPr>
        <w:ind w:left="760" w:right="100" w:hanging="378"/>
        <w:spacing w:after="0" w:line="24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3.2% as compared to the three fiscal quarters of 2021. U.S. retail sales increased 0.7% and international retail sales, excluding foreign currency impact, increased 5.7% as compared to the three fiscal quarters of 2021.</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declined 1.6% in our U.S. stores and declined 0.8% in our international stores (excluding foreign currency impact).</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4.3%.</w:t>
      </w:r>
    </w:p>
    <w:p>
      <w:pPr>
        <w:spacing w:after="0" w:line="7" w:lineRule="exact"/>
        <w:rPr>
          <w:rFonts w:ascii="Times New Roman" w:cs="Times New Roman" w:eastAsia="Times New Roman" w:hAnsi="Times New Roman"/>
          <w:sz w:val="18"/>
          <w:szCs w:val="18"/>
          <w:color w:val="auto"/>
        </w:rPr>
      </w:pPr>
    </w:p>
    <w:p>
      <w:pPr>
        <w:ind w:left="760" w:hanging="378"/>
        <w:spacing w:after="0" w:line="23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6.9%.</w:t>
      </w:r>
    </w:p>
    <w:p>
      <w:pPr>
        <w:ind w:left="760" w:hanging="37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17.1%.</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decreased 12.8%.</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5" w:name="page16"/>
    <w:bookmarkEnd w:id="15"/>
    <w:p>
      <w:pPr>
        <w:ind w:firstLine="255"/>
        <w:spacing w:after="0" w:line="235" w:lineRule="auto"/>
        <w:rPr>
          <w:sz w:val="20"/>
          <w:szCs w:val="20"/>
          <w:color w:val="auto"/>
        </w:rPr>
      </w:pPr>
      <w:r>
        <w:rPr>
          <w:rFonts w:ascii="Times New Roman" w:cs="Times New Roman" w:eastAsia="Times New Roman" w:hAnsi="Times New Roman"/>
          <w:sz w:val="18"/>
          <w:szCs w:val="18"/>
          <w:color w:val="auto"/>
        </w:rPr>
        <w:t>Excluding the negative impact of foreign currency, Domino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experienced global retail sales growth during the third quarter and three fiscal quarters of 2022. We believe our commitment to value, convenience, quality and new products continues to keep consumers engaged with the brand. U.S. same store sales increased 2.0% in the third quarter of 2022 and declined 1.6% in the three fiscal quarters of 2022, rolling over a decrease in U.S. same store sales of 1.9% in the third quarter of 2021 and an increase in U.S. same store sales of 4.6% in the three fiscal quarters of 2021. The decline in U.S. same store sales in the three fiscal quarters of 2022 was attributable to lower order counts due in part to labor shortages affecting store hours and staffing levels in many of our markets and economic stimulus activity in the U.S in the three fiscal quarters of 2021 in response to the COVID-19 pandemic which did not recur in the respective periods of 2022. A higher average ticket per transaction resulting from higher menu and national offer pricing, as well as increases to our average delivery fee contributed to the increase in U.S. same store sales in the third quarter of 2022 and partially offset the decline in U.S. same store sales in the three fiscal quarters of 2022.</w:t>
      </w:r>
    </w:p>
    <w:p>
      <w:pPr>
        <w:spacing w:after="0" w:line="68" w:lineRule="exact"/>
        <w:rPr>
          <w:sz w:val="20"/>
          <w:szCs w:val="20"/>
          <w:color w:val="auto"/>
        </w:rPr>
      </w:pPr>
    </w:p>
    <w:p>
      <w:pPr>
        <w:ind w:right="80" w:firstLine="255"/>
        <w:spacing w:after="0" w:line="235" w:lineRule="auto"/>
        <w:rPr>
          <w:sz w:val="20"/>
          <w:szCs w:val="20"/>
          <w:color w:val="auto"/>
        </w:rPr>
      </w:pPr>
      <w:r>
        <w:rPr>
          <w:rFonts w:ascii="Times New Roman" w:cs="Times New Roman" w:eastAsia="Times New Roman" w:hAnsi="Times New Roman"/>
          <w:sz w:val="18"/>
          <w:szCs w:val="18"/>
          <w:color w:val="auto"/>
        </w:rPr>
        <w:t>International same store sales (excluding foreign currency impact) declined 1.8% and 0.8% in the third quarter and three fiscal quarters of 2022, respectively, rolling over increases in international same store sales (excluding foreign currency impact) of 8.8% and 11.4% in the third quarter and three fiscal quarters of 2021, respectively. The decline in same store sales (excluding foreign currency impact) in the third quarter and three fiscal quarters of 2022 in our international business was driven in part by a value added tax holiday in the United Kingdom in the three fiscal quarters of 2021 that did not recur in the second and third quarter of 2022. Our U.S. and international same store sales (excluding foreign currency impact) continue to be pressured by our fortressing strategy, which includes increasing store concentration in certain markets where we compete, as well as from aggressive competitive activity.</w:t>
      </w:r>
    </w:p>
    <w:p>
      <w:pPr>
        <w:spacing w:after="0" w:line="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During the third quarter and three fiscal quarters of 2022, we experienced significant inflationary pressures in our commodity, labor and fuel costs</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resulting from the macroeconomic environment in the U.S., which had a significant impact on our overall operating results as compared to the respective periods of 2021.</w:t>
      </w:r>
    </w:p>
    <w:p>
      <w:pPr>
        <w:spacing w:after="0" w:line="74"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We continued our global expansion with the opening of 225 net stores in the third quarter of 2022, bringing our year-to-date total to 671. We had 24 net stores open in the U.S. and 201 net stores open internationally during the third quarter of 2022.</w:t>
      </w:r>
    </w:p>
    <w:p>
      <w:pPr>
        <w:spacing w:after="0" w:line="82"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Overall, we believe our continued global store growth, along with our global retail sales growth (excluding foreign currency impact), emphasis on technology, operations, and marketing initiatives, have combined to strengthen our brand.</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1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16" w:lineRule="exact"/>
        <w:rPr>
          <w:sz w:val="20"/>
          <w:szCs w:val="20"/>
          <w:color w:val="auto"/>
        </w:rPr>
      </w:pPr>
    </w:p>
    <w:p>
      <w:pPr>
        <w:ind w:right="60" w:firstLine="255"/>
        <w:spacing w:after="0" w:line="242"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r>
      <w:tr>
        <w:trPr>
          <w:trHeight w:val="160"/>
        </w:trPr>
        <w:tc>
          <w:tcPr>
            <w:tcW w:w="5520" w:type="dxa"/>
            <w:vAlign w:val="bottom"/>
          </w:tcPr>
          <w:p>
            <w:pPr>
              <w:spacing w:after="0"/>
              <w:rPr>
                <w:sz w:val="13"/>
                <w:szCs w:val="13"/>
                <w:color w:val="auto"/>
              </w:rPr>
            </w:pPr>
          </w:p>
        </w:tc>
        <w:tc>
          <w:tcPr>
            <w:tcW w:w="138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3"/>
                <w:szCs w:val="13"/>
                <w:color w:val="auto"/>
              </w:rPr>
            </w:pPr>
          </w:p>
        </w:tc>
        <w:tc>
          <w:tcPr>
            <w:tcW w:w="1240" w:type="dxa"/>
            <w:vAlign w:val="bottom"/>
          </w:tcPr>
          <w:p>
            <w:pPr>
              <w:jc w:val="right"/>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r>
      <w:tr>
        <w:trPr>
          <w:trHeight w:val="189"/>
        </w:trPr>
        <w:tc>
          <w:tcPr>
            <w:tcW w:w="5520" w:type="dxa"/>
            <w:vAlign w:val="bottom"/>
          </w:tcPr>
          <w:p>
            <w:pPr>
              <w:spacing w:after="0"/>
              <w:rPr>
                <w:sz w:val="16"/>
                <w:szCs w:val="16"/>
                <w:color w:val="auto"/>
              </w:rPr>
            </w:pPr>
          </w:p>
        </w:tc>
        <w:tc>
          <w:tcPr>
            <w:tcW w:w="13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2021</w:t>
            </w:r>
          </w:p>
        </w:tc>
      </w:tr>
      <w:tr>
        <w:trPr>
          <w:trHeight w:val="21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9"/>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16"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by including only sales from stores that also had sales in the comparable weeks of both years. International same store sales growth is calculated similarly to U.S. same store sales growth. Changes in international same store sales are reported excluding foreign currency impacts, which reflect changes in international local currency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r>
      <w:tr>
        <w:trPr>
          <w:trHeight w:val="160"/>
        </w:trPr>
        <w:tc>
          <w:tcPr>
            <w:tcW w:w="5520" w:type="dxa"/>
            <w:vAlign w:val="bottom"/>
          </w:tcPr>
          <w:p>
            <w:pPr>
              <w:spacing w:after="0"/>
              <w:rPr>
                <w:sz w:val="13"/>
                <w:szCs w:val="13"/>
                <w:color w:val="auto"/>
              </w:rPr>
            </w:pPr>
          </w:p>
        </w:tc>
        <w:tc>
          <w:tcPr>
            <w:tcW w:w="138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3"/>
                <w:szCs w:val="13"/>
                <w:color w:val="auto"/>
              </w:rPr>
            </w:pPr>
          </w:p>
        </w:tc>
        <w:tc>
          <w:tcPr>
            <w:tcW w:w="1240" w:type="dxa"/>
            <w:vAlign w:val="bottom"/>
          </w:tcPr>
          <w:p>
            <w:pPr>
              <w:jc w:val="right"/>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Quarters</w:t>
            </w:r>
          </w:p>
        </w:tc>
      </w:tr>
      <w:tr>
        <w:trPr>
          <w:trHeight w:val="189"/>
        </w:trPr>
        <w:tc>
          <w:tcPr>
            <w:tcW w:w="5520" w:type="dxa"/>
            <w:vAlign w:val="bottom"/>
          </w:tcPr>
          <w:p>
            <w:pPr>
              <w:spacing w:after="0"/>
              <w:rPr>
                <w:sz w:val="16"/>
                <w:szCs w:val="16"/>
                <w:color w:val="auto"/>
              </w:rPr>
            </w:pPr>
          </w:p>
        </w:tc>
        <w:tc>
          <w:tcPr>
            <w:tcW w:w="13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2021</w:t>
            </w:r>
          </w:p>
        </w:tc>
      </w:tr>
      <w:tr>
        <w:trPr>
          <w:trHeight w:val="21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 (1)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stores (1)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66" w:lineRule="exact"/>
        <w:rPr>
          <w:sz w:val="20"/>
          <w:szCs w:val="20"/>
          <w:color w:val="auto"/>
        </w:rPr>
      </w:pPr>
    </w:p>
    <w:p>
      <w:pPr>
        <w:ind w:left="760" w:hanging="752"/>
        <w:spacing w:after="0" w:line="266" w:lineRule="auto"/>
        <w:tabs>
          <w:tab w:leader="none" w:pos="3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2022, we purchased 23 U.S. franchised stores from certain of our existing U.S. franchisees (the “2022 Store Purchase”). The same store sales growth for these stores is reflected in U.S. Company-owned stores in the third quarter and three fiscal quarters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02"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Store counts and net store growth are commonly used statistical measures in the quick-service restaurant industry that are important to understanding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June 19,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 (1)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(62 )</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September 11,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Third quarter 2022 net store growth</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Trailing four quarters net store growth (2)</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-187960</wp:posOffset>
            </wp:positionV>
            <wp:extent cx="321437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14370" cy="188595"/>
                    </a:xfrm>
                    <a:prstGeom prst="rect">
                      <a:avLst/>
                    </a:prstGeom>
                    <a:noFill/>
                  </pic:spPr>
                </pic:pic>
              </a:graphicData>
            </a:graphic>
          </wp:anchor>
        </w:drawing>
      </w:r>
    </w:p>
    <w:p>
      <w:pPr>
        <w:spacing w:after="0" w:line="178" w:lineRule="exact"/>
        <w:rPr>
          <w:sz w:val="20"/>
          <w:szCs w:val="20"/>
          <w:color w:val="auto"/>
        </w:rPr>
      </w:pPr>
    </w:p>
    <w:p>
      <w:pPr>
        <w:ind w:left="760" w:right="140" w:hanging="752"/>
        <w:spacing w:after="0" w:line="246" w:lineRule="auto"/>
        <w:tabs>
          <w:tab w:leader="none" w:pos="3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store closures are not treated as store closures and affected stores are included in the ending store count. Based on information reported to us by our master franchisees, we estimate that as of September 11, 2022, there were fewer than 125 international stores temporarily closed.</w:t>
      </w: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Trailing four quarters net store growth does not include the effect of transfers associated with the 2022 Store Purchase.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6"/>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7"/>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82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40" w:type="dxa"/>
            <w:vAlign w:val="bottom"/>
          </w:tcPr>
          <w:p>
            <w:pPr>
              <w:spacing w:after="0"/>
              <w:rPr>
                <w:sz w:val="13"/>
                <w:szCs w:val="13"/>
                <w:color w:val="auto"/>
              </w:rPr>
            </w:pPr>
          </w:p>
        </w:tc>
        <w:tc>
          <w:tcPr>
            <w:tcW w:w="17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6"/>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6"/>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40" w:type="dxa"/>
            <w:vAlign w:val="bottom"/>
          </w:tcPr>
          <w:p>
            <w:pPr>
              <w:spacing w:after="0"/>
              <w:rPr>
                <w:sz w:val="16"/>
                <w:szCs w:val="16"/>
                <w:color w:val="auto"/>
              </w:rPr>
            </w:pPr>
          </w:p>
        </w:tc>
        <w:tc>
          <w:tcPr>
            <w:tcW w:w="1060" w:type="dxa"/>
            <w:vAlign w:val="bottom"/>
            <w:gridSpan w:val="4"/>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1,760.1</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3,144.9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1,728.2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1,832.1</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1,136.7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6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285.8</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331.9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shd w:val="clear" w:color="auto" w:fill="CFF0FC"/>
          </w:tcPr>
          <w:p>
            <w:pPr>
              <w:spacing w:after="0"/>
              <w:rPr>
                <w:sz w:val="18"/>
                <w:szCs w:val="18"/>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383.0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$294.0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80" w:type="dxa"/>
            <w:vAlign w:val="bottom"/>
            <w:tcBorders>
              <w:bottom w:val="single" w:sz="8" w:color="auto"/>
            </w:tcBorders>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46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10.5</w:t>
            </w:r>
          </w:p>
        </w:tc>
        <w:tc>
          <w:tcPr>
            <w:tcW w:w="24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vMerge w:val="continue"/>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0"/>
              </w:rPr>
              <w:t>12.1 %</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121.6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0"/>
              </w:rPr>
              <w:t>60.4 %</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588.8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6.3 %</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0"/>
              </w:rPr>
              <w:t>10.7 %</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20" w:type="dxa"/>
            <w:vAlign w:val="bottom"/>
          </w:tcPr>
          <w:p>
            <w:pPr>
              <w:spacing w:after="0"/>
              <w:rPr>
                <w:sz w:val="18"/>
                <w:szCs w:val="18"/>
                <w:color w:val="auto"/>
              </w:rPr>
            </w:pPr>
          </w:p>
        </w:tc>
        <w:tc>
          <w:tcPr>
            <w:tcW w:w="138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998.0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-3299460</wp:posOffset>
            </wp:positionV>
            <wp:extent cx="7747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-3299460</wp:posOffset>
            </wp:positionV>
            <wp:extent cx="7747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-3299460</wp:posOffset>
            </wp:positionV>
            <wp:extent cx="6858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-3299460</wp:posOffset>
            </wp:positionV>
            <wp:extent cx="6858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-3299460</wp:posOffset>
            </wp:positionV>
            <wp:extent cx="6858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-3299460</wp:posOffset>
            </wp:positionV>
            <wp:extent cx="685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-3299460</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-2733675</wp:posOffset>
            </wp:positionV>
            <wp:extent cx="7747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-2733675</wp:posOffset>
            </wp:positionV>
            <wp:extent cx="7747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-2733675</wp:posOffset>
            </wp:positionV>
            <wp:extent cx="6858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-2733675</wp:posOffset>
            </wp:positionV>
            <wp:extent cx="6858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-2733675</wp:posOffset>
            </wp:positionV>
            <wp:extent cx="6858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-2733675</wp:posOffset>
            </wp:positionV>
            <wp:extent cx="6858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-2733675</wp:posOffset>
            </wp:positionV>
            <wp:extent cx="6858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-1893570</wp:posOffset>
            </wp:positionV>
            <wp:extent cx="7747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-1893570</wp:posOffset>
            </wp:positionV>
            <wp:extent cx="7747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-1893570</wp:posOffset>
            </wp:positionV>
            <wp:extent cx="6858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-1893570</wp:posOffset>
            </wp:positionV>
            <wp:extent cx="6858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-1893570</wp:posOffset>
            </wp:positionV>
            <wp:extent cx="6858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-1893570</wp:posOffset>
            </wp:positionV>
            <wp:extent cx="6858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-1893570</wp:posOffset>
            </wp:positionV>
            <wp:extent cx="6858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-1610995</wp:posOffset>
            </wp:positionV>
            <wp:extent cx="7747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-1610995</wp:posOffset>
            </wp:positionV>
            <wp:extent cx="7747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-1610995</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-1610995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-1610995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-1610995</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-1610995</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78" w:lineRule="exact"/>
        <w:rPr>
          <w:sz w:val="20"/>
          <w:szCs w:val="20"/>
          <w:color w:val="auto"/>
        </w:rPr>
      </w:pPr>
    </w:p>
    <w:p>
      <w:pPr>
        <w:ind w:right="60" w:firstLine="255"/>
        <w:spacing w:after="0" w:line="246"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3"/>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420" w:type="dxa"/>
            <w:vAlign w:val="bottom"/>
            <w:tcBorders>
              <w:bottom w:val="single" w:sz="8" w:color="auto"/>
            </w:tcBorders>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4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4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308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U.S. Company-owned Stores</w:t>
      </w:r>
    </w:p>
    <w:p>
      <w:pPr>
        <w:spacing w:after="0" w:line="214" w:lineRule="exact"/>
        <w:rPr>
          <w:sz w:val="20"/>
          <w:szCs w:val="20"/>
          <w:color w:val="auto"/>
        </w:rPr>
      </w:pPr>
    </w:p>
    <w:p>
      <w:pPr>
        <w:ind w:right="160" w:firstLine="255"/>
        <w:spacing w:after="0" w:line="250" w:lineRule="auto"/>
        <w:rPr>
          <w:sz w:val="20"/>
          <w:szCs w:val="20"/>
          <w:color w:val="auto"/>
        </w:rPr>
      </w:pPr>
      <w:r>
        <w:rPr>
          <w:rFonts w:ascii="Times New Roman" w:cs="Times New Roman" w:eastAsia="Times New Roman" w:hAnsi="Times New Roman"/>
          <w:sz w:val="18"/>
          <w:szCs w:val="18"/>
          <w:color w:val="auto"/>
        </w:rPr>
        <w:t>Revenues from U.S. Company-owned store operations increased $4.0 million, or 3.7%, in the third quarter of 2022 due to an increase in the average number of U.S. Company-owned stores open during the period resulting from net store growth and the 2022 Store Purchase, and was partially offset by a decline in U.S. Company-owned same store sales. Revenues from U.S. Company-owned store operations decreased $9.0 million, or 2.7%, in the three fiscal quarters of 2022 due to a decline in U.S. Company-owned same store sales. This decrease was partially offset by an increase in the average number of U.S. Company-owned stores open during the period resulting from net store growth and the 2022 Store Purchase.</w:t>
      </w:r>
    </w:p>
    <w:p>
      <w:pPr>
        <w:spacing w:after="0" w:line="164"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U.S. Company-owned same store sales declined 1.9% and 7.3% in the third quarter and three fiscal quarters of 2022, respectively. U.S. Company-owned same store sales declined 8.9% and 2.0% in the third quarter and three fiscal quarters of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Royalties and Fees</w:t>
      </w:r>
    </w:p>
    <w:p>
      <w:pPr>
        <w:spacing w:after="0" w:line="214"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Revenues from U.S. franchise royalties and fees increased $7.3 million, or 6.0%, in the third quarter of 2022 due to an increase in U.S. franchise same store sales, as well as an increase in the average number of U.S. franchised stores open during the period resulting from net store growth and higher revenues from fees paid by our franchisees for the use of our technology platforms. Revenues from U.S. franchise royalties and fees increased $6.3 million, or 1.7%, in the three fiscal quarters of 2022 due primarily to an increase in revenues from fees paid by our franchisees for the use of our technology platforms as well as an increase in the average number of U.S. franchised stores open during the period resulting from net store growth. These increases were partially offset by a decline in U.S. franchise same store sales in the three fiscal quarters of 2022. Revenues from U.S. franchise royalties and fees were negatively impacted by the 2022 Store Purchase in both the third quarter and three fiscal quarters of 2022.</w:t>
      </w:r>
    </w:p>
    <w:p>
      <w:pPr>
        <w:spacing w:after="0" w:line="168"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U.S. franchise same store sales increased 2.2% in the third quarter of 2022 and declined 1.2% in the three fiscal quarters of 2022. U.S. franchise same store sales declined 1.5% in the third quarter of 2021 and increased 5.1% in the three fiscal quarters of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Advertising</w:t>
      </w:r>
    </w:p>
    <w:p>
      <w:pPr>
        <w:spacing w:after="0" w:line="214" w:lineRule="exact"/>
        <w:rPr>
          <w:sz w:val="20"/>
          <w:szCs w:val="20"/>
          <w:color w:val="auto"/>
        </w:rPr>
      </w:pPr>
    </w:p>
    <w:p>
      <w:pPr>
        <w:ind w:right="100" w:firstLine="284"/>
        <w:spacing w:after="0" w:line="250" w:lineRule="auto"/>
        <w:rPr>
          <w:sz w:val="20"/>
          <w:szCs w:val="20"/>
          <w:color w:val="auto"/>
        </w:rPr>
      </w:pPr>
      <w:r>
        <w:rPr>
          <w:rFonts w:ascii="Times New Roman" w:cs="Times New Roman" w:eastAsia="Times New Roman" w:hAnsi="Times New Roman"/>
          <w:sz w:val="18"/>
          <w:szCs w:val="18"/>
          <w:color w:val="auto"/>
        </w:rPr>
        <w:t>Revenues from U.S. franchise advertising increased $5.6 million, or 5.2%, in the third quarter of 2022 due primarily to an increase in U.S. franchise same store sales and an increase in the average number of U.S. franchised stores open during the period resulting from net store growth, partially offset by the 2022 Store Purchase. Approximately $2.8 million in advertising incentives related to certain brand promotions in the third quarter of 2021, which did not recur in the third quarter of 2022, also contributed to the increase in U.S. franchise advertising revenue in the third quarter of 2022.</w:t>
      </w:r>
    </w:p>
    <w:p>
      <w:pPr>
        <w:spacing w:after="0" w:line="164" w:lineRule="exact"/>
        <w:rPr>
          <w:sz w:val="20"/>
          <w:szCs w:val="20"/>
          <w:color w:val="auto"/>
        </w:rPr>
      </w:pPr>
    </w:p>
    <w:p>
      <w:pPr>
        <w:ind w:right="320" w:firstLine="284"/>
        <w:spacing w:after="0" w:line="250" w:lineRule="auto"/>
        <w:rPr>
          <w:sz w:val="20"/>
          <w:szCs w:val="20"/>
          <w:color w:val="auto"/>
        </w:rPr>
      </w:pPr>
      <w:r>
        <w:rPr>
          <w:rFonts w:ascii="Times New Roman" w:cs="Times New Roman" w:eastAsia="Times New Roman" w:hAnsi="Times New Roman"/>
          <w:sz w:val="18"/>
          <w:szCs w:val="18"/>
          <w:color w:val="auto"/>
        </w:rPr>
        <w:t>Revenues from U.S. franchise advertising decreased $4.4 million, or 1.3%, in the three fiscal quarters of 2022 due primarily to a decline in U.S. franchise same store sales. Additionally, the Company recorded approximately $2.3 million more in advertising incentives related to certain brand promotions in the three fiscal quarters of 2022 as compared to the three fiscal quarters of 2021, which also contributed to the decrease in U.S. franchise advertising revenues. The decrease in U.S. franchise advertising revenues in the three fiscal quarters of 2022 was partially offset by an increase in the average number of U.S. franchised stores open during the period resulting from net store growth, but was partially offset by the 2022 Store Purchase.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16"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Supply chain revenues increased $57.3 million, or 9.7%, in the third quarter of 2022, and increased $142.1 million, or 8.1%, in the three fiscal quarters of 2022 due to higher market basket pricing to stores, partially offset by lower order volumes at our U.S. franchise stores during the respective periods. Our market basket pricing to stores increased 13.4% during the third quarter of 2022, which resulted in an estimated $69.0 million increase in supply chain revenues. Our market basket pricing to stores increased 13.5% during the three fiscal quarters of 2022, which resulted in an estimated $202.2 million increase in supply chain revenues.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Royalties and Fee Revenues</w:t>
      </w:r>
    </w:p>
    <w:p>
      <w:pPr>
        <w:spacing w:after="0" w:line="202" w:lineRule="exact"/>
        <w:rPr>
          <w:sz w:val="20"/>
          <w:szCs w:val="20"/>
          <w:color w:val="auto"/>
        </w:rPr>
      </w:pPr>
    </w:p>
    <w:p>
      <w:pPr>
        <w:ind w:right="20" w:firstLine="255"/>
        <w:spacing w:after="0" w:line="247" w:lineRule="auto"/>
        <w:rPr>
          <w:sz w:val="20"/>
          <w:szCs w:val="20"/>
          <w:color w:val="auto"/>
        </w:rPr>
      </w:pPr>
      <w:r>
        <w:rPr>
          <w:rFonts w:ascii="Times New Roman" w:cs="Times New Roman" w:eastAsia="Times New Roman" w:hAnsi="Times New Roman"/>
          <w:sz w:val="18"/>
          <w:szCs w:val="18"/>
          <w:color w:val="auto"/>
        </w:rPr>
        <w:t>Revenues from international franchise royalties and fees decreased $3.5 million, or 5.0%, in the third quarter of 2022, and decreased $4.3 million, or 2.1%, in the three fiscal quarters of 2022 due primarily to the negative impact of changes in foreign currency exchange rates of $7.9 million and $18.0 million in the third quarter and three fiscal quarters of 2022, respectively. A decline in international same store sales (excluding foreign currency impact) in the third quarter and three fiscal quarters of 2022 also contributed to the decreases in international franchise revenues in the respective periods. An increase in the average number of international franchise stores open during the respective periods, resulting from net store growth, partially offset the declines in revenues.</w:t>
      </w:r>
    </w:p>
    <w:p>
      <w:pPr>
        <w:spacing w:after="0" w:line="180" w:lineRule="exact"/>
        <w:rPr>
          <w:sz w:val="20"/>
          <w:szCs w:val="20"/>
          <w:color w:val="auto"/>
        </w:rPr>
      </w:pPr>
    </w:p>
    <w:p>
      <w:pPr>
        <w:jc w:val="both"/>
        <w:ind w:right="80" w:firstLine="255"/>
        <w:spacing w:after="0" w:line="250" w:lineRule="auto"/>
        <w:rPr>
          <w:sz w:val="20"/>
          <w:szCs w:val="20"/>
          <w:color w:val="auto"/>
        </w:rPr>
      </w:pPr>
      <w:r>
        <w:rPr>
          <w:rFonts w:ascii="Times New Roman" w:cs="Times New Roman" w:eastAsia="Times New Roman" w:hAnsi="Times New Roman"/>
          <w:sz w:val="18"/>
          <w:szCs w:val="18"/>
          <w:color w:val="auto"/>
        </w:rPr>
        <w:t>Excluding the impact of foreign currency exchange rates, international franchise same store sales declined 1.8% and 0.8% in the third quarter and three fiscal quarters of 2022, respectively. Excluding the impact of foreign currency exchange rates, international franchise same store sales increased 8.8% and 11.4% in the third quarter and three fiscal quarters of 2021, respectively.</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 / Gross Margin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4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420" w:type="dxa"/>
            <w:vAlign w:val="bottom"/>
            <w:tcBorders>
              <w:bottom w:val="single" w:sz="8" w:color="auto"/>
            </w:tcBorders>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4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4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09"/>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right="100" w:firstLine="255"/>
        <w:spacing w:after="0" w:line="244"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the related revenues. Components of consolidated cost of sales primarily include food, labor, delivery and occupancy costs. Consolidated gross margin (which we define as revenues less cost of sales) decreased $3.3 million, or 0.9%, in the third quarter of 2022, and decreased $45.3 million, or 3.8%, in the three fiscal quarters of 2022, due primarily to lower U.S. Company-owned store revenues, as well as higher food, labor and delivery costs. Franchise revenues do not have a cost of sales component, so changes in these revenues have a disproportionate effect on gross margin. Additionally, as our market basket prices fluctuate, our revenues and gross margin percentages in our supply chain segment also fluctuate; however, actual product-level dollar gross margins remain unchanged.</w:t>
      </w:r>
    </w:p>
    <w:p>
      <w:pPr>
        <w:spacing w:after="0" w:line="182" w:lineRule="exact"/>
        <w:rPr>
          <w:sz w:val="20"/>
          <w:szCs w:val="20"/>
          <w:color w:val="auto"/>
        </w:rPr>
      </w:pPr>
    </w:p>
    <w:p>
      <w:pPr>
        <w:ind w:right="120" w:firstLine="255"/>
        <w:spacing w:after="0" w:line="250" w:lineRule="auto"/>
        <w:rPr>
          <w:sz w:val="20"/>
          <w:szCs w:val="20"/>
          <w:color w:val="auto"/>
        </w:rPr>
      </w:pPr>
      <w:r>
        <w:rPr>
          <w:rFonts w:ascii="Times New Roman" w:cs="Times New Roman" w:eastAsia="Times New Roman" w:hAnsi="Times New Roman"/>
          <w:sz w:val="18"/>
          <w:szCs w:val="18"/>
          <w:color w:val="auto"/>
        </w:rPr>
        <w:t>As a percentage of revenues, the consolidated gross margin decreased 2.9 percentage points in the third quarter of 2022, and decreased 3.1 percentage points in the three fiscal quarters of 2022. U.S. Company-owned store gross margin decreased 7.5 percentage points in the third quarter of 2022, and decreased 8.0 percentage points in the three fiscal quarters of 2022. Supply chain gross margin decreased 1.7 percentage points in the third quarter of 2022, and decreased 1.5 percentage points in the three fiscal quarters of 2022. These changes in gross margin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Company-Owned Store Gross Margin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6"/>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80" w:type="dxa"/>
            <w:vAlign w:val="bottom"/>
            <w:gridSpan w:val="6"/>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0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420" w:type="dxa"/>
            <w:vAlign w:val="bottom"/>
            <w:tcBorders>
              <w:bottom w:val="single" w:sz="8" w:color="auto"/>
            </w:tcBorders>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2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2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20" w:type="dxa"/>
            <w:vAlign w:val="bottom"/>
            <w:tcBorders>
              <w:bottom w:val="single" w:sz="8" w:color="auto"/>
            </w:tcBorders>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4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0" w:type="dxa"/>
            <w:vAlign w:val="bottom"/>
          </w:tcPr>
          <w:p>
            <w:pPr>
              <w:spacing w:after="0"/>
              <w:rPr>
                <w:sz w:val="1"/>
                <w:szCs w:val="1"/>
                <w:color w:val="auto"/>
              </w:rPr>
            </w:pPr>
          </w:p>
        </w:tc>
      </w:tr>
      <w:tr>
        <w:trPr>
          <w:trHeight w:val="20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u w:val="single" w:color="auto"/>
                <w:color w:val="auto"/>
              </w:rPr>
              <w:t>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4" w:lineRule="exact"/>
        <w:rPr>
          <w:sz w:val="20"/>
          <w:szCs w:val="20"/>
          <w:color w:val="auto"/>
        </w:rPr>
      </w:pPr>
    </w:p>
    <w:p>
      <w:pPr>
        <w:ind w:right="180" w:firstLine="255"/>
        <w:spacing w:after="0" w:line="253"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$7.7 million, or 35.8%, in the third quarter of 2022 due primarily to higher food and labor costs. U.S. Company-owned store gross margin decreased $28.2 million, or</w:t>
      </w:r>
    </w:p>
    <w:p>
      <w:pPr>
        <w:ind w:right="140"/>
        <w:spacing w:after="0"/>
        <w:rPr>
          <w:sz w:val="20"/>
          <w:szCs w:val="20"/>
          <w:color w:val="auto"/>
        </w:rPr>
      </w:pPr>
      <w:r>
        <w:rPr>
          <w:rFonts w:ascii="Times New Roman" w:cs="Times New Roman" w:eastAsia="Times New Roman" w:hAnsi="Times New Roman"/>
          <w:sz w:val="18"/>
          <w:szCs w:val="18"/>
          <w:color w:val="auto"/>
        </w:rPr>
        <w:t>36.7%, in the three fiscal quarters of 2022 due primarily to lower same store sales, as well as higher food and labor costs. As a percentage of store revenues, the U.S. Company-owned store gross margin decreased 7.5 percentage points in the third quarter of 2022, and decreased 8.0 percentage points in the three fiscal quarters of 2022. These changes in gross margin as a percentage of revenues are discussed in additional detail below.</w:t>
      </w:r>
    </w:p>
    <w:p>
      <w:pPr>
        <w:spacing w:after="0" w:line="90" w:lineRule="exact"/>
        <w:rPr>
          <w:sz w:val="20"/>
          <w:szCs w:val="20"/>
          <w:color w:val="auto"/>
        </w:rPr>
      </w:pPr>
    </w:p>
    <w:p>
      <w:pPr>
        <w:ind w:left="1020" w:right="320" w:hanging="38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4.1 percentage points to 32.5% in the third quarter of 2022, and increased 4.1 percentage points to 31.7% in the three fiscal quarters of 2022 as a result of higher food basket prices.</w:t>
      </w:r>
    </w:p>
    <w:p>
      <w:pPr>
        <w:spacing w:after="0" w:line="54" w:lineRule="exact"/>
        <w:rPr>
          <w:rFonts w:ascii="Times New Roman" w:cs="Times New Roman" w:eastAsia="Times New Roman" w:hAnsi="Times New Roman"/>
          <w:sz w:val="18"/>
          <w:szCs w:val="18"/>
          <w:color w:val="auto"/>
        </w:rPr>
      </w:pPr>
    </w:p>
    <w:p>
      <w:pPr>
        <w:jc w:val="both"/>
        <w:ind w:left="1020" w:right="260" w:hanging="38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1.7 percentage points to 31.6% in the third quarter of 2022, and increased 1.9 percentage points to 30.5% in the three fiscal quarters of 2022 due primarily to continued investments in frontline team member wage rates in our U.S. Company-owned stores, as well as lower sales leverage.</w:t>
      </w:r>
    </w:p>
    <w:p>
      <w:pPr>
        <w:spacing w:after="0" w:line="61" w:lineRule="exact"/>
        <w:rPr>
          <w:rFonts w:ascii="Times New Roman" w:cs="Times New Roman" w:eastAsia="Times New Roman" w:hAnsi="Times New Roman"/>
          <w:sz w:val="18"/>
          <w:szCs w:val="18"/>
          <w:color w:val="auto"/>
        </w:rPr>
      </w:pPr>
    </w:p>
    <w:p>
      <w:pPr>
        <w:ind w:left="1020" w:right="140" w:hanging="38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including rent, telephone, utilities and depreciation, increased 0.9 percentage points to 9.6% in the third quarter of 2022, and increased 1.4 percentage points to 9.3% in the three fiscal quarters of 2022 due primarily to lower sales leverage, as well as higher utility rates in our U.S. Company-owned stores.</w:t>
      </w:r>
    </w:p>
    <w:p>
      <w:pPr>
        <w:spacing w:after="0" w:line="61" w:lineRule="exact"/>
        <w:rPr>
          <w:rFonts w:ascii="Times New Roman" w:cs="Times New Roman" w:eastAsia="Times New Roman" w:hAnsi="Times New Roman"/>
          <w:sz w:val="18"/>
          <w:szCs w:val="18"/>
          <w:color w:val="auto"/>
        </w:rPr>
      </w:pPr>
    </w:p>
    <w:p>
      <w:pPr>
        <w:ind w:left="1020" w:right="180" w:hanging="38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 increased 0.2 percentage points to 3.9% in the third quarter of 2022, and increased 0.7 percentage points to 4.3% in the three fiscal quarters of 2022 due primarily to unfavorable claims experience as well as lower sales leverage.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Gross Margin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4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420" w:type="dxa"/>
            <w:vAlign w:val="bottom"/>
            <w:tcBorders>
              <w:bottom w:val="single" w:sz="8" w:color="auto"/>
            </w:tcBorders>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440" w:type="dxa"/>
            <w:vAlign w:val="bottom"/>
            <w:tcBorders>
              <w:bottom w:val="single" w:sz="8" w:color="auto"/>
            </w:tcBorders>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540" w:type="dxa"/>
            <w:vAlign w:val="bottom"/>
            <w:tcBorders>
              <w:bottom w:val="single" w:sz="8" w:color="auto"/>
            </w:tcBorders>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0" w:type="dxa"/>
            <w:vAlign w:val="bottom"/>
          </w:tcPr>
          <w:p>
            <w:pPr>
              <w:spacing w:after="0"/>
              <w:rPr>
                <w:sz w:val="1"/>
                <w:szCs w:val="1"/>
                <w:color w:val="auto"/>
              </w:rPr>
            </w:pPr>
          </w:p>
        </w:tc>
      </w:tr>
      <w:tr>
        <w:trPr>
          <w:trHeight w:val="210"/>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ind w:right="140" w:firstLine="255"/>
        <w:spacing w:after="0" w:line="246" w:lineRule="auto"/>
        <w:rPr>
          <w:sz w:val="20"/>
          <w:szCs w:val="20"/>
          <w:color w:val="auto"/>
        </w:rPr>
      </w:pPr>
      <w:r>
        <w:rPr>
          <w:rFonts w:ascii="Times New Roman" w:cs="Times New Roman" w:eastAsia="Times New Roman" w:hAnsi="Times New Roman"/>
          <w:sz w:val="18"/>
          <w:szCs w:val="18"/>
          <w:color w:val="auto"/>
        </w:rPr>
        <w:t>Supply chain gross margin decreased $5.0 million, or 8.0%, in the third quarter of 2022, and decreased $14.7 million, or 7.8%, in the three fiscal quarters of 2022 due primarily to higher delivery and labor costs. As a percentage of supply chain revenues, supply chain gross margin decreased 1.7 percentage points in the third quarter of 2022 and decreased 1.5 percentage points in the three fiscal quarters of 2022 due to higher food and delivery costs. The increases in food and delivery costs as a percentage of supply chain revenues resulted from macroeconomic inflationary pressures in the U.S., as well as lower sales leverage.</w:t>
      </w:r>
    </w:p>
    <w:p>
      <w:pPr>
        <w:spacing w:after="0" w:line="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121"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decreased $5.1 million, or 5.3%, in the third quarter of 2022 driven primarily by lower labor costs. General and administrative expenses decreased $2.3 million, or 0.8%, in the three fiscal quarters of 2022 driven primarily by lower labor costs, partially offset by higher travel expenses, amortization expense for capitalized software and non-cash equity-based compensation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Franchise Advertising Expenses</w:t>
      </w:r>
    </w:p>
    <w:p>
      <w:pPr>
        <w:spacing w:after="0" w:line="216"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U.S. franchise advertising expenses increased $5.6 million, or 5.2%, in the third quarter of 2022, and decreased $4.4 million, or 1.3%, in the three fiscal quarters of 2022 consistent with the changes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w:t>
      </w:r>
    </w:p>
    <w:p>
      <w:pPr>
        <w:spacing w:after="0" w:line="216"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During the first quarter of 2021, we recorded a $2.5 million unrealized gain on our investment in DPC Dash (Note 6) resulting from the observable change in price from the valuation of our additional $40.0 million investment. We did not record any adjustments to the carrying amount in the third quarter or three fiscal quarters of 2022, or the third quarter of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08" w:lineRule="exact"/>
        <w:rPr>
          <w:sz w:val="20"/>
          <w:szCs w:val="20"/>
          <w:color w:val="auto"/>
        </w:rPr>
      </w:pPr>
    </w:p>
    <w:p>
      <w:pPr>
        <w:ind w:right="360" w:firstLine="255"/>
        <w:spacing w:after="0" w:line="258" w:lineRule="auto"/>
        <w:rPr>
          <w:sz w:val="20"/>
          <w:szCs w:val="20"/>
          <w:color w:val="auto"/>
        </w:rPr>
      </w:pPr>
      <w:r>
        <w:rPr>
          <w:rFonts w:ascii="Times New Roman" w:cs="Times New Roman" w:eastAsia="Times New Roman" w:hAnsi="Times New Roman"/>
          <w:sz w:val="18"/>
          <w:szCs w:val="18"/>
          <w:color w:val="auto"/>
        </w:rPr>
        <w:t>Interest expense, net decreased $0.9 million, or 1.9%, in the third quarter of 2022 driven primarily by higher interest income. Interest expense, net increased $5.4 million, or 4.1%, in the three fiscal quarters of 2022 driven by higher average borrowings resulting from our recapitalization transaction completed on April 16, 2021 (the “2021 Recapitalization”), partially offset by higher interest income.</w:t>
      </w:r>
    </w:p>
    <w:p>
      <w:pPr>
        <w:spacing w:after="0" w:line="61"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Our weighted average borrowing rate decreased to 3.7% in both the third quarter and three fiscal quarters of 2022 from 3.8% in the third quarter of 2021 and from 3.9% in the three fiscal quarters of 2021, due to lower interest rates on the debt outstanding as a result of the 2021 Recapitalization.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tax expense increased $16.9 million, or 117.6%, in the third quarter of 2022 due to a higher effective tax rate, and was partially offset by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income before provision for income taxes. The effective tax rate increased to 23.8% during the third quarter of 2022 as compared to 10.7% in the third quarter of 2021. Income tax expense increased $14.3 million, or 19.2%, in the three fiscal quarters of 2022 due to a higher effective tax rate, and was partially offset by a decrease in income before provision for income taxes. The effective tax rate increased to 23.3% during the three fiscal quarters of 2022 as compared to 17.4% in the three fiscal quarters of 2021. The higher effective tax rate in the third quarter and three fiscal quarters of 2022 was driven in part by a 9.8 and 4.0 percentage point change in excess tax benefits from equity-based compensation, which are recorded as a reduction to the income tax provision, in the third quarter and three fiscal quarters of 2022 as compared to the respective periods in 2021. The decreases in excess tax benefits from equity-based compensation were a result of fewer stock option exercises in the third quarter and three fiscal quarters of 2022 as compared to the respective periods in 2021. The increase in the effective tax rate was also a result of lower foreign tax credits in the respective periods of 2022.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Income</w:t>
      </w:r>
    </w:p>
    <w:p>
      <w:pPr>
        <w:spacing w:after="0" w:line="121" w:lineRule="exact"/>
        <w:rPr>
          <w:sz w:val="20"/>
          <w:szCs w:val="20"/>
          <w:color w:val="auto"/>
        </w:rPr>
      </w:pPr>
    </w:p>
    <w:p>
      <w:pPr>
        <w:ind w:right="500" w:firstLine="255"/>
        <w:spacing w:after="0" w:line="250"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Fiscal</w:t>
            </w: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Quarters</w:t>
            </w:r>
          </w:p>
        </w:tc>
      </w:tr>
      <w:tr>
        <w:trPr>
          <w:trHeight w:val="187"/>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2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2021</w:t>
            </w:r>
          </w:p>
        </w:tc>
      </w:tr>
      <w:tr>
        <w:trPr>
          <w:trHeight w:val="209"/>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FF0FC"/>
          </w:tcPr>
          <w:p>
            <w:pPr>
              <w:spacing w:after="0"/>
              <w:rPr>
                <w:sz w:val="18"/>
                <w:szCs w:val="18"/>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w:t>
      </w:r>
    </w:p>
    <w:p>
      <w:pPr>
        <w:spacing w:after="0" w:line="108" w:lineRule="exact"/>
        <w:rPr>
          <w:sz w:val="20"/>
          <w:szCs w:val="20"/>
          <w:color w:val="auto"/>
        </w:rPr>
      </w:pPr>
    </w:p>
    <w:p>
      <w:pPr>
        <w:ind w:right="20" w:firstLine="255"/>
        <w:spacing w:after="0" w:line="245" w:lineRule="auto"/>
        <w:rPr>
          <w:sz w:val="20"/>
          <w:szCs w:val="20"/>
          <w:color w:val="auto"/>
        </w:rPr>
      </w:pPr>
      <w:r>
        <w:rPr>
          <w:rFonts w:ascii="Times New Roman" w:cs="Times New Roman" w:eastAsia="Times New Roman" w:hAnsi="Times New Roman"/>
          <w:sz w:val="18"/>
          <w:szCs w:val="18"/>
          <w:color w:val="auto"/>
        </w:rPr>
        <w:t>U.S. stores Segment Income decreased $1.4 million, or 1.4%, in the third quarter of 2022, primarily due to the $7.7 million decrease in U.S. Company-owned store gross margin, and was partially offset by the $7.3 million increase in U.S. franchise royalties and fees revenues, each as discussed above. U.S. stores Segment Income decreased $19.4 million, or 6.0%, in the three fiscal quarters of 2022, primarily due to the $28.2 million decrease in U.S. Company-owned store gross margin, and was partially offset by the $6.3 million increase in U.S. franchise royalties and fees revenues, each as discussed above. U.S. franchise revenues do not have a cost of sales component, therefore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right="160" w:firstLine="255"/>
        <w:spacing w:after="0" w:line="250" w:lineRule="auto"/>
        <w:rPr>
          <w:sz w:val="20"/>
          <w:szCs w:val="20"/>
          <w:color w:val="auto"/>
        </w:rPr>
      </w:pPr>
      <w:r>
        <w:rPr>
          <w:rFonts w:ascii="Times New Roman" w:cs="Times New Roman" w:eastAsia="Times New Roman" w:hAnsi="Times New Roman"/>
          <w:sz w:val="18"/>
          <w:szCs w:val="18"/>
          <w:color w:val="auto"/>
        </w:rPr>
        <w:t>Supply chain Segment Income decreased $3.7 million, or 6.9%, in the third quarter of 2022, primarily due to the $5.0 million decrease in supply chain gross margin discussed above. Supply chain Segment Income decreased $14.8 million, or 9.0%, in the three fiscal quarters of 2022, primarily due to the $14.7 million decrease in supply chain gross margin discussed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w:t>
      </w:r>
    </w:p>
    <w:p>
      <w:pPr>
        <w:spacing w:after="0" w:line="108" w:lineRule="exact"/>
        <w:rPr>
          <w:sz w:val="20"/>
          <w:szCs w:val="20"/>
          <w:color w:val="auto"/>
        </w:rPr>
      </w:pPr>
    </w:p>
    <w:p>
      <w:pPr>
        <w:ind w:right="220" w:firstLine="255"/>
        <w:spacing w:after="0" w:line="246" w:lineRule="auto"/>
        <w:rPr>
          <w:sz w:val="20"/>
          <w:szCs w:val="20"/>
          <w:color w:val="auto"/>
        </w:rPr>
      </w:pPr>
      <w:r>
        <w:rPr>
          <w:rFonts w:ascii="Times New Roman" w:cs="Times New Roman" w:eastAsia="Times New Roman" w:hAnsi="Times New Roman"/>
          <w:sz w:val="18"/>
          <w:szCs w:val="18"/>
          <w:color w:val="auto"/>
        </w:rPr>
        <w:t>International franchise Segment Income decreased $3.5 million, or 6.2%, in the third quarter of 2022, primarily due to the $3.5 million decrease in international franchise royalties and fees revenues discussed above. International franchise Segment Income decreased $6.4 million, or 3.8%, in the three fiscal quarters of 2022, primarily due to the $4.3 million decrease in international franchise royalties and fees revenues discussed above. International franchise revenues do not have a cost of sales component, therefore changes in these revenues have a disproportionate effect on international franchise Segment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Other Segment Income increased $7.1 million, or 70.8%, in the third quarter of 2022, and increased $9.5 million, or 36.8%, in the three fiscal quarters of 2022, primarily due to lower labor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220" w:firstLine="281"/>
        <w:spacing w:after="0" w:line="245"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September 11, 2022, we had working capital of $55.2 million, excluding restricted cash and cash equivalents of $184.6 million, advertising fund assets, restricted, of $181.2 million and advertising fund liabilities of $173.3 million. Working capital as of September 11, 2022 included unrestricted cash and cash equivalents of $114.8 million.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8"/>
          <w:szCs w:val="18"/>
          <w:color w:val="auto"/>
        </w:rPr>
        <w:t>Our primary source of liquidity is cash flows from operations and availability of borrowings under our variable funding notes. During the third quarter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three fiscal quarters of 2022, we continued to increase global retail sales (excluding foreign currency impact), which continued our ability to generate</w:t>
      </w:r>
    </w:p>
    <w:p>
      <w:pPr>
        <w:spacing w:after="0" w:line="234" w:lineRule="auto"/>
        <w:rPr>
          <w:sz w:val="20"/>
          <w:szCs w:val="20"/>
          <w:color w:val="auto"/>
        </w:rPr>
      </w:pPr>
      <w:r>
        <w:rPr>
          <w:rFonts w:ascii="Times New Roman" w:cs="Times New Roman" w:eastAsia="Times New Roman" w:hAnsi="Times New Roman"/>
          <w:sz w:val="18"/>
          <w:szCs w:val="18"/>
          <w:color w:val="auto"/>
        </w:rPr>
        <w:t>positive cash provided by operating activities. As of September 11, 2022, we had a variable funding note facility which allowed for advances of up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million of Series 2021-1 Variable Funding Senior Secured Notes, Class A-1 Notes and certain other credit instruments, including letters of credit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Variable Funding Notes”). The letters of credit are primarily related to our casualty insurance programs and certain supply chain center leases.</w:t>
      </w:r>
    </w:p>
    <w:p>
      <w:pPr>
        <w:spacing w:after="0" w:line="234" w:lineRule="auto"/>
        <w:rPr>
          <w:sz w:val="20"/>
          <w:szCs w:val="20"/>
          <w:color w:val="auto"/>
        </w:rPr>
      </w:pPr>
      <w:r>
        <w:rPr>
          <w:rFonts w:ascii="Times New Roman" w:cs="Times New Roman" w:eastAsia="Times New Roman" w:hAnsi="Times New Roman"/>
          <w:sz w:val="18"/>
          <w:szCs w:val="18"/>
          <w:color w:val="auto"/>
        </w:rPr>
        <w:t>As of September 11, 2022, we had $120.0 million of outstanding borrowings and $35.8 million of available borrowing capacity under our 2021 Variable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Notes, net of letters of credit issued of $44.2 million. Subsequent to the end of the third quarter of 2022, we repaid $60.0 million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2021 Variable Funding Notes. Additionally, subsequent to the end of the third quarter of 2022, on September 16, 2022</w:t>
      </w:r>
    </w:p>
    <w:p>
      <w:pPr>
        <w:spacing w:after="0" w:line="234" w:lineRule="auto"/>
        <w:rPr>
          <w:sz w:val="20"/>
          <w:szCs w:val="20"/>
          <w:color w:val="auto"/>
        </w:rPr>
      </w:pPr>
      <w:r>
        <w:rPr>
          <w:rFonts w:ascii="Times New Roman" w:cs="Times New Roman" w:eastAsia="Times New Roman" w:hAnsi="Times New Roman"/>
          <w:sz w:val="18"/>
          <w:szCs w:val="18"/>
          <w:color w:val="auto"/>
        </w:rPr>
        <w:t>(the “Closing Date”), certain of our subsidiaries issued a new variable funding note facility which allows for advances of up to $120.0 million of Series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2022-1 Variable Funding Senior Secured Notes, Class A-1 Notes (the “2022 Variable Funding Notes”). The 2022 Variable Funding Notes were undrawn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Our existing 2021 Variable Funding Notes also remain in place.</w:t>
      </w:r>
    </w:p>
    <w:p>
      <w:pPr>
        <w:spacing w:after="0" w:line="192" w:lineRule="exact"/>
        <w:rPr>
          <w:sz w:val="20"/>
          <w:szCs w:val="20"/>
          <w:color w:val="auto"/>
        </w:rPr>
      </w:pPr>
    </w:p>
    <w:p>
      <w:pPr>
        <w:jc w:val="both"/>
        <w:ind w:right="80" w:firstLine="281"/>
        <w:spacing w:after="0" w:line="258"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shares of our common stock.</w:t>
      </w:r>
    </w:p>
    <w:p>
      <w:pPr>
        <w:spacing w:after="0" w:line="156" w:lineRule="exact"/>
        <w:rPr>
          <w:sz w:val="20"/>
          <w:szCs w:val="20"/>
          <w:color w:val="auto"/>
        </w:rPr>
      </w:pPr>
    </w:p>
    <w:p>
      <w:pPr>
        <w:ind w:firstLine="281"/>
        <w:spacing w:after="0" w:line="247"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2021 Form 10-K. There can be no assurance that our business will generate sufficient cash flows from operations or that future borrowings will be available under our variable funding notes or otherwise to enable us to service our indebtedness, or to make anticipated capital expenditures. Our future operating performance and our ability to service, extend or refinance our outstanding senior notes and to service, extend or refinance our variable funding notes will be subject to future economic conditions and to financial, business and other factors, many of which are beyond our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08"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7"/>
          <w:szCs w:val="17"/>
          <w:color w:val="auto"/>
        </w:rPr>
        <w:t>As of September 11, 2022, we had $136.6 million of restricted cash held for future principal and interest payments and other working capital requirements of our asset-backed securitization structure, $47.8 million of restricted cash held in a three-month interest reserve as required by the related debt agreements and $0.2 million of other restricted cash for a total of $184.6 million of restricted cash and cash equivalents. As of September 11, 2022, we also held $157.7 million of advertising fund restricted cash and cash equivalents, which can only be used for activities that promote the Domino’s brand.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120" w:firstLine="255"/>
        <w:spacing w:after="0" w:line="246" w:lineRule="auto"/>
        <w:rPr>
          <w:sz w:val="20"/>
          <w:szCs w:val="20"/>
          <w:color w:val="auto"/>
        </w:rPr>
      </w:pPr>
      <w:r>
        <w:rPr>
          <w:rFonts w:ascii="Times New Roman" w:cs="Times New Roman" w:eastAsia="Times New Roman" w:hAnsi="Times New Roman"/>
          <w:sz w:val="18"/>
          <w:szCs w:val="18"/>
          <w:color w:val="auto"/>
        </w:rPr>
        <w:t>As of September 11, 2022, we had approximately $5.15 billion of long-term debt, of which $55.8 million was classified as a current liability. As of September 11, 2022, our fixed rate notes from the recapitalizations we completed in 2021, 2019, 2018, 2017 and 2015 had original scheduled principal payments of $12.9 million in the remainder of 2022, $51.5 million in each of 2023 and 2024, $1.17 billion in 2025, $39.3 million in 2026, $1.31 billion in 2027, $811.5 million in 2028, $625.9 million in 2029, $10.0 million in 2030 and $905.0 million in 2031. Additionally, as of September 11, 2022, we had $120.0 million of outstanding borrowings under our 2021 Variable Funding Notes.</w:t>
      </w:r>
    </w:p>
    <w:p>
      <w:pPr>
        <w:spacing w:after="0" w:line="181" w:lineRule="exact"/>
        <w:rPr>
          <w:sz w:val="20"/>
          <w:szCs w:val="20"/>
          <w:color w:val="auto"/>
        </w:rPr>
      </w:pPr>
    </w:p>
    <w:p>
      <w:pPr>
        <w:ind w:right="40" w:firstLine="281"/>
        <w:spacing w:after="0" w:line="246" w:lineRule="auto"/>
        <w:rPr>
          <w:sz w:val="20"/>
          <w:szCs w:val="20"/>
          <w:color w:val="auto"/>
        </w:rPr>
      </w:pPr>
      <w:r>
        <w:rPr>
          <w:rFonts w:ascii="Times New Roman" w:cs="Times New Roman" w:eastAsia="Times New Roman" w:hAnsi="Times New Roman"/>
          <w:sz w:val="18"/>
          <w:szCs w:val="18"/>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 As of the fourth quarter of 2020, we had a leverage ratio of less than 5.0x, and accordingly, did not make the previously scheduled debt amortization payment on our then-outstanding notes in the first quarter of 2021. Subsequent to the closing of the 2021 Recapitalization, we had a leverage ratio of greater than 5.0x, and accordingly, resumed making the previously scheduled debt amortization payment on our notes beginning in the second quarter of 2021.</w:t>
      </w:r>
    </w:p>
    <w:p>
      <w:pPr>
        <w:spacing w:after="0" w:line="168" w:lineRule="exact"/>
        <w:rPr>
          <w:sz w:val="20"/>
          <w:szCs w:val="20"/>
          <w:color w:val="auto"/>
        </w:rPr>
      </w:pPr>
    </w:p>
    <w:p>
      <w:pPr>
        <w:ind w:right="40" w:firstLine="281"/>
        <w:spacing w:after="0" w:line="258"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02" w:lineRule="exact"/>
        <w:rPr>
          <w:sz w:val="20"/>
          <w:szCs w:val="20"/>
          <w:color w:val="auto"/>
        </w:rPr>
      </w:pPr>
    </w:p>
    <w:p>
      <w:pPr>
        <w:ind w:right="20" w:firstLine="281"/>
        <w:spacing w:after="0" w:line="258"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 On July 20, 2021, our Board of Directors authorized a share repurchase program to repurchase up to $1.0 billion of our common stock.</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3" w:name="page24"/>
    <w:bookmarkEnd w:id="23"/>
    <w:p>
      <w:pPr>
        <w:ind w:right="20" w:firstLine="284"/>
        <w:spacing w:after="0" w:line="250" w:lineRule="auto"/>
        <w:rPr>
          <w:sz w:val="20"/>
          <w:szCs w:val="20"/>
          <w:color w:val="auto"/>
        </w:rPr>
      </w:pPr>
      <w:r>
        <w:rPr>
          <w:rFonts w:ascii="Times New Roman" w:cs="Times New Roman" w:eastAsia="Times New Roman" w:hAnsi="Times New Roman"/>
          <w:sz w:val="18"/>
          <w:szCs w:val="18"/>
          <w:color w:val="auto"/>
        </w:rPr>
        <w:t>During the third quarter of 2022, we repurchased and retired 490,789 shares of our common stock under our Board of Directors-approved share repurchase program for a total of approximately $196.1 million. During the three fiscal quarters of 2022, we repurchased and retired 739,847 shares of our common stock under our Board of Directors-approved share repurchase program for a total of approximately $293.7 million. As of September 11, 2022, we had a total remaining authorized amount for share repurchases of approximately $410.4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16" w:lineRule="exact"/>
        <w:rPr>
          <w:sz w:val="20"/>
          <w:szCs w:val="20"/>
          <w:color w:val="auto"/>
        </w:rPr>
      </w:pPr>
    </w:p>
    <w:p>
      <w:pPr>
        <w:ind w:right="120" w:firstLine="255"/>
        <w:spacing w:after="0" w:line="245" w:lineRule="auto"/>
        <w:rPr>
          <w:sz w:val="20"/>
          <w:szCs w:val="20"/>
          <w:color w:val="auto"/>
        </w:rPr>
      </w:pPr>
      <w:r>
        <w:rPr>
          <w:rFonts w:ascii="Times New Roman" w:cs="Times New Roman" w:eastAsia="Times New Roman" w:hAnsi="Times New Roman"/>
          <w:sz w:val="18"/>
          <w:szCs w:val="18"/>
          <w:color w:val="auto"/>
        </w:rPr>
        <w:t>On July 19, 2022, our Board of Directors declared a $1.10 per share quarterly dividend on our outstanding common stock for shareholders of record as of September 15, 2022, which was paid on September 30, 2022. We had approximately $39.6 million accrued for common stock dividends at September 11, 2022. Subsequent to the end of the third quarter, on October 11, 2022, our Board of Directors declared a $1.10 per share quarterly dividend on our outstanding common stock for shareholders of record as of December 15, 2022 to be paid on December 30,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80" w:type="dxa"/>
            <w:vAlign w:val="bottom"/>
          </w:tcPr>
          <w:p>
            <w:pPr>
              <w:spacing w:after="0"/>
              <w:rPr>
                <w:sz w:val="13"/>
                <w:szCs w:val="13"/>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6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180" w:type="dxa"/>
            <w:vAlign w:val="bottom"/>
          </w:tcPr>
          <w:p>
            <w:pPr>
              <w:spacing w:after="0"/>
              <w:rPr>
                <w:sz w:val="16"/>
                <w:szCs w:val="16"/>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2021</w:t>
            </w:r>
          </w:p>
        </w:tc>
        <w:tc>
          <w:tcPr>
            <w:tcW w:w="0" w:type="dxa"/>
            <w:vAlign w:val="bottom"/>
          </w:tcPr>
          <w:p>
            <w:pPr>
              <w:spacing w:after="0"/>
              <w:rPr>
                <w:sz w:val="1"/>
                <w:szCs w:val="1"/>
                <w:color w:val="auto"/>
              </w:rPr>
            </w:pPr>
          </w:p>
        </w:tc>
      </w:tr>
      <w:tr>
        <w:trPr>
          <w:trHeight w:val="210"/>
        </w:trPr>
        <w:tc>
          <w:tcPr>
            <w:tcW w:w="6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(58.7 )</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(90.3 )</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(304.3 )</w:t>
            </w:r>
          </w:p>
        </w:tc>
        <w:tc>
          <w:tcPr>
            <w:tcW w:w="1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(228.1 )</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firstLine="281"/>
        <w:spacing w:after="0" w:line="243" w:lineRule="auto"/>
        <w:rPr>
          <w:sz w:val="20"/>
          <w:szCs w:val="20"/>
          <w:color w:val="auto"/>
        </w:rPr>
      </w:pPr>
      <w:r>
        <w:rPr>
          <w:rFonts w:ascii="Times New Roman" w:cs="Times New Roman" w:eastAsia="Times New Roman" w:hAnsi="Times New Roman"/>
          <w:sz w:val="18"/>
          <w:szCs w:val="18"/>
          <w:color w:val="auto"/>
        </w:rPr>
        <w:t>Cash provided by operating activities decreased $154.4 million in the three fiscal quarters of 2022. This decrease was primarily due to a $53.5 million negative impact of changes in advertising fund assets and liabilities, restricted, in the three fiscal quarters of 2022 as compared to the three fiscal quarters of 2021 due to receipts for advertising contributions outpacing payments for advertising activities in the three fiscal quarters of 2021 as well as the negative impact of changes in operating assets and liabilities of $52.1 million. The negative impact of changes in operating assets and liabilities primarily related to the timing of payments on accrued liabilities, accounts payable, income taxes and prepaid expenses in the three fiscal quarters of 2022 as compared to the three fiscal quarters of 2021. Additionally, net income decreased $60.8 million. However, this decrease in net income included a $12.0 million increase in non-cash adjustments, resulting in an overall decrease to cash provided by operating activities in the three fiscal quarters of 2022 as compared to the three fiscal quarters of 2021 of $48.8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80" w:firstLine="281"/>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was $58.7 million in the three fiscal quarters of 2022, which primarily consisted of $50.5 million of capital expenditures (driven primarily by investments in technological initiatives, supply chain centers and corporate store operations). As a result of the 2022 Store Purchase, we also acquired 23 U.S. franchise stores from certain of our existing U.S. franchisees in the first quarter of 2022 for $6.8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used in financing activities was $304.3 million in the three fiscal quarters of 2022, which primarily consisted of the repurchase of approximately</w:t>
      </w:r>
    </w:p>
    <w:p>
      <w:pPr>
        <w:spacing w:after="0" w:line="2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$293.7 million in common stock under our Board of Directors-approved share repurchase program, dividend payments of $79.7 million, repayments of long-term debt and finance lease obligations of $41.1 million and tax payments for the vesting of restricted stock of $10.7 million. These uses of cash were partially offset by borrowings under our 2021 Variable Funding Notes of $120.0 million and proceeds from the exercise of stock options of $1.3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ind w:right="280" w:firstLine="284"/>
        <w:spacing w:after="0" w:line="244"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2021 Form 10-K. The Company considers its most significant accounting policies and estimates to be long-lived assets, casualty insurance reserves and income taxes. There have been no material changes to the Company’s critical accounting estimates since January 2, 2022.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2021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ongoing COVID-19 pandemic and the effects of COVID-19 and related regulations and policies on our business and supply chain, including impacts on the availability of labor; labor shortages or changes in operating expenses resulting from changes in prices of food (particularly cheese), fuel and other commodity costs, labor, utilities, insurance, employee benefits and other operating costs; the effectiveness of our advertising, operations and promotional initiatives; shortages, interruptions or disruptions in the supply or delivery of fresh food products and store equipment;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and consumer protection and social media; adverse legal judgments or settlements; food-borne illness or contamination of products or food tampering; data breaches, power loss, technological failures, user error or other cyber risks threatening us or our franchisees; the impact that environmental, social and governance matters may have on our business and reputation;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16" w:lineRule="exact"/>
        <w:rPr>
          <w:sz w:val="20"/>
          <w:szCs w:val="20"/>
          <w:color w:val="auto"/>
        </w:rPr>
      </w:pPr>
    </w:p>
    <w:p>
      <w:pPr>
        <w:ind w:firstLine="284"/>
        <w:spacing w:after="0" w:line="250"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September 11, 2022, we are exposed to interest rate risk on borrowings under our 2021 Variable Funding Notes. As of September 11, 2022, we had $120.0 million of outstanding borrowings under our 2021 Variable Funding Notes.</w:t>
      </w:r>
    </w:p>
    <w:p>
      <w:pPr>
        <w:spacing w:after="0" w:line="164" w:lineRule="exact"/>
        <w:rPr>
          <w:sz w:val="20"/>
          <w:szCs w:val="20"/>
          <w:color w:val="auto"/>
        </w:rPr>
      </w:pPr>
    </w:p>
    <w:p>
      <w:pPr>
        <w:ind w:right="20" w:firstLine="284"/>
        <w:spacing w:after="0" w:line="243" w:lineRule="auto"/>
        <w:rPr>
          <w:sz w:val="20"/>
          <w:szCs w:val="20"/>
          <w:color w:val="auto"/>
        </w:rPr>
      </w:pPr>
      <w:r>
        <w:rPr>
          <w:rFonts w:ascii="Times New Roman" w:cs="Times New Roman" w:eastAsia="Times New Roman" w:hAnsi="Times New Roman"/>
          <w:sz w:val="18"/>
          <w:szCs w:val="18"/>
          <w:color w:val="auto"/>
        </w:rPr>
        <w:t>Our 2021 Variable Funding Notes bear interest at fluctuating interest rates based on LIBOR. There is currently uncertainty around whether LIBOR will continue to exist after 2023. Our 2021 Variable Funding Notes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 Subsequent to the end of the third quarter of 2022, we entered into a facility for our 2022 Variable Funding Notes which bear interest at fluctuating interest rates based on SOFR. Our existing 2021 Variable Funding Notes also remain in place.</w:t>
      </w:r>
    </w:p>
    <w:p>
      <w:pPr>
        <w:spacing w:after="0" w:line="186" w:lineRule="exact"/>
        <w:rPr>
          <w:sz w:val="20"/>
          <w:szCs w:val="20"/>
          <w:color w:val="auto"/>
        </w:rPr>
      </w:pPr>
    </w:p>
    <w:p>
      <w:pPr>
        <w:ind w:right="40" w:firstLine="284"/>
        <w:spacing w:after="0" w:line="258" w:lineRule="auto"/>
        <w:rPr>
          <w:sz w:val="20"/>
          <w:szCs w:val="20"/>
          <w:color w:val="auto"/>
        </w:rPr>
      </w:pPr>
      <w:r>
        <w:rPr>
          <w:rFonts w:ascii="Times New Roman" w:cs="Times New Roman" w:eastAsia="Times New Roman" w:hAnsi="Times New Roman"/>
          <w:sz w:val="18"/>
          <w:szCs w:val="18"/>
          <w:color w:val="auto"/>
        </w:rPr>
        <w:t>Our fixed rate debt exposes the Company to changes in market interest rates reflected in the fair value of the debt and to the risk that the Company may need to refinance maturing debt with new debt at a higher rate. Our existing fixed rate notes have various maturities such that we would not be required to refinance all of our debt at one time. Refer to the original scheduled principal payments disclosed within the Liquidity and Capital Resources section.</w:t>
      </w:r>
    </w:p>
    <w:p>
      <w:pPr>
        <w:spacing w:after="0" w:line="156" w:lineRule="exact"/>
        <w:rPr>
          <w:sz w:val="20"/>
          <w:szCs w:val="20"/>
          <w:color w:val="auto"/>
        </w:rPr>
      </w:pPr>
    </w:p>
    <w:p>
      <w:pPr>
        <w:ind w:right="160" w:firstLine="284"/>
        <w:spacing w:after="0" w:line="247"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66" w:lineRule="exact"/>
        <w:rPr>
          <w:sz w:val="20"/>
          <w:szCs w:val="20"/>
          <w:color w:val="auto"/>
        </w:rPr>
      </w:pPr>
    </w:p>
    <w:p>
      <w:pPr>
        <w:ind w:right="60" w:firstLine="284"/>
        <w:spacing w:after="0" w:line="245"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6.3% of our total revenues in the third quarter of 2022, approximately 6.4% of our total revenues in the three fiscal quarters of 2022, approximately 7.1% of our total revenues in the third quarter of 2021 and approximately 6.9% of our total revenues in the three fiscal quarters of 2021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$18.0 million in the three fiscal quarters of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right="40" w:firstLine="284"/>
        <w:spacing w:after="0" w:line="250"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177" w:lineRule="exact"/>
        <w:rPr>
          <w:sz w:val="20"/>
          <w:szCs w:val="20"/>
          <w:color w:val="auto"/>
        </w:rPr>
      </w:pPr>
    </w:p>
    <w:p>
      <w:pPr>
        <w:ind w:right="160" w:firstLine="284"/>
        <w:spacing w:after="0" w:line="247" w:lineRule="auto"/>
        <w:rPr>
          <w:sz w:val="20"/>
          <w:szCs w:val="20"/>
          <w:color w:val="auto"/>
        </w:rPr>
      </w:pPr>
      <w:r>
        <w:rPr>
          <w:rFonts w:ascii="Times New Roman" w:cs="Times New Roman" w:eastAsia="Times New Roman" w:hAnsi="Times New Roman"/>
          <w:sz w:val="18"/>
          <w:szCs w:val="18"/>
          <w:color w:val="auto"/>
        </w:rPr>
        <w:t>During the quarterly period ended September 11, 2022, there were no changes in the Company’s internal control over financial reporting as defined in Rules 13a-15(f) and 15d-15(f) that have materially affected or are reasonably likely to materially affect the Company’s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ind w:firstLine="281"/>
        <w:spacing w:after="0" w:line="296" w:lineRule="auto"/>
        <w:rPr>
          <w:sz w:val="20"/>
          <w:szCs w:val="20"/>
          <w:color w:val="auto"/>
        </w:rPr>
      </w:pPr>
      <w:r>
        <w:rPr>
          <w:rFonts w:ascii="Times New Roman" w:cs="Times New Roman" w:eastAsia="Times New Roman" w:hAnsi="Times New Roman"/>
          <w:sz w:val="17"/>
          <w:szCs w:val="17"/>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12" w:lineRule="exact"/>
        <w:rPr>
          <w:sz w:val="20"/>
          <w:szCs w:val="20"/>
          <w:color w:val="auto"/>
        </w:rPr>
      </w:pPr>
    </w:p>
    <w:p>
      <w:pPr>
        <w:ind w:right="420" w:firstLine="281"/>
        <w:spacing w:after="0" w:line="266" w:lineRule="auto"/>
        <w:rPr>
          <w:sz w:val="20"/>
          <w:szCs w:val="20"/>
          <w:color w:val="auto"/>
        </w:rPr>
      </w:pPr>
      <w:r>
        <w:rPr>
          <w:rFonts w:ascii="Times New Roman" w:cs="Times New Roman" w:eastAsia="Times New Roman" w:hAnsi="Times New Roman"/>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2021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4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Under the Program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70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Period #7 (June 20, 2022</w:t>
            </w: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July 17, 2022)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395.84</w:t>
            </w:r>
          </w:p>
        </w:tc>
        <w:tc>
          <w:tcPr>
            <w:tcW w:w="40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Period #8 (July 18, 2022</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August 14, 2022)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225,466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223,822</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Period #9 (August 15, 2022</w:t>
            </w:r>
          </w:p>
        </w:tc>
        <w:tc>
          <w:tcPr>
            <w:tcW w:w="140" w:type="dxa"/>
            <w:vAlign w:val="bottom"/>
            <w:vMerge w:val="restart"/>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268,114</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406.66</w:t>
            </w:r>
          </w:p>
        </w:tc>
        <w:tc>
          <w:tcPr>
            <w:tcW w:w="400" w:type="dxa"/>
            <w:vAlign w:val="bottom"/>
            <w:vMerge w:val="restart"/>
            <w:shd w:val="clear" w:color="auto" w:fill="CFF0FC"/>
          </w:tcPr>
          <w:p>
            <w:pPr>
              <w:spacing w:after="0"/>
              <w:rPr>
                <w:sz w:val="14"/>
                <w:szCs w:val="14"/>
                <w:color w:val="auto"/>
              </w:rPr>
            </w:pPr>
          </w:p>
        </w:tc>
        <w:tc>
          <w:tcPr>
            <w:tcW w:w="1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266,967</w:t>
            </w: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September 11, 2022)</w:t>
            </w: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vMerge w:val="continue"/>
            <w:shd w:val="clear" w:color="auto" w:fill="CFF0FC"/>
          </w:tcPr>
          <w:p>
            <w:pPr>
              <w:spacing w:after="0"/>
              <w:rPr>
                <w:sz w:val="19"/>
                <w:szCs w:val="19"/>
                <w:color w:val="auto"/>
              </w:rPr>
            </w:pPr>
          </w:p>
        </w:tc>
        <w:tc>
          <w:tcPr>
            <w:tcW w:w="194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494,759</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399.42</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490,789</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-170815</wp:posOffset>
            </wp:positionV>
            <wp:extent cx="7683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left="480" w:right="180" w:hanging="459"/>
        <w:spacing w:after="0" w:line="23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3,970 shares in the third quarter of 2022 were purchased as part of the Company’s employee stock payroll deduction plan. During the third quarter, the shares were purchased at an average price of $387.29.</w:t>
      </w:r>
    </w:p>
    <w:p>
      <w:pPr>
        <w:spacing w:after="0" w:line="77" w:lineRule="exact"/>
        <w:rPr>
          <w:rFonts w:ascii="Times New Roman" w:cs="Times New Roman" w:eastAsia="Times New Roman" w:hAnsi="Times New Roman"/>
          <w:sz w:val="18"/>
          <w:szCs w:val="18"/>
          <w:color w:val="auto"/>
        </w:rPr>
      </w:pPr>
    </w:p>
    <w:p>
      <w:pPr>
        <w:ind w:left="480" w:right="80" w:hanging="459"/>
        <w:spacing w:after="0" w:line="236"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2021, the Company’s Board of Directors authorized a share repurchase program to repurchase up to $1.0 billion of the Company’s common stock. As of September 11, 2022, $410.4 million remained available for future purchases of the Company’s common stock under this share repurchase program.</w:t>
      </w:r>
    </w:p>
    <w:p>
      <w:pPr>
        <w:spacing w:after="0" w:line="77" w:lineRule="exact"/>
        <w:rPr>
          <w:rFonts w:ascii="Times New Roman" w:cs="Times New Roman" w:eastAsia="Times New Roman" w:hAnsi="Times New Roman"/>
          <w:sz w:val="18"/>
          <w:szCs w:val="18"/>
          <w:color w:val="auto"/>
        </w:rPr>
      </w:pPr>
    </w:p>
    <w:p>
      <w:pPr>
        <w:ind w:left="480" w:right="14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50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Certification by Russell J. Weiner pursuant to Rule 13a-14(a) and 15d-14(a), as adopted pursuant to Section 302 of the Sarbanes-Oxley Act</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 2002, relating to Domino’s Pizza, Inc.</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7"/>
              </w:rPr>
              <w:t>Certification by Sandeep Reddy pursuant</w:t>
            </w:r>
          </w:p>
        </w:tc>
        <w:tc>
          <w:tcPr>
            <w:tcW w:w="20" w:type="dxa"/>
            <w:vAlign w:val="bottom"/>
            <w:tcBorders>
              <w:top w:val="single" w:sz="8" w:color="0000EE"/>
            </w:tcBorders>
          </w:tcPr>
          <w:p>
            <w:pPr>
              <w:spacing w:after="0"/>
              <w:rPr>
                <w:sz w:val="15"/>
                <w:szCs w:val="15"/>
                <w:color w:val="auto"/>
              </w:rPr>
            </w:pPr>
          </w:p>
        </w:tc>
        <w:tc>
          <w:tcPr>
            <w:tcW w:w="7260" w:type="dxa"/>
            <w:vAlign w:val="bottom"/>
            <w:gridSpan w:val="9"/>
          </w:tcPr>
          <w:p>
            <w:pPr>
              <w:jc w:val="right"/>
              <w:ind w:right="100"/>
              <w:spacing w:after="0" w:line="182" w:lineRule="exact"/>
              <w:rPr>
                <w:sz w:val="20"/>
                <w:szCs w:val="20"/>
                <w:color w:val="auto"/>
              </w:rPr>
            </w:pPr>
            <w:r>
              <w:rPr>
                <w:rFonts w:ascii="Times New Roman" w:cs="Times New Roman" w:eastAsia="Times New Roman" w:hAnsi="Times New Roman"/>
                <w:sz w:val="18"/>
                <w:szCs w:val="18"/>
                <w:color w:val="0000FF"/>
              </w:rPr>
              <w:t>to Rule 13a-14(a) and 15d-14(a), as adopted pursuant to Section 302 of the Sarbanes-Oxley Act of</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2002, relating to Domino’s Pizza, Inc.</w:t>
            </w:r>
          </w:p>
        </w:tc>
        <w:tc>
          <w:tcPr>
            <w:tcW w:w="20" w:type="dxa"/>
            <w:vAlign w:val="bottom"/>
            <w:tcBorders>
              <w:top w:val="single" w:sz="8" w:color="0000FF"/>
              <w:bottom w:val="single" w:sz="8" w:color="0000EE"/>
            </w:tcBorders>
          </w:tcPr>
          <w:p>
            <w:pPr>
              <w:spacing w:after="0"/>
              <w:rPr>
                <w:sz w:val="14"/>
                <w:szCs w:val="14"/>
                <w:color w:val="auto"/>
              </w:rPr>
            </w:pPr>
          </w:p>
        </w:tc>
        <w:tc>
          <w:tcPr>
            <w:tcW w:w="73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by Russell J. Weiner pursuant to Section 1350, Chapter 63 of Title 18, United States Code, as adopted pursuant to Section 906</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 relating to Domino’s Pizza, Inc.</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Certification by Sandeep Reddy pursuant to Section 1350, Chapter</w:t>
            </w:r>
          </w:p>
        </w:tc>
        <w:tc>
          <w:tcPr>
            <w:tcW w:w="20" w:type="dxa"/>
            <w:vAlign w:val="bottom"/>
            <w:tcBorders>
              <w:top w:val="single" w:sz="8" w:color="0000EE"/>
            </w:tcBorders>
          </w:tcPr>
          <w:p>
            <w:pPr>
              <w:spacing w:after="0"/>
              <w:rPr>
                <w:sz w:val="15"/>
                <w:szCs w:val="15"/>
                <w:color w:val="auto"/>
              </w:rPr>
            </w:pPr>
          </w:p>
        </w:tc>
        <w:tc>
          <w:tcPr>
            <w:tcW w:w="5300" w:type="dxa"/>
            <w:vAlign w:val="bottom"/>
            <w:gridSpan w:val="5"/>
          </w:tcPr>
          <w:p>
            <w:pPr>
              <w:jc w:val="right"/>
              <w:ind w:right="100"/>
              <w:spacing w:after="0" w:line="182" w:lineRule="exact"/>
              <w:rPr>
                <w:sz w:val="20"/>
                <w:szCs w:val="20"/>
                <w:color w:val="auto"/>
              </w:rPr>
            </w:pPr>
            <w:r>
              <w:rPr>
                <w:rFonts w:ascii="Times New Roman" w:cs="Times New Roman" w:eastAsia="Times New Roman" w:hAnsi="Times New Roman"/>
                <w:sz w:val="18"/>
                <w:szCs w:val="18"/>
                <w:color w:val="0000FF"/>
                <w:w w:val="98"/>
              </w:rPr>
              <w:t>63 of Title 18, United States Code, as adopted pursuant to Section 906 of</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 relating to Domino’s Pizza, Inc.</w:t>
            </w:r>
          </w:p>
        </w:tc>
        <w:tc>
          <w:tcPr>
            <w:tcW w:w="542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3"/>
          </w:tcPr>
          <w:p>
            <w:pPr>
              <w:spacing w:after="0" w:line="177"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49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8" w:name="page29"/>
    <w:bookmarkEnd w:id="28"/>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178" w:lineRule="exact"/>
        <w:rPr>
          <w:sz w:val="20"/>
          <w:szCs w:val="20"/>
          <w:color w:val="auto"/>
        </w:rPr>
      </w:pPr>
    </w:p>
    <w:p>
      <w:pPr>
        <w:ind w:left="20"/>
        <w:spacing w:after="0"/>
        <w:tabs>
          <w:tab w:leader="none" w:pos="6020" w:val="left"/>
        </w:tabs>
        <w:rPr>
          <w:sz w:val="20"/>
          <w:szCs w:val="20"/>
          <w:color w:val="auto"/>
        </w:rPr>
      </w:pPr>
      <w:r>
        <w:rPr>
          <w:rFonts w:ascii="Times New Roman" w:cs="Times New Roman" w:eastAsia="Times New Roman" w:hAnsi="Times New Roman"/>
          <w:sz w:val="18"/>
          <w:szCs w:val="18"/>
          <w:color w:val="auto"/>
        </w:rPr>
        <w:t>Date: October 13, 2022</w:t>
      </w:r>
      <w:r>
        <w:rPr>
          <w:sz w:val="20"/>
          <w:szCs w:val="20"/>
          <w:color w:val="auto"/>
        </w:rPr>
        <w:tab/>
      </w:r>
      <w:r>
        <w:rPr>
          <w:rFonts w:ascii="Times New Roman" w:cs="Times New Roman" w:eastAsia="Times New Roman" w:hAnsi="Times New Roman"/>
          <w:sz w:val="17"/>
          <w:szCs w:val="17"/>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Sandeep Reddy</w:t>
      </w:r>
    </w:p>
    <w:p>
      <w:pPr>
        <w:ind w:left="6120"/>
        <w:spacing w:after="0" w:line="237"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320" w:right="10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16"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8"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44"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4"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36"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October 13, 2022</w:t>
            </w: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00"/>
        </w:trPr>
        <w:tc>
          <w:tcPr>
            <w:tcW w:w="20" w:type="dxa"/>
            <w:vAlign w:val="bottom"/>
          </w:tcPr>
          <w:p>
            <w:pPr>
              <w:spacing w:after="0"/>
              <w:rPr>
                <w:sz w:val="17"/>
                <w:szCs w:val="17"/>
                <w:color w:val="auto"/>
              </w:rPr>
            </w:pPr>
          </w:p>
        </w:tc>
        <w:tc>
          <w:tcPr>
            <w:tcW w:w="13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5520" w:type="dxa"/>
            <w:vAlign w:val="bottom"/>
          </w:tcPr>
          <w:p>
            <w:pPr>
              <w:spacing w:after="0"/>
              <w:rPr>
                <w:sz w:val="17"/>
                <w:szCs w:val="17"/>
                <w:color w:val="auto"/>
              </w:rPr>
            </w:pPr>
          </w:p>
        </w:tc>
        <w:tc>
          <w:tcPr>
            <w:tcW w:w="16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Russell J. Weiner</w:t>
            </w:r>
          </w:p>
        </w:tc>
        <w:tc>
          <w:tcPr>
            <w:tcW w:w="27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514"/>
        </w:trPr>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16"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8"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44"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4"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36"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October 13, 2022</w:t>
            </w: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00"/>
        </w:trPr>
        <w:tc>
          <w:tcPr>
            <w:tcW w:w="20" w:type="dxa"/>
            <w:vAlign w:val="bottom"/>
          </w:tcPr>
          <w:p>
            <w:pPr>
              <w:spacing w:after="0"/>
              <w:rPr>
                <w:sz w:val="17"/>
                <w:szCs w:val="17"/>
                <w:color w:val="auto"/>
              </w:rPr>
            </w:pPr>
          </w:p>
        </w:tc>
        <w:tc>
          <w:tcPr>
            <w:tcW w:w="13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6120" w:type="dxa"/>
            <w:vAlign w:val="bottom"/>
          </w:tcPr>
          <w:p>
            <w:pPr>
              <w:spacing w:after="0"/>
              <w:rPr>
                <w:sz w:val="17"/>
                <w:szCs w:val="17"/>
                <w:color w:val="auto"/>
              </w:rPr>
            </w:pPr>
          </w:p>
        </w:tc>
        <w:tc>
          <w:tcPr>
            <w:tcW w:w="14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Sandeep Reddy</w:t>
            </w:r>
          </w:p>
        </w:tc>
        <w:tc>
          <w:tcPr>
            <w:tcW w:w="226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ind w:left="4440"/>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38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September 11, 2022, as filed with the Securities and Exchange Commission (the “Report”), I, Russell J. Weiner, Chief Executive Officer of the Company, certify, pursuant to 18 U.S.C. § 1350, adopted pursuant to §906 of the Sarbanes-Oxley Act of 2002, that based on my knowledge:</w:t>
      </w:r>
    </w:p>
    <w:p>
      <w:pPr>
        <w:spacing w:after="0" w:line="375" w:lineRule="exact"/>
        <w:rPr>
          <w:sz w:val="20"/>
          <w:szCs w:val="20"/>
          <w:color w:val="auto"/>
        </w:rPr>
      </w:pPr>
    </w:p>
    <w:p>
      <w:pPr>
        <w:ind w:left="760" w:right="400" w:hanging="378"/>
        <w:spacing w:after="0" w:line="271"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22"/>
          <w:szCs w:val="22"/>
          <w:color w:val="auto"/>
        </w:rPr>
      </w:pPr>
    </w:p>
    <w:p>
      <w:pPr>
        <w:ind w:left="760" w:right="460" w:hanging="378"/>
        <w:spacing w:after="0" w:line="271"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u w:val="single" w:color="auto"/>
          <w:color w:val="auto"/>
        </w:rPr>
        <w:t>/s/ Russell J. Weiner</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Russell J. Weiner</w:t>
      </w:r>
    </w:p>
    <w:p>
      <w:pPr>
        <w:ind w:left="3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13,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ind w:left="4440"/>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38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September 11, 2022, as filed with the Securities and Exchange Commission (the “Report”), I, Sandeep Reddy, Chief Financial Officer of the Company, certify, pursuant to 18 U.S.C. § 1350, adopted pursuant to §906 of the Sarbanes-Oxley Act of 2002, that based on my knowledge:</w:t>
      </w:r>
    </w:p>
    <w:p>
      <w:pPr>
        <w:spacing w:after="0" w:line="375" w:lineRule="exact"/>
        <w:rPr>
          <w:sz w:val="20"/>
          <w:szCs w:val="20"/>
          <w:color w:val="auto"/>
        </w:rPr>
      </w:pPr>
    </w:p>
    <w:p>
      <w:pPr>
        <w:ind w:left="760" w:right="400" w:hanging="378"/>
        <w:spacing w:after="0" w:line="271"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22"/>
          <w:szCs w:val="22"/>
          <w:color w:val="auto"/>
        </w:rPr>
      </w:pPr>
    </w:p>
    <w:p>
      <w:pPr>
        <w:ind w:left="760" w:right="460" w:hanging="378"/>
        <w:spacing w:after="0" w:line="271"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u w:val="single" w:color="auto"/>
          <w:color w:val="auto"/>
        </w:rPr>
        <w:t>/s/ Sandeep Reddy</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Sandeep Reddy</w:t>
      </w:r>
    </w:p>
    <w:p>
      <w:pPr>
        <w:ind w:left="376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13,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7"/>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2022-10-13T06:39:45Z</dcterms:created>
  <dcterms:modified xsi:type="dcterms:W3CDTF">2022-10-13T06:39:45Z</dcterms:modified>
</cp:coreProperties>
</file>