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fiscal year ended January 3, 2021</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001-32242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Domino’s Pizza,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20" w:type="dxa"/>
        <w:tblCellMar>
          <w:top w:w="0" w:type="dxa"/>
          <w:left w:w="0" w:type="dxa"/>
          <w:bottom w:w="0" w:type="dxa"/>
          <w:right w:w="0" w:type="dxa"/>
        </w:tblCellMar>
      </w:tblPr>
      <w:tr>
        <w:trPr>
          <w:trHeight w:val="212"/>
        </w:trPr>
        <w:tc>
          <w:tcPr>
            <w:tcW w:w="4340" w:type="dxa"/>
            <w:vAlign w:val="bottom"/>
            <w:gridSpan w:val="3"/>
          </w:tcPr>
          <w:p>
            <w:pPr>
              <w:jc w:val="center"/>
              <w:ind w:left="1076"/>
              <w:spacing w:after="0"/>
              <w:rPr>
                <w:sz w:val="20"/>
                <w:szCs w:val="20"/>
                <w:color w:val="auto"/>
              </w:rPr>
            </w:pPr>
            <w:r>
              <w:rPr>
                <w:rFonts w:ascii="Arial" w:cs="Arial" w:eastAsia="Arial" w:hAnsi="Arial"/>
                <w:sz w:val="18"/>
                <w:szCs w:val="18"/>
                <w:b w:val="1"/>
                <w:bCs w:val="1"/>
                <w:color w:val="auto"/>
                <w:w w:val="98"/>
              </w:rPr>
              <w:t>DELAWARE</w:t>
            </w:r>
          </w:p>
        </w:tc>
        <w:tc>
          <w:tcPr>
            <w:tcW w:w="2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422"/>
              <w:spacing w:after="0"/>
              <w:rPr>
                <w:sz w:val="20"/>
                <w:szCs w:val="20"/>
                <w:color w:val="auto"/>
              </w:rPr>
            </w:pPr>
            <w:r>
              <w:rPr>
                <w:rFonts w:ascii="Arial" w:cs="Arial" w:eastAsia="Arial" w:hAnsi="Arial"/>
                <w:sz w:val="18"/>
                <w:szCs w:val="18"/>
                <w:b w:val="1"/>
                <w:bCs w:val="1"/>
                <w:color w:val="auto"/>
              </w:rPr>
              <w:t>38-2511577</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340" w:type="dxa"/>
            <w:vAlign w:val="bottom"/>
            <w:gridSpan w:val="3"/>
          </w:tcPr>
          <w:p>
            <w:pPr>
              <w:jc w:val="center"/>
              <w:ind w:left="1076"/>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2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center"/>
              <w:ind w:right="102"/>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340" w:type="dxa"/>
            <w:vAlign w:val="bottom"/>
            <w:gridSpan w:val="3"/>
          </w:tcPr>
          <w:p>
            <w:pPr>
              <w:jc w:val="center"/>
              <w:ind w:left="1076"/>
              <w:spacing w:after="0"/>
              <w:rPr>
                <w:sz w:val="20"/>
                <w:szCs w:val="20"/>
                <w:color w:val="auto"/>
              </w:rPr>
            </w:pPr>
            <w:r>
              <w:rPr>
                <w:rFonts w:ascii="Arial" w:cs="Arial" w:eastAsia="Arial" w:hAnsi="Arial"/>
                <w:sz w:val="14"/>
                <w:szCs w:val="14"/>
                <w:b w:val="1"/>
                <w:bCs w:val="1"/>
                <w:color w:val="auto"/>
                <w:w w:val="93"/>
              </w:rPr>
              <w:t>incorporation or organization)</w:t>
            </w:r>
          </w:p>
        </w:tc>
        <w:tc>
          <w:tcPr>
            <w:tcW w:w="2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center"/>
              <w:ind w:right="122"/>
              <w:spacing w:after="0"/>
              <w:rPr>
                <w:sz w:val="20"/>
                <w:szCs w:val="20"/>
                <w:color w:val="auto"/>
              </w:rPr>
            </w:pPr>
            <w:r>
              <w:rPr>
                <w:rFonts w:ascii="Arial" w:cs="Arial" w:eastAsia="Arial" w:hAnsi="Arial"/>
                <w:sz w:val="14"/>
                <w:szCs w:val="14"/>
                <w:b w:val="1"/>
                <w:bCs w:val="1"/>
                <w:color w:val="auto"/>
                <w:w w:val="96"/>
              </w:rPr>
              <w:t>Identification No.)</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9"/>
        </w:trPr>
        <w:tc>
          <w:tcPr>
            <w:tcW w:w="4340" w:type="dxa"/>
            <w:vAlign w:val="bottom"/>
            <w:gridSpan w:val="3"/>
          </w:tcPr>
          <w:p>
            <w:pPr>
              <w:jc w:val="center"/>
              <w:ind w:left="1076"/>
              <w:spacing w:after="0"/>
              <w:rPr>
                <w:sz w:val="20"/>
                <w:szCs w:val="20"/>
                <w:color w:val="auto"/>
              </w:rPr>
            </w:pPr>
            <w:r>
              <w:rPr>
                <w:rFonts w:ascii="Arial" w:cs="Arial" w:eastAsia="Arial" w:hAnsi="Arial"/>
                <w:sz w:val="18"/>
                <w:szCs w:val="18"/>
                <w:b w:val="1"/>
                <w:bCs w:val="1"/>
                <w:color w:val="auto"/>
                <w:w w:val="94"/>
              </w:rPr>
              <w:t>30 Frank Lloyd Wright Drive</w:t>
            </w:r>
          </w:p>
        </w:tc>
        <w:tc>
          <w:tcPr>
            <w:tcW w:w="2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340" w:type="dxa"/>
            <w:vAlign w:val="bottom"/>
            <w:gridSpan w:val="3"/>
          </w:tcPr>
          <w:p>
            <w:pPr>
              <w:jc w:val="center"/>
              <w:ind w:left="1076"/>
              <w:spacing w:after="0"/>
              <w:rPr>
                <w:sz w:val="20"/>
                <w:szCs w:val="20"/>
                <w:color w:val="auto"/>
              </w:rPr>
            </w:pPr>
            <w:r>
              <w:rPr>
                <w:rFonts w:ascii="Arial" w:cs="Arial" w:eastAsia="Arial" w:hAnsi="Arial"/>
                <w:sz w:val="18"/>
                <w:szCs w:val="18"/>
                <w:b w:val="1"/>
                <w:bCs w:val="1"/>
                <w:color w:val="auto"/>
                <w:w w:val="93"/>
              </w:rPr>
              <w:t>Ann Arbor, Michigan</w:t>
            </w:r>
          </w:p>
        </w:tc>
        <w:tc>
          <w:tcPr>
            <w:tcW w:w="2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ind w:right="622"/>
              <w:spacing w:after="0"/>
              <w:rPr>
                <w:sz w:val="20"/>
                <w:szCs w:val="20"/>
                <w:color w:val="auto"/>
              </w:rPr>
            </w:pPr>
            <w:r>
              <w:rPr>
                <w:rFonts w:ascii="Arial" w:cs="Arial" w:eastAsia="Arial" w:hAnsi="Arial"/>
                <w:sz w:val="18"/>
                <w:szCs w:val="18"/>
                <w:b w:val="1"/>
                <w:bCs w:val="1"/>
                <w:color w:val="auto"/>
              </w:rPr>
              <w:t>48105</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340" w:type="dxa"/>
            <w:vAlign w:val="bottom"/>
            <w:gridSpan w:val="3"/>
          </w:tcPr>
          <w:p>
            <w:pPr>
              <w:jc w:val="center"/>
              <w:ind w:left="107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center"/>
              <w:ind w:right="122"/>
              <w:spacing w:after="0"/>
              <w:rPr>
                <w:sz w:val="20"/>
                <w:szCs w:val="20"/>
                <w:color w:val="auto"/>
              </w:rPr>
            </w:pPr>
            <w:r>
              <w:rPr>
                <w:rFonts w:ascii="Arial" w:cs="Arial" w:eastAsia="Arial" w:hAnsi="Arial"/>
                <w:sz w:val="14"/>
                <w:szCs w:val="14"/>
                <w:b w:val="1"/>
                <w:bCs w:val="1"/>
                <w:color w:val="auto"/>
                <w:w w:val="95"/>
              </w:rPr>
              <w:t>(Zip Code)</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9180" w:type="dxa"/>
            <w:vAlign w:val="bottom"/>
            <w:gridSpan w:val="8"/>
          </w:tcPr>
          <w:p>
            <w:pPr>
              <w:jc w:val="center"/>
              <w:ind w:left="1736"/>
              <w:spacing w:after="0"/>
              <w:rPr>
                <w:sz w:val="20"/>
                <w:szCs w:val="20"/>
                <w:color w:val="auto"/>
              </w:rPr>
            </w:pPr>
            <w:r>
              <w:rPr>
                <w:rFonts w:ascii="Arial" w:cs="Arial" w:eastAsia="Arial" w:hAnsi="Arial"/>
                <w:sz w:val="18"/>
                <w:szCs w:val="18"/>
                <w:b w:val="1"/>
                <w:bCs w:val="1"/>
                <w:color w:val="auto"/>
                <w:w w:val="89"/>
              </w:rPr>
              <w:t>Registrant’s telephone number, including area code (734) 930-3030</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80" w:type="dxa"/>
            <w:vAlign w:val="bottom"/>
            <w:gridSpan w:val="8"/>
          </w:tcPr>
          <w:p>
            <w:pPr>
              <w:jc w:val="center"/>
              <w:ind w:left="1736"/>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340" w:type="dxa"/>
            <w:vAlign w:val="bottom"/>
            <w:gridSpan w:val="3"/>
            <w:vMerge w:val="restart"/>
          </w:tcPr>
          <w:p>
            <w:pPr>
              <w:ind w:left="1360"/>
              <w:spacing w:after="0"/>
              <w:rPr>
                <w:sz w:val="20"/>
                <w:szCs w:val="20"/>
                <w:color w:val="auto"/>
              </w:rPr>
            </w:pPr>
            <w:r>
              <w:rPr>
                <w:rFonts w:ascii="Arial" w:cs="Arial" w:eastAsia="Arial" w:hAnsi="Arial"/>
                <w:sz w:val="14"/>
                <w:szCs w:val="14"/>
                <w:b w:val="1"/>
                <w:bCs w:val="1"/>
                <w:color w:val="auto"/>
              </w:rPr>
              <w:t>Title of Each Class</w:t>
            </w:r>
          </w:p>
        </w:tc>
        <w:tc>
          <w:tcPr>
            <w:tcW w:w="31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7"/>
              </w:rPr>
              <w:t>Trading</w:t>
            </w:r>
          </w:p>
        </w:tc>
        <w:tc>
          <w:tcPr>
            <w:tcW w:w="400" w:type="dxa"/>
            <w:vAlign w:val="bottom"/>
          </w:tcPr>
          <w:p>
            <w:pPr>
              <w:spacing w:after="0"/>
              <w:rPr>
                <w:sz w:val="24"/>
                <w:szCs w:val="24"/>
                <w:color w:val="auto"/>
              </w:rPr>
            </w:pPr>
          </w:p>
        </w:tc>
        <w:tc>
          <w:tcPr>
            <w:tcW w:w="310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4340" w:type="dxa"/>
            <w:vAlign w:val="bottom"/>
            <w:gridSpan w:val="3"/>
            <w:vMerge w:val="continue"/>
          </w:tcPr>
          <w:p>
            <w:pPr>
              <w:spacing w:after="0"/>
              <w:rPr>
                <w:sz w:val="16"/>
                <w:szCs w:val="16"/>
                <w:color w:val="auto"/>
              </w:rPr>
            </w:pPr>
          </w:p>
        </w:tc>
        <w:tc>
          <w:tcPr>
            <w:tcW w:w="31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0"/>
              </w:rPr>
              <w:t>Symbol</w:t>
            </w:r>
          </w:p>
        </w:tc>
        <w:tc>
          <w:tcPr>
            <w:tcW w:w="400" w:type="dxa"/>
            <w:vAlign w:val="bottom"/>
          </w:tcPr>
          <w:p>
            <w:pPr>
              <w:spacing w:after="0"/>
              <w:rPr>
                <w:sz w:val="16"/>
                <w:szCs w:val="16"/>
                <w:color w:val="auto"/>
              </w:rPr>
            </w:pPr>
          </w:p>
        </w:tc>
        <w:tc>
          <w:tcPr>
            <w:tcW w:w="310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1"/>
              </w:rPr>
              <w:t>on Which Registered</w:t>
            </w:r>
          </w:p>
        </w:tc>
        <w:tc>
          <w:tcPr>
            <w:tcW w:w="0" w:type="dxa"/>
            <w:vAlign w:val="bottom"/>
          </w:tcPr>
          <w:p>
            <w:pPr>
              <w:spacing w:after="0"/>
              <w:rPr>
                <w:sz w:val="1"/>
                <w:szCs w:val="1"/>
                <w:color w:val="auto"/>
              </w:rPr>
            </w:pPr>
          </w:p>
        </w:tc>
      </w:tr>
      <w:tr>
        <w:trPr>
          <w:trHeight w:val="224"/>
        </w:trPr>
        <w:tc>
          <w:tcPr>
            <w:tcW w:w="38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Domino’s Pizza, Inc. Common Stock, $0.01 par value</w:t>
            </w:r>
          </w:p>
        </w:tc>
        <w:tc>
          <w:tcPr>
            <w:tcW w:w="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06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8"/>
                <w:szCs w:val="18"/>
                <w:color w:val="auto"/>
                <w:w w:val="94"/>
              </w:rPr>
              <w:t>DPZ</w:t>
            </w: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100" w:type="dxa"/>
            <w:vAlign w:val="bottom"/>
            <w:tcBorders>
              <w:top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377"/>
        </w:trPr>
        <w:tc>
          <w:tcPr>
            <w:tcW w:w="9180" w:type="dxa"/>
            <w:vAlign w:val="bottom"/>
            <w:gridSpan w:val="8"/>
          </w:tcPr>
          <w:p>
            <w:pPr>
              <w:jc w:val="center"/>
              <w:ind w:left="1736"/>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3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9180" w:type="dxa"/>
            <w:vAlign w:val="bottom"/>
            <w:gridSpan w:val="8"/>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2"/>
              </w:rPr>
              <w:t>☒</w:t>
            </w:r>
          </w:p>
        </w:tc>
        <w:tc>
          <w:tcPr>
            <w:tcW w:w="1840" w:type="dxa"/>
            <w:vAlign w:val="bottom"/>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4"/>
        </w:trPr>
        <w:tc>
          <w:tcPr>
            <w:tcW w:w="9180" w:type="dxa"/>
            <w:vAlign w:val="bottom"/>
            <w:gridSpan w:val="8"/>
          </w:tcPr>
          <w:p>
            <w:pPr>
              <w:spacing w:after="0" w:line="207" w:lineRule="exact"/>
              <w:rPr>
                <w:sz w:val="20"/>
                <w:szCs w:val="20"/>
                <w:color w:val="auto"/>
              </w:rPr>
            </w:pPr>
            <w:r>
              <w:rPr>
                <w:rFonts w:ascii="Arial" w:cs="Arial" w:eastAsia="Arial" w:hAnsi="Arial"/>
                <w:sz w:val="18"/>
                <w:szCs w:val="18"/>
                <w:color w:val="auto"/>
                <w:w w:val="91"/>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1"/>
              </w:rPr>
              <w:t>☐</w:t>
            </w:r>
          </w:p>
        </w:tc>
        <w:tc>
          <w:tcPr>
            <w:tcW w:w="184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ind w:left="120" w:right="80"/>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4"/>
          <w:szCs w:val="24"/>
          <w:color w:val="auto"/>
        </w:rPr>
      </w:pPr>
    </w:p>
    <w:p>
      <w:pPr>
        <w:ind w:left="120"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140"/>
          </w:cols>
          <w:pgMar w:left="320" w:top="230" w:right="439" w:bottom="0" w:gutter="0" w:footer="0" w:header="0"/>
        </w:sectPr>
      </w:pPr>
    </w:p>
    <w:bookmarkStart w:id="1" w:name="page2"/>
    <w:bookmarkEnd w:id="1"/>
    <w:p>
      <w:pPr>
        <w:ind w:right="120"/>
        <w:spacing w:after="0" w:line="233" w:lineRule="exact"/>
        <w:rPr>
          <w:sz w:val="20"/>
          <w:szCs w:val="20"/>
          <w:color w:val="auto"/>
        </w:rPr>
      </w:pPr>
      <w:r>
        <w:rPr>
          <w:rFonts w:ascii="Arial" w:cs="Arial" w:eastAsia="Arial" w:hAnsi="Arial"/>
          <w:sz w:val="18"/>
          <w:szCs w:val="18"/>
          <w:color w:val="auto"/>
        </w:rPr>
        <w:t xml:space="preserve">If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0"/>
          <w:szCs w:val="20"/>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0"/>
          <w:szCs w:val="20"/>
          <w:color w:val="auto"/>
        </w:rPr>
      </w:pPr>
    </w:p>
    <w:p>
      <w:pPr>
        <w:spacing w:after="0" w:line="207" w:lineRule="exact"/>
        <w:tabs>
          <w:tab w:leader="none" w:pos="81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aggregate market value of the voting and non-voting common stock held by non-affiliates of Domino’s Pizza, Inc. as of June 14, 2020 computed by reference to the closing price of Domino’s Pizza, Inc.’s common stock on the New York Stock Exchange on such date was $14,785,755,999.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18, 2021, Domino’s Pizza, Inc. had 38,803,504 shares of common stock, par value $0.01 per share, outstanding.</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Documents incorporated by reference:</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Portions of the definitive proxy statement to be furnished to shareholders of Domino’s Pizza, Inc. in connection with the annual meeting of shareholders to be held on April 27, 2021 are incorporated by reference into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125"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9820" w:type="dxa"/>
            <w:vAlign w:val="bottom"/>
            <w:gridSpan w:val="3"/>
          </w:tcPr>
          <w:p>
            <w:pPr>
              <w:ind w:left="370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9"/>
        </w:trPr>
        <w:tc>
          <w:tcPr>
            <w:tcW w:w="8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2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6120" w:type="dxa"/>
            <w:vAlign w:val="bottom"/>
            <w:gridSpan w:val="2"/>
            <w:vMerge w:val="restart"/>
          </w:tcPr>
          <w:p>
            <w:pPr>
              <w:jc w:val="center"/>
              <w:ind w:right="3600"/>
              <w:spacing w:after="0"/>
              <w:rPr>
                <w:sz w:val="20"/>
                <w:szCs w:val="20"/>
                <w:color w:val="auto"/>
              </w:rPr>
            </w:pPr>
            <w:r>
              <w:rPr>
                <w:rFonts w:ascii="Arial" w:cs="Arial" w:eastAsia="Arial" w:hAnsi="Arial"/>
                <w:sz w:val="18"/>
                <w:szCs w:val="18"/>
                <w:b w:val="1"/>
                <w:bCs w:val="1"/>
                <w:color w:val="auto"/>
                <w:w w:val="97"/>
              </w:rPr>
              <w:t>Part I</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61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820" w:type="dxa"/>
            <w:vAlign w:val="bottom"/>
            <w:gridSpan w:val="3"/>
          </w:tcPr>
          <w:p>
            <w:pPr>
              <w:ind w:left="2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Business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1A.</w:t>
            </w:r>
          </w:p>
        </w:tc>
        <w:tc>
          <w:tcPr>
            <w:tcW w:w="9820" w:type="dxa"/>
            <w:vAlign w:val="bottom"/>
            <w:gridSpan w:val="3"/>
          </w:tcPr>
          <w:p>
            <w:pPr>
              <w:ind w:left="20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Risk Factors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1B.</w:t>
            </w:r>
          </w:p>
        </w:tc>
        <w:tc>
          <w:tcPr>
            <w:tcW w:w="9820" w:type="dxa"/>
            <w:vAlign w:val="bottom"/>
            <w:gridSpan w:val="3"/>
          </w:tcPr>
          <w:p>
            <w:pPr>
              <w:ind w:left="20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Unresolved Staff Comments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820" w:type="dxa"/>
            <w:vAlign w:val="bottom"/>
            <w:gridSpan w:val="3"/>
          </w:tcPr>
          <w:p>
            <w:pPr>
              <w:ind w:left="20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Properties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9820" w:type="dxa"/>
            <w:vAlign w:val="bottom"/>
            <w:gridSpan w:val="3"/>
          </w:tcPr>
          <w:p>
            <w:pPr>
              <w:ind w:left="20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Legal Proceedings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9820" w:type="dxa"/>
            <w:vAlign w:val="bottom"/>
            <w:gridSpan w:val="3"/>
          </w:tcPr>
          <w:p>
            <w:pPr>
              <w:ind w:left="20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Mine Safety Disclosures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4A.</w:t>
            </w:r>
          </w:p>
        </w:tc>
        <w:tc>
          <w:tcPr>
            <w:tcW w:w="9820" w:type="dxa"/>
            <w:vAlign w:val="bottom"/>
            <w:gridSpan w:val="3"/>
          </w:tcPr>
          <w:p>
            <w:pPr>
              <w:ind w:left="20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Executive Officers of the Registrant</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8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120" w:type="dxa"/>
            <w:vAlign w:val="bottom"/>
            <w:gridSpan w:val="2"/>
          </w:tcPr>
          <w:p>
            <w:pPr>
              <w:jc w:val="center"/>
              <w:ind w:right="3600"/>
              <w:spacing w:after="0"/>
              <w:rPr>
                <w:sz w:val="20"/>
                <w:szCs w:val="20"/>
                <w:color w:val="auto"/>
              </w:rPr>
            </w:pPr>
            <w:r>
              <w:rPr>
                <w:rFonts w:ascii="Arial" w:cs="Arial" w:eastAsia="Arial" w:hAnsi="Arial"/>
                <w:sz w:val="18"/>
                <w:szCs w:val="18"/>
                <w:b w:val="1"/>
                <w:bCs w:val="1"/>
                <w:color w:val="auto"/>
              </w:rPr>
              <w:t>Part II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40" w:type="dxa"/>
            <w:vAlign w:val="bottom"/>
          </w:tcPr>
          <w:p>
            <w:pPr>
              <w:spacing w:after="0"/>
              <w:rPr>
                <w:sz w:val="20"/>
                <w:szCs w:val="20"/>
                <w:color w:val="auto"/>
              </w:rPr>
            </w:pPr>
            <w:r>
              <w:rPr>
                <w:rFonts w:ascii="Arial" w:cs="Arial" w:eastAsia="Arial" w:hAnsi="Arial"/>
                <w:sz w:val="18"/>
                <w:szCs w:val="18"/>
                <w:color w:val="auto"/>
              </w:rPr>
              <w:t>Item 5.</w:t>
            </w:r>
          </w:p>
        </w:tc>
        <w:tc>
          <w:tcPr>
            <w:tcW w:w="9820" w:type="dxa"/>
            <w:vAlign w:val="bottom"/>
            <w:gridSpan w:val="3"/>
          </w:tcPr>
          <w:p>
            <w:pPr>
              <w:ind w:left="20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9820" w:type="dxa"/>
            <w:vAlign w:val="bottom"/>
            <w:gridSpan w:val="3"/>
          </w:tcPr>
          <w:p>
            <w:pPr>
              <w:ind w:left="20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Selected Financial Data</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7.</w:t>
            </w:r>
          </w:p>
        </w:tc>
        <w:tc>
          <w:tcPr>
            <w:tcW w:w="9820" w:type="dxa"/>
            <w:vAlign w:val="bottom"/>
            <w:gridSpan w:val="3"/>
          </w:tcPr>
          <w:p>
            <w:pPr>
              <w:ind w:left="20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Management’s Discussion and Analysis of Financial Condition and Results of Operations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7A.</w:t>
            </w:r>
          </w:p>
        </w:tc>
        <w:tc>
          <w:tcPr>
            <w:tcW w:w="9820" w:type="dxa"/>
            <w:vAlign w:val="bottom"/>
            <w:gridSpan w:val="3"/>
          </w:tcPr>
          <w:p>
            <w:pPr>
              <w:ind w:left="20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Quantitative and Qualitative Disclosures About Market Risk</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8.</w:t>
            </w:r>
          </w:p>
        </w:tc>
        <w:tc>
          <w:tcPr>
            <w:tcW w:w="9820" w:type="dxa"/>
            <w:vAlign w:val="bottom"/>
            <w:gridSpan w:val="3"/>
          </w:tcPr>
          <w:p>
            <w:pPr>
              <w:ind w:left="20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Financial Statements and Supplementary Data</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9.</w:t>
            </w:r>
          </w:p>
        </w:tc>
        <w:tc>
          <w:tcPr>
            <w:tcW w:w="9820" w:type="dxa"/>
            <w:vAlign w:val="bottom"/>
            <w:gridSpan w:val="3"/>
          </w:tcPr>
          <w:p>
            <w:pPr>
              <w:ind w:left="20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Changes in and Disagreements with Accountants on Accounting and Financial Disclosure</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9A.</w:t>
            </w:r>
          </w:p>
        </w:tc>
        <w:tc>
          <w:tcPr>
            <w:tcW w:w="9820" w:type="dxa"/>
            <w:vAlign w:val="bottom"/>
            <w:gridSpan w:val="3"/>
          </w:tcPr>
          <w:p>
            <w:pPr>
              <w:ind w:left="20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Controls and Procedures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9B.</w:t>
            </w:r>
          </w:p>
        </w:tc>
        <w:tc>
          <w:tcPr>
            <w:tcW w:w="9820" w:type="dxa"/>
            <w:vAlign w:val="bottom"/>
            <w:gridSpan w:val="3"/>
          </w:tcPr>
          <w:p>
            <w:pPr>
              <w:ind w:left="20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Other Information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24"/>
        </w:trPr>
        <w:tc>
          <w:tcPr>
            <w:tcW w:w="8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120" w:type="dxa"/>
            <w:vAlign w:val="bottom"/>
            <w:gridSpan w:val="2"/>
          </w:tcPr>
          <w:p>
            <w:pPr>
              <w:jc w:val="center"/>
              <w:ind w:right="3600"/>
              <w:spacing w:after="0"/>
              <w:rPr>
                <w:sz w:val="20"/>
                <w:szCs w:val="20"/>
                <w:color w:val="auto"/>
              </w:rPr>
            </w:pPr>
            <w:r>
              <w:rPr>
                <w:rFonts w:ascii="Arial" w:cs="Arial" w:eastAsia="Arial" w:hAnsi="Arial"/>
                <w:sz w:val="18"/>
                <w:szCs w:val="18"/>
                <w:b w:val="1"/>
                <w:bCs w:val="1"/>
                <w:color w:val="auto"/>
              </w:rPr>
              <w:t>Part III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40" w:type="dxa"/>
            <w:vAlign w:val="bottom"/>
          </w:tcPr>
          <w:p>
            <w:pPr>
              <w:spacing w:after="0"/>
              <w:rPr>
                <w:sz w:val="20"/>
                <w:szCs w:val="20"/>
                <w:color w:val="auto"/>
              </w:rPr>
            </w:pPr>
            <w:r>
              <w:rPr>
                <w:rFonts w:ascii="Arial" w:cs="Arial" w:eastAsia="Arial" w:hAnsi="Arial"/>
                <w:sz w:val="18"/>
                <w:szCs w:val="18"/>
                <w:color w:val="auto"/>
              </w:rPr>
              <w:t>Item 10.</w:t>
            </w:r>
          </w:p>
        </w:tc>
        <w:tc>
          <w:tcPr>
            <w:tcW w:w="9820" w:type="dxa"/>
            <w:vAlign w:val="bottom"/>
            <w:gridSpan w:val="3"/>
          </w:tcPr>
          <w:p>
            <w:pPr>
              <w:ind w:left="20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Directors, Executive Officers and Corporate Governance</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11.</w:t>
            </w:r>
          </w:p>
        </w:tc>
        <w:tc>
          <w:tcPr>
            <w:tcW w:w="9820" w:type="dxa"/>
            <w:vAlign w:val="bottom"/>
            <w:gridSpan w:val="3"/>
          </w:tcPr>
          <w:p>
            <w:pPr>
              <w:ind w:left="20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Executive Compensation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12.</w:t>
            </w:r>
          </w:p>
        </w:tc>
        <w:tc>
          <w:tcPr>
            <w:tcW w:w="9820" w:type="dxa"/>
            <w:vAlign w:val="bottom"/>
            <w:gridSpan w:val="3"/>
          </w:tcPr>
          <w:p>
            <w:pPr>
              <w:ind w:left="20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Security Ownership of Certain Beneficial Owners and Management and Related Stockholder Matters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13.</w:t>
            </w:r>
          </w:p>
        </w:tc>
        <w:tc>
          <w:tcPr>
            <w:tcW w:w="9820" w:type="dxa"/>
            <w:vAlign w:val="bottom"/>
            <w:gridSpan w:val="3"/>
          </w:tcPr>
          <w:p>
            <w:pPr>
              <w:ind w:left="20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Certain Relationships and Related Transactions, and Director Independence</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14.</w:t>
            </w:r>
          </w:p>
        </w:tc>
        <w:tc>
          <w:tcPr>
            <w:tcW w:w="9820" w:type="dxa"/>
            <w:vAlign w:val="bottom"/>
            <w:gridSpan w:val="3"/>
          </w:tcPr>
          <w:p>
            <w:pPr>
              <w:ind w:left="20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Principal Accountant Fees and Services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24"/>
        </w:trPr>
        <w:tc>
          <w:tcPr>
            <w:tcW w:w="8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120" w:type="dxa"/>
            <w:vAlign w:val="bottom"/>
            <w:gridSpan w:val="2"/>
          </w:tcPr>
          <w:p>
            <w:pPr>
              <w:jc w:val="center"/>
              <w:ind w:right="3600"/>
              <w:spacing w:after="0"/>
              <w:rPr>
                <w:sz w:val="20"/>
                <w:szCs w:val="20"/>
                <w:color w:val="auto"/>
              </w:rPr>
            </w:pPr>
            <w:r>
              <w:rPr>
                <w:rFonts w:ascii="Arial" w:cs="Arial" w:eastAsia="Arial" w:hAnsi="Arial"/>
                <w:sz w:val="18"/>
                <w:szCs w:val="18"/>
                <w:b w:val="1"/>
                <w:bCs w:val="1"/>
                <w:color w:val="auto"/>
              </w:rPr>
              <w:t>Part IV</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40" w:type="dxa"/>
            <w:vAlign w:val="bottom"/>
          </w:tcPr>
          <w:p>
            <w:pPr>
              <w:spacing w:after="0"/>
              <w:rPr>
                <w:sz w:val="20"/>
                <w:szCs w:val="20"/>
                <w:color w:val="auto"/>
              </w:rPr>
            </w:pPr>
            <w:r>
              <w:rPr>
                <w:rFonts w:ascii="Arial" w:cs="Arial" w:eastAsia="Arial" w:hAnsi="Arial"/>
                <w:sz w:val="18"/>
                <w:szCs w:val="18"/>
                <w:color w:val="auto"/>
              </w:rPr>
              <w:t>Item 15.</w:t>
            </w:r>
          </w:p>
        </w:tc>
        <w:tc>
          <w:tcPr>
            <w:tcW w:w="9820" w:type="dxa"/>
            <w:vAlign w:val="bottom"/>
            <w:gridSpan w:val="3"/>
          </w:tcPr>
          <w:p>
            <w:pPr>
              <w:ind w:left="20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Exhibits, Financial Statement Schedules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16.</w:t>
            </w:r>
          </w:p>
        </w:tc>
        <w:tc>
          <w:tcPr>
            <w:tcW w:w="9820" w:type="dxa"/>
            <w:vAlign w:val="bottom"/>
            <w:gridSpan w:val="3"/>
          </w:tcPr>
          <w:p>
            <w:pPr>
              <w:ind w:left="20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Form 10-K Summary</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338"/>
        </w:trPr>
        <w:tc>
          <w:tcPr>
            <w:tcW w:w="10660" w:type="dxa"/>
            <w:vAlign w:val="bottom"/>
            <w:gridSpan w:val="4"/>
          </w:tcPr>
          <w:p>
            <w:pPr>
              <w:spacing w:after="0"/>
              <w:rPr>
                <w:rFonts w:ascii="Arial" w:cs="Arial" w:eastAsia="Arial" w:hAnsi="Arial"/>
                <w:sz w:val="18"/>
                <w:szCs w:val="18"/>
                <w:b w:val="1"/>
                <w:bCs w:val="1"/>
                <w:u w:val="single" w:color="auto"/>
                <w:color w:val="0000EE"/>
              </w:rPr>
            </w:pPr>
            <w:hyperlink w:anchor="page94">
              <w:r>
                <w:rPr>
                  <w:rFonts w:ascii="Arial" w:cs="Arial" w:eastAsia="Arial" w:hAnsi="Arial"/>
                  <w:sz w:val="18"/>
                  <w:szCs w:val="18"/>
                  <w:b w:val="1"/>
                  <w:bCs w:val="1"/>
                  <w:u w:val="single" w:color="auto"/>
                  <w:color w:val="0000EE"/>
                </w:rPr>
                <w:t>SIGNATURES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Throughout this document, Domino’s Pizza, Inc. (NYSE: DPZ) is referred to as the “Company,” “Domino’s,” “Domino’s Pizza” or in the first-person notations of “we,” “us” and “our.”</w:t>
      </w:r>
    </w:p>
    <w:p>
      <w:pPr>
        <w:spacing w:after="0" w:line="170" w:lineRule="exact"/>
        <w:rPr>
          <w:sz w:val="20"/>
          <w:szCs w:val="20"/>
          <w:color w:val="auto"/>
        </w:rPr>
      </w:pPr>
    </w:p>
    <w:p>
      <w:pPr>
        <w:ind w:left="120" w:right="60"/>
        <w:spacing w:after="0" w:line="277" w:lineRule="auto"/>
        <w:rPr>
          <w:sz w:val="20"/>
          <w:szCs w:val="20"/>
          <w:color w:val="auto"/>
        </w:rPr>
      </w:pPr>
      <w:r>
        <w:rPr>
          <w:rFonts w:ascii="Arial" w:cs="Arial" w:eastAsia="Arial" w:hAnsi="Arial"/>
          <w:sz w:val="16"/>
          <w:szCs w:val="16"/>
          <w:color w:val="auto"/>
        </w:rPr>
        <w:t>In this document, we rely on and refer to information regarding the U.S. quick service restaurant, or QSR, sector and the U.S. QSR pizza category from CREST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ongoing foodservice market research (years ending November) prepared by The NPD Group, as well as market research reports, analyst reports and other publicly-available information. Although we believe this information to be reliable, we have not independently verified it. U.S. sales information relating to the U.S. QSR sector and the U.S. QSR pizza category represent reported consumer spending obtained by The NPD Group’s CREST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ongoing foodservice market research from consumer surveys. This information relates to both our Company-owned and franchised stores.</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80"/>
          </w:cols>
          <w:pgMar w:left="320" w:top="486"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Business.</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Domino’s is the largest pizza company in the world based on global retail sales, with more than 17,600 locations in over 90 markets around the world as of January 3, 2021. Founded in 1960, our roots are in convenient pizza delivery, while a significant amount of our sales also come from carryout customers. We are a highly-recognized global brand and we focus on serving neighborhoods locally through our large global network of franchise owners and U.S. Company-owned stores. We are primarily a franchisor, with approximately 98% of Domino’s stores currently owned and operated by our independent franchisees. Franchising enables an individual to be his or her own employer and maintain control over all employment-related matters and pricing decisions, while also benefiting from the strength of the Domino’s global brand and operating system with limited capital investment by us.</w:t>
      </w:r>
    </w:p>
    <w:p>
      <w:pPr>
        <w:spacing w:after="0" w:line="16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Domino’s business model is straightforward: Domino’s stores handcraft and serve quality food at a competitive price, with easy ordering access and efficient service, enhanced by our technological innovations. Our hand-tossed dough is made fresh and distributed to stores around the world by us and our franchisees.</w:t>
      </w:r>
    </w:p>
    <w:p>
      <w:pPr>
        <w:spacing w:after="0" w:line="184"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Domino’s generates revenues and earnings by charging royalties and fees to our franchisees. Royalties are ongoing percent-of-sales fees for use of the Domino’s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marks. We also generate revenues and earnings by selling food, equipment and supplies to franchisees through our supply chain operations, primarily in the U.S. and Canada, and by operating a number of Company-owned stores in the U.S. Franchisees profit by selling pizza and other complementary items to their local customers. In our international markets, we generally grant geographical rights to the Domino’s Pizza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to master franchisees. These master franchisees are charged with developing their geographical area, and they may profit by sub-franchising and selling food and equipment to those sub-franchisees, as well as by running pizza stores. We believe that everyone in the system can benefit, including the end consumer, who can purchase Domino’s menu items for themselves and their family conveniently and economically.</w:t>
      </w:r>
    </w:p>
    <w:p>
      <w:pPr>
        <w:spacing w:after="0" w:line="18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Domino’s business model can yield strong returns for our franchise owners and our Company-owned stores. It can also yield significant cash flows to us, through a consistent franchise royalty payment and supply chain revenue stream, with moderate capital expenditures. We have historically returned cash to shareholders through dividend payments and share repurchases. These factors emphasize our focus on our stakeholders, including our customers, team members, franchisees, communities and shareholders.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History</w:t>
      </w:r>
    </w:p>
    <w:p>
      <w:pPr>
        <w:spacing w:after="0" w:line="121"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color w:val="auto"/>
        </w:rPr>
        <w:t>We pioneered the pizza delivery business and have been delivering quality, affordable food to our customers since 1960. We became “Domino’s Pizza” in 1965 and opened our first franchised store in 1967. Over the last 60 years, we have built Domino’s into one of the most widely-recognized consumer brands in the world. We believe our commitment to value, convenience, quality and new products continues to keep consumers engaged with the brand.</w:t>
      </w:r>
    </w:p>
    <w:p>
      <w:pPr>
        <w:spacing w:after="0" w:line="149" w:lineRule="exact"/>
        <w:rPr>
          <w:sz w:val="20"/>
          <w:szCs w:val="20"/>
          <w:color w:val="auto"/>
        </w:rPr>
      </w:pPr>
    </w:p>
    <w:p>
      <w:pPr>
        <w:ind w:left="120" w:right="40"/>
        <w:spacing w:after="0" w:line="247" w:lineRule="auto"/>
        <w:rPr>
          <w:sz w:val="20"/>
          <w:szCs w:val="20"/>
          <w:color w:val="auto"/>
        </w:rPr>
      </w:pPr>
      <w:r>
        <w:rPr>
          <w:rFonts w:ascii="Arial" w:cs="Arial" w:eastAsia="Arial" w:hAnsi="Arial"/>
          <w:sz w:val="17"/>
          <w:szCs w:val="17"/>
          <w:color w:val="auto"/>
        </w:rPr>
        <w:t>During 2020, in the midst of the uncertain environment created by the novel coronavirus (“COVID-19”) pandemic, we continued to increase global retail sales, and our supply chain operations experienced higher volumes as a result of the increase in U.S. retail sales. We also launched three new products in the U.S., including new and improved chicken wings and the new chicken taco and cheeseburger specialty pizzas, each of which has been positively received by consumers. Additionally, emphasis on technological innovation helped us achieve more than half of all global retail sales in 2020 from digital channels. In the U.S., we have developed several innovative ordering platforms, including those for Google Home, Facebook Messenger, Apple Watch, Amazon Echo, Twitter and more. In 2019, we announced a partnership with Nuro to further our exploration and testing of autonomous pizza delivery. In 2020, we added GPS to our Domino’s Tracker</w:t>
      </w:r>
      <w:r>
        <w:rPr>
          <w:rFonts w:ascii="Arial" w:cs="Arial" w:eastAsia="Arial" w:hAnsi="Arial"/>
          <w:sz w:val="24"/>
          <w:szCs w:val="24"/>
          <w:color w:val="auto"/>
          <w:vertAlign w:val="superscript"/>
        </w:rPr>
        <w:t>®</w:t>
      </w:r>
      <w:r>
        <w:rPr>
          <w:rFonts w:ascii="Arial" w:cs="Arial" w:eastAsia="Arial" w:hAnsi="Arial"/>
          <w:sz w:val="17"/>
          <w:szCs w:val="17"/>
          <w:color w:val="auto"/>
        </w:rPr>
        <w:t>, which allows customers to monitor the progress of their food, from the preparation stages to the time it is in the oven, to the time it arrives at their doors. Most recently, we launched a new way to order contactless carryout nationwide – via Domino’s Carside Delivery</w:t>
      </w:r>
      <w:r>
        <w:rPr>
          <w:rFonts w:ascii="Arial" w:cs="Arial" w:eastAsia="Arial" w:hAnsi="Arial"/>
          <w:sz w:val="24"/>
          <w:szCs w:val="24"/>
          <w:color w:val="auto"/>
          <w:vertAlign w:val="superscript"/>
        </w:rPr>
        <w:t>™</w:t>
      </w:r>
      <w:r>
        <w:rPr>
          <w:rFonts w:ascii="Arial" w:cs="Arial" w:eastAsia="Arial" w:hAnsi="Arial"/>
          <w:sz w:val="17"/>
          <w:szCs w:val="17"/>
          <w:color w:val="auto"/>
        </w:rPr>
        <w:t>, which customers can choose when placing a prepaid online order. This new service method emphasizes our commitment to serving hot and delicious pizza in a convenient, contactless manner.</w:t>
      </w:r>
    </w:p>
    <w:p>
      <w:pPr>
        <w:spacing w:after="0" w:line="199"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Since 1998, the Company has been structured with a leveraged balance sheet and has completed a number of recapitalization transactions. The Company’s most recent recapitalization transaction in 2019 (the “2019 Recapitalization”) primarily consisted of the issuance of $675.0 million of fixed rate notes. As of January 3, 2021, the Company had $4.12 billion in total debt, which included debt from its 2019 Recapitalization and its previous recapitalization transactions in 2018, 2017 and 2015 (the “2018 Recapitalization,” “2017 Recapitalization” and the “2015 Recapitalization,” respectively, and together with the 2019 Recapitalization, the “2019, 2018, 2017 and 2015 Recapitalizations”).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86"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120" w:right="580"/>
        <w:spacing w:after="0" w:line="263" w:lineRule="auto"/>
        <w:rPr>
          <w:sz w:val="20"/>
          <w:szCs w:val="20"/>
          <w:color w:val="auto"/>
        </w:rPr>
      </w:pPr>
      <w:r>
        <w:rPr>
          <w:rFonts w:ascii="Arial" w:cs="Arial" w:eastAsia="Arial" w:hAnsi="Arial"/>
          <w:sz w:val="18"/>
          <w:szCs w:val="18"/>
          <w:color w:val="auto"/>
        </w:rPr>
        <w:t>The U.S. QSR pizza category is large and fragmented. From 2015 through 2020, the U.S. QSR pizza category has grown from $36.0 billion to $38.2 billion. It is the second-largest category within the $272.0 billion U.S. QSR sector. The U.S. QSR pizza category is primarily comprised of delivery, dine-in and carryout, with carryout and delivery comprising the two largest segments.</w:t>
      </w:r>
    </w:p>
    <w:p>
      <w:pPr>
        <w:spacing w:after="0" w:line="184" w:lineRule="exact"/>
        <w:rPr>
          <w:sz w:val="20"/>
          <w:szCs w:val="20"/>
          <w:color w:val="auto"/>
        </w:rPr>
      </w:pPr>
    </w:p>
    <w:p>
      <w:pPr>
        <w:ind w:left="120" w:right="60"/>
        <w:spacing w:after="0" w:line="258" w:lineRule="auto"/>
        <w:rPr>
          <w:sz w:val="20"/>
          <w:szCs w:val="20"/>
          <w:color w:val="auto"/>
        </w:rPr>
      </w:pPr>
      <w:r>
        <w:rPr>
          <w:rFonts w:ascii="Arial" w:cs="Arial" w:eastAsia="Arial" w:hAnsi="Arial"/>
          <w:sz w:val="18"/>
          <w:szCs w:val="18"/>
          <w:color w:val="auto"/>
        </w:rPr>
        <w:t>In the U.S., we compete primarily in the delivery and carryout segments of the pizza industry, and we are the dollar market share leader for delivery and a growing leader in carryout. Delivery segment dollars of $14.0 billion in 2020 (up from $10.4 billion in 2015) account for approximately 37% of total U.S. QSR pizza. The four industry leaders, including Domino’s, account for over 63% of U.S. pizza delivery, based on reported consumer spending, with the remaining dollars going to regional chains and independent establishments. From 2015 to 2020, the carryout segment grew from $17.5 billion to $20.3 billion. The four industry leaders, including Domino’s, account for approximately 48% of the carryout segment. (Source: The NPD Group/CREST</w:t>
      </w:r>
      <w:r>
        <w:rPr>
          <w:rFonts w:ascii="Arial" w:cs="Arial" w:eastAsia="Arial" w:hAnsi="Arial"/>
          <w:sz w:val="25"/>
          <w:szCs w:val="25"/>
          <w:color w:val="auto"/>
          <w:vertAlign w:val="superscript"/>
        </w:rPr>
        <w:t>®</w:t>
      </w:r>
      <w:r>
        <w:rPr>
          <w:rFonts w:ascii="Arial" w:cs="Arial" w:eastAsia="Arial" w:hAnsi="Arial"/>
          <w:sz w:val="18"/>
          <w:szCs w:val="18"/>
          <w:color w:val="auto"/>
        </w:rPr>
        <w:t>, year ending November 2020).</w:t>
      </w:r>
    </w:p>
    <w:p>
      <w:pPr>
        <w:spacing w:after="0" w:line="90" w:lineRule="exact"/>
        <w:rPr>
          <w:sz w:val="20"/>
          <w:szCs w:val="20"/>
          <w:color w:val="auto"/>
        </w:rPr>
      </w:pPr>
    </w:p>
    <w:p>
      <w:pPr>
        <w:ind w:left="120" w:right="360"/>
        <w:spacing w:after="0" w:line="311" w:lineRule="auto"/>
        <w:rPr>
          <w:sz w:val="20"/>
          <w:szCs w:val="20"/>
          <w:color w:val="auto"/>
        </w:rPr>
      </w:pPr>
      <w:r>
        <w:rPr>
          <w:rFonts w:ascii="Arial" w:cs="Arial" w:eastAsia="Arial" w:hAnsi="Arial"/>
          <w:sz w:val="16"/>
          <w:szCs w:val="16"/>
          <w:color w:val="auto"/>
        </w:rPr>
        <w:t>In contrast to the U.S., international pizza delivery is relatively underdeveloped, with only Domino’s and two other competitors having a significant global presence. We believe that demand for pizza delivery and pizza carryout is large and growing throughout the world, driven by international consumers’ increasing emphasis on convenience, and our proven success of more than 35 years of conducting business abroad.</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Competition</w:t>
      </w:r>
    </w:p>
    <w:p>
      <w:pPr>
        <w:spacing w:after="0" w:line="117"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color w:val="auto"/>
        </w:rPr>
        <w:t>The global pizza delivery and carryout segments, as well as the broader QSR sector, are highly competitive. In the U.S., we compete against regional and local companies as well as national chains Pizza Hut</w:t>
      </w:r>
      <w:r>
        <w:rPr>
          <w:rFonts w:ascii="Arial" w:cs="Arial" w:eastAsia="Arial" w:hAnsi="Arial"/>
          <w:sz w:val="22"/>
          <w:szCs w:val="22"/>
          <w:color w:val="auto"/>
          <w:vertAlign w:val="superscript"/>
        </w:rPr>
        <w:t>®</w:t>
      </w:r>
      <w:r>
        <w:rPr>
          <w:rFonts w:ascii="Arial" w:cs="Arial" w:eastAsia="Arial" w:hAnsi="Arial"/>
          <w:sz w:val="16"/>
          <w:szCs w:val="16"/>
          <w:color w:val="auto"/>
        </w:rPr>
        <w:t>, Papa John’s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Little Caesars Pizza</w:t>
      </w:r>
      <w:r>
        <w:rPr>
          <w:rFonts w:ascii="Arial" w:cs="Arial" w:eastAsia="Arial" w:hAnsi="Arial"/>
          <w:sz w:val="22"/>
          <w:szCs w:val="22"/>
          <w:color w:val="auto"/>
          <w:vertAlign w:val="superscript"/>
        </w:rPr>
        <w:t>®</w:t>
      </w:r>
      <w:r>
        <w:rPr>
          <w:rFonts w:ascii="Arial" w:cs="Arial" w:eastAsia="Arial" w:hAnsi="Arial"/>
          <w:sz w:val="16"/>
          <w:szCs w:val="16"/>
          <w:color w:val="auto"/>
        </w:rPr>
        <w:t>. Internationally, we compete primarily with Pizza Hut</w:t>
      </w:r>
      <w:r>
        <w:rPr>
          <w:rFonts w:ascii="Arial" w:cs="Arial" w:eastAsia="Arial" w:hAnsi="Arial"/>
          <w:sz w:val="22"/>
          <w:szCs w:val="22"/>
          <w:color w:val="auto"/>
          <w:vertAlign w:val="superscript"/>
        </w:rPr>
        <w:t>®</w:t>
      </w:r>
      <w:r>
        <w:rPr>
          <w:rFonts w:ascii="Arial" w:cs="Arial" w:eastAsia="Arial" w:hAnsi="Arial"/>
          <w:sz w:val="16"/>
          <w:szCs w:val="16"/>
          <w:color w:val="auto"/>
        </w:rPr>
        <w:t>, Papa John’s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country-specific national and local pizzerias. We generally compete on the basis of product quality, location, image, service, technology, convenience and price. Our business and those of our competitors can be affected by changes in consumer tastes, economic conditions, demographic trends, marketing, advertising, pricing and consumers’ disposable income. We also compete with other food, food delivery and order and delivery aggregation companies, which have continued to grow in size and scale in recent years. We compete not only for customers, but also for management and hourly employees, including store team members, drivers and qualified franchisees, as well as suitable real estate sites.</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Customers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Company’s business is not dependent upon a single retail customer or small group of customers, including franchisees. No customer accounted for more than 10% of total consolidated revenues in 2020, 2019 or 2018. As of January 3, 2021, our largest franchisee based on store count, Domino’s Pizza Enterprises (DMP: ASX), operated 2,797 stores in nine international markets, and accounted for 16% of our total store count. Revenues from this master franchisee accounted for 1.5% of our consolidated revenues in 2020. Our international franchise segment only requires a modest amount of general and administrative expenses to support its markets and does not have a cost of sales component. Therefore, the vast majority of these royalty revenues result in profits to us.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Menu</w:t>
      </w:r>
    </w:p>
    <w:p>
      <w:pPr>
        <w:spacing w:after="0" w:line="117"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We offer a menu designed to present an attractive, quality offering to customers, while keeping it simple enough to minimize order errors and expedite order-taking and food preparation. Our basic menu features pizza products with varying sizes and crust types. Our typical store also offers oven-baked sandwiches, pasta, boneless chicken and chicken wings, bread side items, desserts and soft drink products. International markets vary toppings by country and culture, such as the Indi Tandoori Paneer pizza in India, featuring spicy paneer, peppers and mint mayo, or the Octopus Bomb Shrimp in Korea, featuring shrimp, octopus, vegetables, feta cream and horseradish sauce.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Store Image and Operations</w:t>
      </w:r>
    </w:p>
    <w:p>
      <w:pPr>
        <w:spacing w:after="0" w:line="117"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We have been focused on pizza delivery for 60 years, and we also emphasize carryout as a significant component of our business. The majority of our U.S. and international stores are constructed in the carryout-friendly Pizza Theater design. Many of these stores offer casual seating and enable customers to watch the preparation of their orders, but do not offer a full-service dine-in experience. As a result, our stores generally do not require expensive restaurant facilities and staffing.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86"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Business Segments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operate, and report, three business segments: U.S. stores, international franchise and supply chain.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U.S. Stores</w:t>
      </w:r>
    </w:p>
    <w:p>
      <w:pPr>
        <w:spacing w:after="0" w:line="117"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During 2020, our U.S. stores segment accounted for $1.45 billion, or 35% of our consolidated revenues. Our U.S. stores segment consists primarily of our franchise operations, which consisted of 5,992 franchised stores located in the United States as of January 3, 2021. We also operated a network of 363 U.S. Company-owned stores as of January 3, 2021.</w:t>
      </w:r>
    </w:p>
    <w:p>
      <w:pPr>
        <w:spacing w:after="0" w:line="184"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Directly operating Domino’s stores contributes significantly to our ability to act as a credible franchisor. We also use our Company-owned stores as test sites for technological innovation and promotions as well as operational improvements. We also use them for training new store managers and operations team members, as well as developing prospective franchisees. While we are primarily a franchised business, we continuously evaluate our mix of U.S. Company-owned and franchise stores. As of January 3, 2021, franchised stores represented approximately 94% of our total store count within our U.S. stores segment.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Franchise Profile</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As of January 3, 2021, our network of 5,992 U.S. franchise stores was owned and operated by 762 independent U.S. franchisees. Our franchise formula enables franchisees to benefit from our brand recognition with a relatively low initial capital investment. As of January 3, 2021, the average U.S. franchisee owned and operated approximately seven stores and had been in our franchise system for over 18 years. Additionally, 19 of our U.S. franchisees operated more than 50 stores (including our largest U.S. franchisee who operated 178 stores) and 228 of our U.S. franchisees each operated one store, each as of that date.</w:t>
      </w:r>
    </w:p>
    <w:p>
      <w:pPr>
        <w:spacing w:after="0" w:line="188"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We apply rigorous standards to prospective U.S. franchisees. We generally require them to manage a store for at least one year and graduate from our franchise management school program before being granted the right to franchise. This enables us to observe the operational and financial performance of a potential franchisee prior to entering into a long-term agreement. Substantially all of our independent U.S. franchise owners started their careers with us as delivery drivers or in other in-store positions, which we believe offers advantages in terms of familiarity with our business and store operations. In addition, we generally restrict the ability of U.S. franchisees to be involved in other businesses, which we believe helps focus our franchisees’ attention on operating their stores. We believe these characteristics and standards are largely unique within the franchise industry and have resulted in qualified and focused franchisees operating Domino’s stores. We maintain a productive relationship with our independent franchise owners through regional franchise teams, distributing materials that help franchise stores comply with our standards and using franchise advisory groups that facilitate communications between us and our franchisees. We consider our relationship with our U.S. franchisees to be good.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Franchise Agreements</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enter into franchise agreements with U.S. franchisees under which the franchisee is generally granted the right to operate a store in a particular location for a term of ten years, with an ability to renew for an additional term of ten years. We had a franchise agreement renewal rate of approximately 99% in 2020. Under the current standard franchise agreement, we assign an exclusive area of primary responsibility to each franchised store. Each franchisee is generally required to pay a 5.5% royalty fee on sales, as well as certain technology fees. In certain instances, we will collect lower rates based on certain incentives.</w:t>
      </w:r>
    </w:p>
    <w:p>
      <w:pPr>
        <w:spacing w:after="0" w:line="188"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Our stores in the United States currently contribute 6% of their sales to fund national marketing and advertising campaigns (subject, in certain instances, to lower rates based on certain incentives and waivers). These funds are administered by Domino’s National Advertising Fund Inc. (“DNAF”), our consolidated not-for-profit advertising subsidiary. The funds are primarily used to purchase media for advertising, and also to support market research, field communications, public relations, commercial production, talent payments and other activities to promote the Domino’s brand. In addition to the national and market-level advertising contributions, U.S. stores generally spend additional funds on local store marketing activities.</w:t>
      </w:r>
    </w:p>
    <w:p>
      <w:pPr>
        <w:spacing w:after="0" w:line="161"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We have the contractual right, subject to state law, to terminate a franchise agreement for a variety of reasons, including, but not limited to, a franchisee’s failure to adhere to the Company’s franchise agreement, failure to make required payments, or failure to adhere to specified Company policies and standards.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320" w:top="486"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International Franchise</w:t>
      </w:r>
    </w:p>
    <w:p>
      <w:pPr>
        <w:spacing w:after="0" w:line="117" w:lineRule="exact"/>
        <w:rPr>
          <w:sz w:val="20"/>
          <w:szCs w:val="20"/>
          <w:color w:val="auto"/>
        </w:rPr>
      </w:pPr>
    </w:p>
    <w:p>
      <w:pPr>
        <w:ind w:left="120" w:right="340"/>
        <w:spacing w:after="0" w:line="311" w:lineRule="auto"/>
        <w:rPr>
          <w:sz w:val="20"/>
          <w:szCs w:val="20"/>
          <w:color w:val="auto"/>
        </w:rPr>
      </w:pPr>
      <w:r>
        <w:rPr>
          <w:rFonts w:ascii="Arial" w:cs="Arial" w:eastAsia="Arial" w:hAnsi="Arial"/>
          <w:sz w:val="16"/>
          <w:szCs w:val="16"/>
          <w:color w:val="auto"/>
        </w:rPr>
        <w:t>During 2020, our international franchise segment accounted for $249.8 million, or 6% of our consolidated revenues. This segment is comprised of a network of franchised stores in more than 90 international markets. At January 3, 2021, we had 11,289 international franchise stores. The principal sources of revenues from those operations are royalty payments generated by retail sales from franchised stores, as well as certain technology fees.</w:t>
      </w:r>
    </w:p>
    <w:p>
      <w:pPr>
        <w:spacing w:after="0" w:line="149" w:lineRule="exact"/>
        <w:rPr>
          <w:sz w:val="20"/>
          <w:szCs w:val="20"/>
          <w:color w:val="auto"/>
        </w:rPr>
      </w:pPr>
    </w:p>
    <w:p>
      <w:pPr>
        <w:ind w:left="120" w:right="440"/>
        <w:spacing w:after="0" w:line="342" w:lineRule="auto"/>
        <w:rPr>
          <w:sz w:val="20"/>
          <w:szCs w:val="20"/>
          <w:color w:val="auto"/>
        </w:rPr>
      </w:pPr>
      <w:r>
        <w:rPr>
          <w:rFonts w:ascii="Arial" w:cs="Arial" w:eastAsia="Arial" w:hAnsi="Arial"/>
          <w:sz w:val="16"/>
          <w:szCs w:val="16"/>
          <w:color w:val="auto"/>
        </w:rPr>
        <w:t>Our international franchisees employ our basic standard operating model and adapt it to satisfy the local eating habits and consumer preferences of various regions outside the U.S. Currently, the vast majority of our international stores operate under master franchise agreements.</w:t>
      </w:r>
    </w:p>
    <w:p>
      <w:pPr>
        <w:spacing w:after="0" w:line="12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believe Domino’s appeals to potential international franchisees because of our recognized brand name and technological leadership, the moderate capital expenditures required to open and operate the stores and the system’s desirable store-level profitability. Stores in seven of our ten largest international markets in terms of store count are operated by master franchise companies that are publicly traded on stock exchanges as noted in the below table. The following table shows our store count as of January 3, 2021 in our ten largest international markets, which accounted for approximately 62% of our international stores as of that date.</w:t>
      </w:r>
    </w:p>
    <w:p>
      <w:pPr>
        <w:spacing w:after="0" w:line="197" w:lineRule="exact"/>
        <w:rPr>
          <w:sz w:val="20"/>
          <w:szCs w:val="20"/>
          <w:color w:val="auto"/>
        </w:rPr>
      </w:pPr>
    </w:p>
    <w:tbl>
      <w:tblPr>
        <w:tblLayout w:type="fixed"/>
        <w:tblInd w:w="1880" w:type="dxa"/>
        <w:tblCellMar>
          <w:top w:w="0" w:type="dxa"/>
          <w:left w:w="0" w:type="dxa"/>
          <w:bottom w:w="0" w:type="dxa"/>
          <w:right w:w="0" w:type="dxa"/>
        </w:tblCellMar>
      </w:tblPr>
      <w:tr>
        <w:trPr>
          <w:trHeight w:val="181"/>
        </w:trPr>
        <w:tc>
          <w:tcPr>
            <w:tcW w:w="6360" w:type="dxa"/>
            <w:vAlign w:val="bottom"/>
            <w:gridSpan w:val="2"/>
          </w:tcPr>
          <w:p>
            <w:pPr>
              <w:spacing w:after="0"/>
              <w:rPr>
                <w:sz w:val="20"/>
                <w:szCs w:val="20"/>
                <w:color w:val="auto"/>
              </w:rPr>
            </w:pPr>
            <w:r>
              <w:rPr>
                <w:rFonts w:ascii="Arial" w:cs="Arial" w:eastAsia="Arial" w:hAnsi="Arial"/>
                <w:sz w:val="14"/>
                <w:szCs w:val="14"/>
                <w:b w:val="1"/>
                <w:bCs w:val="1"/>
                <w:color w:val="auto"/>
              </w:rPr>
              <w:t>Market</w:t>
            </w:r>
          </w:p>
        </w:tc>
        <w:tc>
          <w:tcPr>
            <w:tcW w:w="11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Number of stores</w:t>
            </w:r>
          </w:p>
        </w:tc>
      </w:tr>
      <w:tr>
        <w:trPr>
          <w:trHeight w:val="20"/>
        </w:trPr>
        <w:tc>
          <w:tcPr>
            <w:tcW w:w="480" w:type="dxa"/>
            <w:vAlign w:val="bottom"/>
            <w:tcBorders>
              <w:top w:val="single" w:sz="8" w:color="auto"/>
              <w:bottom w:val="single" w:sz="8" w:color="CCEEFF"/>
            </w:tcBorders>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97"/>
        </w:trPr>
        <w:tc>
          <w:tcPr>
            <w:tcW w:w="63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India (JUBLFOOD: NS)</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1,313</w:t>
            </w:r>
          </w:p>
        </w:tc>
        <w:tc>
          <w:tcPr>
            <w:tcW w:w="60" w:type="dxa"/>
            <w:vAlign w:val="bottom"/>
            <w:shd w:val="clear" w:color="auto" w:fill="CCEEFF"/>
          </w:tcPr>
          <w:p>
            <w:pPr>
              <w:spacing w:after="0"/>
              <w:rPr>
                <w:sz w:val="17"/>
                <w:szCs w:val="17"/>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United Kingdom (DOM: L)</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1,144</w:t>
            </w: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 (ALSEA: MX)</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779</w:t>
            </w: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Japan (DMP: ASX)</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742</w:t>
            </w: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Australia (DMP: ASX)</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709</w:t>
            </w: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Turkey (DPEU: L)</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560</w:t>
            </w: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541</w:t>
            </w: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South Korea</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466</w:t>
            </w: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France (DMP: ASX)</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431</w:t>
            </w: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China</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363</w:t>
            </w: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International Franchisee Profile</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vast majority of our markets outside of the U.S. are operated by master franchisees with franchise and distribution rights for entire regions or countries. In a few select markets, we franchise directly to individual store operators. Prospective master franchisees are required to possess local market knowledge to establish and develop Domino’s stores, with the ability to identify and access targeted real estate sites, as well as expertise in local laws, customs, culture and consumer behavior. We also seek candidates that have access to sufficient capital to meet growth and development plans. We consider our relationship with our international franchisees to be good.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International Master Franchise and Other Agreements</w:t>
      </w:r>
    </w:p>
    <w:p>
      <w:pPr>
        <w:spacing w:after="0" w:line="11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Our international master franchise agreements generally grant the franchisee exclusive rights to develop and sub-franchise stores, and the right to operate supply chain centers in particular geographic areas. Agreements are generally for a term of ten years, with options to renew for additional terms. The agreements typically contain growth clauses requiring franchisees to open a minimum number of stores within a specified period. The master franchisee is generally required to pay an initial, one-time franchise fee as well as an additional franchise fee upon the opening of each new store. The master franchisee is also required to pay a continuing royalty fee as a percentage of sales, which varies among international markets and may also differ based on certain incentives and concessions, and averaged approximately 2.9% in 2020. We also have agreements with certain of our international master franchisees with respect to certain technology fees.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Supply Chain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During 2020, our supply chain segment accounted for $2.42 billion, or 59% of our consolidated revenues.</w:t>
      </w:r>
    </w:p>
    <w:p>
      <w:pPr>
        <w:spacing w:after="0" w:line="23"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We operate 21 regional dough manufacturing and supply chain centers in the U.S., two thin crust manufacturing facilities and one vegetable processing center in the U.S. and five dough manufacturing and supply chain centers in Canada. Our supply chain segment leases a fleet of approximately 900 tractors and trailers. We plan to continue investing in additional supply chain capacity in the future. Our centers produce fresh dough and purchase, receive, store and deliver quality food and other complementary items to substantially all of our U.S. stores and most of our Canadian franchised stores. We regularly supply over 6,800 stores with various food and supplies.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86"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We believe our franchisees voluntarily choose to obtain food, supplies and equipment from us because we offer the most efficient, convenient and cost-effective alternative, while also offering both quality and consistency. Our supply chain segment offers profit-sharing arrangements to U.S. and Canadian franchisees who purchase all of their food for their stores from our centers. These profit-sharing arrangements generally offer participating franchisees and Company-owned stores with 50% (or a higher percentage in the case of Company-owned stores and certain franchisees who operate a larger number of stores) of the pre-tax profit from our supply chain center operations. We believe these arrangements strengthen our ties to and provide aligned benefits with franchisees.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Third-Party Suppliers</w:t>
      </w:r>
    </w:p>
    <w:p>
      <w:pPr>
        <w:spacing w:after="0" w:line="11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A significant amount of our annual food spend is with suppliers with whom we maintain long-standing partnerships. Our supply partners are required to meet strict quality standards to ensure food safety. We review and evaluate these partners’ quality assurance programs through (among other actions) on-site visits, third-party audits and product evaluations designed to ensure compliance with our standards. We believe the length and quality of our relationships with third-party suppliers provides us with priority service and quality products at competitive prices.</w:t>
      </w:r>
    </w:p>
    <w:p>
      <w:pPr>
        <w:spacing w:after="0" w:line="17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Cheese is our largest food cost. The price we charge to our U.S. franchisees for cheese is formula-based, with the Chicago Mercantile Exchange cheddar block price as the primary component, plus a supply chain markup. As cheese prices fluctuate, our revenues and margin percentages in our supply chain segment also fluctuate; however, actual supply chain dollar margins remain unchanged. We currently purchase our U.S. pizza cheese from a single supplier. Under our September 2017 agreement, our U.S. supplier agreed to provide the Company with an uninterrupted supply of cheese and the Company agreed to a seven-year pricing schedule to purchase all of its U.S. pizza cheese from this supplier. While we expect to meet the terms of this agreement, if we do not, we will be required to repay certain negotiated cost savings as provided in the agreement. The majority of our meat toppings in the U.S. come from a single supplier under a contract that expires in June 2022. We have the right to terminate these arrangements for quality failures and for certain uncured breaches.</w:t>
      </w:r>
    </w:p>
    <w:p>
      <w:pPr>
        <w:spacing w:after="0" w:line="178" w:lineRule="exact"/>
        <w:rPr>
          <w:sz w:val="20"/>
          <w:szCs w:val="20"/>
          <w:color w:val="auto"/>
        </w:rPr>
      </w:pPr>
    </w:p>
    <w:p>
      <w:pPr>
        <w:ind w:left="120" w:right="60"/>
        <w:spacing w:after="0" w:line="226" w:lineRule="auto"/>
        <w:rPr>
          <w:sz w:val="20"/>
          <w:szCs w:val="20"/>
          <w:color w:val="auto"/>
        </w:rPr>
      </w:pPr>
      <w:r>
        <w:rPr>
          <w:rFonts w:ascii="Arial" w:cs="Arial" w:eastAsia="Arial" w:hAnsi="Arial"/>
          <w:sz w:val="18"/>
          <w:szCs w:val="18"/>
          <w:color w:val="auto"/>
        </w:rPr>
        <w:t>We have entered into a multi-year agreement with Coca-Cola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the U.S. This contract, renegotiated in June 2019, provides for Coca-Cola to continue to be our exclusive beverage supplier and expires on December 31, 2023 or at such time as a minimum number of cases of Coca-Cola products are purchased by Domino’s, whichever occurs later.</w:t>
      </w:r>
    </w:p>
    <w:p>
      <w:pPr>
        <w:spacing w:after="0" w:line="20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We believe alternative third-party suppliers are available for all of these referenced products. While we may incur additional costs if we are required to replace any of our supply partners, we do not believe such additional costs would have a material adverse effect on our business. We continually evaluate each supply category to determine the optimal sourcing strategy.</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have not experienced any significant shortages of supplies or delays in receiving our inventories or products. Prices charged to us by our supply partners are subject to fluctuation, and we have historically been able to pass increased costs and savings on to stores. We periodically enter into supplier contracts to manage the risk from changes in commodity prices. We do not engage in speculative transactions, nor do we hold or issue financial instruments for trading purposes.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Strong Brand Equity</w:t>
      </w:r>
    </w:p>
    <w:p>
      <w:pPr>
        <w:spacing w:after="0" w:line="11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We are the largest pizza company in the world based on global retail sales. We believe our Domino’s brand is one of the most widely-recognized consumer brands in the world. We are the recognized world leader in pizza delivery and have a significant business in carryout. We believe consumers associate our brand with the timely delivery of quality, affordable food and technological innovation.</w:t>
      </w:r>
    </w:p>
    <w:p>
      <w:pPr>
        <w:spacing w:after="0" w:line="184"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Over the past five years, our U.S. franchise and Company-owned stores have invested an estimated $2.2 billion in national, co-operative and local advertising. Our international franchisees also invest significant amounts in advertising efforts in their markets. We continue to reinforce our brand with extensive advertising through various media channels. We have also enhanced the strength of our brand through marketing affiliations with brands such as Coca-Cola.</w:t>
      </w:r>
    </w:p>
    <w:p>
      <w:pPr>
        <w:spacing w:after="0" w:line="187" w:lineRule="exact"/>
        <w:rPr>
          <w:sz w:val="20"/>
          <w:szCs w:val="20"/>
          <w:color w:val="auto"/>
        </w:rPr>
      </w:pPr>
    </w:p>
    <w:p>
      <w:pPr>
        <w:ind w:left="120"/>
        <w:spacing w:after="0" w:line="252" w:lineRule="auto"/>
        <w:rPr>
          <w:sz w:val="20"/>
          <w:szCs w:val="20"/>
          <w:color w:val="auto"/>
        </w:rPr>
      </w:pPr>
      <w:r>
        <w:rPr>
          <w:rFonts w:ascii="Arial" w:cs="Arial" w:eastAsia="Arial" w:hAnsi="Arial"/>
          <w:sz w:val="17"/>
          <w:szCs w:val="17"/>
          <w:color w:val="auto"/>
        </w:rPr>
        <w:t>We are the number one pizza delivery company in the U.S. with a 36% share of pizza delivery based on consumer spending data for the year ending November 2020. For the same period, we are also a growing leader in carryout with a 15% share of carryout pizza consumer spending (Source: The NPD Group/CREST</w:t>
      </w:r>
      <w:r>
        <w:rPr>
          <w:rFonts w:ascii="Arial" w:cs="Arial" w:eastAsia="Arial" w:hAnsi="Arial"/>
          <w:sz w:val="24"/>
          <w:szCs w:val="24"/>
          <w:color w:val="auto"/>
          <w:vertAlign w:val="superscript"/>
        </w:rPr>
        <w:t>®</w:t>
      </w:r>
      <w:r>
        <w:rPr>
          <w:rFonts w:ascii="Arial" w:cs="Arial" w:eastAsia="Arial" w:hAnsi="Arial"/>
          <w:sz w:val="17"/>
          <w:szCs w:val="17"/>
          <w:color w:val="auto"/>
        </w:rPr>
        <w:t>, year ending November 2020). With 6,355 stores located in the U.S., our store delivery areas cover a majority of U.S. households. Our share position and scale allow us to leverage our purchasing power, supply chain strength and marketing investments. We believe our scale and market coverage allow us to effectively serve our customers’ demands for convenience and timely delivery. Outside the U.S., we have significant market share positions in many of the markets in which we compete.</w:t>
      </w:r>
    </w:p>
    <w:p>
      <w:pPr>
        <w:spacing w:after="0" w:line="1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86"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Strong and Proven Business Model</w:t>
      </w:r>
    </w:p>
    <w:p>
      <w:pPr>
        <w:spacing w:after="0" w:line="117"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Our business model generates U.S. and international franchise royalties and fees, supply chain revenue and retail sales at Company-owned stores. We have developed this model over our many years of operation, and it is anchored by strong store-level economics, which provide an entrepreneurial incentive for our franchisees and historically has generated demand for new stores. Over the past ten years, average U.S. store profitability in the Domino’s system has increased meaningfully, resulting in higher profitability for our franchise owners. Our franchise system, in turn, has produced strong and consistent earnings for us through royalty payments and through supply chain revenues.</w:t>
      </w:r>
    </w:p>
    <w:p>
      <w:pPr>
        <w:spacing w:after="0" w:line="176"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We developed a cost-efficient store model, characterized by a delivery- and carryout-oriented store design, with moderate capital requirements and a menu of quality, affordable items. At the store level, we believe the simplicity and efficiency of our operations give us significant advantages over our competitors, who, in many cases, also focus on dine-in or have broader menu offerings. At the supply chain level, we believe we provide quality, good value and consistency for our franchise customers while also driving profits for us, which we share with our franchisees under the profit-sharing arrangements described above.</w:t>
      </w:r>
    </w:p>
    <w:p>
      <w:pPr>
        <w:spacing w:after="0" w:line="188"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Our menu simplifies and streamlines production and delivery processes and maximizes economies of scale on purchases of our principal food items. In addition, our stores, including those in our Pizza Theater image, are generally smaller and less expensive to build, furnish and maintain as compared to many other restaurant concepts, and they create a positive experience for our carryout customers. The combination of this efficient store model and strong sales volume has resulted in strong store-level economics and, we believe, makes Domino’s an attractive business opportunity for existing and prospective franchisees around the world. We and our franchisees are continuing to focus on growing our global store 2count. In recent years, we have focused specifically on increasing our presence in our existing markets to provide better service to our customers, including shrinking our delivery areas to provide better delivery service and adding locations that are closer to our carryout customers. We call this approach our fortressing strategy.</w:t>
      </w:r>
    </w:p>
    <w:p>
      <w:pPr>
        <w:spacing w:after="0" w:line="16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believe our store financial returns have led to a strong, well-diversified franchise system. This established franchise system has produced strong cash flows and earnings for us, enabling us to invest in the Domino’s brand, stores, technology and supply chain centers, pay dividends, repurchase and retire shares of our common stock and service our debt obligations.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Technological Innovation</w:t>
      </w:r>
    </w:p>
    <w:p>
      <w:pPr>
        <w:spacing w:after="0" w:line="117"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Technological innovation is vital to our brand and our long-term success, and digital ordering is critical to competing in the global pizza and broader QSR industries. Emphasis on technological innovation helped us achieve more than half of all global retail sales in 2020 from digital channels. In the U.S., we have developed several innovative ordering platforms, including those for Google Home, Facebook Messenger, Apple Watch, Amazon Echo, Twitter and more. In 2019, we announced a partnership with Nuro to further our exploration and testing of autonomous pizza delivery. In 2020, we added GPS to our Domino’s Tracker, which allows customers to monitor the progress of their food, from the preparation stages to the time it is in the oven, to the time it arrives at their doors. In mid-2020, we launched a new way to order contactless carryout nationwide – via Domino’s Carside Delivery</w:t>
      </w:r>
      <w:r>
        <w:rPr>
          <w:rFonts w:ascii="Arial" w:cs="Arial" w:eastAsia="Arial" w:hAnsi="Arial"/>
          <w:sz w:val="24"/>
          <w:szCs w:val="24"/>
          <w:color w:val="auto"/>
          <w:vertAlign w:val="superscript"/>
        </w:rPr>
        <w:t>™</w:t>
      </w:r>
      <w:r>
        <w:rPr>
          <w:rFonts w:ascii="Arial" w:cs="Arial" w:eastAsia="Arial" w:hAnsi="Arial"/>
          <w:sz w:val="17"/>
          <w:szCs w:val="17"/>
          <w:color w:val="auto"/>
        </w:rPr>
        <w:t>, which customers can choose when placing a prepaid online order.</w:t>
      </w:r>
    </w:p>
    <w:p>
      <w:pPr>
        <w:spacing w:after="0" w:line="79" w:lineRule="exact"/>
        <w:rPr>
          <w:sz w:val="20"/>
          <w:szCs w:val="20"/>
          <w:color w:val="auto"/>
        </w:rPr>
      </w:pPr>
    </w:p>
    <w:p>
      <w:pPr>
        <w:ind w:left="120" w:right="60"/>
        <w:spacing w:after="0" w:line="268" w:lineRule="auto"/>
        <w:rPr>
          <w:sz w:val="20"/>
          <w:szCs w:val="20"/>
          <w:color w:val="auto"/>
        </w:rPr>
      </w:pPr>
      <w:r>
        <w:rPr>
          <w:rFonts w:ascii="Arial" w:cs="Arial" w:eastAsia="Arial" w:hAnsi="Arial"/>
          <w:sz w:val="16"/>
          <w:szCs w:val="16"/>
          <w:color w:val="auto"/>
        </w:rPr>
        <w:t>Our Piece of the Pie Rewards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loyalty program is meant to reward customers with a program that is simple to understand and easy to use. Upon signing up for the program, customers become rewards members and can earn points for online orders. When rewards members reach a certain amount of points, they can redeem their points for free pizza. Rewards members may also receive exclusive members-only discounts and bonus offers. We may also occasionally provide additional opportunities for participating customers to benefit under the Piece of the Pie Rewards program.</w:t>
      </w:r>
    </w:p>
    <w:p>
      <w:pPr>
        <w:spacing w:after="0" w:line="181"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This improved functionality has been developed to work seamlessly with our Domino’s PULSE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point-of-sale system. Our Domino’s PULSE system is designed to drive operating efficiencies for our franchisees and our corporate management and assist franchisees in independently managing their business. As of January 3, 2021, Domino’s PULSE is being used in every Company-owned store in the U.S., in more than 99% of our U.S. franchised stores and in approximately 77% of our international stores. We believe utilizing Domino’s PULSE with our integrated technology solutions throughout our system provides us with competitive advantages over other concepts. We intend to continue to enhance and grow our online ordering, digital marketing and technological capabilities.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86"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Product Innovation</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believe our core hand-tossed pizza recipe has contributed to long-term growth in customer reorder rates, consumer traffic and increased sales. This recipe is now in use in other markets around the world. Our 60 years of innovation have resulted in numerous new product developments. During 2020, we launched three new products in the U.S., including new and improved chicken wings and the new chicken taco and cheeseburger specialty pizzas, each of which has been positively received by consumers. Product innovation is also present in our global markets, where our master franchisees have the ability to recommend products to suit their local market tastes. Products include the Mayo Jaga in Japan (bacon, potatoes and sweet mayonnaise) and the Saumoneta in France (light cream, potatoes, onions, smoked salmon and dill).</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Internal Dough Manufacturing and Supply Chain System</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addition to generating significant revenues and earnings in the U.S. and Canada, we believe our vertically integrated dough manufacturing and supply chain system enhances the quality and consistency of our products, enhances our relationships with franchisees and leverages economies of scale to offer lower costs to our stores. It also allows store managers to focus on store operations and customer service by relieving them of the responsibility of mixing dough in the stores and sourcing other ingredients. Many of our international master franchisees also profit from running supply chain businesses in their respective markets.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Human Capital</w:t>
      </w:r>
    </w:p>
    <w:p>
      <w:pPr>
        <w:spacing w:after="0" w:line="11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As of January 3, 2021, we had approximately 14,400 employees, including 10,400 employees supporting our U.S. Company-owned stores and U.S. franchise operations (our U.S. stores segment), approximately 2,900 employees supporting our U.S. and Canadian supply chain operations (our supply chain segment), approximately 100 employees supporting our international franchise operations (our international franchise segment) and approximately 1,000 corporate employees. Approximately 7,500 of our employees are part-time and approximately 6,900 are full-time equivalent. None of our employees are covered by a collective bargaining agreement. We consider our relationship with our employees to be good.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Environmental Responsibility</w:t>
      </w:r>
    </w:p>
    <w:p>
      <w:pPr>
        <w:spacing w:after="0" w:line="117"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 xml:space="preserve">We believe in being strong stewards of the environment through initiatives to reduce the impact of energy, wastewater, land use and waste, both in packaging and food. Since 2015, we have sourced 100% sustainable mass balance palm oil, which is used in some of our products. We have also recently increased the recycled content of our pizza boxes and launched a nationwide campaign to educate municipalities on the recyclability of pizza boxes. We also introduced eBikes for delivery in certain markets around the world, helping us to reduce our carbon footprint. Domino’s is also a member of the Dairy Sustainability Alliance, the Recycling Partnership and the Food Waste Reduction Alliance. You can find more information about these initiatives at </w:t>
      </w:r>
      <w:r>
        <w:rPr>
          <w:rFonts w:ascii="Arial" w:cs="Arial" w:eastAsia="Arial" w:hAnsi="Arial"/>
          <w:sz w:val="18"/>
          <w:szCs w:val="18"/>
          <w:u w:val="single" w:color="auto"/>
          <w:color w:val="auto"/>
        </w:rPr>
        <w:t>stewardship.dominos.com</w:t>
      </w:r>
      <w:r>
        <w:rPr>
          <w:rFonts w:ascii="Arial" w:cs="Arial" w:eastAsia="Arial" w:hAnsi="Arial"/>
          <w:sz w:val="18"/>
          <w:szCs w:val="18"/>
          <w:color w:val="auto"/>
        </w:rPr>
        <w: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Community Involvement</w:t>
      </w:r>
    </w:p>
    <w:p>
      <w:pPr>
        <w:spacing w:after="0" w:line="117"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We believe in supporting the communities we serve through donating our time, money and pizza. Our national philanthropic partner is St. Jude Children’s Research Hospital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St. Jude is internationally recognized for its pioneering work in finding cures and saving children with cancer and other catastrophic diseases. Through a variety of internal and consumer-based activities, including a national fundraising campaign called </w:t>
      </w:r>
      <w:r>
        <w:rPr>
          <w:rFonts w:ascii="Arial" w:cs="Arial" w:eastAsia="Arial" w:hAnsi="Arial"/>
          <w:sz w:val="17"/>
          <w:szCs w:val="17"/>
          <w:i w:val="1"/>
          <w:iCs w:val="1"/>
          <w:color w:val="auto"/>
        </w:rPr>
        <w:t>St. Jude Thanks and</w:t>
      </w:r>
      <w:r>
        <w:rPr>
          <w:rFonts w:ascii="Arial" w:cs="Arial" w:eastAsia="Arial" w:hAnsi="Arial"/>
          <w:sz w:val="17"/>
          <w:szCs w:val="17"/>
          <w:color w:val="auto"/>
        </w:rPr>
        <w:t xml:space="preserve"> </w:t>
      </w:r>
      <w:r>
        <w:rPr>
          <w:rFonts w:ascii="Arial" w:cs="Arial" w:eastAsia="Arial" w:hAnsi="Arial"/>
          <w:sz w:val="17"/>
          <w:szCs w:val="17"/>
          <w:i w:val="1"/>
          <w:iCs w:val="1"/>
          <w:color w:val="auto"/>
        </w:rPr>
        <w:t>Giving</w:t>
      </w:r>
      <w:r>
        <w:rPr>
          <w:rFonts w:ascii="Arial" w:cs="Arial" w:eastAsia="Arial" w:hAnsi="Arial"/>
          <w:sz w:val="24"/>
          <w:szCs w:val="24"/>
          <w:i w:val="1"/>
          <w:iCs w:val="1"/>
          <w:color w:val="auto"/>
          <w:vertAlign w:val="superscript"/>
        </w:rPr>
        <w:t>®</w:t>
      </w:r>
      <w:r>
        <w:rPr>
          <w:rFonts w:ascii="Arial" w:cs="Arial" w:eastAsia="Arial" w:hAnsi="Arial"/>
          <w:sz w:val="17"/>
          <w:szCs w:val="17"/>
          <w:color w:val="auto"/>
        </w:rPr>
        <w:t>, the Domino’s system has contributed $82.0 million to St. Jude since our partnership began in 2004, including raising $13.3 million in 2020. In</w:t>
      </w:r>
      <w:r>
        <w:rPr>
          <w:rFonts w:ascii="Arial" w:cs="Arial" w:eastAsia="Arial" w:hAnsi="Arial"/>
          <w:sz w:val="17"/>
          <w:szCs w:val="17"/>
          <w:i w:val="1"/>
          <w:iCs w:val="1"/>
          <w:color w:val="auto"/>
        </w:rPr>
        <w:t xml:space="preserve"> </w:t>
      </w:r>
      <w:r>
        <w:rPr>
          <w:rFonts w:ascii="Arial" w:cs="Arial" w:eastAsia="Arial" w:hAnsi="Arial"/>
          <w:sz w:val="17"/>
          <w:szCs w:val="17"/>
          <w:color w:val="auto"/>
        </w:rPr>
        <w:t>2020, we announced a 10-year, $100 million campaign to raise funds to build Domino’s Village at St. Jude, a planned housing complex that will accommodate up to 140 patient families during long-term stays at the hospital.</w:t>
      </w:r>
    </w:p>
    <w:p>
      <w:pPr>
        <w:spacing w:after="0" w:line="206"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We also support the Domino’s Pizza Partners Foundation (the “Partners Foundation”). Founded in 1986, the mission of the Partners Foundation is “Team Members Helping Team Members.” Primarily funded by team member and franchise contributions, the Partners Foundation is a separate, not-for-profit organization that has disbursed $8.2 million over the past five years. The Partners Foundation is committed to meeting the needs of Domino’s team members facing crisis situations, such as fire, illness, natural disasters or other personal tragedies. In 2020, Domino’s made a $500,000 donation to the Partners Foundation.</w:t>
      </w:r>
    </w:p>
    <w:p>
      <w:pPr>
        <w:spacing w:after="0" w:line="188"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 xml:space="preserve">Also in 2020, Domino’s announced a pledge of $3.0 million to support the Black community in the U.S., including $1.0 million to create the Company’s first Black Franchise Opportunity Fund. You can find more information about our community involvement at </w:t>
      </w:r>
      <w:r>
        <w:rPr>
          <w:rFonts w:ascii="Arial" w:cs="Arial" w:eastAsia="Arial" w:hAnsi="Arial"/>
          <w:sz w:val="16"/>
          <w:szCs w:val="16"/>
          <w:u w:val="single" w:color="auto"/>
          <w:color w:val="auto"/>
        </w:rPr>
        <w:t>stewardship.dominos.com</w:t>
      </w:r>
      <w:r>
        <w:rPr>
          <w:rFonts w:ascii="Arial" w:cs="Arial" w:eastAsia="Arial" w:hAnsi="Arial"/>
          <w:sz w:val="16"/>
          <w:szCs w:val="16"/>
          <w:color w:val="auto"/>
        </w:rPr>
        <w:t>.</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86"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Working Capital</w:t>
      </w:r>
    </w:p>
    <w:p>
      <w:pPr>
        <w:spacing w:after="0" w:line="117"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Information about the Company’s working capital is included in Management’s Discussion and Analysis of Financial Condition and Results of Operations in Part II, Item 7., pages 27 through 41.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11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We, along with our franchisees, are subject to various federal, state and local laws affecting the operation of our business. Each store is subject to licensing and regulation by a number of governmental authorities, which include zoning, health, safety, sanitation, building and fire agencies in the jurisdiction in which the store is located. In connection with maintaining our stores, we may be required to expend funds to meet certain federal, state and local regulations, including regulations requiring that remodeled or altered stores be accessible to persons with disabilities. Difficulties in obtaining, or the failure to obtain, required licenses or approvals could delay or prevent the opening of a new store in a particular area or cause an existing store to cease operations. Our supply chain facilities are also licensed and subject to similar regulations by federal, state and local health and fire codes.</w:t>
      </w:r>
    </w:p>
    <w:p>
      <w:pPr>
        <w:spacing w:after="0" w:line="164"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We are also subject to the Fair Labor Standards Act and various other federal and state laws governing such matters as minimum wage requirements, overtime and other working conditions and citizenship requirements. A significant number of both our and our franchisees’ food service personnel are paid at rates related to the applicable minimum wage, and past increases in the minimum wage have increased labor costs, as would future increases.</w:t>
      </w:r>
    </w:p>
    <w:p>
      <w:pPr>
        <w:spacing w:after="0" w:line="14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We are subject to the rules and regulations of the Federal Trade Commission (“FTC”) and various state laws regulating the offer and sale of franchises. The FTC and various state laws require that we furnish a franchise disclosure document containing certain information to prospective franchisees, and a number of states require registration of the franchise disclosure document with state authorities. We are operating under exemptions from registration in several states based on the net worth of our subsidiary, Domino’s Pizza Franchising LLC, and experience. We believe our franchise disclosure document, together with any applicable state versions or supplements, and franchising procedures comply in all material respects with both the FTC guidelines and all applicable state laws regulating franchising in those states in which we have offered franchises.</w:t>
      </w:r>
    </w:p>
    <w:p>
      <w:pPr>
        <w:spacing w:after="0" w:line="164"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Internationally, our franchise stores are subject to national and local laws and regulations that are often similar to those affecting our U.S. stores, including laws and regulations concerning franchises, labor, health, sanitation and safety. Our international stores are also often subject to tariffs and regulations on imported commodities and equipment, and laws regulating foreign investment. We believe our international disclosure statements, franchise offering documents and franchising procedures comply in all material respects with the laws of the foreign countries in which we have offered franchises.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Privacy and Data Protection</w:t>
      </w:r>
    </w:p>
    <w:p>
      <w:pPr>
        <w:spacing w:after="0" w:line="117" w:lineRule="exact"/>
        <w:rPr>
          <w:sz w:val="20"/>
          <w:szCs w:val="20"/>
          <w:color w:val="auto"/>
        </w:rPr>
      </w:pPr>
    </w:p>
    <w:p>
      <w:pPr>
        <w:ind w:left="120" w:right="200"/>
        <w:spacing w:after="0" w:line="296" w:lineRule="auto"/>
        <w:rPr>
          <w:sz w:val="20"/>
          <w:szCs w:val="20"/>
          <w:color w:val="auto"/>
        </w:rPr>
      </w:pPr>
      <w:r>
        <w:rPr>
          <w:rFonts w:ascii="Arial" w:cs="Arial" w:eastAsia="Arial" w:hAnsi="Arial"/>
          <w:sz w:val="16"/>
          <w:szCs w:val="16"/>
          <w:color w:val="auto"/>
        </w:rPr>
        <w:t xml:space="preserve">We are subject to a number of privacy and data protection laws and regulations both in the U.S. and globally. The legislative and regulatory landscape for privacy and data protection continues to evolve, and there has been an increase in attention given to privacy and data protection issues with the potential to directly affect our business. This includes recently-enacted laws and regulations in the U.S. and internationally requiring notification to individuals and government authorities of security breaches involving certain categories of personal information. We have a privacy policy posted on our website at </w:t>
      </w:r>
      <w:r>
        <w:rPr>
          <w:rFonts w:ascii="Arial" w:cs="Arial" w:eastAsia="Arial" w:hAnsi="Arial"/>
          <w:sz w:val="16"/>
          <w:szCs w:val="16"/>
          <w:u w:val="single" w:color="auto"/>
          <w:color w:val="auto"/>
        </w:rPr>
        <w:t>www.dominos.com</w:t>
      </w:r>
      <w:r>
        <w:rPr>
          <w:rFonts w:ascii="Arial" w:cs="Arial" w:eastAsia="Arial" w:hAnsi="Arial"/>
          <w:sz w:val="16"/>
          <w:szCs w:val="16"/>
          <w:color w:val="auto"/>
        </w:rPr>
        <w:t>. The security of our financial data, customer information and other personal information is a priority for us.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Trademarks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have many registered trademarks and believe that the Domino’s mark and Domino’s Pizza names and logos, in particular, have significant value and are important to our business. Our policy is to pursue registration of our trademarks and to vigorously oppose the infringement of any of our trademarks. We license the use of our registered marks to franchisees through franchise agreements.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17"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We are not aware of any federal, state or local environmental laws or regulations that we would expect to materially affect our earnings or competitive position or result in material capital expenditures. However, we cannot predict the effect of possible future environmental legislation or regulations. During 2020, there were no material environmental compliance-related capital expenditures, and no such material expenditures are anticipated in 2021.</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86"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Seasonal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business is not typically seasonal.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Backlog Orders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had no backlog orders as of January 3, 2021.</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Government Contracts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 material portion of the Company’s business is subject to renegotiation of profits or termination of contracts or subcontracts at the election of the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government.</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 xml:space="preserve">The Company makes available, free of charge, through its internet website </w:t>
      </w:r>
      <w:r>
        <w:rPr>
          <w:rFonts w:ascii="Arial" w:cs="Arial" w:eastAsia="Arial" w:hAnsi="Arial"/>
          <w:sz w:val="16"/>
          <w:szCs w:val="16"/>
          <w:u w:val="single" w:color="auto"/>
          <w:color w:val="auto"/>
        </w:rPr>
        <w:t>biz.dominos.com</w:t>
      </w:r>
      <w:r>
        <w:rPr>
          <w:rFonts w:ascii="Arial" w:cs="Arial" w:eastAsia="Arial" w:hAnsi="Arial"/>
          <w:sz w:val="16"/>
          <w:szCs w:val="16"/>
          <w:color w:val="auto"/>
        </w:rPr>
        <w:t xml:space="preserve">, its Annual Report on Form 10-K, Quarterly Reports on Form 10-Q, Current Reports on Form 8-K, proxy statements and amendments to those reports filed or furnished pursuant to Section 13(a), 15(d), or 16 of the Securities Exchange Act of 1934, as amended, as soon as reasonably practicable after electronically filing such material with the Securities and Exchange Commission. Materials filed with the Securities and Exchange Commission are available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Retail orders from Domino’s stores can be made through its internet website </w:t>
      </w:r>
      <w:r>
        <w:rPr>
          <w:rFonts w:ascii="Arial" w:cs="Arial" w:eastAsia="Arial" w:hAnsi="Arial"/>
          <w:sz w:val="16"/>
          <w:szCs w:val="16"/>
          <w:u w:val="single" w:color="auto"/>
          <w:color w:val="auto"/>
        </w:rPr>
        <w:t>www.dominos.com</w:t>
      </w:r>
      <w:r>
        <w:rPr>
          <w:rFonts w:ascii="Arial" w:cs="Arial" w:eastAsia="Arial" w:hAnsi="Arial"/>
          <w:sz w:val="16"/>
          <w:szCs w:val="16"/>
          <w:color w:val="auto"/>
        </w:rPr>
        <w:t xml:space="preserve">. The reference to these website addresses anywhere in this Annual Report on Form 10-K (the “Form 10-K”) does not constitute incorporation by reference of the information contained on the websites and information appearing on those websites, including </w:t>
      </w:r>
      <w:r>
        <w:rPr>
          <w:rFonts w:ascii="Arial" w:cs="Arial" w:eastAsia="Arial" w:hAnsi="Arial"/>
          <w:sz w:val="16"/>
          <w:szCs w:val="16"/>
          <w:u w:val="single" w:color="auto"/>
          <w:color w:val="auto"/>
        </w:rPr>
        <w:t>biz.dominos.com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stewardship.dominos.com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www.dominos.com</w:t>
      </w:r>
      <w:r>
        <w:rPr>
          <w:rFonts w:ascii="Arial" w:cs="Arial" w:eastAsia="Arial" w:hAnsi="Arial"/>
          <w:sz w:val="16"/>
          <w:szCs w:val="16"/>
          <w:color w:val="auto"/>
        </w:rPr>
        <w:t>, should not be considered a part of this document.</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86"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For a business as large and globally diverse as the Company, a wide range of factors could materially affect future developments and performance. In addition to the factors affecting specific business operations identified in connection with the description of these operations and the financial results of these operations elsewhere in this report and our other filings with the SEC, we believe the most significant risk factors affecting our business include the following: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Operational and Industry Risks</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The quick service restaurant pizza category and the food service and food delivery markets in general are highly competitive and such competition could adversely affect our operating results.</w:t>
      </w:r>
    </w:p>
    <w:p>
      <w:pPr>
        <w:spacing w:after="0" w:line="62" w:lineRule="exact"/>
        <w:rPr>
          <w:sz w:val="20"/>
          <w:szCs w:val="20"/>
          <w:color w:val="auto"/>
        </w:rPr>
      </w:pPr>
    </w:p>
    <w:p>
      <w:pPr>
        <w:ind w:left="120" w:right="20"/>
        <w:spacing w:after="0" w:line="224" w:lineRule="auto"/>
        <w:rPr>
          <w:sz w:val="20"/>
          <w:szCs w:val="20"/>
          <w:color w:val="auto"/>
        </w:rPr>
      </w:pPr>
      <w:r>
        <w:rPr>
          <w:rFonts w:ascii="Arial" w:cs="Arial" w:eastAsia="Arial" w:hAnsi="Arial"/>
          <w:sz w:val="18"/>
          <w:szCs w:val="18"/>
          <w:color w:val="auto"/>
        </w:rPr>
        <w:t>In the U.S., we compete primarily against regional and local companies as well as national chains Pizza Hut</w:t>
      </w:r>
      <w:r>
        <w:rPr>
          <w:rFonts w:ascii="Arial" w:cs="Arial" w:eastAsia="Arial" w:hAnsi="Arial"/>
          <w:sz w:val="25"/>
          <w:szCs w:val="25"/>
          <w:color w:val="auto"/>
          <w:vertAlign w:val="superscript"/>
        </w:rPr>
        <w:t>®</w:t>
      </w:r>
      <w:r>
        <w:rPr>
          <w:rFonts w:ascii="Arial" w:cs="Arial" w:eastAsia="Arial" w:hAnsi="Arial"/>
          <w:sz w:val="18"/>
          <w:szCs w:val="18"/>
          <w:color w:val="auto"/>
        </w:rPr>
        <w:t>, Papa John’s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Little Caesars Pizza</w:t>
      </w:r>
      <w:r>
        <w:rPr>
          <w:rFonts w:ascii="Arial" w:cs="Arial" w:eastAsia="Arial" w:hAnsi="Arial"/>
          <w:sz w:val="25"/>
          <w:szCs w:val="25"/>
          <w:color w:val="auto"/>
          <w:vertAlign w:val="superscript"/>
        </w:rPr>
        <w:t>®</w:t>
      </w:r>
      <w:r>
        <w:rPr>
          <w:rFonts w:ascii="Arial" w:cs="Arial" w:eastAsia="Arial" w:hAnsi="Arial"/>
          <w:sz w:val="18"/>
          <w:szCs w:val="18"/>
          <w:color w:val="auto"/>
        </w:rPr>
        <w:t>. Internationally, we compete primarily with Pizza Hut</w:t>
      </w:r>
      <w:r>
        <w:rPr>
          <w:rFonts w:ascii="Arial" w:cs="Arial" w:eastAsia="Arial" w:hAnsi="Arial"/>
          <w:sz w:val="25"/>
          <w:szCs w:val="25"/>
          <w:color w:val="auto"/>
          <w:vertAlign w:val="superscript"/>
        </w:rPr>
        <w:t>®</w:t>
      </w:r>
      <w:r>
        <w:rPr>
          <w:rFonts w:ascii="Arial" w:cs="Arial" w:eastAsia="Arial" w:hAnsi="Arial"/>
          <w:sz w:val="18"/>
          <w:szCs w:val="18"/>
          <w:color w:val="auto"/>
        </w:rPr>
        <w:t>, Papa John’s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country-specific national and local companies. We could experience increased competition from existing or new companies in the delivery and carryout pizza category that could create increasing pressures to grow our business in order to maintain our market share. Additionally, we face growing competition from the supermarket industry and meal kit and food delivery providers, with the improvement of prepared food and meal kit offerings, expansion in meal delivery platforms and services and the trend towards convergence in grocery, deli, retail and restaurant services.</w:t>
      </w:r>
    </w:p>
    <w:p>
      <w:pPr>
        <w:spacing w:after="0" w:line="203"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We also compete on a broader scale with quick service and other international, national, regional and local restaurants. Competition from order and delivery aggregators and other food delivery services has also increased in recent years and order and delivery aggregators have continued to grow in size and scale. The overall food service market, food delivery market and the quick service restaurant market are intensely competitive with respect to food quality, price, service, image, convenience and concept, and are often affected by changes in:</w:t>
      </w:r>
    </w:p>
    <w:p>
      <w:pPr>
        <w:spacing w:after="0" w:line="77"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 tastes;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national, regional or local economic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disposable purchasing power;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marketing, advertising and pricing, including discounting;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demographic trends;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currency fluctuations related to international operations.</w:t>
      </w:r>
    </w:p>
    <w:p>
      <w:pPr>
        <w:spacing w:after="0" w:line="225"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We compete within the food service market and the quick service restaurant market not only for customers, but also for management and hourly employees, including store team members, drivers and qualified franchisees, as well as suitable real estate sites. Our supply chain segment is also subject to competition from outside suppliers. While substantially all U.S. franchisees purchased food, equipment and supplies from us in 2020, U.S. franchisees are not required to purchase food, equipment or supplies from us and they may choose to purchase from outside suppliers. If other suppliers who meet our qualification standards were to offer lower prices or better service to our franchisees for their ingredients and supplies and, as a result, our franchisees chose not to purchase from our U.S. supply chain centers, our financial condition, business and results of operations would be adversely affected.</w:t>
      </w:r>
    </w:p>
    <w:p>
      <w:pPr>
        <w:spacing w:after="0" w:line="195"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If we are unable to maintain our competitive position, we could experience downward pressure on prices, lower demand for our products, reduced margins, loss of management or hourly employees, disruption in our supply chain centers, the inability to take advantage of new business opportunities and the loss of market share, all of which would have an adverse effect on our operating results and could cause our stock price to decline.</w:t>
      </w:r>
    </w:p>
    <w:p>
      <w:pPr>
        <w:spacing w:after="0" w:line="257"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b w:val="1"/>
          <w:bCs w:val="1"/>
          <w:i w:val="1"/>
          <w:iCs w:val="1"/>
          <w:color w:val="auto"/>
        </w:rPr>
        <w:t>Worldwide economic activity has been and is expected to continue to be adversely affected by the COVID-19 pandemic, the scale and scope of which is ultimately unknown, which could adversely affect our business, financial condition and results of operations.</w:t>
      </w:r>
    </w:p>
    <w:p>
      <w:pPr>
        <w:spacing w:after="0" w:line="38"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global COVID-19 pandemic continues to impact worldwide economic activity. A public health pandemic such as COVID-19 poses the risk that we and/or our employees, franchisees, supply chain centers, suppliers, customers and other partners may be, or may continue to be, prevented from conducting business activities for an indefinite period of time, including due to shutdowns, travel restrictions, social distancing requirements, stay at home orders and advisories and other restrictions that have been or may be suggested or mandated by governmental authorities, or due to the impact of the disease itself on a business’ workforces. In addition, COVID-19 may impact the willingness of customers to purchase food prepared outside of the home. The COVID-19 pandemic may also have the effect of heightening many of the other risks described throughout this report, including but not limited to those relating to our growth strategy, our supply chain and increased food and labor costs, disruption in operations, loss of key employees, our indebtedness, general economic conditions and our international operations.</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486"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In response to governmental requirements, we and our franchisees have implemented a number of measures, including, among others, temporarily closing certain of our stores, modifying certain stores’ hours and closing locations to in-store dining, and we continue to monitor additional developments. We have also made additional operating changes in response to changes in consumer behavior and preferences resulting from COVID-19, including offering contactless delivery and carryout options to our customers. While it is not possible at this time to estimate the full impact that COVID-19 could have on our business going forward, the continued spread of the virus and the measures taken in response have disrupted our operations and could disrupt our supply chain, including our access to face coverings for use in our operations, which could adversely impact our business, financial condition and results of operations. The COVID-19 pandemic and mitigation measures have also had an adverse impact on global economic conditions, which could have an adverse effect on our business and financial condition. The Company’s sales and operating results may be affected by uncertain or changing economic and market conditions arising in connection with and in response to the COVID-19 pandemic, including inflation, deflation, prolonged weak consumer demand, political instability or other changes. While the Company has seen an increase in sales in certain markets, including within the U.S., during the COVID-19 pandemic, including increased sales related to heightened reliance on delivery and carry-out businesses, future sales are not possible to estimate and it is unclear whether and to what extent sales will return to more normalized levels if and when consumer behavior and general economic and business activity return to pre-pandemic levels. The significance of the operational and financial impact to the Company will depend on how long and widespread the disruptions caused by COVID-19, and the corresponding response to contain the virus and treat those affected by it, prove to be.</w:t>
      </w:r>
    </w:p>
    <w:p>
      <w:pPr>
        <w:spacing w:after="0" w:line="290"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If we fail to successfully implement our growth strategy, which includes opening new U.S. and international stores, our ability to increase our revenues and operating profits could be adversely affected.</w:t>
      </w:r>
    </w:p>
    <w:p>
      <w:pPr>
        <w:spacing w:after="0" w:line="6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 significant component of our growth strategy includes the opening of new U.S. (both Company-owned as well as franchised stores) and international franchised stores. We and our franchisees face many challenges in opening new stores, including, among others:</w:t>
      </w:r>
    </w:p>
    <w:p>
      <w:pPr>
        <w:spacing w:after="0" w:line="76"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construction, permitting or development delays relating to the COVID-19 pandemic;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financing with acceptable terms;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selection and availability of suitable new store sites and the ability to renew leases in quality locations;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negotiation of acceptable lease or financing terms;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securing required U.S. or foreign governmental permits, licenses and approvals;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employment and training of qualified personnel;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225"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opening of additional franchise stores also depends, in part, upon the availability of prospective franchisees who meet our criteria. Our failure to add a significant number of new stores would adversely affect our ability to increase revenues and operating income. Additionally, our growth strategy and the success of new stores depend in large part on the availability of suitable store sites. If we and our franchisees are not able to secure leases in desired locations on favorable terms, or to renew such leases, our business and results of operations may be adversely affected.</w:t>
      </w:r>
    </w:p>
    <w:p>
      <w:pPr>
        <w:spacing w:after="0" w:line="171"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We and our franchisees are currently planning to expand our U.S. and international operations in many of the markets where we currently operate and in select new markets. This may require considerable management time as well as start-up expenses for market development before any significant revenues and earnings are generated. Operations in new foreign markets may achieve low margins or may be unprofitable, and expansion in existing markets may be affected by local economic and market conditions. In addition, we expect to continue our strategy of building additional stores in markets and regions where we have existing stores, a strategy we refer to as “fortressing,” which may negatively impact sales at existing stores. Therefore, as we continue to expand, we or our franchisees may not experience the operating margins we expect, our results of operations may be negatively impacted, and our common stock price may decline. Additionally, we have an equity investment in Dash Brands Ltd. (“Dash Brands”), as further discussed elsewhere in this report. Through its subsidiaries, Dash Brands serves as the Company’s master franchisee in China that owns and operates Domino’s Pizza stores in that market. These types of investments are inherently risky. If Dash Brands does not succeed or is unable to successfully execute its growth strategy, we may be forced to record impairment charges and could lose some or all of our investment.</w:t>
      </w:r>
    </w:p>
    <w:p>
      <w:pPr>
        <w:spacing w:after="0" w:line="168"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We may also pursue strategic acquisitions as part of our business. If we are able to identify acquisition candidates, such acquisitions may be financed, to the extent permitted under our debt agreements, with substantial debt or with potentially dilutive issuances of equity securities.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86"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The food service market is affected by consumer preferences and perceptions. Changes in these preferences and perceptions may reduce the demand for our products, which would reduce sales and harm our business.</w:t>
      </w:r>
    </w:p>
    <w:p>
      <w:pPr>
        <w:spacing w:after="0" w:line="62"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Food service businesses are affected by changes in consumer tastes, international, national, regional and local economic conditions, marketing, advertising, pricing, including discounting, and demographic trends. For instance, if prevailing health or dietary preferences cause consumers to avoid pizza and other products we offer in favor of foods that are perceived as healthier, our business and operating results would be harmed. Moreover, because we are primarily dependent on a single product, if consumer demand for pizza should decrease, our business would suffer more than if we had a more diversified menu, as many other food service businesses do. The preferences of customers also may change as a result of advances in technology or alternative delivery methods or channels. If we are not able to respond to these changes, or our competitors respond to these changes more effectively, our business and operating results could be adversely affected.</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Reports of food-borne illness or food tampering could reduce sales and harm our business.</w:t>
      </w:r>
    </w:p>
    <w:p>
      <w:pPr>
        <w:spacing w:after="0" w:line="117"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Reports, whether true or not, of food-borne illnesses (such as E. coli, avian flu, bovine spongiform encephalopathy, hepatitis A, trichinosis or salmonella) and injuries caused by food tampering have in the past severely injured the reputations of participants in the quick service restaurant market and could in the future as well. The potential for acts of terrorism affecting our global food supply also exists and, if such an event occurs, could have a negative impact on us and could severely hurt sales and profits. In addition, our reputation is an important asset; as a result, anything that damages our reputation could immediately and severely affect our sales and profits. Media reports of illnesses and injuries, whether accurate or not, could force some stores to close or otherwise reduce sales at such stores. Moreover, as described above, social media has dramatically increased the rate at which negative publicity, including as it relates to food-borne illness, can be disseminated before there is any meaningful opportunity to respond to or address an issue. Even reports of food-borne illnesses or food tampering occurring solely at the restaurants of competitors could, by resulting in negative publicity about the restaurant industry in general, adversely affect us on a local, regional, national or international basis. Further, the occurrence of a widespread illness, health epidemic or pandemic, such as COVID-19, or other general health concern could adversely affect us on a local, regional or international basis. A decrease in global retail sales as a result of these health concerns or negative publicity or as a result of the closure of any Domino’s stores could have a material adverse effect on our results of operations.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do not have long-term contracts with certain of our suppliers, and as a result they could seek to significantly increase prices or fail to deliver.</w:t>
      </w:r>
    </w:p>
    <w:p>
      <w:pPr>
        <w:spacing w:after="0" w:line="152"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do not have long-term contracts or arrangements with certain of our suppliers. Although in the past we have not experienced significant problems with our suppliers, our suppliers may implement significant price increases or may not meet our requirements, including those that may result from increases in volume, in a timely fashion or at all. The occurrence of any of the foregoing could have a material adverse effect on the ability of our supply chain centers to deliver necessary products to our stores and on our results of operations.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Shortages, interruptions or disruptions in the supply or delivery of fresh food products could adversely affect our operating results.</w:t>
      </w:r>
    </w:p>
    <w:p>
      <w:pPr>
        <w:spacing w:after="0" w:line="12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We and our franchisees are dependent on frequent deliveries of food products that meet our specifications. In addition, we have single suppliers or a limited number of suppliers for certain of our ingredients, including pizza cheese and meat toppings. While we believe there are adequate reserve quantities and potential alternative suppliers, shortages, interruptions or disruptions in the supply of food products caused by increased demand, capacity constraints, problems in production or distribution, product recalls, financial or other difficulties of suppliers, inclement weather or other conditions could adversely affect the availability, quality and cost of ingredients. We have in the past experienced disruptions within our supply chain resulting from, among other things, capacity, volume, staffing, operational and COVID-19-related challenges and may experience such supply chain disruptions again in the future, which could adversely affect our business and operational results. Additionally, the effects of climate change could increase the frequency and duration of weather impacts on our operations and could adversely affect our operating results.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86"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Increases in food, labor and other costs could adversely affect our profitability and operating results.</w:t>
      </w:r>
    </w:p>
    <w:p>
      <w:pPr>
        <w:spacing w:after="0" w:line="11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An increase in our operating costs could adversely affect our profitability and other operating results. Factors such as inflation, increased food costs, increased labor and employee health and benefit costs, increased rent costs and increased energy costs may adversely affect our operating costs. Most of the factors affecting costs are beyond our control and, in many cases, we may not be able to pass along these increased costs to our customers or franchisees. Most ingredients used in our pizza, particularly cheese, are subject to significant price fluctuations as a result of seasonality, weather, demand and other factors. For example, we have experienced increased volatility in prices for some ingredients during the COVID-19 pandemic, which may continue even if the pandemic recedes. Cheese is a significant cost to us, representing approximately 25% of the market basket purchased by our Company-owned stores.</w:t>
      </w:r>
    </w:p>
    <w:p>
      <w:pPr>
        <w:spacing w:after="0" w:line="195"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Additionally, while we strive to engage in a competitive bidding process for our ingredients, because certain of these ingredients, including meat products, may only be available from a limited number of vendors, we may not always be able to do so effectively. Furthermore, if we need to seek new suppliers, we may be subject to pricing or other terms less favorable to us than those reflected in our current supply arrangements. Labor costs are largely a function of the minimum wage for a majority of our store personnel and certain supply chain center personnel and, generally, are also a function of the availability of labor. Several jurisdictions in which we operate have recently approved minimum wage increases. Federal, state and local proposals that increase minimum wage requirements or mandate other employee matters could, to the extent implemented, materially increase our labor and other costs. As more jurisdictions implement minimum wage increases, we expect our labor costs will continue to increase. The advent of legislation aimed at predictive scheduling could impact labor for our stores and our franchisees’ stores. Additionally, while we do not currently have any unionized employees, if a significant portion of our employees were to become unionized, our labor costs could increase and our business could be negatively affected by other union requirements that increase our costs, disrupt our business, reduce our flexibility and impact our employee culture. Labor costs and food costs, including cheese, generally represent approximately 50% to 60% of the sales at a typical Company-owned store.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Any prolonged disruption in the operations of any of our dough manufacturing and supply chain centers could harm our business.</w:t>
      </w:r>
    </w:p>
    <w:p>
      <w:pPr>
        <w:spacing w:after="0" w:line="129"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We operate 21 regional dough manufacturing and supply chain centers in the U.S., two thin crust manufacturing facilities and one vegetable processing center in the U.S. and five dough manufacturing and supply chain centers in Canada. We plan to continue investing in additional supply chain capacity in the future.</w:t>
      </w:r>
    </w:p>
    <w:p>
      <w:pPr>
        <w:spacing w:after="0" w:line="184"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Our U.S. dough manufacturing and supply chain centers service all of our Company-owned and U.S. franchise stores. As a result, any prolonged disruption in the operations of any of these facilities, whether due to technical, operational or labor difficulties, destruction or damage to the facility, real estate issues, limited capacity or other reasons, could adversely affect our business and operating results.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inability or failure to recognize, respond to and effectively manage the accelerated impact of social media could adversely impact our business.</w:t>
      </w:r>
    </w:p>
    <w:p>
      <w:pPr>
        <w:spacing w:after="0" w:line="152"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The use of social media platforms, including blogs, chat platforms, social media websites, and other forms of internet-based communications that allow individuals access to a broad audience of consumers and other persons, including to our customers and the general public, and other consumer-oriented technologies has increased the speed and accessibility of information dissemination and given users the ability to more effectively organize collective actions such as boycotts and other brand-damaging behaviors. Negative publicity related to our food products or stores or negative publicity related to actions by our executives, team members or franchisees and their team members could harm our business, brand, reputation, marketing partners, financial condition, and results of operations, regardless of the accuracy of such negative publicity. Failure to use or respond to social media campaigns effectively could lead to a decline in brand value and revenue.</w:t>
      </w:r>
    </w:p>
    <w:p>
      <w:pPr>
        <w:spacing w:after="0" w:line="17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 addition, a failure of us, our employees, our franchisees or third parties acting at our direction to abide by applicable laws and regulations in the use of social media could adversely impact our brand, reputation, marketing partners, financial condition, and results of operations or subject us or our franchisees to fines or other penalties. Other risks associated with the use of social media include improper disclosure of proprietary information, exposure of personally identifiable information, fraud, hoaxes or malicious dissemination of false information.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86"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Our success depends in part upon effective advertising, and lower advertising funds may reduce our ability to adequately market the Domino’s Pizza brand.</w:t>
      </w:r>
    </w:p>
    <w:p>
      <w:pPr>
        <w:spacing w:after="0" w:line="62"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 xml:space="preserve">We have been routinely named a Leading National Advertiser by </w:t>
      </w:r>
      <w:r>
        <w:rPr>
          <w:rFonts w:ascii="Arial" w:cs="Arial" w:eastAsia="Arial" w:hAnsi="Arial"/>
          <w:sz w:val="18"/>
          <w:szCs w:val="18"/>
          <w:i w:val="1"/>
          <w:iCs w:val="1"/>
          <w:color w:val="auto"/>
        </w:rPr>
        <w:t>Advertising Age</w:t>
      </w:r>
      <w:r>
        <w:rPr>
          <w:rFonts w:ascii="Arial" w:cs="Arial" w:eastAsia="Arial" w:hAnsi="Arial"/>
          <w:sz w:val="18"/>
          <w:szCs w:val="18"/>
          <w:color w:val="auto"/>
        </w:rPr>
        <w:t xml:space="preserve"> and our success depends in part on continued effective advertising. Each Domino’s store located in the U.S. is obligated to contribute 6% of its sales (subject, in certain instances, to lower rates based on certain incentives and waivers) to DNAF, which uses such fees for national advertising in addition to contributions for local market-level advertising. We currently anticipate that this 6% contribution rate will remain in place for the foreseeable future. While additional funds for advertising in the past have been provided by us, our franchisees and other third parties, none of these additional funds are legally required. The lack of continued financial support for advertising activities could significantly curtail our marketing efforts, which may in turn materially and adversely affect our business and our operating results.</w:t>
      </w:r>
    </w:p>
    <w:p>
      <w:pPr>
        <w:spacing w:after="0" w:line="303"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Loss of key employees or our inability to attract and retain new qualified employees could hurt our business and inhibit our ability to operate and grow successfully.</w:t>
      </w:r>
    </w:p>
    <w:p>
      <w:pPr>
        <w:spacing w:after="0" w:line="62"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Our success in the highly competitive pizza delivery and carryout business will continue to depend to a significant extent on our leadership team and other key management personnel. Although we have entered into employment agreements with Richard E. Allison Jr. and Russell J. Weiner, each of these executives may terminate his agreement on ninety days’ notice. Our other executive officers may terminate their employment pursuant to their employment agreements at any time. As a result, we may not be able to retain our executive officers and key personnel or attract additional qualified management. While we do not have long-term employment agreements with our executive officers, for all of our executive officers we have non-compete and non-solicitation agreements that extend for 24 months following the termination of such executive officer’s employment. Our success will also continue to depend on our ability to attract and retain qualified personnel to operate our stores, dough manufacturing and supply chain centers and international operations. The loss of these employees or our inability to recruit and retain qualified personnel could have a material adverse effect on our operating results.</w:t>
      </w:r>
    </w:p>
    <w:p>
      <w:pPr>
        <w:spacing w:after="0" w:line="304"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Our international operations subject us to additional risk. Such risks and costs may differ in each country in which we and our franchisees do business and may cause our profitability to decline due to increased costs.</w:t>
      </w:r>
    </w:p>
    <w:p>
      <w:pPr>
        <w:spacing w:after="0" w:line="62"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We conduct a significant and growing portion of our business outside the U.S. Our financial condition and results of operations may be adversely affected if global markets in which our franchise stores compete are affected by changes in political, economic or other factors. These factors, over which neither we nor our franchisees have control, may include:</w:t>
      </w:r>
    </w:p>
    <w:p>
      <w:pPr>
        <w:spacing w:after="0" w:line="89"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recessionary or expansive trends in international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changing labor conditions and difficulties in staffing and managing our foreign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the taxes we pay and other changes in applicable tax laws both in the U.S. and globally;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legal and regulatory changes, and the burdens and costs of our compliance with a variety of foreign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inflation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exchange rates and the imposition of restrictions on currency conversion or the transfer of funds;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difficulty in collecting our royalties and longer payment cycles;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expropriation of private enterprises;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inherent risk of doing business in China resulting from our equity investment in Dash Brands;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anti-American sentiment and the identification of the Domino’s Pizza brand as an American brand;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political and economic instability and uncertainty around the world, including uncertainty arising from the COVID-19 pandemic;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external factors.</w:t>
      </w:r>
    </w:p>
    <w:p>
      <w:pPr>
        <w:spacing w:after="0" w:line="333"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Our earnings and business growth strategy depend on the success of our franchisees, and we may be harmed by actions taken by our franchisees, or employees of our franchisees, that are outside of our control.</w:t>
      </w:r>
    </w:p>
    <w:p>
      <w:pPr>
        <w:spacing w:after="0" w:line="62" w:lineRule="exact"/>
        <w:rPr>
          <w:sz w:val="20"/>
          <w:szCs w:val="20"/>
          <w:color w:val="auto"/>
        </w:rPr>
      </w:pPr>
    </w:p>
    <w:p>
      <w:pPr>
        <w:ind w:left="120" w:right="180"/>
        <w:spacing w:after="0" w:line="296" w:lineRule="auto"/>
        <w:rPr>
          <w:sz w:val="20"/>
          <w:szCs w:val="20"/>
          <w:color w:val="auto"/>
        </w:rPr>
      </w:pPr>
      <w:r>
        <w:rPr>
          <w:rFonts w:ascii="Arial" w:cs="Arial" w:eastAsia="Arial" w:hAnsi="Arial"/>
          <w:sz w:val="16"/>
          <w:szCs w:val="16"/>
          <w:color w:val="auto"/>
        </w:rPr>
        <w:t>A significant portion of our earnings comes from royalties and fees generated by our franchise stores. Franchisees are independent operators, and their employees are not our employees. We provide tools that franchisees can consider using in training their employees, but the quality of franchise store operations and our brand and branded products may be diminished by any number of factors beyond our control. Consequently, franchisees may not operate stores in a manner consistent with our standards and requirements or they or their employees may take other actions that adversely affect the value of our brand. In such event, our business and reputation may suffer, and as a result our revenues and stock price could decline.</w:t>
      </w:r>
    </w:p>
    <w:p>
      <w:pPr>
        <w:sectPr>
          <w:pgSz w:w="11900" w:h="16838" w:orient="portrait"/>
          <w:cols w:equalWidth="0" w:num="1">
            <w:col w:w="11120"/>
          </w:cols>
          <w:pgMar w:left="320" w:top="486" w:right="459" w:bottom="1440" w:gutter="0" w:footer="0" w:header="0"/>
        </w:sectPr>
      </w:pP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120"/>
          </w:cols>
          <w:pgMar w:left="320" w:top="486" w:right="4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While we try to ensure that franchisees maintain the quality of the Domino’s brand and branded products and comply with their franchise agreements, franchisees may take actions that adversely affect the value of our intellectual property or reputation or that are inconsistent with their contractual obligations. Although our franchise arrangements permit the applicable franchisor to terminate a franchise agreement under certain circumstances, including the failure by franchisees to uphold quality standards, there can be no assurance that such remedy will be available or sufficient to prevent harm to our brand and protect our intellectual property.</w:t>
      </w:r>
    </w:p>
    <w:p>
      <w:pPr>
        <w:spacing w:after="0" w:line="188"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As of January 3, 2021, we had 762 U.S. franchisees operating 5,992 U.S. stores. As of that same date, 19 of these franchisees each owned and operated more than 50 U.S. stores, including our largest U.S. franchisee who owned and operated 178 stores and the average U.S. franchisee owned and operated approximately seven stores.</w:t>
      </w:r>
    </w:p>
    <w:p>
      <w:pPr>
        <w:spacing w:after="0" w:line="184"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Our international master franchisees are generally responsible for the development of significantly more stores than our U.S. franchisees. As a result, our international operations are more closely tied to the success of a smaller number of franchisees than our U.S. operations. As of January 3, 2021, our largest international master franchisee operated 2,797 stores in nine markets, which accounted for approximately 25% of our total international store count. Our U.S. and international franchisees may not operate their franchises successfully. If one or more of our key franchisees were to become insolvent or otherwise were unable or unwilling to pay us our royalties or other amounts owed, our business and results of operations would be adversely affected.</w:t>
      </w:r>
    </w:p>
    <w:p>
      <w:pPr>
        <w:spacing w:after="0" w:line="300"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We may not be able to adequately protect our intellectual property, which could harm the value of our brand and branded products and adversely affect our business.</w:t>
      </w:r>
    </w:p>
    <w:p>
      <w:pPr>
        <w:spacing w:after="0" w:line="62" w:lineRule="exact"/>
        <w:rPr>
          <w:sz w:val="20"/>
          <w:szCs w:val="20"/>
          <w:color w:val="auto"/>
        </w:rPr>
      </w:pPr>
    </w:p>
    <w:p>
      <w:pPr>
        <w:ind w:left="120" w:right="120"/>
        <w:spacing w:after="0" w:line="267" w:lineRule="auto"/>
        <w:rPr>
          <w:sz w:val="20"/>
          <w:szCs w:val="20"/>
          <w:color w:val="auto"/>
        </w:rPr>
      </w:pPr>
      <w:r>
        <w:rPr>
          <w:rFonts w:ascii="Arial" w:cs="Arial" w:eastAsia="Arial" w:hAnsi="Arial"/>
          <w:sz w:val="17"/>
          <w:szCs w:val="17"/>
          <w:color w:val="auto"/>
        </w:rPr>
        <w:t>We depend in large part on our brand and branded products and believe that they are very important to our business. We rely on a combination of trademarks, copyrights, trade secrets and similar intellectual property rights to protect our brand and branded products. The success of our business depends on our continued ability to use our existing trademarks in order to capitalize on our name recognition, increase brand awareness and further develop our branded products in both U.S. and international markets. We have registered certain trademarks and have other trademark applications pending in the U.S. and foreign jurisdictions. Not all of the trademarks that we currently use have been registered in all of the countries in which we do business, and they may never be registered in all of these countries. Some countries’ laws do not protect unregistered trademarks at all, or make them more difficult to enforce, and third parties may have filed for “Domino’s” or similar marks in countries where Domino’s has not registered its brand. Accordingly, we may not be able to adequately protect our trademarks everywhere in the world and our use of these trademarks may result in liability for trademark infringement, trademark dilution or unfair competition.</w:t>
      </w:r>
    </w:p>
    <w:p>
      <w:pPr>
        <w:spacing w:after="0" w:line="1"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color w:val="auto"/>
        </w:rPr>
        <w:t>All of the steps we have taken to protect our intellectual property in the U.S. and in foreign countries may not be adequate. In addition, the laws of some foreign countries do not protect intellectual property rights to the same extent as the laws of the U.S.</w:t>
      </w:r>
    </w:p>
    <w:p>
      <w:pPr>
        <w:spacing w:after="0" w:line="18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We may, from time to time, be required to institute or defend litigation to enforce our trademarks or other intellectual property rights, or to protect our trade secrets. Such litigation could result in substantial costs and diversion of resources and could negatively affect our sales, profitability and prospects regardless of whether we are able to successfully enforce our rights.</w:t>
      </w:r>
    </w:p>
    <w:p>
      <w:pPr>
        <w:spacing w:after="0" w:line="29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The occurrence of cyber incidents, or a deficiency in cybersecurity, could negatively impact our business by causing a disruption to our operations, a compromise or corruption of confidential information, or damage to our employee and business relationships, any of which could subject us to loss and harm our brand.</w:t>
      </w:r>
    </w:p>
    <w:p>
      <w:pPr>
        <w:spacing w:after="0" w:line="76" w:lineRule="exact"/>
        <w:rPr>
          <w:sz w:val="20"/>
          <w:szCs w:val="20"/>
          <w:color w:val="auto"/>
        </w:rPr>
      </w:pPr>
    </w:p>
    <w:p>
      <w:pPr>
        <w:ind w:left="120" w:right="180"/>
        <w:spacing w:after="0" w:line="273" w:lineRule="auto"/>
        <w:rPr>
          <w:sz w:val="20"/>
          <w:szCs w:val="20"/>
          <w:color w:val="auto"/>
        </w:rPr>
      </w:pPr>
      <w:r>
        <w:rPr>
          <w:rFonts w:ascii="Arial" w:cs="Arial" w:eastAsia="Arial" w:hAnsi="Arial"/>
          <w:sz w:val="17"/>
          <w:szCs w:val="17"/>
          <w:color w:val="auto"/>
        </w:rPr>
        <w:t>A cyber incident is considered to be any adverse event that threatens the confidentiality, integrity or availability of information resources. More specifically, a cyber incident is an intentional attack or an unintentional event that can include gaining unauthorized access to systems to disrupt operations, corrupt data or steal confidential information about customers, franchisees, suppliers or employees. A number of retailers and other companies have recently experienced serious cyber incidents and breaches of their information technology systems. As our reliance on technology has increased, so have the risks posed to our systems, both internal and those we have outsourced. We could also be subject to negative impacts to our business caused by cyber incidents relating to our third-party service providers.</w:t>
      </w:r>
    </w:p>
    <w:p>
      <w:pPr>
        <w:spacing w:after="0" w:line="178"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The three primary risks that could directly result from the occurrence of a cyber incident include operational interruption, damage to our relationships with customers, franchisees and employees and private data exposure, including payment card or other financial data. In addition to maintaining insurance coverage to address cyber incidents, we have also implemented processes, procedures and controls to help mitigate these risks. However, our cyber insurance coverage may not fully cover all of the costs associated with a cyber incident and these measures, as well as our increased awareness of the risk of a cyber incident, do not guarantee that our reputation and financial results will not be materially and adversely affected by such an incident.</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86"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8" w:lineRule="auto"/>
        <w:rPr>
          <w:sz w:val="20"/>
          <w:szCs w:val="20"/>
          <w:color w:val="auto"/>
        </w:rPr>
      </w:pPr>
      <w:r>
        <w:rPr>
          <w:rFonts w:ascii="Arial" w:cs="Arial" w:eastAsia="Arial" w:hAnsi="Arial"/>
          <w:sz w:val="16"/>
          <w:szCs w:val="16"/>
          <w:color w:val="auto"/>
        </w:rPr>
        <w:t>Our and our franchisees’ operations depend upon our ability and the ability of franchisees and third-party service providers (as well as franchisees’ third-party service providers), to protect computer equipment and systems against damage from theft, fire, power loss, telecommunications failure and other catastrophic or unanticipated events, as well as internal and external security incidents, viruses, denial-of-service attacks, phishing attacks, ransomware attacks and other intentional or unintentional disruptions. A significant portion of our retail sales depend on the continuing operation of our information technology and communications systems, including but not limited to Domino’s PULSE</w:t>
      </w:r>
      <w:r>
        <w:rPr>
          <w:rFonts w:ascii="Arial" w:cs="Arial" w:eastAsia="Arial" w:hAnsi="Arial"/>
          <w:sz w:val="22"/>
          <w:szCs w:val="22"/>
          <w:color w:val="auto"/>
          <w:vertAlign w:val="superscript"/>
        </w:rPr>
        <w:t>™</w:t>
      </w:r>
      <w:r>
        <w:rPr>
          <w:rFonts w:ascii="Arial" w:cs="Arial" w:eastAsia="Arial" w:hAnsi="Arial"/>
          <w:sz w:val="16"/>
          <w:szCs w:val="16"/>
          <w:color w:val="auto"/>
        </w:rPr>
        <w:t>, our online and mobile ordering platforms and our credit card processing systems. The failure of these systems to operate effectively, stemming from maintenance problems, upgrading or transitioning to new platforms, a compromise in our security or other unanticipated problems could result in interruptions to or delays in our and our franchisees’ operations. Some of our systems are not fully redundant, and our system’s disaster recovery planning cannot account for all eventualities. The occurrence of a natural disaster, intentional sabotage or other unanticipated problems could result in lengthy interruptions in service. In addition, the implementation of technology changes and upgrades to maintain and upgrade our systems, errors or vulnerabilities in our systems, or damage to or failure of our systems, could result in interruptions in our services and non-compliance with certain laws or regulations, which could reduce our sales, revenues and profits and damage our business and brand. Furthermore, as a result of the COVID-19 pandemic, certain of our employees have been required to work from home. The significant increase in remote working, particularly for an extended period of time, could exacerbate certain risks to our business, including an increased risk of cyber incidents and improper dissemination of personal or confidential information.</w:t>
      </w:r>
    </w:p>
    <w:p>
      <w:pPr>
        <w:spacing w:after="0" w:line="176"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Because we and our franchisees accept electronic forms of payment from customers, our business requires the collection and retention of customer data, including sensitive financial data and other personally identifiable information in various information systems that we and our franchisees maintain and in those maintained by third parties with whom we and our franchisees contract to provide payment processing. A weakness in such third party’s systems or software products may provide a mechanism for a cyber threat. In recent years, a significant number of companies have experienced security data breaches in which customer information was stolen through vendor access channels. While we select our third-party suppliers carefully, cyber-attacks and security data breaches at a payment processing contractor could compromise confidential information or adversely affect our ability to deliver products and services to our customers. These problems could negatively affect our results of operations, and remediation could result in significant, unplanned capital investments.</w:t>
      </w:r>
    </w:p>
    <w:p>
      <w:pPr>
        <w:spacing w:after="0" w:line="178"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We also maintain important internal Company data, such as personally identifiable information about our employees and franchisees and information relating to our operations. In addition, more than half of all global retail sales in 2020 were derived from digital channels, primarily through our online ordering website and mobile applications, where customers enter personally identifiable information that we retain. Our use and retention of personally identifiable information is regulated by foreign, federal and state laws and regulations, as well as by certain third-party agreements. For example, the European Union adopted a new regulation that became effective in May 2018, the European Union General Data Protection Regulation, and the State of California adopted the California Consumer Privacy Act that became effective on January 1, 2020, both of which require companies to meet new requirements regarding the handling of personal data. As privacy and information security laws and regulations change, we may incur additional costs to ensure that we remain in compliance with those laws and regulations. If our security and information systems are compromised or if we, our employees or franchisees fail to comply with these laws, regulations or contract terms, or to successfully implement appropriate processes related to applicable requirements, laws and regulations governing cyber incidents could require us to notify customers, employees or other groups, and could result in adverse publicity, loss of sales and cash flows, increased fees payable to third parties and fines, penalties or remediation and other costs that could adversely affect our reputation, business and results of operations. Any other material disruption or other adverse event affecting one or more of our digital ordering platforms, including, for instance, power loss, technological failures, user error or cyber-attacks, could similarly result in adverse publicity, loss of sales and cash flows and other costs, which could in turn materially and adversely affect our reputation, business and results of operations.</w:t>
      </w:r>
    </w:p>
    <w:p>
      <w:pPr>
        <w:spacing w:after="0" w:line="290"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b w:val="1"/>
          <w:bCs w:val="1"/>
          <w:i w:val="1"/>
          <w:iCs w:val="1"/>
          <w:color w:val="auto"/>
        </w:rPr>
        <w:t>We cannot predict the impact that new or improved technologies, alternative methods of delivery, including autonomous vehicle delivery, or changes in consumer behavior facilitated by these technologies and alternative methods of delivery will have on our business.</w:t>
      </w:r>
    </w:p>
    <w:p>
      <w:pPr>
        <w:spacing w:after="0" w:line="16"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Advances in technologies or alternative methods of delivery, including advances in digital ordering technology, or certain changes in consumer behavior driven by these or other technologies and methods of delivery could have a negative effect on our business and market position. Moreover, technology and consumer offerings continue to develop, and we expect that new or enhanced technologies and consumer offerings will be available in the future. We may pursue certain of those technologies and consumer offerings if we believe they offer a sustainable customer proposition and can be successfully integrated into our business model. However, we cannot predict consumer acceptance of these delivery channels or their impact on our business.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86"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addition, our competitors, some of whom have greater resources (financial or otherwise) than we do, may be able to benefit from changes in technologies or consumer acceptance of alternative methods of delivery, which could harm our competitive position. There can be no assurance that we will be able to successfully respond to changing consumer preferences, including with respect to new technologies and alternative methods of delivery, or to effectively adjust our product mix, service offerings, and marketing and merchandising initiatives for products and services that address, and anticipate advances in, technology and market trends. If we are not able to successfully respond to these challenges, our business, market share, financial condition, and operating results could be materially and adversely affected.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a variety of additional risks associated with our franchisees.</w:t>
      </w:r>
    </w:p>
    <w:p>
      <w:pPr>
        <w:spacing w:after="0" w:line="117"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Our franchise system subjects us to a number of additional risks, any one of which may impact our ability to collect royalty payments and fees from our franchisees, may harm the goodwill associated with our brand, and/or may materially and adversely impact our business and results of operations. Such risks may also apply to us as owners of stores. These risks include, but are not limited to:</w:t>
      </w:r>
    </w:p>
    <w:p>
      <w:pPr>
        <w:spacing w:after="0" w:line="89" w:lineRule="exact"/>
        <w:rPr>
          <w:sz w:val="20"/>
          <w:szCs w:val="20"/>
          <w:color w:val="auto"/>
        </w:rPr>
      </w:pPr>
    </w:p>
    <w:p>
      <w:pPr>
        <w:ind w:left="1080" w:right="220" w:hanging="424"/>
        <w:spacing w:after="0" w:line="34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those relating to the application of local, state, federal and foreign bankruptcy laws and other applicable laws governing creditors’ rights generally and the impact such laws could have on our ability to collect payments and fees under applicable franchise agreements;</w:t>
      </w:r>
    </w:p>
    <w:p>
      <w:pPr>
        <w:spacing w:after="0" w:line="29" w:lineRule="exact"/>
        <w:rPr>
          <w:rFonts w:ascii="Arial" w:cs="Arial" w:eastAsia="Arial" w:hAnsi="Arial"/>
          <w:sz w:val="16"/>
          <w:szCs w:val="16"/>
          <w:color w:val="auto"/>
        </w:rPr>
      </w:pPr>
    </w:p>
    <w:p>
      <w:pPr>
        <w:ind w:left="1080" w:right="6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those relating to franchisees that are operating entities, which generally are not limited-purpose entities, including business, credit, financial and other risks in addition to risks related to unions;</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those relating to franchisee changes in control and succession in general and the ability to find acceptable successors who would be able to perform a former franchisee’s obligations under applicable franchise agreements or successfully operate impacted stores in the event of a change of control or other succession event;</w:t>
      </w:r>
    </w:p>
    <w:p>
      <w:pPr>
        <w:spacing w:after="0" w:line="89" w:lineRule="exact"/>
        <w:rPr>
          <w:rFonts w:ascii="Arial" w:cs="Arial" w:eastAsia="Arial" w:hAnsi="Arial"/>
          <w:sz w:val="18"/>
          <w:szCs w:val="18"/>
          <w:color w:val="auto"/>
        </w:rPr>
      </w:pPr>
    </w:p>
    <w:p>
      <w:pPr>
        <w:ind w:left="1080" w:hanging="424"/>
        <w:spacing w:after="0" w:line="301"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those relating to franchisee insurance, including the inadequacy of, or inability to obtain, insurance coverage, losses in excess of policy limits or payments not being made on a timely basis, extraordinary hazards not being subject to coverage (or only being subject to coverage at prohibitively high rates) or third parties seeking to recover certain losses from us to the extent those losses experienced by such third parties are either not covered by the franchisee’s insurance or exceed the policy limits of the franchisee’s insurance;</w:t>
      </w:r>
    </w:p>
    <w:p>
      <w:pPr>
        <w:spacing w:after="0" w:line="62" w:lineRule="exact"/>
        <w:rPr>
          <w:rFonts w:ascii="Arial" w:cs="Arial" w:eastAsia="Arial" w:hAnsi="Arial"/>
          <w:sz w:val="16"/>
          <w:szCs w:val="16"/>
          <w:color w:val="auto"/>
        </w:rPr>
      </w:pPr>
    </w:p>
    <w:p>
      <w:pPr>
        <w:ind w:left="1080" w:right="2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those relating to instances of termination of or default under a franchisee’s franchise agreement or the non-renewal thereof at the end of such agreement’s expiration date and the corresponding impact on the franchisee’s or our operations;</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those relating to product liability exposure or noncompliance with health and safety regulations and the resulting impact such events could have on a franchisee’s ability to make payments under applicable franchise agreements, on us if an aggrieved party seeks to recover their losses from us and on our brand’s reputation;</w:t>
      </w:r>
    </w:p>
    <w:p>
      <w:pPr>
        <w:spacing w:after="0" w:line="89"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imposition of injunctive relief, fines, damage awards or capital expenditures under the Americans with Disabilities Act of 1990, as amended, or other laws or regulations that could adversely affect the ability of a franchisee to make payments under applicable franchise agreements;</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litigation involving franchisees, including litigation involving us or litigation involving a third-party directed at a franchisee, which could decrease the ability of a defendant-franchisee to make its royalty payments and divert our resources regardless of whether the allegations in such litigation are valid or whether we are liable; and</w:t>
      </w:r>
    </w:p>
    <w:p>
      <w:pPr>
        <w:spacing w:after="0" w:line="89" w:lineRule="exact"/>
        <w:rPr>
          <w:rFonts w:ascii="Arial" w:cs="Arial" w:eastAsia="Arial" w:hAnsi="Arial"/>
          <w:sz w:val="18"/>
          <w:szCs w:val="18"/>
          <w:color w:val="auto"/>
        </w:rPr>
      </w:pPr>
    </w:p>
    <w:p>
      <w:pPr>
        <w:ind w:left="1080" w:right="34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those relating to the reliance of a franchised store business on its franchisees and the nature of franchisees in general, including the retention of franchisees (especially including our top-performing franchisees) in the future or our ability to attract, retain, and motivate sufficient numbers of franchisees of the same caliber in the future.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a number of risks related to credit card and debit card payments we accept.</w:t>
      </w:r>
    </w:p>
    <w:p>
      <w:pPr>
        <w:spacing w:after="0" w:line="117"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As store operators, we and our franchisees accept payments through credit card and debit card transactions. For credit card and debit card payments, we and our franchisees pay interchange and other fees, which may increase over time, potentially increasing our operating expenses and those of our franchisees and requiring an increase in the prices charged for our products, either of which could harm our operating results. If there are malfunctions or other problems with our or our franchisees’ processing vendors, billing software or payment processing systems, our or our franchisees’ customer satisfaction may be adversely affected and one or more of the major payment networks could disallow us or our franchisees’ continued use of their payment methods. If we or our franchisees fail to adequately control fraudulent credit card and debit card transactions or to comply with the Payment Card Industry Data Security Standards, we or our franchisees may face civil liability, diminished public perception of our or their security measures, fines and assessments from the card brands, and significantly higher credit card and debit card related costs, each of which could adversely affect our business, financial condition and results of operations.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86"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termination of our ability to process payments through any major payment network would significantly impair our ability to operate our business. We and our franchisees may need to expand or change our or their information systems to support different or emerging forms of payment methods, which may be time-consuming and expensive, and we or they may not realize a return on the investment.</w:t>
      </w:r>
    </w:p>
    <w:p>
      <w:pPr>
        <w:spacing w:after="0" w:line="292"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Our current insurance coverage may not be adequate, insurance premiums for such coverage may increase and we may not be able to obtain insurance at acceptable rates, or at all.</w:t>
      </w:r>
    </w:p>
    <w:p>
      <w:pPr>
        <w:spacing w:after="0" w:line="62"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For certain periods prior to December 1998 and for periods after December 2001, we maintain insurance coverage for workers’ compensation, general liability and owned and non-owned automobile liabilities. We are generally responsible for up to $2.0 million per occurrence under these retention programs for workers’ compensation and general liability, depending on policy year and line of coverage. We are generally responsible for up to between $500,000 and $5.5 million per occurrence under these retention programs for owned and non-owned automobile liabilities, depending on policy year and line of coverage. Total insurance limits under these retention programs vary depending upon the period covered and range up to $110.0 million per occurrence for general liability and owned and non-owned automobile liabilities and up to the applicable statutory limits for workers’ compensation. These insurance policies may not be adequate to protect us from liabilities that we incur in our business. In addition, in the future our insurance premiums may increase, and we may not be able to obtain similar levels of insurance on reasonable terms, or at all. Any such inadequacy of, or inability to obtain insurance coverage could have a material adverse effect on our business, financial condition and results of operations.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Indebtedness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substantial indebtedness could adversely affect our business and limit our ability to plan for or respond to changes in our business.</w:t>
      </w:r>
    </w:p>
    <w:p>
      <w:pPr>
        <w:spacing w:after="0" w:line="14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have a substantial amount of indebtedness. As of January 3, 2021, our consolidated total indebtedness was approximately $4.12 billion. We may also incur additional debt, which would not be prohibited under the terms of our current securitized debt agreements. Our substantial indebtedness could have important consequences for our business and our shareholders. For example, it could:</w:t>
      </w:r>
    </w:p>
    <w:p>
      <w:pPr>
        <w:spacing w:after="0" w:line="89"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debt agreements;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thereby reducing the availability of our cash flow for other purposes; and</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 thereby placing us at a competitive disadvantage compared to our peers that may have less debt.</w:t>
      </w:r>
    </w:p>
    <w:p>
      <w:pPr>
        <w:spacing w:after="0" w:line="170"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Further, a portion of our indebtedness bears interest at fluctuating interest rates based on the London interbank offered rate (“LIBOR”), and there is currently uncertainty around whether LIBOR will continue to exist after 2021. If LIBOR ceases to exist, we may need to renegotiate certain loan documents and we cannot predict what alternative index would be negotiated with our lenders. As a result, our interest expense could increase, in which event we may have difficulties making interest payments and funding our other fixed costs, and our available cash flow for general corporate requirements may be adversely affected. The U.S. Federal Reserve, in conjunction with the Alternative Reference Rates Committee, a steering committee comprised of large U.S. financial institutions, is considering replacing LIBOR with a new index calculated by short-term repurchase agreements, backed by Treasury securities called the Secured Overnight Financing Rate (“SOFR”). The first publication of SOFR was released in April 2018. Whether or not SOFR attains market traction as a LIBOR replacement remains a question and the future of LIBOR at this time is uncertain.</w:t>
      </w:r>
    </w:p>
    <w:p>
      <w:pPr>
        <w:spacing w:after="0" w:line="16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addition, the financial and other covenants we agreed to with our lenders may limit our ability to incur additional indebtedness, make investments, pay dividends and engage in other transactions, and the leverage may cause potential lenders to be less willing to loan funds to us in the future. Our failure to comply with these covenants could result in an event of default that, if not cured or waived, could result in the acceleration of repayment of all of our indebtedness.</w:t>
      </w:r>
    </w:p>
    <w:p>
      <w:pPr>
        <w:spacing w:after="0" w:line="295"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Downgrades in our credit ratings could impact our ability to access capital and materially adversely affect our business, financial condition and results of operations.</w:t>
      </w:r>
    </w:p>
    <w:p>
      <w:pPr>
        <w:spacing w:after="0" w:line="62"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Our debt is rated by credit rating agencies. These agencies may downgrade their credit ratings for us based on the performance of our business, our capital strategies or their overall view of our industry. There can be no assurance that any rating assigned to our currently outstanding indebtedness will remain in effect for any given period of time or that any such ratings will not be lowered, suspended or withdrawn entirely by a rating agency if, in that agency’s judgment, circumstances so warrant.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86"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 downgrade of our credit ratings could, among other things, increase our cost of borrowing, limit our ability to access capital, result in more restrictive covenants in agreements governing the terms of any future indebtedness that we may incur, including restrictions on our ability to pay dividends or repurchase shares, or require us to provide collateral for future borrowings, and thereby adversely impact our business, financial condition and results of operations.</w:t>
      </w:r>
    </w:p>
    <w:p>
      <w:pPr>
        <w:spacing w:after="0" w:line="295"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We may be unable to generate sufficient cash flow to satisfy our significant debt service obligations, which would adversely affect our financial condition and results of operations.</w:t>
      </w:r>
    </w:p>
    <w:p>
      <w:pPr>
        <w:spacing w:after="0" w:line="62"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Our ability to make principal and interest payments on and to refinance our indebtedness will depend on our ability to generate cash in the future. This, to a certain extent, is subject to general economic, financial, competitive, legislative, regulatory and other factors that are beyond our control. If our business does not generate sufficient cash flow from operations, in the amounts projected or at all, or if future borrowings are not available to us under our variable funding notes in amounts sufficient to fund our other liquidity needs, our financial condition and results of operations may be adversely affected. If we cannot generate sufficient cash flow from operations to make scheduled principal amortization and interest payments on our debt obligations in the future, we may need to refinance all or a portion of our indebtedness on or before maturity, sell assets, delay capital expenditures or seek additional equity. If we are unable to refinance any of our indebtedness on commercially reasonable terms or at all or to affect any other action relating to our indebtedness on satisfactory terms or at all, our business may be harmed.</w:t>
      </w:r>
    </w:p>
    <w:p>
      <w:pPr>
        <w:spacing w:after="0" w:line="28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The terms of our securitized debt financing of certain of our wholly-owned subsidiaries have restrictive terms and our failure to comply with any of these terms could put us in default, which would have an adverse effect on our business and prospects.</w:t>
      </w:r>
    </w:p>
    <w:p>
      <w:pPr>
        <w:spacing w:after="0" w:line="6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Unless and until we repay all outstanding borrowings under our securitized debt, we will remain subject to the restrictive terms of these borrowings. The securitized debt, under which certain of our wholly-owned subsidiaries issued and guaranteed fixed rate notes and variable funding senior revolving notes, contain a number of covenants, with the most significant financial covenant being a debt service coverage calculation. These covenants limit the ability of certain of our subsidiaries to, among other things:</w:t>
      </w:r>
    </w:p>
    <w:p>
      <w:pPr>
        <w:spacing w:after="0" w:line="92"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alter the business we conduct;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 in mergers, acquisitions and other business combinations;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declare dividends or redeem or repurchase capital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assume or permit to exist additional indebtedness or guarantees;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liens;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securitized debt also requires us to maintain specified financial ratios at the end of each fiscal quarter. These restrictions could affect our ability to pay dividends or repurchase shares of our common stock. Our ability to meet these financial ratios can be affected by events beyond our control, and we may not satisfy such a test. A breach of this covenant could result in a rapid amortization event or default under the securitized debt. If amounts owed under the securitized debt are accelerated because of a default under the securitized debt and we are unable to pay such amounts, the investors may have the right to assume control of substantially all of the securitized assets.</w:t>
      </w:r>
    </w:p>
    <w:p>
      <w:pPr>
        <w:spacing w:after="0" w:line="188"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During the term following issuance, the outstanding senior notes will accrue interest in accordance with the terms of the debt agreements. Additionally, our senior notes have original scheduled principal payments of $42.0 million in 2021, $897.0 million in 2022, $33.0 million in each of 2023 and 2024, $1.15 billion in 2025, $20.8 million in 2026, $1.28 billion in 2027, $6.8 million in 2028 and $614.3 million in 2029. In accordance with our debt agreements, the payment of principal on the outstanding senior notes may be suspended if the leverage ratios for the Company are less than or equal to 5.0x total debt, as defined, to adjusted EBITDA, as defined in the indenture governing our securitized debt, and no catch-up provisions are applicable. As of the fourth quarter of 2020, we met the leverage ratio of less than 5.0x and, in accordance with our debt agreements, did not make the previously scheduled debt payments beginning in the first quarter of 2021.</w:t>
      </w:r>
    </w:p>
    <w:p>
      <w:pPr>
        <w:spacing w:after="0" w:line="177"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If we are unable to refinance or repay amounts under the securitized debt prior to the expiration of the term, our cash flow would be directed to the repayment of the securitized debt and, other than a weekly management fee sufficient to cover minimal selling, general and administrative expenses, would not be available for operating our business.</w:t>
      </w:r>
    </w:p>
    <w:p>
      <w:pPr>
        <w:spacing w:after="0" w:line="184" w:lineRule="exact"/>
        <w:rPr>
          <w:sz w:val="20"/>
          <w:szCs w:val="20"/>
          <w:color w:val="auto"/>
        </w:rPr>
      </w:pPr>
    </w:p>
    <w:p>
      <w:pPr>
        <w:jc w:val="both"/>
        <w:ind w:left="120" w:right="300"/>
        <w:spacing w:after="0" w:line="311" w:lineRule="auto"/>
        <w:rPr>
          <w:sz w:val="20"/>
          <w:szCs w:val="20"/>
          <w:color w:val="auto"/>
        </w:rPr>
      </w:pPr>
      <w:r>
        <w:rPr>
          <w:rFonts w:ascii="Arial" w:cs="Arial" w:eastAsia="Arial" w:hAnsi="Arial"/>
          <w:sz w:val="16"/>
          <w:szCs w:val="16"/>
          <w:color w:val="auto"/>
        </w:rPr>
        <w:t>No assurance can be given that any refinancing or additional financing will be possible when needed or that we will be able to negotiate acceptable terms. In addition, our access to capital is affected by prevailing conditions in the financial and capital markets and other factors beyond our control. There can be no assurance that market conditions will be favorable at the times that we require new or additional financing.</w:t>
      </w:r>
    </w:p>
    <w:p>
      <w:pPr>
        <w:sectPr>
          <w:pgSz w:w="11900" w:h="16838" w:orient="portrait"/>
          <w:cols w:equalWidth="0" w:num="1">
            <w:col w:w="11100"/>
          </w:cols>
          <w:pgMar w:left="320" w:top="486" w:right="479" w:bottom="1440" w:gutter="0" w:footer="0" w:header="0"/>
        </w:sectPr>
      </w:pP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100"/>
          </w:cols>
          <w:pgMar w:left="320" w:top="486" w:right="47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indenture governing the securitized debt will restrict the cash flow from the entities subject to the securitization to any of our other entities and upon the occurrence of certain events, cash flow would be further restricted.</w:t>
      </w:r>
    </w:p>
    <w:p>
      <w:pPr>
        <w:spacing w:after="0" w:line="170"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 the event that a rapid amortization event occurs under the indenture (including, without limitation, upon an event of default under the indenture or the failure to repay the securitized debt at the end of its term), the funds available to us would be reduced or eliminated, which would in turn reduce our ability to operate or grow our business.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Legal and Compliance Risks</w:t>
      </w:r>
    </w:p>
    <w:p>
      <w:pPr>
        <w:spacing w:after="0" w:line="121" w:lineRule="exact"/>
        <w:rPr>
          <w:sz w:val="20"/>
          <w:szCs w:val="20"/>
          <w:color w:val="auto"/>
        </w:rPr>
      </w:pPr>
    </w:p>
    <w:p>
      <w:pPr>
        <w:jc w:val="both"/>
        <w:ind w:left="120" w:right="140"/>
        <w:spacing w:after="0" w:line="286" w:lineRule="auto"/>
        <w:rPr>
          <w:sz w:val="20"/>
          <w:szCs w:val="20"/>
          <w:color w:val="auto"/>
        </w:rPr>
      </w:pPr>
      <w:r>
        <w:rPr>
          <w:rFonts w:ascii="Arial" w:cs="Arial" w:eastAsia="Arial" w:hAnsi="Arial"/>
          <w:sz w:val="17"/>
          <w:szCs w:val="17"/>
          <w:b w:val="1"/>
          <w:bCs w:val="1"/>
          <w:i w:val="1"/>
          <w:iCs w:val="1"/>
          <w:color w:val="auto"/>
        </w:rPr>
        <w:t>We face risks of litigation, investigations, enforcement actions and negative publicity from customers, franchisees, suppliers, employees, regulators and others in the ordinary course of business, which could divert our financial and management resources. Litigation, investigations, enforcement actions or publicity may adversely impact our financial condition and results of operations.</w:t>
      </w:r>
    </w:p>
    <w:p>
      <w:pPr>
        <w:spacing w:after="0" w:line="57"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Claims of illness or injury relating to food quality or food handling are common in the food service industry, and vehicular accidents and injuries occur in the food delivery business. We are currently subject to these types of claims and have been subject to these types of claims in the past. Claims within our industry of improper supplier actions also occasionally arise that, if made against one of our suppliers, could potentially damage our brand image. In addition, class action lawsuits have been filed, and may continue to be filed, against various quick service restaurants alleging, among other things, that quick service restaurants have failed to disclose the health risks associated with high-fat foods and that quick service restaurant marketing practices have encouraged obesity. State attorney general offices or other regulators have initiated and may in the future initiate investigations or enforcement actions against us.</w:t>
      </w:r>
    </w:p>
    <w:p>
      <w:pPr>
        <w:spacing w:after="0" w:line="195"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In addition to decreasing our sales and profitability and diverting our management resources, adverse publicity resulting from such allegations may materially and adversely affect us and our brand, regardless of whether such allegations are valid or whether we are liable, and could result in a substantial settlement, fine, penalty or judgment against us.</w:t>
      </w:r>
    </w:p>
    <w:p>
      <w:pPr>
        <w:spacing w:after="0" w:line="184"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Further, we may be subject to employee, franchisee and other claims in the future based on, among other things, discrimination, harassment, working and safety conditions, wrongful termination and wage, expense reimbursement, rest break and meal break issues, including claims relating to overtime compensation. We have been and continue to be subject to these types of claims. If one or more of these claims were to be successful or if there is a significant increase in the number of these claims or if we receive significant negative publicity, our business, financial condition and operating results could be harmed.</w:t>
      </w:r>
    </w:p>
    <w:p>
      <w:pPr>
        <w:spacing w:after="0" w:line="296"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We and our franchisees are subject to extensive government regulation and requirements issued by other groups and our failure to comply with existing or increased regulations could adversely affect our business and operating results.</w:t>
      </w:r>
    </w:p>
    <w:p>
      <w:pPr>
        <w:spacing w:after="0" w:line="62"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We are subject to numerous federal, state, local and foreign laws and regulations, as well as requirements issued by other groups, including those relating to:</w:t>
      </w:r>
    </w:p>
    <w:p>
      <w:pPr>
        <w:spacing w:after="0" w:line="76"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preparation, sale and labeling of food;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building and zoning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environmental protection;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labor and employment, including minimum wage, overtime, insurance, discrimination and other labor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working and safety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franchise arrangements;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antitrust;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payment card industry standards and requirements;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information privacy and consumer protection.</w:t>
      </w:r>
    </w:p>
    <w:p>
      <w:pPr>
        <w:spacing w:after="0" w:line="225"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We are subject to an FTC rule and to various state and foreign laws that govern the offer and sale of franchises. These laws regulate various aspects of the franchise relationship, including terminations and the refusal to renew franchises. The failure to comply with these laws and regulations in any jurisdiction or to obtain required government approvals could result in a ban or temporary suspension on future franchise sales, fines or other penalties or require us to make offers of rescission or restitution, any of which could adversely affect our business and operating results.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86"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In August 2015, the National Labor Relations Board adopted a new and broader standard for determining when two or more otherwise unrelated employers may be found to be a joint employer of the same employees under the National Labor Relations Act. The National Labor Relations Board issued a final rule which became effective April 27, 2020 that reinstates the standard that was in place before August 2015. In December 2019, the National Labor Relations Board directed an administrative law judge to approve settlement agreements (rather than rejecting the settlement and allowing the claims asserting that the franchisor should be the joint employer of its franchisees’ employees to proceed) in a decision related to another franchise system; however, an appeal of that decision is pending. If the August 2015 standard is restored or is adopted by other government agencies and/or applied generally to franchise relationships, it could cause us to be liable or held responsible for unfair labor practices and other violations of our franchisees and subject us to other liabilities, and require us to conduct collective bargaining negotiations regarding employees of totally separate, independent employers, most notably our franchisees. In such event, our operating expenses may increase as a result of required modifications to our business practices, increased litigation, governmental investigations or proceedings, administrative enforcement actions, fines and civil liability. Additionally, depending upon legal developments in California, franchisors may be subject to claims that their franchisees should be treated as employees and not as independent contractors in California and, potentially, certain other states and localities with similar employment laws. If such misclassification claims are successful against a franchisor, the franchisor could be liable to its franchisees (and potentially their employees) and, thereafter, have to treat its franchisees (and their employees) as the franchisor’s employees under these laws.</w:t>
      </w:r>
    </w:p>
    <w:p>
      <w:pPr>
        <w:spacing w:after="0" w:line="171"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We and our franchisees are subject to the Fair Labor Standards Act of 1938, as amended (the “Fair Labor Standards Act”), which, along with the Family and Medical Leave Act, governs such matters as minimum wage and overtime requirements and other working conditions and various family leave mandates, as well as a variety of other laws enacted, or rules and regulations promulgated, by federal, state and local governmental authorities that govern these and other employment matters. We and our franchisees have experienced and expect further increases in payroll expenses as a result of government-mandated increases in the minimum wage, and although such increases are not currently expected to be material, there may be material increases in the future. Enactment and enforcement of various federal, state and local laws, rules and regulations on immigration and labor organizations may adversely impact the availability and costs of labor for Domino’s and franchisees’ stores in a particular area or across the United States. In addition, third-party suppliers may be affected by higher minimum wage standards, which may increase the price of goods and services they supply to us. Such increased expenses may cause our franchisees to exit the business or cause us to reduce the number of company-owned stores, or otherwise adversely affect the amount of royalty payments and license fees we receive.</w:t>
      </w:r>
    </w:p>
    <w:p>
      <w:pPr>
        <w:spacing w:after="0" w:line="185"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On January 12, 2020, the U.S. Department of Labor announced a final rule to update and clarify the definition of joint employer under the Fair Labor Standards Act. Under the final rule, the general test for assessing whether a party can be deemed a joint employer would be based upon whether that party (i) hires or fires the employee; (ii) supervises and controls the employee’s work schedule or conditions of employment; (iii) determines the employee’s rate and method of payment; and (iv) maintains the employee’s employment records. In the final rule, the Department of Labor describes instances in which joint employment would not be more or less likely to be found to exist under the Fair Labor Standards Act, which, according to the Department of Labor, includes the relationships that exist under the typical franchise business model. This rule may reduce a franchisor’s risk of liability that currently exists under the joint employer standard now in effect under the Fair Labor Standards Act (though ultimately, the facts specific to the franchisor-franchisee model at issue would be considered when determining liability). On September 8, 2020, a federal district court struck down a significant portion of the final rule, and an appeal of that decision is currently pending. However, the U.S. Department of Labor rule is separate from the joint employer standard under the National Labor Relations Act, the final rule issued by the National Labor Relations Board, and, as described above, potential liability as a joint employer under the National Labor Relations Act.</w:t>
      </w:r>
    </w:p>
    <w:p>
      <w:pPr>
        <w:spacing w:after="0" w:line="182"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Certain governmental authorities and private litigants have recently asserted claims against franchisors, including us, for provisions in our prior franchise agreements that restrict franchisees from soliciting or hiring the employees of other franchisees or the applicable franchisor. Claims against franchisors for such clauses include allegations that these clauses violate state and federal antitrust and unfair practices laws by restricting the free movement of employees of franchisees and/or franchisor (including the employees of company-owned stores), thereby depressing the wages of those employees.</w:t>
      </w:r>
    </w:p>
    <w:p>
      <w:pPr>
        <w:spacing w:after="0" w:line="18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Patient Protection and Affordable Care Act (as amended, the “Affordable Care Act”) requires employers such as us to provide health insurance for all qualifying employees or pay penalties for not providing coverage. The majority of the increases in these costs began in 2015, and while the incremental costs of this program have not been material to us to date, we cannot predict what effect these costs will have on our results of operations and financial position, or the effects of the Affordable Care Act on some of our larger franchisees. Modifications to, or repeal of, all or certain provisions of the Affordable Care Act are possible, consistent with statements made by certain elected officials.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86"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Changes in tax laws or tax policy more broadly, increases in the enacted tax rates, adverse outcomes in connection with tax audits in any jurisdiction or any change in the pronouncements relating to accounting for income taxes could also impact our financial condition and results of operations.</w:t>
      </w:r>
    </w:p>
    <w:p>
      <w:pPr>
        <w:spacing w:after="0" w:line="124" w:lineRule="exact"/>
        <w:rPr>
          <w:sz w:val="20"/>
          <w:szCs w:val="20"/>
          <w:color w:val="auto"/>
        </w:rPr>
      </w:pPr>
    </w:p>
    <w:p>
      <w:pPr>
        <w:ind w:left="120" w:right="180"/>
        <w:spacing w:after="0" w:line="273" w:lineRule="auto"/>
        <w:rPr>
          <w:sz w:val="20"/>
          <w:szCs w:val="20"/>
          <w:color w:val="auto"/>
        </w:rPr>
      </w:pPr>
      <w:r>
        <w:rPr>
          <w:rFonts w:ascii="Arial" w:cs="Arial" w:eastAsia="Arial" w:hAnsi="Arial"/>
          <w:sz w:val="17"/>
          <w:szCs w:val="17"/>
          <w:color w:val="auto"/>
        </w:rPr>
        <w:t>There also has been increased public focus, including by U.S. and foreign governmental authorities, on environmental sustainability matters, such as climate change, the reduction of greenhouse gases and water consumption. Legislative, regulatory or other efforts to combat climate change or other environmental concerns could result in future increases in taxes, restrictions on or increases in the costs of supplies, transportation and utilities, any of which could increase our operating costs and those of our franchisees, and necessitate future investments in facilities and equipment. These risks also include the increased pressure to make commitments, set targets, or establish additional goals to take actions to meet them, which could expose us and our franchisees to market, operational, execution and reputational costs or risks.</w:t>
      </w:r>
    </w:p>
    <w:p>
      <w:pPr>
        <w:spacing w:after="0" w:line="178"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We may also become subject to legislation or regulation seeking to tax and/or regulate high-fat foods, foods with high sugar and salt content, or foods otherwise deemed to be “unhealthy,” and our capital expenditures could increase due to remediation and compliance measures related to these laws or regulations.</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Adverse government regulations and enforcement efforts, including the examples mentioned above, or non-compliance by us or our franchisees with any of the foregoing laws and regulations could lead to various claims or governmental or judicial fines, sanctions or other enforcement measures, which could have a material adverse effect on our business, financial condition and results of operations.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and General Risks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Adverse global economic conditions subject us to additional risk.</w:t>
      </w:r>
    </w:p>
    <w:p>
      <w:pPr>
        <w:spacing w:after="0" w:line="117" w:lineRule="exact"/>
        <w:rPr>
          <w:sz w:val="20"/>
          <w:szCs w:val="20"/>
          <w:color w:val="auto"/>
        </w:rPr>
      </w:pPr>
    </w:p>
    <w:p>
      <w:pPr>
        <w:jc w:val="both"/>
        <w:ind w:left="120" w:right="240"/>
        <w:spacing w:after="0" w:line="311" w:lineRule="auto"/>
        <w:rPr>
          <w:sz w:val="20"/>
          <w:szCs w:val="20"/>
          <w:color w:val="auto"/>
        </w:rPr>
      </w:pPr>
      <w:r>
        <w:rPr>
          <w:rFonts w:ascii="Arial" w:cs="Arial" w:eastAsia="Arial" w:hAnsi="Arial"/>
          <w:sz w:val="16"/>
          <w:szCs w:val="16"/>
          <w:color w:val="auto"/>
        </w:rPr>
        <w:t>Our financial condition and results of operations are impacted by global markets and economic conditions over which neither we nor our franchisees have control. An economic downturn, including deterioration in the economic conditions in the U.S. or international markets where we compete, may result in a reduction in the demand for our products, longer payment cycles, slower adoption of new technologies and increased price competition.</w:t>
      </w:r>
    </w:p>
    <w:p>
      <w:pPr>
        <w:spacing w:after="0" w:line="14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Poor economic conditions may adversely affect the ability of our franchisees to pay royalties or amounts owed and could have a material adverse impact on our ability to pursue our growth strategy, which would reduce cash collections and in turn, may materially and adversely affect our ability to service our debt obligations.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Fluctuations in the value of the U.S. dollar in relation to other currencies may lead to lower revenues and earnings.</w:t>
      </w:r>
    </w:p>
    <w:p>
      <w:pPr>
        <w:spacing w:after="0" w:line="11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Exchange rate fluctuations could have an adverse effect on our results of operations. International franchise royalties and fees represented approximately 6.1% of our total revenues in 2020, 6.7% of our total revenues in 2019 and 6.5% of our total revenues in 2018, a majority of which were denominated in foreign currencies. We also operate dough manufacturing and distribution facilities in Canada, which generate revenues denominated in Canadian dollars. Sales made by franchise stores outside the U.S. are denominated in the currency of the country in which the store is located, and this currency could become less valuable in U.S. dollars as a result of exchange rate fluctuations. Unfavorable currency fluctuations could lead to increased prices to customers outside the U.S. or lower profitability to our franchisees outside the U.S., or could result in lower revenues for us, on a U.S. dollar basis, from such customers and franchisees. A hypothetical 10% adverse change in the foreign currency rates in our international markets would have resulted in a negative impact on international royalty revenues of approximately $22.2 million in 2020.</w:t>
      </w:r>
    </w:p>
    <w:p>
      <w:pPr>
        <w:spacing w:after="0" w:line="273"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b w:val="1"/>
          <w:bCs w:val="1"/>
          <w:i w:val="1"/>
          <w:iCs w:val="1"/>
          <w:color w:val="auto"/>
        </w:rPr>
        <w:t>Our annual and quarterly financial results are subject to significant fluctuations depending on various factors, many of which are beyond our control, and if we fail to meet the expectations of securities analysts or investors, our share price may decline significantly or be subject to significant fluctuations.</w:t>
      </w:r>
    </w:p>
    <w:p>
      <w:pPr>
        <w:spacing w:after="0" w:line="7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Our sales and operating results can vary significantly from quarter-to-quarter and year-to-year depending on various factors, many of which are beyond our control. These factors include, among other things:</w:t>
      </w:r>
    </w:p>
    <w:p>
      <w:pPr>
        <w:spacing w:after="0" w:line="76"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variations in the timing and volume of our sales and our franchisees’ sales;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expenditures in anticipation of future sales;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planned or actual changes to our capital or debt structure;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sales promotions, acquisitions or restructurings;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dividend policy or any share repurchase program;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litigation;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legislation or other regulatory developments affecting us or our industry;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86"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competitive and economic conditions generally;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cost or availability of our ingredients or labor;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foreign currency exposure.</w:t>
      </w:r>
    </w:p>
    <w:p>
      <w:pPr>
        <w:spacing w:after="0" w:line="225"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color w:val="auto"/>
        </w:rPr>
        <w:t>As a result, our operational performance may decline quickly and significantly in response to changes in order patterns or rapid decreases in demand for our products. Any such decline may cause us and our franchisees to experience lower sales revenue. We anticipate that fluctuations in operating results will continue in the future, and such fluctuations may result in significant fluctuations or a significant decline in our share price.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Actions of activist investors could negatively impact our business and the value of our stock price.</w:t>
      </w:r>
    </w:p>
    <w:p>
      <w:pPr>
        <w:spacing w:after="0" w:line="117" w:lineRule="exact"/>
        <w:rPr>
          <w:sz w:val="20"/>
          <w:szCs w:val="20"/>
          <w:color w:val="auto"/>
        </w:rPr>
      </w:pPr>
    </w:p>
    <w:p>
      <w:pPr>
        <w:ind w:left="120" w:right="340"/>
        <w:spacing w:after="0" w:line="286" w:lineRule="auto"/>
        <w:rPr>
          <w:sz w:val="20"/>
          <w:szCs w:val="20"/>
          <w:color w:val="auto"/>
        </w:rPr>
      </w:pPr>
      <w:r>
        <w:rPr>
          <w:rFonts w:ascii="Arial" w:cs="Arial" w:eastAsia="Arial" w:hAnsi="Arial"/>
          <w:sz w:val="17"/>
          <w:szCs w:val="17"/>
          <w:color w:val="auto"/>
        </w:rPr>
        <w:t>Publicly-traded companies have increasingly become subject to activist investor campaigns. Responding to actions of an activist investor may be a significant distraction for our management and staff and could require us to expend significant time and resources, including legal fees and potential proxy solicitation expenses. Any of these conditions could materially adversely affect our financial performance.</w:t>
      </w:r>
    </w:p>
    <w:p>
      <w:pPr>
        <w:spacing w:after="0" w:line="31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jc w:val="both"/>
        <w:ind w:left="120" w:right="260"/>
        <w:spacing w:after="0" w:line="259" w:lineRule="auto"/>
        <w:rPr>
          <w:sz w:val="20"/>
          <w:szCs w:val="20"/>
          <w:color w:val="auto"/>
        </w:rPr>
      </w:pPr>
      <w:r>
        <w:rPr>
          <w:rFonts w:ascii="Arial" w:cs="Arial" w:eastAsia="Arial" w:hAnsi="Arial"/>
          <w:sz w:val="18"/>
          <w:szCs w:val="18"/>
          <w:color w:val="auto"/>
        </w:rPr>
        <w:t>We lease approximately 250,000 square feet for our World Resource Center located in Ann Arbor, Michigan under an operating lease with Domino’s Farms Office Park, L.L.C., an unrelated company. Under an amendment to this lease, Domino’s Farms Office Park, L.L.C. constructed a new 33,000 square foot building that was leased to the Company upon completion in 2019. The lease, as amended, expires in 2029 and has two five-year renewal options.</w:t>
      </w:r>
    </w:p>
    <w:p>
      <w:pPr>
        <w:spacing w:after="0" w:line="18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We own five supply chain center buildings. All other U.S. and international supply chain centers are leased by us, under leases ranging between five and 21 years with one or two five-year renewal options. All buildings for U.S. Company-owned stores are leased by us, typically under ten-year leases with one or two five-year renewal options. All other franchise stores are leased or owned directly by the respective franchisees. We believe that our existing headquarters and other leased and owned facilities are adequate to meet our current requirements.</w:t>
      </w:r>
    </w:p>
    <w:p>
      <w:pPr>
        <w:spacing w:after="0" w:line="316"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We are a party to lawsuits, revenue agent reviews by taxing authorities and administrative proceedings in the ordinary course of business which include, without limitation, workers’ compensation, general liability, automobile and franchisee claims. We are also subject to suits related to employment practices.</w:t>
      </w:r>
    </w:p>
    <w:p>
      <w:pPr>
        <w:spacing w:after="0" w:line="184"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Litigation is subject to many uncertainties, and the outcome of individual litigated matters is not predictable with assurance. These matters referenced above could be decided unfavorably to us and could require us to pay damages or make other expenditures in amounts or a range of amounts that cannot be estimated with accuracy. In management’s opinion, these matters, individually and in the aggregate, should not have a significant adverse effect on the financial condition of the Company, and the established accruals adequately provide for the estimated resolution of such claims.</w:t>
      </w:r>
    </w:p>
    <w:p>
      <w:pPr>
        <w:spacing w:after="0" w:line="157"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While we may occasionally be party to large claims, including class action suits, we do not believe that any existing matters, individually or in the aggregate, will materially affect our financial position, results of operations or cash flows.</w:t>
      </w:r>
    </w:p>
    <w:p>
      <w:pPr>
        <w:spacing w:after="0" w:line="31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Executive Officers of the Registrant.</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listing of executive officers of the Company is set forth under Part III Item 10. Directors, Executive Officers and Corporate Governance on pages 76 through 79, which is incorporated herein by reference.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86"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21"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As of February 18, 2021, Domino’s Pizza, Inc. had 170,000,000 authorized shares of common stock, par value $0.01 per share, of which 38,803,504 were issued and outstanding. Domino’s Pizza, Inc.’s common stock is traded on the New York Stock Exchange (“NYSE”) under the ticker symbol “DPZ.”</w:t>
      </w:r>
    </w:p>
    <w:p>
      <w:pPr>
        <w:spacing w:after="0" w:line="18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Our Board of Directors declared a quarterly dividend of $0.94 per common share on February 24, 2021 payable on March 30, 2021 to shareholders of record at the close of business on March 15, 2021.</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currently anticipate continuing the payment of quarterly cash dividends. The actual amount of such dividends, if any, will depend upon future earnings, results of operations, capital requirements, our financial condition and certain other factors. There can be no assurance as to the amount of free cash flow that we will generate in future years and, accordingly, dividends will be considered after reviewing returns to shareholders, profitability expectations and financing needs and will be declared at the discretion of our Board of Directors.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February 18, 2021, there were 1,578 registered holders of record of Domino’s Pizza, Inc.’s common stock.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January 3, 2021, we had a Board of Directors-approved share repurchase program for up to $1.0 billion of our common stock, of which</w:t>
      </w:r>
    </w:p>
    <w:p>
      <w:pPr>
        <w:spacing w:after="0" w:line="3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$101.6 million remained available for future purchases of our common stock. Any future purchases of our common stock would be funded by current cash amounts, available borrowings or future excess cash flow. The following table summarizes our repurchase activity during the fourth quarter ended January 3, 2021:</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Number of</w:t>
            </w:r>
          </w:p>
        </w:tc>
        <w:tc>
          <w:tcPr>
            <w:tcW w:w="9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Shares</w:t>
            </w:r>
          </w:p>
        </w:tc>
        <w:tc>
          <w:tcPr>
            <w:tcW w:w="9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Dollar 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 Shares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Part of</w:t>
            </w:r>
          </w:p>
        </w:tc>
        <w:tc>
          <w:tcPr>
            <w:tcW w:w="9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that May Yet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8"/>
              </w:rPr>
              <w:t>Number</w:t>
            </w:r>
          </w:p>
        </w:tc>
        <w:tc>
          <w:tcPr>
            <w:tcW w:w="10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Publicly</w:t>
            </w:r>
          </w:p>
        </w:tc>
        <w:tc>
          <w:tcPr>
            <w:tcW w:w="9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of Shares</w:t>
            </w:r>
          </w:p>
        </w:tc>
        <w:tc>
          <w:tcPr>
            <w:tcW w:w="1060" w:type="dxa"/>
            <w:vAlign w:val="bottom"/>
            <w:gridSpan w:val="2"/>
            <w:vMerge w:val="continue"/>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Announced</w:t>
            </w: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48"/>
        </w:trPr>
        <w:tc>
          <w:tcPr>
            <w:tcW w:w="5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Purchased</w:t>
            </w: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Program</w:t>
            </w: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144"/>
        </w:trPr>
        <w:tc>
          <w:tcPr>
            <w:tcW w:w="5840" w:type="dxa"/>
            <w:vAlign w:val="bottom"/>
            <w:gridSpan w:val="3"/>
            <w:vMerge w:val="continue"/>
          </w:tcPr>
          <w:p>
            <w:pPr>
              <w:spacing w:after="0"/>
              <w:rPr>
                <w:sz w:val="12"/>
                <w:szCs w:val="12"/>
                <w:color w:val="auto"/>
              </w:rPr>
            </w:pPr>
          </w:p>
        </w:tc>
        <w:tc>
          <w:tcPr>
            <w:tcW w:w="6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(1)</w:t>
            </w:r>
          </w:p>
        </w:tc>
        <w:tc>
          <w:tcPr>
            <w:tcW w:w="420" w:type="dxa"/>
            <w:vAlign w:val="bottom"/>
          </w:tcPr>
          <w:p>
            <w:pPr>
              <w:spacing w:after="0"/>
              <w:rPr>
                <w:sz w:val="12"/>
                <w:szCs w:val="12"/>
                <w:color w:val="auto"/>
              </w:rPr>
            </w:pPr>
          </w:p>
        </w:tc>
        <w:tc>
          <w:tcPr>
            <w:tcW w:w="1060" w:type="dxa"/>
            <w:vAlign w:val="bottom"/>
            <w:gridSpan w:val="2"/>
          </w:tcPr>
          <w:p>
            <w:pPr>
              <w:jc w:val="center"/>
              <w:ind w:right="420"/>
              <w:spacing w:after="0" w:line="125" w:lineRule="exact"/>
              <w:rPr>
                <w:sz w:val="20"/>
                <w:szCs w:val="20"/>
                <w:color w:val="auto"/>
              </w:rPr>
            </w:pPr>
            <w:r>
              <w:rPr>
                <w:rFonts w:ascii="Arial" w:cs="Arial" w:eastAsia="Arial" w:hAnsi="Arial"/>
                <w:sz w:val="14"/>
                <w:szCs w:val="14"/>
                <w:b w:val="1"/>
                <w:bCs w:val="1"/>
                <w:color w:val="auto"/>
                <w:w w:val="92"/>
              </w:rPr>
              <w:t>per Share</w:t>
            </w:r>
          </w:p>
        </w:tc>
        <w:tc>
          <w:tcPr>
            <w:tcW w:w="8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rPr>
              <w:t>(2)</w:t>
            </w:r>
          </w:p>
        </w:tc>
        <w:tc>
          <w:tcPr>
            <w:tcW w:w="420" w:type="dxa"/>
            <w:vAlign w:val="bottom"/>
          </w:tcPr>
          <w:p>
            <w:pPr>
              <w:spacing w:after="0"/>
              <w:rPr>
                <w:sz w:val="12"/>
                <w:szCs w:val="12"/>
                <w:color w:val="auto"/>
              </w:rPr>
            </w:pPr>
          </w:p>
        </w:tc>
        <w:tc>
          <w:tcPr>
            <w:tcW w:w="920" w:type="dxa"/>
            <w:vAlign w:val="bottom"/>
            <w:gridSpan w:val="3"/>
          </w:tcPr>
          <w:p>
            <w:pPr>
              <w:jc w:val="center"/>
              <w:ind w:right="40"/>
              <w:spacing w:after="0" w:line="125"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Period #10 (September 7, 2020 to October 4, 2020)</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933</w:t>
            </w: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$ 430.25</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2"/>
              <w:spacing w:after="0" w:line="196"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326,552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Period #11 (October 5, 2020 to November 1, 2020)</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503,202</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398.39</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501,956</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126,552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Period #12 (November 2, 2020 to November 29, 2020)</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65,851</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379.64</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65,851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Period #13 (November 30, 2020 to January 3, 2021)</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835</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391.53</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101,552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570,821</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$ 396.27</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567,807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101,552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660" w:hanging="424"/>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3,014 shares were purchased as part of the Company’s employee stock purchase discount plan. During the fourth quarter, the shares were purchased at an average price of $398.48.</w:t>
      </w:r>
    </w:p>
    <w:p>
      <w:pPr>
        <w:spacing w:after="0" w:line="75" w:lineRule="exact"/>
        <w:rPr>
          <w:rFonts w:ascii="Arial" w:cs="Arial" w:eastAsia="Arial" w:hAnsi="Arial"/>
          <w:sz w:val="18"/>
          <w:szCs w:val="18"/>
          <w:color w:val="auto"/>
        </w:rPr>
      </w:pPr>
    </w:p>
    <w:p>
      <w:pPr>
        <w:ind w:left="540" w:right="620" w:hanging="424"/>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From January 4, 2021 through February 18, 2021, the Company repurchased and retired an additional 65,870 shares of common stock for approximately $25.0 million, or an average price of $379.53 per share.</w:t>
      </w:r>
    </w:p>
    <w:p>
      <w:pPr>
        <w:spacing w:after="0" w:line="62" w:lineRule="exact"/>
        <w:rPr>
          <w:rFonts w:ascii="Arial" w:cs="Arial" w:eastAsia="Arial" w:hAnsi="Arial"/>
          <w:sz w:val="18"/>
          <w:szCs w:val="18"/>
          <w:color w:val="auto"/>
        </w:rPr>
      </w:pPr>
    </w:p>
    <w:p>
      <w:pPr>
        <w:ind w:left="560" w:right="300"/>
        <w:spacing w:after="0" w:line="263" w:lineRule="auto"/>
        <w:rPr>
          <w:rFonts w:ascii="Arial" w:cs="Arial" w:eastAsia="Arial" w:hAnsi="Arial"/>
          <w:sz w:val="18"/>
          <w:szCs w:val="18"/>
          <w:color w:val="auto"/>
        </w:rPr>
      </w:pPr>
      <w:r>
        <w:rPr>
          <w:rFonts w:ascii="Arial" w:cs="Arial" w:eastAsia="Arial" w:hAnsi="Arial"/>
          <w:sz w:val="18"/>
          <w:szCs w:val="18"/>
          <w:color w:val="auto"/>
        </w:rPr>
        <w:t>On February 24, 2021, the Company’s Board of Directors authorized a new share repurchase program to repurchase up to $1.0 billion of the Company’s common stock. This repurchase program replaces the remaining availability of approximately $76.6 million under the Company’s previously approved $1.0 billion share repurchase program.</w:t>
      </w:r>
    </w:p>
    <w:p>
      <w:pPr>
        <w:spacing w:after="0" w:line="75" w:lineRule="exact"/>
        <w:rPr>
          <w:rFonts w:ascii="Arial" w:cs="Arial" w:eastAsia="Arial" w:hAnsi="Arial"/>
          <w:sz w:val="18"/>
          <w:szCs w:val="18"/>
          <w:color w:val="auto"/>
        </w:rPr>
      </w:pPr>
    </w:p>
    <w:p>
      <w:pPr>
        <w:ind w:left="560" w:right="120"/>
        <w:spacing w:after="0" w:line="263" w:lineRule="auto"/>
        <w:rPr>
          <w:rFonts w:ascii="Arial" w:cs="Arial" w:eastAsia="Arial" w:hAnsi="Arial"/>
          <w:sz w:val="18"/>
          <w:szCs w:val="18"/>
          <w:color w:val="auto"/>
        </w:rPr>
      </w:pPr>
      <w:r>
        <w:rPr>
          <w:rFonts w:ascii="Arial" w:cs="Arial" w:eastAsia="Arial" w:hAnsi="Arial"/>
          <w:sz w:val="18"/>
          <w:szCs w:val="18"/>
          <w:color w:val="auto"/>
        </w:rPr>
        <w:t>Authorization for the repurchase program may be modified, suspended, or discontinued at any time. The repurchase of shares in any particular period and the actual amount of such purchases remain at the discretion of the Board of Directors, and no assurance can be given that shares will be repurchased in the future.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80"/>
          </w:cols>
          <w:pgMar w:left="320" w:top="486"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following comparative stock performance line graph compares the cumulative shareholder return on the common stock of Domino’s Pizza, Inc. (NYSE: DPZ) for the five-year period between December 31, 2015 and December 31, 2020, with cumulative total return on (i) the Standard &amp; Poor’s 500 Index (the “S&amp;P 500”) and (ii) the peer group, the Standard &amp; Poor’s 400 Restaurant Index (the “S&amp;P 400 Restaurant Index”). Management believes that the companies included in the S&amp;P 400 Restaurant Index appropriately reflect the scope of the Company’s operations and match the competitive market in which the Company operates. The cumulative total return computations set forth in the performance graph assume the investment of $100 in the Company’s common stock, the S&amp;P 500 Index and the S&amp;P 400 Restaurant Index on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139065</wp:posOffset>
            </wp:positionV>
            <wp:extent cx="5332095" cy="254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3209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80"/>
          </w:cols>
          <w:pgMar w:left="320" w:top="486"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has applied the amendment to Regulation S-K Item 301 which became effective on February 10, 2021.</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320"/>
        <w:spacing w:after="0" w:line="343" w:lineRule="auto"/>
        <w:rPr>
          <w:sz w:val="20"/>
          <w:szCs w:val="20"/>
          <w:color w:val="auto"/>
        </w:rPr>
      </w:pPr>
      <w:r>
        <w:rPr>
          <w:rFonts w:ascii="Arial" w:cs="Arial" w:eastAsia="Arial" w:hAnsi="Arial"/>
          <w:sz w:val="16"/>
          <w:szCs w:val="16"/>
          <w:i w:val="1"/>
          <w:iCs w:val="1"/>
          <w:color w:val="auto"/>
        </w:rPr>
        <w:t>Our fiscal year typically includes 52 weeks, comprised of three twelve-week quarters and one sixteen-week quarter. Every five or six years our fiscal year includes an extra (or 53</w:t>
      </w:r>
      <w:r>
        <w:rPr>
          <w:rFonts w:ascii="Arial" w:cs="Arial" w:eastAsia="Arial" w:hAnsi="Arial"/>
          <w:sz w:val="22"/>
          <w:szCs w:val="22"/>
          <w:i w:val="1"/>
          <w:iCs w:val="1"/>
          <w:color w:val="auto"/>
          <w:vertAlign w:val="superscript"/>
        </w:rPr>
        <w:t>rd</w:t>
      </w:r>
      <w:r>
        <w:rPr>
          <w:rFonts w:ascii="Arial" w:cs="Arial" w:eastAsia="Arial" w:hAnsi="Arial"/>
          <w:sz w:val="16"/>
          <w:szCs w:val="16"/>
          <w:i w:val="1"/>
          <w:iCs w:val="1"/>
          <w:color w:val="auto"/>
        </w:rPr>
        <w:t>) week in the fourth quarter. Fiscal 2020 consisted of 53 weeks and fiscal 2019 and 2018 each consisted of 52 weeks.</w:t>
      </w:r>
    </w:p>
    <w:p>
      <w:pPr>
        <w:spacing w:after="0" w:line="24"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In this section, we discuss the results of our operations for the year ended January 3, 2021 compared to the year ended December 29, 2019. For a discussion of the year ended December 29, 2019 compared to the year ended December 30, 2018, please refer to Part II, Item 7, “Management’s Discussion and Analysis of Financial Condition and Results of Operations” in our Annual Report on Form 10-K for the year ended December 29, 2019.</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the Business</w:t>
      </w:r>
    </w:p>
    <w:p>
      <w:pPr>
        <w:spacing w:after="0" w:line="121" w:lineRule="exact"/>
        <w:rPr>
          <w:sz w:val="20"/>
          <w:szCs w:val="20"/>
          <w:color w:val="auto"/>
        </w:rPr>
      </w:pPr>
    </w:p>
    <w:p>
      <w:pPr>
        <w:jc w:val="both"/>
        <w:ind w:left="120" w:right="200"/>
        <w:spacing w:after="0" w:line="259" w:lineRule="auto"/>
        <w:rPr>
          <w:sz w:val="20"/>
          <w:szCs w:val="20"/>
          <w:color w:val="auto"/>
        </w:rPr>
      </w:pPr>
      <w:r>
        <w:rPr>
          <w:rFonts w:ascii="Arial" w:cs="Arial" w:eastAsia="Arial" w:hAnsi="Arial"/>
          <w:sz w:val="18"/>
          <w:szCs w:val="18"/>
          <w:color w:val="auto"/>
        </w:rPr>
        <w:t>Domino’s is the largest pizza company in the world based on global retail sales, with more than 17,600 locations in over 90 markets around the world. Founded in 1960, our roots are in convenient pizza delivery, while a significant amount of our sales also come from carryout customers. Although we are a highly-recognized global brand, we focus on serving neighborhoods locally through our large network of franchise owners and Company-owned stores.</w:t>
      </w:r>
    </w:p>
    <w:p>
      <w:pPr>
        <w:spacing w:after="0" w:line="187"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Our business model is straightforward: Domino’s stores handcraft and serve quality food at a competitive price, with easy ordering access and efficient service, enhanced by our technological innovations. Our hand-tossed dough is made fresh and distributed to stores around the world by us and our franchisees.</w:t>
      </w:r>
    </w:p>
    <w:p>
      <w:pPr>
        <w:spacing w:after="0" w:line="18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Domino’s generates revenues and earnings by charging royalties and fees to our independent franchisees. We also generate revenues and earnings by selling food, equipment and supplies to franchisees primarily in the U.S. and Canada, and by operating a number of Company-owned stores in the U.S. Franchisees profit by selling pizza and other complementary items to their local customers. In our international markets, we generally grant geographical rights to the Domino’s Pizza brand to master franchisees. These master franchisees are charged with developing their geographical area, and they can profit by sub-franchising and selling food and equipment to those sub-franchisees, as well as by running pizza stores directly. Everyone in the system can benefit, including the end consumer, who can feed their family conveniently and economically.</w:t>
      </w:r>
    </w:p>
    <w:p>
      <w:pPr>
        <w:spacing w:after="0" w:line="178" w:lineRule="exact"/>
        <w:rPr>
          <w:sz w:val="20"/>
          <w:szCs w:val="20"/>
          <w:color w:val="auto"/>
        </w:rPr>
      </w:pPr>
    </w:p>
    <w:p>
      <w:pPr>
        <w:jc w:val="both"/>
        <w:ind w:left="120"/>
        <w:spacing w:after="0" w:line="274" w:lineRule="auto"/>
        <w:rPr>
          <w:sz w:val="20"/>
          <w:szCs w:val="20"/>
          <w:color w:val="auto"/>
        </w:rPr>
      </w:pPr>
      <w:r>
        <w:rPr>
          <w:rFonts w:ascii="Arial" w:cs="Arial" w:eastAsia="Arial" w:hAnsi="Arial"/>
          <w:sz w:val="16"/>
          <w:szCs w:val="16"/>
          <w:color w:val="auto"/>
        </w:rPr>
        <w:t>Our financial results are driven largely by retail sales at our franchise and Company-owned stores. Changes in retail sales are driven by changes in same store sales and store counts. We monitor both of these metrics very closely, as they directly impact our revenues and profits, and we strive to consistently increase both metrics. Retail sales drive royalty payments from franchisees, as well as Company-owned store and supply chain revenues. Retail sales are primarily impacted by the strength of the Domino’s Pizza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the results of our extensive advertising through various media channels, the impact of technological innovation and digital ordering, our ability to execute our strong and proven business model and the overall global economic environment.</w:t>
      </w:r>
    </w:p>
    <w:p>
      <w:pPr>
        <w:spacing w:after="0" w:line="167"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Our business model can yield strong returns for our franchise owners and our Company-owned stores. It can also yield significant cash flow to us, through a consistent franchise royalty payment and supply chain revenue stream, with moderate capital expenditures. We have historically returned cash to shareholders through dividend payments and share repurchases since becoming a publicly-traded company in 2004. These factors emphasize our focus on our stakeholders, including our customers, team members, franchisees, communities and shareholders.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86"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following discussion and analysis of financial condition and results of operations is based on our consolidated financial statements, which have been prepared in accordance with accounting principles generally accepted in the United States. The preparation of these financial statements requires our management to make estimates and judgments that affect the reported amounts of assets, liabilities, revenues and expenses and related disclosures of contingent assets and liabilities. On an ongoing basis, our management evaluates its estimates, including those related to revenue recognition, long-lived assets, insurance and legal matters, share-based payments and income taxes.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those estimates. Changes in our accounting policies and estimates could materially impact our results of operations and financial condition for any particular period. We believe that our most critical accounting policies and estimates are:</w:t>
      </w:r>
    </w:p>
    <w:p>
      <w:pPr>
        <w:spacing w:after="0" w:line="181"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We earn revenues through our network of U.S. Company-owned and franchised stores, dough manufacturing and supply chain</w:t>
      </w:r>
      <w:r>
        <w:rPr>
          <w:rFonts w:ascii="Arial" w:cs="Arial" w:eastAsia="Arial" w:hAnsi="Arial"/>
          <w:sz w:val="16"/>
          <w:szCs w:val="16"/>
          <w:i w:val="1"/>
          <w:iCs w:val="1"/>
          <w:color w:val="auto"/>
        </w:rPr>
        <w:t xml:space="preserve"> </w:t>
      </w:r>
      <w:r>
        <w:rPr>
          <w:rFonts w:ascii="Arial" w:cs="Arial" w:eastAsia="Arial" w:hAnsi="Arial"/>
          <w:sz w:val="16"/>
          <w:szCs w:val="16"/>
          <w:color w:val="auto"/>
        </w:rPr>
        <w:t>centers and international operations. Retail sales from franchised stores are reported to us by our franchisees and are not included in our revenues. Retail sales from Company-owned stores and royalty revenues resulting from the retail sales from franchised stores are recognized as revenues when the items are delivered to or carried out by customers. Retail sales are generally reported, and the related royalties paid to us based on a percentage of retail sales, as specified in the related standard franchise agreement (generally 5.5% of U.S. franchise retail sales and were on average, 2.9% of international franchise retail sales in 2020). U.S. and international franchise fee revenue primarily relates to per-transaction technology fees that are recognized as the related sales occur. We also generate revenues from U.S. franchise advertising contributions to DNAF, our consolidated not-for-profit advertising fund (generally 6.0% of U.S. franchise retail sales). Although these revenues are restricted to be used only for advertising and promotional activities to benefit franchised stores, we have determined there are not performance obligations associated with the franchise advertising contributions received by DNAF that are separate from our U.S. royalty payment stream and as a result, these franchise contributions and the related expenses are presented gross in the consolidated statements of income. Revenues from Company-owned stores and revenues from franchised stores (including U.S. franchise royalties and fees and U.S. franchise advertising revenues) can fluctuate from time-to-time as a result of store count and sales level changes. Sales of food from our supply chain centers are recognized as revenues upon delivery of the food to franchisees, while sales of equipment and supplies are generally recognized as revenues upon shipment of the related products to franchisees.</w:t>
      </w:r>
    </w:p>
    <w:p>
      <w:pPr>
        <w:spacing w:after="0" w:line="171"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i w:val="1"/>
          <w:iCs w:val="1"/>
          <w:color w:val="auto"/>
        </w:rPr>
        <w:t xml:space="preserve">Long-lived assets. </w:t>
      </w:r>
      <w:r>
        <w:rPr>
          <w:rFonts w:ascii="Arial" w:cs="Arial" w:eastAsia="Arial" w:hAnsi="Arial"/>
          <w:sz w:val="18"/>
          <w:szCs w:val="18"/>
          <w:color w:val="auto"/>
        </w:rPr>
        <w:t>We record long-lived assets, including property, plant and equipment and capitalized software, at cost. For acquisitions of franchise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we estimate the fair values of the assets and liabilities acquired based on physical inspection of assets, historical experience and other information available to us regarding the acquisition. We depreciate and amortize long-lived assets using useful lives determined by us based on historical experience and other information available to us. We evaluate the potential impairment of long-lived assets at least annually or whenever events or changes in circumstances indicate that the carrying amount of the assets may not be recoverable. Our evaluation is based on various analyses, including the projection of undiscounted cash flows. For Company-owned stores, we perform related impairment tests on an operating market basis, which we have determined to be the lowest level for which identifiable cash flows are largely independent of other cash flows. If the carrying amount of a long-lived asset exceeds the amount of the expected future undiscounted cash flows of that asset, we estimate the fair value of the asset. If the carrying amount of the asset exceeds the estimated fair value of the asset, an impairment loss is recognized, and the asset is written down to its estimated fair value.</w:t>
      </w:r>
    </w:p>
    <w:p>
      <w:pPr>
        <w:spacing w:after="0" w:line="194" w:lineRule="exact"/>
        <w:rPr>
          <w:sz w:val="20"/>
          <w:szCs w:val="20"/>
          <w:color w:val="auto"/>
        </w:rPr>
      </w:pPr>
    </w:p>
    <w:p>
      <w:pPr>
        <w:jc w:val="both"/>
        <w:ind w:left="120" w:right="140"/>
        <w:spacing w:after="0" w:line="301" w:lineRule="auto"/>
        <w:rPr>
          <w:sz w:val="20"/>
          <w:szCs w:val="20"/>
          <w:color w:val="auto"/>
        </w:rPr>
      </w:pPr>
      <w:r>
        <w:rPr>
          <w:rFonts w:ascii="Arial" w:cs="Arial" w:eastAsia="Arial" w:hAnsi="Arial"/>
          <w:sz w:val="16"/>
          <w:szCs w:val="16"/>
          <w:color w:val="auto"/>
        </w:rPr>
        <w:t>We have not made any significant changes in the methodology used to project the future market cash flows of Company-owned stores during the years presented. Same store sales fluctuations and the rates at which operating costs will fluctuate in the future are key factors in evaluating recoverability of the related assets. If our same store sales significantly decline or if operating costs increase and we are unable to recover these costs, the carrying value of our Company-owned stores, by market, may be unrecoverable and we may be required to recognize an impairment charge.</w:t>
      </w:r>
    </w:p>
    <w:p>
      <w:pPr>
        <w:spacing w:after="0" w:line="15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i w:val="1"/>
          <w:iCs w:val="1"/>
          <w:color w:val="auto"/>
        </w:rPr>
        <w:t xml:space="preserve">Insurance and legal matters. </w:t>
      </w:r>
      <w:r>
        <w:rPr>
          <w:rFonts w:ascii="Arial" w:cs="Arial" w:eastAsia="Arial" w:hAnsi="Arial"/>
          <w:sz w:val="17"/>
          <w:szCs w:val="17"/>
          <w:color w:val="auto"/>
        </w:rPr>
        <w:t>We are a party to lawsuits and legal proceedings arising in the ordinary course of business. Management closely monitors</w:t>
      </w:r>
      <w:r>
        <w:rPr>
          <w:rFonts w:ascii="Arial" w:cs="Arial" w:eastAsia="Arial" w:hAnsi="Arial"/>
          <w:sz w:val="17"/>
          <w:szCs w:val="17"/>
          <w:i w:val="1"/>
          <w:iCs w:val="1"/>
          <w:color w:val="auto"/>
        </w:rPr>
        <w:t xml:space="preserve"> </w:t>
      </w:r>
      <w:r>
        <w:rPr>
          <w:rFonts w:ascii="Arial" w:cs="Arial" w:eastAsia="Arial" w:hAnsi="Arial"/>
          <w:sz w:val="17"/>
          <w:szCs w:val="17"/>
          <w:color w:val="auto"/>
        </w:rPr>
        <w:t>these legal matters and estimates the probable costs for the resolution of such matters. These estimates are primarily determined by consulting with both internal and external parties handling the matters and are based upon an analysis of potential results, assuming a combination of litigation and settlement strategies. Legal judgments can be volatile and difficult to predict. Accordingly, if our estimates relating to legal matters proved inaccurate for any reason, we may be required to increase or decrease the related expense in future periods. We had accruals for legal matters of approximately $1.3 million and $1.8 million at January 3, 2021 December 29, 2019, respectively.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86"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For certain periods prior to December 1998 and for periods after December 2001, we maintain insurance coverage for workers’ compensation, general liability and owned and non-owned auto liabilities. We are generally responsible for up to $2.0 million per occurrence under these retention programs for workers’ compensation and general liability, depending on policy year and line of coverage. We are generally responsible for up to between $500,000 and $5.5 million per occurrence under these retention programs for owned and non-owned automobile liabilities, depending on policy year and line of coverage. The related insurance reserves are based on undiscounted independent actuarial estimates, which are based on historical information along with assumptions about future events. Analyses of historical trends and actuarial valuation methods are utilized to estimate the ultimate claim costs for claims incurred as of the balance sheet date and for claims incurred but not yet reported. When estimating these liabilities, several factors are considered, including the severity, duration and frequency of claims, legal cost associated with claims, healthcare trends and projected inflation.</w:t>
      </w:r>
    </w:p>
    <w:p>
      <w:pPr>
        <w:spacing w:after="0" w:line="196"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Our methodology for determining our exposure has remained consistent throughout the years presented. Management believes that the various assumptions developed, and actuarial methods used to determine our insurance reserves are reasonable and provide meaningful data that management uses to make its best estimate of our exposure to these risks. Changes in assumptions for such factors as medical costs and legal actions, as well as changes in actual experience, could cause our estimates to change in the near term which could result in an increase or decrease in the related expense in future periods. A 10% change in our insurance liability at January 3, 2021 would have affected our income before provision for income taxes by approximately $6.4 million in 2020. We had accruals for insurance matters of approximately $63.5 million and $58.4 million at January 3, 2021 and December 29, 2019, respectively.</w:t>
      </w:r>
    </w:p>
    <w:p>
      <w:pPr>
        <w:spacing w:after="0" w:line="195"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i w:val="1"/>
          <w:iCs w:val="1"/>
          <w:color w:val="auto"/>
        </w:rPr>
        <w:t xml:space="preserve">Share-based payments. </w:t>
      </w:r>
      <w:r>
        <w:rPr>
          <w:rFonts w:ascii="Arial" w:cs="Arial" w:eastAsia="Arial" w:hAnsi="Arial"/>
          <w:sz w:val="17"/>
          <w:szCs w:val="17"/>
          <w:color w:val="auto"/>
        </w:rPr>
        <w:t>We recognize compensation expense related to our share-based compensation arrangements over the requisite service period</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the grant date fair value of the awards. The grant date fair value of each restricted stock and performance-based restricted stock award is equal to the market price of our stock on the date of grant. The grant date fair value of each stock option award is estimated using the Black-Scholes option pricing model. The pricing model requires assumptions, including the expected life of the stock option, the risk-free interest rate, the expected dividend yield and expected volatility of our stock over the expected life, which significantly impact the assumed fair value. We account for forfeitures as they occur. Additionally, our stock option, restricted stock and performance-based restricted stock arrangements provide for accelerated vesting and the ability to exercise during the remainder of the ten-year stock option life upon the retirement of individuals holding the awards who have achieved specified service and age requirements. Management believes that the methods and various assumptions used to determine compensation expense related to these arrangements are reasonable, but if the assumptions change significantly for future grants, share-based compensation expense will fluctuate in future years.</w:t>
      </w:r>
    </w:p>
    <w:p>
      <w:pPr>
        <w:spacing w:after="0" w:line="185" w:lineRule="exact"/>
        <w:rPr>
          <w:sz w:val="20"/>
          <w:szCs w:val="20"/>
          <w:color w:val="auto"/>
        </w:rPr>
      </w:pPr>
    </w:p>
    <w:p>
      <w:pPr>
        <w:ind w:left="120" w:right="280"/>
        <w:spacing w:after="0" w:line="271"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We recognize deferred tax assets and liabilities based on the differences between the financial statement carrying amounts and the tax</w:t>
      </w:r>
      <w:r>
        <w:rPr>
          <w:rFonts w:ascii="Arial" w:cs="Arial" w:eastAsia="Arial" w:hAnsi="Arial"/>
          <w:sz w:val="17"/>
          <w:szCs w:val="17"/>
          <w:i w:val="1"/>
          <w:iCs w:val="1"/>
          <w:color w:val="auto"/>
        </w:rPr>
        <w:t xml:space="preserve"> </w:t>
      </w:r>
      <w:r>
        <w:rPr>
          <w:rFonts w:ascii="Arial" w:cs="Arial" w:eastAsia="Arial" w:hAnsi="Arial"/>
          <w:sz w:val="17"/>
          <w:szCs w:val="17"/>
          <w:color w:val="auto"/>
        </w:rPr>
        <w:t>basis of assets and liabilities. We measure deferred tax assets and liabilities using current enacted tax rates that will apply in the years in which we expect the temporary differences to be recovered or paid. Judgment is required in determining the provision for income taxes, related reserves and deferred tax assets and liabilities. These include establishing a valuation allowance related to the ability to realize certain deferred tax assets, if necessary. On an ongoing basis, management will assess whether it remains more likely than not that the deferred tax assets will be realized. Our accounting for deferred tax assets and liabilities represents our best estimate of future events. Our deferred tax assets assume that we will generate sufficient taxable income in specific tax jurisdictions, based on our estimates and assumptions. Changes in our current estimates due to unanticipated events could have a material impact on our financial condition and results of operations.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Fiscal 2020 Highlights</w:t>
      </w:r>
    </w:p>
    <w:p>
      <w:pPr>
        <w:spacing w:after="0" w:line="135" w:lineRule="exact"/>
        <w:rPr>
          <w:sz w:val="20"/>
          <w:szCs w:val="20"/>
          <w:color w:val="auto"/>
        </w:rPr>
      </w:pPr>
    </w:p>
    <w:p>
      <w:pPr>
        <w:ind w:left="1080" w:right="54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Global retail sales, excluding foreign currency impact (which includes total retail sales at Company-owned and franchised stores worldwide) increased 13.2% as compared to 2019. U.S. retail sales increased 17.6% and international retail sales, excluding foreign currency impact, increased 8.8% as compared to 2019.</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Same store sales increased 11.5% in our U.S. stores and increased 4.4% in our international stores.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revenues increased 13.8%.</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income from operations increased 15.3%.</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net income increased 22.6%.</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diluted earnings per share increased 29.6%.</w:t>
      </w:r>
    </w:p>
    <w:p>
      <w:pPr>
        <w:spacing w:after="0" w:line="129"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inclusion of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in 2020 positively impacted our results.</w:t>
      </w:r>
    </w:p>
    <w:p>
      <w:pPr>
        <w:spacing w:after="0" w:line="145"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During 2020, we experienced global retail sales growth and U.S. and international same store sales growth. We believe our commitment to value, convenience, quality and new products continues to keep consumers engaged with the brand. We launched three new products in the U.S., including new and improved chicken wings and the new chicken taco and cheeseburger specialty pizzas, each of which has been positively received by consumers.</w:t>
      </w:r>
    </w:p>
    <w:p>
      <w:pPr>
        <w:sectPr>
          <w:pgSz w:w="11900" w:h="16838" w:orient="portrait"/>
          <w:cols w:equalWidth="0" w:num="1">
            <w:col w:w="11120"/>
          </w:cols>
          <w:pgMar w:left="320" w:top="486" w:right="459" w:bottom="1440" w:gutter="0" w:footer="0" w:header="0"/>
        </w:sectPr>
      </w:pP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120"/>
          </w:cols>
          <w:pgMar w:left="320" w:top="486" w:right="45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We also continued our strong U.S. and international same store sales performance with 39 straight quarters of positive U.S. same store sales and 108 straight quarters of positive international same store sales. Beginning at the end of the first quarter of 2020, changes in consumer ordering behavior due to the COVID-19 pandemic resulted in a significant increase in U.S. same store sales. We did not experience significant temporary closures in our U.S. business. Additionally, our U.S. supply chain experienced higher volumes from the increases in U.S. store sales. The COVID-19 pandemic negatively impacted our international franchise revenues during the second quarter of 2020 due to temporary store closures in certain markets as well as changes in operating procedures and store hours resulting from actions taken to increase social distancing across our international franchise markets. In the third and fourth quarters of 2020, these negative impacts lessened due to the reopening and resumption of normal store hours at the majority of our international franchised stores that had been temporarily closed for portions of the second quarter. Our U.S. and international same store sales growth has also been pressured by our fortressing strategy, which includes increasing store concentration in certain markets where we compete, as well as from aggressive competitive activity.</w:t>
      </w:r>
    </w:p>
    <w:p>
      <w:pPr>
        <w:spacing w:after="0" w:line="185"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During 2020, we continued our global expansion with the opening of 624 net stores. We had 229 net stores open in the U.S and 395 net stores open internationally. Although 718 gross stores opened internationally, 323 stores closed, primarily in India and South Africa. The COVID-19 pandemic has had a negative impact on anticipated store openings in our international business to-date due to delays in approvals and government restrictions in certain of the markets that our master franchisees operate.</w:t>
      </w:r>
    </w:p>
    <w:p>
      <w:pPr>
        <w:spacing w:after="0" w:line="187"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We remained focused on improving the customer experience through our technology initiatives, including the recent launch of our GPS delivery tracking technology, which allows customers to monitor the progress of their food, from the preparation stages to the time it is in the oven, to the time it arrives at their doors. Additionally, in mid-2020, we launched a new way to order contactless carryout nationwide – via Domino’s Carside Delivery</w:t>
      </w:r>
      <w:r>
        <w:rPr>
          <w:rFonts w:ascii="Arial" w:cs="Arial" w:eastAsia="Arial" w:hAnsi="Arial"/>
          <w:sz w:val="25"/>
          <w:szCs w:val="25"/>
          <w:color w:val="auto"/>
          <w:vertAlign w:val="superscript"/>
        </w:rPr>
        <w:t>™</w:t>
      </w:r>
      <w:r>
        <w:rPr>
          <w:rFonts w:ascii="Arial" w:cs="Arial" w:eastAsia="Arial" w:hAnsi="Arial"/>
          <w:sz w:val="18"/>
          <w:szCs w:val="18"/>
          <w:color w:val="auto"/>
        </w:rPr>
        <w:t>, which customers can choose when placing a prepaid online order. Our emphasis on technological innovation helped the Domino’s system generate more than half of global retail sales from digital channels in 2020.</w:t>
      </w:r>
    </w:p>
    <w:p>
      <w:pPr>
        <w:spacing w:after="0" w:line="20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Overall, we believe our global store growth, strong sales, emphasis on technology, operations and marketing initiatives have combined to strengthen our brand.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Statistical Measures</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tables below outline certain statistical measures we utilize to analyze our performance. This historical data is not necessarily indicative of results to be expected for any future period.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Retail Sales Growth (excluding foreign currency impact)</w:t>
      </w:r>
    </w:p>
    <w:p>
      <w:pPr>
        <w:spacing w:after="0" w:line="12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Global retail sales growth (excluding foreign currency impact) is a commonly used statistical measure in the quick-service restaurant industry that is important to understanding performance. Global retail sales growth refers to total worldwide retail sales at Company-owned and franchise stores. We believe global retail sales information is useful in analyzing revenues because franchisees pay royalties and, in the U.S., advertising fees that are based on a percentage of franchise retail sales. We review comparable industry global retail sales information to assess business trends and to track the growth of the Domino’s Pizza brand. In addition, supply chain revenues are directly impacted by changes in franchise retail sales in the U.S. and Canada. Retail sales for franchise stores are reported to us by our franchisees and are not included in our revenues. Global retail sales growth, excluding foreign currency impact, is calculated as the change of international local currency global retail sales against the comparable period of the prior year. Global retail sales growth in 2020 includes the favorable impact of the 53</w:t>
      </w:r>
      <w:r>
        <w:rPr>
          <w:rFonts w:ascii="Arial" w:cs="Arial" w:eastAsia="Arial" w:hAnsi="Arial"/>
          <w:sz w:val="24"/>
          <w:szCs w:val="24"/>
          <w:color w:val="auto"/>
          <w:vertAlign w:val="superscript"/>
        </w:rPr>
        <w:t>rd</w:t>
      </w:r>
      <w:r>
        <w:rPr>
          <w:rFonts w:ascii="Arial" w:cs="Arial" w:eastAsia="Arial" w:hAnsi="Arial"/>
          <w:sz w:val="17"/>
          <w:szCs w:val="17"/>
          <w:color w:val="auto"/>
        </w:rPr>
        <w:t xml:space="preserve"> week.</w:t>
      </w:r>
    </w:p>
    <w:p>
      <w:pPr>
        <w:spacing w:after="0" w:line="113"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2020</w:t>
            </w:r>
          </w:p>
        </w:tc>
        <w:tc>
          <w:tcPr>
            <w:tcW w:w="28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U.S. stores</w:t>
            </w:r>
          </w:p>
        </w:tc>
        <w:tc>
          <w:tcPr>
            <w:tcW w:w="282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vMerge w:val="continue"/>
            <w:shd w:val="clear" w:color="auto" w:fill="CCEEFF"/>
          </w:tcPr>
          <w:p>
            <w:pPr>
              <w:spacing w:after="0"/>
              <w:rPr>
                <w:sz w:val="18"/>
                <w:szCs w:val="18"/>
                <w:color w:val="auto"/>
              </w:rPr>
            </w:pPr>
          </w:p>
        </w:tc>
        <w:tc>
          <w:tcPr>
            <w:tcW w:w="2820" w:type="dxa"/>
            <w:vAlign w:val="bottom"/>
            <w:vMerge w:val="continue"/>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17.6%</w:t>
            </w:r>
          </w:p>
        </w:tc>
        <w:tc>
          <w:tcPr>
            <w:tcW w:w="160" w:type="dxa"/>
            <w:vAlign w:val="bottom"/>
            <w:vMerge w:val="continue"/>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w w:val="96"/>
              </w:rPr>
              <w:t>International stores (excluding foreign currency impact)</w:t>
            </w:r>
          </w:p>
        </w:tc>
        <w:tc>
          <w:tcPr>
            <w:tcW w:w="28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8.8%</w:t>
            </w:r>
          </w:p>
        </w:tc>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9.0%</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w w:val="97"/>
              </w:rPr>
              <w:t>10.4%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(excluding foreign currency impact)</w:t>
            </w:r>
          </w:p>
        </w:tc>
        <w:tc>
          <w:tcPr>
            <w:tcW w:w="28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13.2%</w:t>
            </w: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8.0%</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10.8%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820" w:type="dxa"/>
            <w:vAlign w:val="bottom"/>
          </w:tcPr>
          <w:p>
            <w:pPr>
              <w:jc w:val="right"/>
              <w:ind w:right="2290"/>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6"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Same Store Sales Growth</w:t>
      </w:r>
    </w:p>
    <w:p>
      <w:pPr>
        <w:spacing w:after="0" w:line="121" w:lineRule="exact"/>
        <w:rPr>
          <w:sz w:val="20"/>
          <w:szCs w:val="20"/>
          <w:color w:val="auto"/>
        </w:rPr>
      </w:pPr>
    </w:p>
    <w:p>
      <w:pPr>
        <w:ind w:left="120" w:right="100"/>
        <w:spacing w:after="0" w:line="235" w:lineRule="auto"/>
        <w:rPr>
          <w:sz w:val="20"/>
          <w:szCs w:val="20"/>
          <w:color w:val="auto"/>
        </w:rPr>
      </w:pPr>
      <w:r>
        <w:rPr>
          <w:rFonts w:ascii="Arial" w:cs="Arial" w:eastAsia="Arial" w:hAnsi="Arial"/>
          <w:sz w:val="18"/>
          <w:szCs w:val="18"/>
          <w:color w:val="auto"/>
        </w:rPr>
        <w:t>Same store sales growth is a commonly used statistical measure in the quick-service restaurant industry that is important to understanding performance. Same store sales growth is calculated for a given period by including only sales from stores that also had sales in the comparable weeks of both years. International same store sales growth is calculated similarly to U.S. same store sales growth. Changes in international same store sales are reported on a constant dollar basis which reflects changes in international local currency sales.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in fiscal 2020 had no impact on reported same store sales growth amounts.</w:t>
      </w:r>
    </w:p>
    <w:p>
      <w:pPr>
        <w:spacing w:after="0" w:line="236"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2020</w:t>
            </w:r>
          </w:p>
        </w:tc>
        <w:tc>
          <w:tcPr>
            <w:tcW w:w="30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U.S. Company-owned stores</w:t>
            </w: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160" w:type="dxa"/>
            <w:vAlign w:val="bottom"/>
            <w:vMerge w:val="continue"/>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11.0%</w:t>
            </w:r>
          </w:p>
        </w:tc>
        <w:tc>
          <w:tcPr>
            <w:tcW w:w="160" w:type="dxa"/>
            <w:vAlign w:val="bottom"/>
            <w:vMerge w:val="continue"/>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60" w:type="dxa"/>
            <w:vAlign w:val="bottom"/>
            <w:vMerge w:val="continue"/>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U.S. franchise stores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11.5%</w:t>
            </w: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3.2%</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U.S. stores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11.5%</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International stores (excluding foreign currency impact)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1.9%</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Store Growth Activity</w:t>
      </w:r>
    </w:p>
    <w:p>
      <w:pPr>
        <w:spacing w:after="0" w:line="121"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Store counts and net store growth are commonly used statistical measures in the quick-service restaurant industry that are important to understanding performance.</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9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U.S.</w:t>
            </w: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U.S.</w:t>
            </w:r>
          </w:p>
        </w:tc>
        <w:tc>
          <w:tcPr>
            <w:tcW w:w="7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9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Company-</w:t>
            </w:r>
          </w:p>
        </w:tc>
        <w:tc>
          <w:tcPr>
            <w:tcW w:w="92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5"/>
              </w:rPr>
              <w:t>International</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9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owned</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Franchise</w:t>
            </w:r>
          </w:p>
        </w:tc>
        <w:tc>
          <w:tcPr>
            <w:tcW w:w="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U.S.</w:t>
            </w:r>
          </w:p>
        </w:tc>
        <w:tc>
          <w:tcPr>
            <w:tcW w:w="1140" w:type="dxa"/>
            <w:vAlign w:val="bottom"/>
            <w:gridSpan w:val="2"/>
            <w:vMerge w:val="continue"/>
          </w:tcPr>
          <w:p>
            <w:pPr>
              <w:spacing w:after="0"/>
              <w:rPr>
                <w:sz w:val="12"/>
                <w:szCs w:val="12"/>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580" w:type="dxa"/>
            <w:vAlign w:val="bottom"/>
          </w:tcPr>
          <w:p>
            <w:pPr>
              <w:spacing w:after="0"/>
              <w:rPr>
                <w:sz w:val="14"/>
                <w:szCs w:val="14"/>
                <w:color w:val="auto"/>
              </w:rPr>
            </w:pPr>
          </w:p>
        </w:tc>
        <w:tc>
          <w:tcPr>
            <w:tcW w:w="9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Stores</w:t>
            </w: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Stores</w:t>
            </w: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Stores</w:t>
            </w: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Stores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Store count at December 31, 2017</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5,587</w:t>
            </w: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9,269</w:t>
            </w: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14,856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Openings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255</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267</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916</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Closings</w:t>
            </w:r>
          </w:p>
        </w:tc>
        <w:tc>
          <w:tcPr>
            <w:tcW w:w="9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Transfers (1)</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(14)</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45</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31</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Store count at December 30, 2018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5,876</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10,038</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15,914</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Openings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253</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265</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939</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Closings</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Transfers</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(59)</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59</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Store count at December 29, 2019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6,126</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10,894</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17,020</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Openings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218</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240</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718</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Closings</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b w:val="1"/>
                <w:bCs w:val="1"/>
                <w:color w:val="auto"/>
              </w:rPr>
              <w:t>Store count at January 3, 2021</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5,992</w:t>
            </w:r>
          </w:p>
        </w:tc>
        <w:tc>
          <w:tcPr>
            <w:tcW w:w="3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6,355</w:t>
            </w:r>
          </w:p>
        </w:tc>
        <w:tc>
          <w:tcPr>
            <w:tcW w:w="3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11,289</w:t>
            </w:r>
          </w:p>
        </w:tc>
        <w:tc>
          <w:tcPr>
            <w:tcW w:w="3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17,644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40" w:right="60" w:hanging="424"/>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2018, we began managing our franchised stores in Alaska and Hawaii as part of our U.S. Stores segment. Prior to 2018, store counts from these franchised stores were included in our international stores in the table above.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Statement Data</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(tabular amounts in millions, except percentages)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6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U.S. Company-owned stores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485.6</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453.6</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514.8</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U.S. franchise royalties and fees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503.2</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428.5</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391.5</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Supply chain</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2,416.7</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2,104.9</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1,943.3</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International franchise royalties and fees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249.8</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241.0</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224.7</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U.S. franchise advertising</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390.8</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358.5</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ind w:left="360"/>
              <w:spacing w:after="0"/>
              <w:rPr>
                <w:sz w:val="20"/>
                <w:szCs w:val="20"/>
                <w:color w:val="auto"/>
              </w:rPr>
            </w:pPr>
            <w:r>
              <w:rPr>
                <w:rFonts w:ascii="Arial" w:cs="Arial" w:eastAsia="Arial" w:hAnsi="Arial"/>
                <w:sz w:val="18"/>
                <w:szCs w:val="18"/>
                <w:color w:val="auto"/>
              </w:rPr>
              <w:t>Total revenues</w:t>
            </w: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6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4,117.4</w:t>
            </w:r>
          </w:p>
        </w:tc>
        <w:tc>
          <w:tcPr>
            <w:tcW w:w="280" w:type="dxa"/>
            <w:vAlign w:val="bottom"/>
            <w:vMerge w:val="continue"/>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3,618.8</w:t>
            </w:r>
          </w:p>
        </w:tc>
        <w:tc>
          <w:tcPr>
            <w:tcW w:w="280" w:type="dxa"/>
            <w:vAlign w:val="bottom"/>
            <w:vMerge w:val="continue"/>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3,432.9</w:t>
            </w:r>
          </w:p>
        </w:tc>
        <w:tc>
          <w:tcPr>
            <w:tcW w:w="280" w:type="dxa"/>
            <w:vAlign w:val="bottom"/>
            <w:vMerge w:val="continue"/>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U.S. Company-owned stores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379.6</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346.2</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398.2</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Supply chain</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2,143.3</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1,870.1</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1,732.0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cost of sales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2,522.9</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2,216.3</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2,130.2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360"/>
              <w:spacing w:after="0"/>
              <w:rPr>
                <w:sz w:val="20"/>
                <w:szCs w:val="20"/>
                <w:color w:val="auto"/>
              </w:rPr>
            </w:pPr>
            <w:r>
              <w:rPr>
                <w:rFonts w:ascii="Arial" w:cs="Arial" w:eastAsia="Arial" w:hAnsi="Arial"/>
                <w:sz w:val="18"/>
                <w:szCs w:val="18"/>
                <w:color w:val="auto"/>
              </w:rPr>
              <w:t>Operating margin</w:t>
            </w: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6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1,594.5</w:t>
            </w:r>
          </w:p>
        </w:tc>
        <w:tc>
          <w:tcPr>
            <w:tcW w:w="280" w:type="dxa"/>
            <w:vAlign w:val="bottom"/>
            <w:vMerge w:val="continue"/>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1,402.5</w:t>
            </w:r>
          </w:p>
        </w:tc>
        <w:tc>
          <w:tcPr>
            <w:tcW w:w="280" w:type="dxa"/>
            <w:vAlign w:val="bottom"/>
            <w:vMerge w:val="continue"/>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1,302.7</w:t>
            </w:r>
          </w:p>
        </w:tc>
        <w:tc>
          <w:tcPr>
            <w:tcW w:w="280" w:type="dxa"/>
            <w:vAlign w:val="bottom"/>
            <w:vMerge w:val="continue"/>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406.6</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382.3</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372.5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U.S. franchise advertising</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462.2</w:t>
            </w:r>
          </w:p>
        </w:tc>
        <w:tc>
          <w:tcPr>
            <w:tcW w:w="2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390.8</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358.5</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operations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725.6</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629.4</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571.7</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Interest expense, net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(170.5)</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(146.8)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(143.0)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provision for income taxes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555.1</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482.6</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428.7</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63.8</w:t>
            </w:r>
          </w:p>
        </w:tc>
        <w:tc>
          <w:tcPr>
            <w:tcW w:w="2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81.9</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66.7</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491.3</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362.0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140"/>
          </w:cols>
          <w:pgMar w:left="320" w:top="486" w:right="439" w:bottom="1440" w:gutter="0" w:footer="0" w:header="0"/>
        </w:sectPr>
      </w:pPr>
    </w:p>
    <w:p>
      <w:pPr>
        <w:jc w:val="center"/>
        <w:ind w:right="-1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140"/>
          </w:cols>
          <w:pgMar w:left="320" w:top="486" w:right="4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2020 compared to 2019</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(tabular amounts in millions, except percentages)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7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U.S. Company-owned stores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34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453.6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U.S. franchise royalties and fees</w:t>
            </w: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503.2</w:t>
            </w:r>
          </w:p>
        </w:tc>
        <w:tc>
          <w:tcPr>
            <w:tcW w:w="3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428.5</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6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Supply Chain</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2,416.7</w:t>
            </w:r>
          </w:p>
        </w:tc>
        <w:tc>
          <w:tcPr>
            <w:tcW w:w="34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58.7%</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2,104.9</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International franchise royalties and fees</w:t>
            </w: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249.8</w:t>
            </w:r>
          </w:p>
        </w:tc>
        <w:tc>
          <w:tcPr>
            <w:tcW w:w="3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241.0</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6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U.S. franchise advertising</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w:t>
            </w:r>
          </w:p>
        </w:tc>
        <w:tc>
          <w:tcPr>
            <w:tcW w:w="34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390.8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360"/>
              <w:spacing w:after="0"/>
              <w:rPr>
                <w:sz w:val="20"/>
                <w:szCs w:val="20"/>
                <w:color w:val="auto"/>
              </w:rPr>
            </w:pPr>
            <w:r>
              <w:rPr>
                <w:rFonts w:ascii="Arial" w:cs="Arial" w:eastAsia="Arial" w:hAnsi="Arial"/>
                <w:sz w:val="18"/>
                <w:szCs w:val="18"/>
                <w:color w:val="auto"/>
              </w:rPr>
              <w:t>Total revenues</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4,117.4</w:t>
            </w:r>
          </w:p>
        </w:tc>
        <w:tc>
          <w:tcPr>
            <w:tcW w:w="340" w:type="dxa"/>
            <w:vAlign w:val="bottom"/>
            <w:vMerge w:val="continue"/>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100.0%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3,618.8</w:t>
            </w:r>
          </w:p>
        </w:tc>
        <w:tc>
          <w:tcPr>
            <w:tcW w:w="340" w:type="dxa"/>
            <w:vAlign w:val="bottom"/>
            <w:vMerge w:val="continue"/>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0"/>
        </w:trPr>
        <w:tc>
          <w:tcPr>
            <w:tcW w:w="67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Revenues primarily consist of retail sales from our Company-owned stores, advertising contributions, royalties and fees from our U.S. franchised stores, royalties and fees from our international franchised stores and sales of food, equipment and supplies from our supply chain centers to substantially all of our U.S. franchised stores and certain international franchised stores. Company-owned store and franchised store revenues may vary from period to period due to changes in store count mix. Supply chain revenues may vary significantly as a result of fluctuations in commodity prices as well as the mix of products we sell.</w:t>
      </w:r>
    </w:p>
    <w:p>
      <w:pPr>
        <w:spacing w:after="0" w:line="188"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Consolidated revenues increased $498.6 million, or 13.8%, in 2020, due primarily to higher U.S. retail sales, which resulted in higher supply chain and U.S. franchise revenues. The inclusion of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in 2020 also positively impacted revenues by an estimated $88.4 million. U.S. Company-owned stores revenues increased in 2020 due to same store sales growth, but were partially offset by lower revenues due to the sale of 59 Company-owned stores to certain of our existing U.S. franchisees during the second quarter of 2019 (the “2019 Store Sale”). These changes in revenues are described in more detail below.</w:t>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U.S. Stores Revenues</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7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U.S. Company-owned stores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34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453.6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U.S. franchise royalties and fees</w:t>
            </w: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503.2</w:t>
            </w:r>
          </w:p>
        </w:tc>
        <w:tc>
          <w:tcPr>
            <w:tcW w:w="3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428.5</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6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U.S. franchise advertising</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w:t>
            </w:r>
          </w:p>
        </w:tc>
        <w:tc>
          <w:tcPr>
            <w:tcW w:w="34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390.8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360"/>
              <w:spacing w:after="0"/>
              <w:rPr>
                <w:sz w:val="20"/>
                <w:szCs w:val="20"/>
                <w:color w:val="auto"/>
              </w:rPr>
            </w:pPr>
            <w:r>
              <w:rPr>
                <w:rFonts w:ascii="Arial" w:cs="Arial" w:eastAsia="Arial" w:hAnsi="Arial"/>
                <w:sz w:val="18"/>
                <w:szCs w:val="18"/>
                <w:color w:val="auto"/>
              </w:rPr>
              <w:t>Total U.S. stores revenues</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1,451.0</w:t>
            </w:r>
          </w:p>
        </w:tc>
        <w:tc>
          <w:tcPr>
            <w:tcW w:w="340" w:type="dxa"/>
            <w:vAlign w:val="bottom"/>
            <w:vMerge w:val="continue"/>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100.0%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1,272.9</w:t>
            </w:r>
          </w:p>
        </w:tc>
        <w:tc>
          <w:tcPr>
            <w:tcW w:w="340" w:type="dxa"/>
            <w:vAlign w:val="bottom"/>
            <w:vMerge w:val="continue"/>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0"/>
        </w:trPr>
        <w:tc>
          <w:tcPr>
            <w:tcW w:w="67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U.S. Company-owned Stores</w:t>
      </w:r>
    </w:p>
    <w:p>
      <w:pPr>
        <w:spacing w:after="0" w:line="117" w:lineRule="exact"/>
        <w:rPr>
          <w:sz w:val="20"/>
          <w:szCs w:val="20"/>
          <w:color w:val="auto"/>
        </w:rPr>
      </w:pPr>
    </w:p>
    <w:p>
      <w:pPr>
        <w:ind w:left="120" w:right="20"/>
        <w:spacing w:after="0" w:line="226" w:lineRule="auto"/>
        <w:rPr>
          <w:sz w:val="20"/>
          <w:szCs w:val="20"/>
          <w:color w:val="auto"/>
        </w:rPr>
      </w:pPr>
      <w:r>
        <w:rPr>
          <w:rFonts w:ascii="Arial" w:cs="Arial" w:eastAsia="Arial" w:hAnsi="Arial"/>
          <w:sz w:val="18"/>
          <w:szCs w:val="18"/>
          <w:color w:val="auto"/>
        </w:rPr>
        <w:t>Revenues from U.S. Company-owned store operations increased $32.0 million, or 7.1%, in 2020, due primarily to same store sales growth, as well as an estimated $10.6 million impact of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The increase in revenues was partially offset by lower revenues resulting from the 2019 Store Sale. U.S. Company-owned same store sales increased 11.0% in 2020 and increased 2.8% in 2019.</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U.S. Franchise Royalties and Fees</w:t>
      </w:r>
    </w:p>
    <w:p>
      <w:pPr>
        <w:spacing w:after="0" w:line="117" w:lineRule="exact"/>
        <w:rPr>
          <w:sz w:val="20"/>
          <w:szCs w:val="20"/>
          <w:color w:val="auto"/>
        </w:rPr>
      </w:pPr>
    </w:p>
    <w:p>
      <w:pPr>
        <w:ind w:left="120"/>
        <w:spacing w:after="0" w:line="252" w:lineRule="auto"/>
        <w:rPr>
          <w:sz w:val="20"/>
          <w:szCs w:val="20"/>
          <w:color w:val="auto"/>
        </w:rPr>
      </w:pPr>
      <w:r>
        <w:rPr>
          <w:rFonts w:ascii="Arial" w:cs="Arial" w:eastAsia="Arial" w:hAnsi="Arial"/>
          <w:sz w:val="17"/>
          <w:szCs w:val="17"/>
          <w:color w:val="auto"/>
        </w:rPr>
        <w:t>Revenues from U.S. franchise royalties and fees increased $74.7 million, or 17.4%, in 2020, due primarily to higher same store sales and an increase in the average number of U.S. franchised stores open during the period resulting from net store growth, as well as an estimated $11.4 million impact of the 53</w:t>
      </w:r>
      <w:r>
        <w:rPr>
          <w:rFonts w:ascii="Arial" w:cs="Arial" w:eastAsia="Arial" w:hAnsi="Arial"/>
          <w:sz w:val="24"/>
          <w:szCs w:val="24"/>
          <w:color w:val="auto"/>
          <w:vertAlign w:val="superscript"/>
        </w:rPr>
        <w:t>rd</w:t>
      </w:r>
      <w:r>
        <w:rPr>
          <w:rFonts w:ascii="Arial" w:cs="Arial" w:eastAsia="Arial" w:hAnsi="Arial"/>
          <w:sz w:val="17"/>
          <w:szCs w:val="17"/>
          <w:color w:val="auto"/>
        </w:rPr>
        <w:t xml:space="preserve"> week. U.S. franchise royalties were negatively impacted by approximately $3.0 million related to funding we provided to our franchisees for an effort to donate 10 million slices of pizza to people and organizations at the frontlines of the COVID-19 pandemic in the franchisees’ local communities. U.S. franchise same store sales increased 11.5% in 2020 and increased 3.2% in 2019. U.S. franchise royalties and fees further benefited from an increase in revenues from fees paid by franchisees for the use of our technology platforms.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U.S. Franchise Advertising</w:t>
      </w:r>
    </w:p>
    <w:p>
      <w:pPr>
        <w:spacing w:after="0" w:line="117" w:lineRule="exact"/>
        <w:rPr>
          <w:sz w:val="20"/>
          <w:szCs w:val="20"/>
          <w:color w:val="auto"/>
        </w:rPr>
      </w:pPr>
    </w:p>
    <w:p>
      <w:pPr>
        <w:ind w:left="120" w:right="140"/>
        <w:spacing w:after="0" w:line="226" w:lineRule="auto"/>
        <w:rPr>
          <w:sz w:val="20"/>
          <w:szCs w:val="20"/>
          <w:color w:val="auto"/>
        </w:rPr>
      </w:pPr>
      <w:r>
        <w:rPr>
          <w:rFonts w:ascii="Arial" w:cs="Arial" w:eastAsia="Arial" w:hAnsi="Arial"/>
          <w:sz w:val="18"/>
          <w:szCs w:val="18"/>
          <w:color w:val="auto"/>
        </w:rPr>
        <w:t>Revenues from U.S. franchise advertising increased $71.4 million, or 18.3%, in 2020, due primarily to higher same store sales and an increase in the average number of U.S. franchised stores open during the year resulting from net store growth, as well as an estimated $10.4 million impact of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86"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Supply Chain</w:t>
      </w:r>
    </w:p>
    <w:p>
      <w:pPr>
        <w:spacing w:after="0" w:line="117" w:lineRule="exact"/>
        <w:rPr>
          <w:sz w:val="20"/>
          <w:szCs w:val="20"/>
          <w:color w:val="auto"/>
        </w:rPr>
      </w:pPr>
    </w:p>
    <w:p>
      <w:pPr>
        <w:ind w:left="120"/>
        <w:spacing w:after="0" w:line="226" w:lineRule="auto"/>
        <w:rPr>
          <w:sz w:val="20"/>
          <w:szCs w:val="20"/>
          <w:color w:val="auto"/>
        </w:rPr>
      </w:pPr>
      <w:r>
        <w:rPr>
          <w:rFonts w:ascii="Arial" w:cs="Arial" w:eastAsia="Arial" w:hAnsi="Arial"/>
          <w:sz w:val="18"/>
          <w:szCs w:val="18"/>
          <w:color w:val="auto"/>
        </w:rPr>
        <w:t>Supply chain revenues increased $311.8 million, or 14.8%, in 2020, due primarily to higher volumes from increased orders resulting from U.S. franchise retail sales growth, as well as an estimated $49.6 million impact of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Our market basket pricing to stores increased 2.2% during 2020, which resulted in an estimated $42.5 million increase in supply chain revenues.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International Franchise Royalties and Fees</w:t>
      </w:r>
    </w:p>
    <w:p>
      <w:pPr>
        <w:spacing w:after="0" w:line="117" w:lineRule="exact"/>
        <w:rPr>
          <w:sz w:val="20"/>
          <w:szCs w:val="20"/>
          <w:color w:val="auto"/>
        </w:rPr>
      </w:pPr>
    </w:p>
    <w:p>
      <w:pPr>
        <w:ind w:left="120"/>
        <w:spacing w:after="0" w:line="274" w:lineRule="auto"/>
        <w:rPr>
          <w:sz w:val="20"/>
          <w:szCs w:val="20"/>
          <w:color w:val="auto"/>
        </w:rPr>
      </w:pPr>
      <w:r>
        <w:rPr>
          <w:rFonts w:ascii="Arial" w:cs="Arial" w:eastAsia="Arial" w:hAnsi="Arial"/>
          <w:sz w:val="16"/>
          <w:szCs w:val="16"/>
          <w:color w:val="auto"/>
        </w:rPr>
        <w:t>Revenues from international franchise operations increased $8.8 million, or 3.6%, in 2020. This increase was due primarily to an estimated $6.4 million impact of the 53</w:t>
      </w:r>
      <w:r>
        <w:rPr>
          <w:rFonts w:ascii="Arial" w:cs="Arial" w:eastAsia="Arial" w:hAnsi="Arial"/>
          <w:sz w:val="22"/>
          <w:szCs w:val="22"/>
          <w:color w:val="auto"/>
          <w:vertAlign w:val="superscript"/>
        </w:rPr>
        <w:t>rd</w:t>
      </w:r>
      <w:r>
        <w:rPr>
          <w:rFonts w:ascii="Arial" w:cs="Arial" w:eastAsia="Arial" w:hAnsi="Arial"/>
          <w:sz w:val="16"/>
          <w:szCs w:val="16"/>
          <w:color w:val="auto"/>
        </w:rPr>
        <w:t xml:space="preserve"> week as well as same store sales growth and an increase in the average number of international franchised stores open during the period due to net store growth. Excluding the impact of foreign currency exchange rates, international same store sales increased 4.4% in 2020 and increased 1.9% in 2019. The impact of changes in foreign currency exchange rates negatively impacted revenue from international royalties and fees by approximately $3.9 million in 2020. Temporary store closures in certain markets and changes in operating procedures and store hours resulting from actions taken to increase social distancing across certain of the markets in which we operate, as well as targeted financial relief provided to certain of our master franchisees due to the COVID-19 pandemic, also had a negative impact on international franchise revenues in 2020.</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sales / Operating Margin</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620" w:type="dxa"/>
            <w:vAlign w:val="bottom"/>
            <w:tcBorders>
              <w:bottom w:val="single" w:sz="8" w:color="CCEEFF"/>
            </w:tcBorders>
          </w:tcPr>
          <w:p>
            <w:pPr>
              <w:spacing w:after="0"/>
              <w:rPr>
                <w:sz w:val="14"/>
                <w:szCs w:val="14"/>
                <w:color w:val="auto"/>
              </w:rPr>
            </w:pPr>
          </w:p>
        </w:tc>
        <w:tc>
          <w:tcPr>
            <w:tcW w:w="20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Consolidated revenues</w:t>
            </w:r>
          </w:p>
        </w:tc>
        <w:tc>
          <w:tcPr>
            <w:tcW w:w="20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$4,117.4</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100.0%</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$3,618.8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100.0%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Consolidated cost of sales</w:t>
            </w:r>
          </w:p>
        </w:tc>
        <w:tc>
          <w:tcPr>
            <w:tcW w:w="206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2,522.9</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61.3%</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2,216.3</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61.2%</w:t>
            </w:r>
          </w:p>
        </w:tc>
      </w:tr>
      <w:tr>
        <w:trPr>
          <w:trHeight w:val="27"/>
        </w:trPr>
        <w:tc>
          <w:tcPr>
            <w:tcW w:w="46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Consolidated operating margin</w:t>
            </w:r>
          </w:p>
        </w:tc>
        <w:tc>
          <w:tcPr>
            <w:tcW w:w="3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1,594.5</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38.7%</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1,402.5</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w:t>
            </w:r>
          </w:p>
        </w:tc>
      </w:tr>
      <w:tr>
        <w:trPr>
          <w:trHeight w:val="20"/>
        </w:trPr>
        <w:tc>
          <w:tcPr>
            <w:tcW w:w="4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26" w:lineRule="auto"/>
        <w:rPr>
          <w:sz w:val="20"/>
          <w:szCs w:val="20"/>
          <w:color w:val="auto"/>
        </w:rPr>
      </w:pPr>
      <w:r>
        <w:rPr>
          <w:rFonts w:ascii="Arial" w:cs="Arial" w:eastAsia="Arial" w:hAnsi="Arial"/>
          <w:sz w:val="18"/>
          <w:szCs w:val="18"/>
          <w:color w:val="auto"/>
        </w:rPr>
        <w:t>Consolidated cost of sales consists primarily of U.S. Company-owned store and supply chain costs incurred to generate related revenues. Components of consolidated cost of sales primarily include food, labor, delivery and occupancy costs. We estimate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resulted in an increase of approximately $50.6 million on consolidated cost of sales.</w:t>
      </w:r>
    </w:p>
    <w:p>
      <w:pPr>
        <w:spacing w:after="0" w:line="203" w:lineRule="exact"/>
        <w:rPr>
          <w:sz w:val="20"/>
          <w:szCs w:val="20"/>
          <w:color w:val="auto"/>
        </w:rPr>
      </w:pPr>
    </w:p>
    <w:p>
      <w:pPr>
        <w:jc w:val="both"/>
        <w:ind w:left="120" w:right="260"/>
        <w:spacing w:after="0" w:line="238" w:lineRule="auto"/>
        <w:rPr>
          <w:sz w:val="20"/>
          <w:szCs w:val="20"/>
          <w:color w:val="auto"/>
        </w:rPr>
      </w:pPr>
      <w:r>
        <w:rPr>
          <w:rFonts w:ascii="Arial" w:cs="Arial" w:eastAsia="Arial" w:hAnsi="Arial"/>
          <w:sz w:val="17"/>
          <w:szCs w:val="17"/>
          <w:color w:val="auto"/>
        </w:rPr>
        <w:t>Consolidated operating margin (which we define as revenues less cost of sales) increased $192.0 million, or 13.7%, in 2020, due primarily to higher global franchise revenues and higher supply chain volumes, as well as an estimated $37.8 million impact of the 53</w:t>
      </w:r>
      <w:r>
        <w:rPr>
          <w:rFonts w:ascii="Arial" w:cs="Arial" w:eastAsia="Arial" w:hAnsi="Arial"/>
          <w:sz w:val="24"/>
          <w:szCs w:val="24"/>
          <w:color w:val="auto"/>
          <w:vertAlign w:val="superscript"/>
        </w:rPr>
        <w:t>rd</w:t>
      </w:r>
      <w:r>
        <w:rPr>
          <w:rFonts w:ascii="Arial" w:cs="Arial" w:eastAsia="Arial" w:hAnsi="Arial"/>
          <w:sz w:val="17"/>
          <w:szCs w:val="17"/>
          <w:color w:val="auto"/>
        </w:rPr>
        <w:t xml:space="preserve"> week. Franchise revenues do not have a cost of sales component, so changes in these revenues have a disproportionate effect on the operating margin.</w:t>
      </w:r>
    </w:p>
    <w:p>
      <w:pPr>
        <w:spacing w:after="0" w:line="203"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As a percentage of revenues, the consolidated operating margin decreased 0.1 percentage points in 2020. Company-owned store operating margin decreased 1.9 percentage points in 2020 and supply chain operating margin increased 0.1 percentage points in 2020. These changes in operating margin are more fully discussed below.</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U.S. Company-owned Stores Operating Margin</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480" w:type="dxa"/>
            <w:vAlign w:val="bottom"/>
            <w:tcBorders>
              <w:bottom w:val="single" w:sz="8" w:color="CCEEFF"/>
            </w:tcBorders>
          </w:tcPr>
          <w:p>
            <w:pPr>
              <w:spacing w:after="0"/>
              <w:rPr>
                <w:sz w:val="14"/>
                <w:szCs w:val="14"/>
                <w:color w:val="auto"/>
              </w:rPr>
            </w:pPr>
          </w:p>
        </w:tc>
        <w:tc>
          <w:tcPr>
            <w:tcW w:w="24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2019</w:t>
            </w: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$485.6</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100.0%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$453.6</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Cost of sales</w:t>
            </w:r>
          </w:p>
        </w:tc>
        <w:tc>
          <w:tcPr>
            <w:tcW w:w="2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379.6</w:t>
            </w:r>
          </w:p>
        </w:tc>
        <w:tc>
          <w:tcPr>
            <w:tcW w:w="3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78.2%</w:t>
            </w:r>
          </w:p>
        </w:tc>
        <w:tc>
          <w:tcPr>
            <w:tcW w:w="500" w:type="dxa"/>
            <w:vAlign w:val="bottom"/>
          </w:tcPr>
          <w:p>
            <w:pPr>
              <w:jc w:val="right"/>
              <w:spacing w:after="0"/>
              <w:rPr>
                <w:sz w:val="20"/>
                <w:szCs w:val="20"/>
                <w:color w:val="auto"/>
              </w:rPr>
            </w:pPr>
            <w:r>
              <w:rPr>
                <w:rFonts w:ascii="Arial" w:cs="Arial" w:eastAsia="Arial" w:hAnsi="Arial"/>
                <w:sz w:val="18"/>
                <w:szCs w:val="18"/>
                <w:color w:val="auto"/>
              </w:rPr>
              <w:t>346.2</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76.3%</w:t>
            </w:r>
          </w:p>
        </w:tc>
      </w:tr>
      <w:tr>
        <w:trPr>
          <w:trHeight w:val="27"/>
        </w:trPr>
        <w:tc>
          <w:tcPr>
            <w:tcW w:w="44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Store operating margin</w:t>
            </w:r>
          </w:p>
        </w:tc>
        <w:tc>
          <w:tcPr>
            <w:tcW w:w="2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106.0</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107.4</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23.7%</w:t>
            </w:r>
          </w:p>
        </w:tc>
      </w:tr>
      <w:tr>
        <w:trPr>
          <w:trHeight w:val="20"/>
        </w:trPr>
        <w:tc>
          <w:tcPr>
            <w:tcW w:w="44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spacing w:after="0" w:line="274" w:lineRule="auto"/>
        <w:rPr>
          <w:sz w:val="20"/>
          <w:szCs w:val="20"/>
          <w:color w:val="auto"/>
        </w:rPr>
      </w:pPr>
      <w:r>
        <w:rPr>
          <w:rFonts w:ascii="Arial" w:cs="Arial" w:eastAsia="Arial" w:hAnsi="Arial"/>
          <w:sz w:val="16"/>
          <w:szCs w:val="16"/>
          <w:color w:val="auto"/>
        </w:rPr>
        <w:t>U.S. Company-owned store operating margin (which does not include other store-level costs such as royalties and advertising) decreased $1.4 million, or 1.3%, in 2020, due primarily to higher labor costs, and to a lesser extent, higher food costs. Lower revenues resulting from the 2019 Store Sale also contributed to the decrease in U.S. Company-owned store operating margin. These decreases were partially offset by higher revenues resulting from higher same store sales, as well as an estimated $3.2 million impact of the 53</w:t>
      </w:r>
      <w:r>
        <w:rPr>
          <w:rFonts w:ascii="Arial" w:cs="Arial" w:eastAsia="Arial" w:hAnsi="Arial"/>
          <w:sz w:val="22"/>
          <w:szCs w:val="22"/>
          <w:color w:val="auto"/>
          <w:vertAlign w:val="superscript"/>
        </w:rPr>
        <w:t>rd</w:t>
      </w:r>
      <w:r>
        <w:rPr>
          <w:rFonts w:ascii="Arial" w:cs="Arial" w:eastAsia="Arial" w:hAnsi="Arial"/>
          <w:sz w:val="16"/>
          <w:szCs w:val="16"/>
          <w:color w:val="auto"/>
        </w:rPr>
        <w:t xml:space="preserve"> week. As a percentage of store revenues, the store operating margin decreased 1.9 percentage points in 2020. These changes in operating margin as a percentage of revenues are discussed in more detail below.</w:t>
      </w:r>
    </w:p>
    <w:p>
      <w:pPr>
        <w:spacing w:after="0" w:line="72" w:lineRule="exact"/>
        <w:rPr>
          <w:sz w:val="20"/>
          <w:szCs w:val="20"/>
          <w:color w:val="auto"/>
        </w:rPr>
      </w:pPr>
    </w:p>
    <w:p>
      <w:pPr>
        <w:ind w:left="1080" w:right="2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Food costs decreased 0.1 percentage points to 27.0% in 2020, due primarily to the leveraging of higher same store sales. This decrease was partially offset by higher food prices.</w:t>
      </w:r>
    </w:p>
    <w:p>
      <w:pPr>
        <w:spacing w:after="0" w:line="75" w:lineRule="exact"/>
        <w:rPr>
          <w:rFonts w:ascii="Arial" w:cs="Arial" w:eastAsia="Arial" w:hAnsi="Arial"/>
          <w:sz w:val="18"/>
          <w:szCs w:val="18"/>
          <w:color w:val="auto"/>
        </w:rPr>
      </w:pPr>
    </w:p>
    <w:p>
      <w:pPr>
        <w:ind w:left="1080" w:right="200" w:hanging="424"/>
        <w:spacing w:after="0" w:line="286"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Labor costs increased 1.9 percentage points to 30.9% in 2020, due primarily to additional compensation expense for frontline team members during the COVID-19 pandemic. These increases were partially offset by reduced labor costs as a percentage of store revenues resulting from the 2019 Store Sale due to the higher labor rates in the market in which the sold stores operated.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86"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Supply Chain Operating Margin</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620" w:type="dxa"/>
            <w:vAlign w:val="bottom"/>
            <w:tcBorders>
              <w:bottom w:val="single" w:sz="8" w:color="CCEEFF"/>
            </w:tcBorders>
          </w:tcPr>
          <w:p>
            <w:pPr>
              <w:spacing w:after="0"/>
              <w:rPr>
                <w:sz w:val="14"/>
                <w:szCs w:val="14"/>
                <w:color w:val="auto"/>
              </w:rPr>
            </w:pPr>
          </w:p>
        </w:tc>
        <w:tc>
          <w:tcPr>
            <w:tcW w:w="20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2,416.7</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2,104.9</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100.0%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Cost of sales</w:t>
            </w: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2,143.3</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88.7%</w:t>
            </w:r>
          </w:p>
        </w:tc>
        <w:tc>
          <w:tcPr>
            <w:tcW w:w="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1,870.1</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88.8%</w:t>
            </w:r>
          </w:p>
        </w:tc>
      </w:tr>
      <w:tr>
        <w:trPr>
          <w:trHeight w:val="27"/>
        </w:trPr>
        <w:tc>
          <w:tcPr>
            <w:tcW w:w="46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Supply chain operating margin</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273.</w:t>
            </w:r>
            <w:r>
              <w:rPr>
                <w:rFonts w:ascii="Arial" w:cs="Arial" w:eastAsia="Arial" w:hAnsi="Arial"/>
                <w:sz w:val="18"/>
                <w:szCs w:val="18"/>
                <w:u w:val="single" w:color="auto"/>
                <w:color w:val="auto"/>
              </w:rPr>
              <w:t>3</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234.</w:t>
            </w:r>
            <w:r>
              <w:rPr>
                <w:rFonts w:ascii="Arial" w:cs="Arial" w:eastAsia="Arial" w:hAnsi="Arial"/>
                <w:sz w:val="18"/>
                <w:szCs w:val="18"/>
                <w:u w:val="single" w:color="auto"/>
                <w:color w:val="auto"/>
              </w:rPr>
              <w:t>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r>
      <w:tr>
        <w:trPr>
          <w:trHeight w:val="20"/>
        </w:trPr>
        <w:tc>
          <w:tcPr>
            <w:tcW w:w="4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spacing w:after="0" w:line="232" w:lineRule="auto"/>
        <w:rPr>
          <w:sz w:val="20"/>
          <w:szCs w:val="20"/>
          <w:color w:val="auto"/>
        </w:rPr>
      </w:pPr>
      <w:r>
        <w:rPr>
          <w:rFonts w:ascii="Arial" w:cs="Arial" w:eastAsia="Arial" w:hAnsi="Arial"/>
          <w:sz w:val="18"/>
          <w:szCs w:val="18"/>
          <w:color w:val="auto"/>
        </w:rPr>
        <w:t>Supply chain operating margin increased $38.5 million, or 16.4%, in 2020, primarily driven by higher volumes from increased orders, as well as an estimated $6.4 million impact of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As a percentage of supply chain revenues, the supply chain operating margin increased 0.1 percentage points in 2020, due primarily to lower delivery costs as a percentage of revenues as a result of leveraging of higher same store sales and lower fuel prices, partially offset by higher food costs.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120" w:right="200"/>
        <w:spacing w:after="0" w:line="226" w:lineRule="auto"/>
        <w:rPr>
          <w:sz w:val="20"/>
          <w:szCs w:val="20"/>
          <w:color w:val="auto"/>
        </w:rPr>
      </w:pPr>
      <w:r>
        <w:rPr>
          <w:rFonts w:ascii="Arial" w:cs="Arial" w:eastAsia="Arial" w:hAnsi="Arial"/>
          <w:sz w:val="18"/>
          <w:szCs w:val="18"/>
          <w:color w:val="auto"/>
        </w:rPr>
        <w:t>General and administrative expenses increased $24.3 million, or 6.4%, in 2020, driven primarily by higher variable performance-based compensation expense and professional fees, as well as an estimated $5.6 million impact of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These increases were partially offset by lower travel expenses resulting from travel restrictions associated with the COVID-19 pandemic.</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Franchise Advertising Expenses</w:t>
      </w:r>
    </w:p>
    <w:p>
      <w:pPr>
        <w:spacing w:after="0" w:line="117" w:lineRule="exact"/>
        <w:rPr>
          <w:sz w:val="20"/>
          <w:szCs w:val="20"/>
          <w:color w:val="auto"/>
        </w:rPr>
      </w:pPr>
    </w:p>
    <w:p>
      <w:pPr>
        <w:ind w:left="120"/>
        <w:spacing w:after="0" w:line="232" w:lineRule="auto"/>
        <w:rPr>
          <w:sz w:val="20"/>
          <w:szCs w:val="20"/>
          <w:color w:val="auto"/>
        </w:rPr>
      </w:pPr>
      <w:r>
        <w:rPr>
          <w:rFonts w:ascii="Arial" w:cs="Arial" w:eastAsia="Arial" w:hAnsi="Arial"/>
          <w:sz w:val="18"/>
          <w:szCs w:val="18"/>
          <w:color w:val="auto"/>
        </w:rPr>
        <w:t>U.S. franchise advertising expenses increased $71.4 million, or 18.3%, in 2020, due to higher U.S. franchise advertising revenue, including an estimated $10.4 million impact of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U.S. franchise advertising costs are accrued and expensed when the related U.S. franchise advertising revenues are recognized, as our consolidated not-for-profit advertising fund is obligated to expend such revenues on advertising and these revenues cannot be used for general corporate purposes.</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left="120" w:right="340"/>
        <w:spacing w:after="0" w:line="343" w:lineRule="auto"/>
        <w:rPr>
          <w:sz w:val="20"/>
          <w:szCs w:val="20"/>
          <w:color w:val="auto"/>
        </w:rPr>
      </w:pPr>
      <w:r>
        <w:rPr>
          <w:rFonts w:ascii="Arial" w:cs="Arial" w:eastAsia="Arial" w:hAnsi="Arial"/>
          <w:sz w:val="16"/>
          <w:szCs w:val="16"/>
          <w:color w:val="auto"/>
        </w:rPr>
        <w:t>Interest expense, net, increased $23.7 million, or 16.1%, in 2020 driven primarily by higher average debt balances resulting from the 2019 Recapitalization and borrowings under the Company’s variable funding notes in 2020, as well as an estimated $2.6 million impact of the 53</w:t>
      </w:r>
      <w:r>
        <w:rPr>
          <w:rFonts w:ascii="Arial" w:cs="Arial" w:eastAsia="Arial" w:hAnsi="Arial"/>
          <w:sz w:val="22"/>
          <w:szCs w:val="22"/>
          <w:color w:val="auto"/>
          <w:vertAlign w:val="superscript"/>
        </w:rPr>
        <w:t>rd</w:t>
      </w:r>
      <w:r>
        <w:rPr>
          <w:rFonts w:ascii="Arial" w:cs="Arial" w:eastAsia="Arial" w:hAnsi="Arial"/>
          <w:sz w:val="16"/>
          <w:szCs w:val="16"/>
          <w:color w:val="auto"/>
        </w:rPr>
        <w:t xml:space="preserve"> week.</w:t>
      </w:r>
    </w:p>
    <w:p>
      <w:pPr>
        <w:spacing w:after="0" w:line="2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Our weighted average borrowing rate decreased to 3.9% in 2020, from 4.1% in 2019, resulting from the lower interest rates on the debt outstanding in 2020 as compared to the same periods in 2019.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120" w:right="160"/>
        <w:spacing w:after="0" w:line="297" w:lineRule="auto"/>
        <w:rPr>
          <w:sz w:val="20"/>
          <w:szCs w:val="20"/>
          <w:color w:val="auto"/>
        </w:rPr>
      </w:pPr>
      <w:r>
        <w:rPr>
          <w:rFonts w:ascii="Arial" w:cs="Arial" w:eastAsia="Arial" w:hAnsi="Arial"/>
          <w:sz w:val="16"/>
          <w:szCs w:val="16"/>
          <w:color w:val="auto"/>
        </w:rPr>
        <w:t>Provision for income taxes decreased $18.1 million, or 22.1%, in 2020 and the effective tax rate decreased to 11.5% in 2020 as compared to 17.0% in 2019 due primarily to higher excess tax benefits on equity-based compensation, which are recorded as a reduction to the income tax provision. Excess tax benefits from equity-based compensation were $60.4 million in 2020 and were $25.7 million in 2019. The increase in excess tax benefits resulted from a significant increase in stock options exercised in 2020 as compared to 2019. The decrease in provision for income taxes was partially offset by higher pre-tax income and, to a lesser extent, an increase in the valuation allowance associated with foreign tax credits and interest deductibility in separately-filed states. We estimate the 53</w:t>
      </w:r>
      <w:r>
        <w:rPr>
          <w:rFonts w:ascii="Arial" w:cs="Arial" w:eastAsia="Arial" w:hAnsi="Arial"/>
          <w:sz w:val="22"/>
          <w:szCs w:val="22"/>
          <w:color w:val="auto"/>
          <w:vertAlign w:val="superscript"/>
        </w:rPr>
        <w:t>rd</w:t>
      </w:r>
      <w:r>
        <w:rPr>
          <w:rFonts w:ascii="Arial" w:cs="Arial" w:eastAsia="Arial" w:hAnsi="Arial"/>
          <w:sz w:val="16"/>
          <w:szCs w:val="16"/>
          <w:color w:val="auto"/>
        </w:rPr>
        <w:t xml:space="preserve"> week resulted in an increase of $4.0 million on the provision for income taxes.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Income</w:t>
      </w:r>
    </w:p>
    <w:p>
      <w:pPr>
        <w:spacing w:after="0" w:line="117"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We evaluate the performance of our reportable segments and allocate resources to them based on earnings before interest, taxes, depreciation, amortization and other, referred to as Segment Income. Segment Income for each of our reportable segments is summarized in the table below. Other Segment Income primarily includes corporate administrative costs that are not allocable to an operating segment, including labor, computer expenses, professional fees, travel and entertainment, rent, insurance and other corporate administrative costs.</w:t>
      </w:r>
    </w:p>
    <w:p>
      <w:pPr>
        <w:spacing w:after="0" w:line="203"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45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6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210"/>
        </w:trPr>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Stores</w:t>
            </w:r>
          </w:p>
        </w:tc>
        <w:tc>
          <w:tcPr>
            <w:tcW w:w="40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$435.1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Supply Chain</w:t>
            </w:r>
          </w:p>
        </w:tc>
        <w:tc>
          <w:tcPr>
            <w:tcW w:w="4740" w:type="dxa"/>
            <w:vAlign w:val="bottom"/>
            <w:gridSpan w:val="3"/>
          </w:tcPr>
          <w:p>
            <w:pPr>
              <w:jc w:val="right"/>
              <w:ind w:right="200"/>
              <w:spacing w:after="0"/>
              <w:rPr>
                <w:sz w:val="20"/>
                <w:szCs w:val="20"/>
                <w:color w:val="auto"/>
              </w:rPr>
            </w:pPr>
            <w:r>
              <w:rPr>
                <w:rFonts w:ascii="Arial" w:cs="Arial" w:eastAsia="Arial" w:hAnsi="Arial"/>
                <w:sz w:val="18"/>
                <w:szCs w:val="18"/>
                <w:color w:val="auto"/>
              </w:rPr>
              <w:t>238.4</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199.8</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International Franchise</w:t>
            </w:r>
          </w:p>
        </w:tc>
        <w:tc>
          <w:tcPr>
            <w:tcW w:w="4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197.6</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187.3</w:t>
            </w: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Other</w:t>
            </w:r>
          </w:p>
        </w:tc>
        <w:tc>
          <w:tcPr>
            <w:tcW w:w="4740" w:type="dxa"/>
            <w:vAlign w:val="bottom"/>
            <w:gridSpan w:val="3"/>
          </w:tcPr>
          <w:p>
            <w:pPr>
              <w:jc w:val="right"/>
              <w:ind w:right="140"/>
              <w:spacing w:after="0"/>
              <w:rPr>
                <w:sz w:val="20"/>
                <w:szCs w:val="20"/>
                <w:color w:val="auto"/>
              </w:rPr>
            </w:pPr>
            <w:r>
              <w:rPr>
                <w:rFonts w:ascii="Arial" w:cs="Arial" w:eastAsia="Arial" w:hAnsi="Arial"/>
                <w:sz w:val="18"/>
                <w:szCs w:val="18"/>
                <w:color w:val="auto"/>
              </w:rPr>
              <w:t>(53.3)</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(36.7)</w:t>
            </w:r>
          </w:p>
        </w:tc>
      </w:tr>
      <w:tr>
        <w:trPr>
          <w:trHeight w:val="350"/>
        </w:trPr>
        <w:tc>
          <w:tcPr>
            <w:tcW w:w="2880" w:type="dxa"/>
            <w:vAlign w:val="bottom"/>
          </w:tcPr>
          <w:p>
            <w:pPr>
              <w:spacing w:after="0"/>
              <w:rPr>
                <w:sz w:val="24"/>
                <w:szCs w:val="24"/>
                <w:color w:val="auto"/>
              </w:rPr>
            </w:pPr>
          </w:p>
        </w:tc>
        <w:tc>
          <w:tcPr>
            <w:tcW w:w="4040" w:type="dxa"/>
            <w:vAlign w:val="bottom"/>
          </w:tcPr>
          <w:p>
            <w:pPr>
              <w:jc w:val="right"/>
              <w:ind w:right="2554"/>
              <w:spacing w:after="0"/>
              <w:rPr>
                <w:sz w:val="20"/>
                <w:szCs w:val="20"/>
                <w:color w:val="auto"/>
              </w:rPr>
            </w:pPr>
            <w:r>
              <w:rPr>
                <w:rFonts w:ascii="Arial" w:cs="Arial" w:eastAsia="Arial" w:hAnsi="Arial"/>
                <w:sz w:val="18"/>
                <w:szCs w:val="18"/>
                <w:color w:val="auto"/>
              </w:rPr>
              <w:t>34</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80"/>
          </w:cols>
          <w:pgMar w:left="320" w:top="486"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U.S. Stores</w:t>
      </w:r>
    </w:p>
    <w:p>
      <w:pPr>
        <w:spacing w:after="0" w:line="117"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U.S. stores Segment Income increased $73.4 million, or 20.3%, in 2020, primarily as a result of the increase in revenues from U.S. franchise royalties and fees of $74.7 million discussed above. U.S. franchise revenues do not have a cost of sales component, so changes in these revenues have a disproportionate effect on U.S. stores Segment Income. U.S. franchise advertising costs are accrued and expensed when the related U.S. franchise advertising revenues are recognized and have no impact on U.S. stores Segment Income. The increase in U.S. stores Segment Income was partially offset by the $1.4 million decrease in U.S. Company-owned store operating margin discussed above.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Supply Chain</w:t>
      </w:r>
    </w:p>
    <w:p>
      <w:pPr>
        <w:spacing w:after="0" w:line="11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Supply chain Segment Income increased $38.6 million, or 19.3%, in 2020, due primarily to the $38.5 million increase in operating margin described above.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International Franchise</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International franchise Segment Income increased $10.3 million, or 5.5%, in 2020, due primarily to the $8.8 million increase in international franchise revenues discussed above. International franchise revenues do not have a cost of sales component, so changes in these revenues have a disproportionate effect on international franchise Segment Income. Lower travel expenses, primarily due to travel restrictions resulting from the COVID-19 pandemic, also contributed to the increase in international franchise Segment Income.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Other</w:t>
      </w:r>
    </w:p>
    <w:p>
      <w:pPr>
        <w:spacing w:after="0" w:line="117"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Other Segment Income decreased $16.6 million, or 45.1%, in 2020, due primarily to higher variable performance-based compensation expense. The decrease in Other Segment Income was partially offset by higher corporate administrative costs allocated to our segments as compared to 2019. The increase in allocated costs in 2020 was due primarily to higher investments in technological initiatives to support technology for our U.S. and international franchise stores.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impact of new accounting pronouncements adopted and the estimated impact of new accounting pronouncements that we will adopt in future years is included in Note 1 to the consolidated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COVID-19 Impact</w:t>
      </w:r>
    </w:p>
    <w:p>
      <w:pPr>
        <w:spacing w:after="0" w:line="121"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As of January 3, 2021, nearly all of our U.S. stores were open, with stores deploying contactless delivery and carryout solutions. Based on information reported to us by our master franchisees, we estimate that as of January 3, 2021, there were fewer than 150 international stores temporarily closed.</w:t>
      </w:r>
    </w:p>
    <w:p>
      <w:pPr>
        <w:spacing w:after="0" w:line="12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Given the market uncertainty arising from COVID-19, we took a precautionary measure and borrowed $158.0 million under our variable funding notes during the second quarter of 2020, which was fully repaid throughout the remainder of 2020.</w:t>
      </w:r>
    </w:p>
    <w:p>
      <w:pPr>
        <w:spacing w:after="0" w:line="170"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During the COVID-19 pandemic, we also made certain investments related to safety and cleaning equipment, enhanced sick pay and compensation for frontline team members and support for our franchisees and their communities. While we have seen an increase in sales in certain markets during the COVID-19 pandemic, including increased sales related to heightened reliance on delivery and carry-out businesses, future sales are not possible to estimate and it is unclear whether and to what extent sales will return to more normalized levels if and when consumer behavior and general economic and business activity return to pre-pandemic levels. While it is not possible at this time to estimate the full continued impact that COVID-19 could have on our business, the continued spread of COVID-19 and the measures taken by the governments of countries affected could disrupt our continuing operations and supply chain and, as a result, could adversely impact our business, financial condition or results of operations.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40"/>
          </w:cols>
          <w:pgMar w:left="320" w:top="486" w:right="5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Historically, we have operated with minimal positive working capital or negative working capital, primarily because our receivable collection periods and inventory turn rates are faster than the normal payment terms on our current liabilities. We generally collect our receivables within three weeks from the date of the related sale and we generally experience multiple inventory turns per month. In addition, our sales are not typically seasonal, which further limits our working capital requirements. These factors, coupled with the use of our ongoing cash flows from operations to service our debt obligations, invest in our business, pay dividends and repurchase our common stock, reduce our working capital amounts. As of January 3, 2021, we had working capital of $174.6 million, excluding restricted cash and cash equivalents of $217.5 million, advertising fund assets, restricted, of $147.7 million and advertising fund liabilities of $141.2 million. Working capital includes total unrestricted cash and cash equivalents of $168.8 million.</w:t>
      </w:r>
    </w:p>
    <w:p>
      <w:pPr>
        <w:spacing w:after="0" w:line="166"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Our primary source of liquidity is cash flows from operations and availability of borrowings under our variable funding notes. During 2020, we experienced increases in both U.S. and international same store sales versus the comparable periods in the prior year. Additionally, our U.S. and international businesses grew store counts in 2020. These factors contributed to our continued ability to generate positive operating cash flows. The Company has a variable funding note facility which allows for advances of up to $200.0 million of Series 2019-1 Variable Funding Senior Secured Notes, Class A-1 Notes and certain other credit instruments, including letters of credit (the “2019 Variable Funding Notes”). The letters of credit are primarily related to our casualty insurance programs and certain supply chain center leases. Given the market uncertainty arising from COVID-19, we took a precautionary measure and borrowed $158.0 million under the 2019 Variable Funding Notes during the second quarter of 2020, which was fully repaid throughout the remainder of 2020. As of January 3, 2021, we had no outstanding borrowings and $157.5 million of available borrowing capacity under our 2019 Variable Funding Notes, net of letters of credit issued of $42.5 million.</w:t>
      </w:r>
    </w:p>
    <w:p>
      <w:pPr>
        <w:spacing w:after="0" w:line="18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expect to continue to use our unrestricted cash and cash equivalents, cash flows from operations, excess cash from our recapitalization transactions and available borrowings under our 2019 Variable Funding Notes to, among other things, fund working capital requirements, invest in our core business, service our indebtedness, pay dividends and repurchase our common stock.</w:t>
      </w:r>
    </w:p>
    <w:p>
      <w:pPr>
        <w:spacing w:after="0" w:line="184" w:lineRule="exact"/>
        <w:rPr>
          <w:sz w:val="20"/>
          <w:szCs w:val="20"/>
          <w:color w:val="auto"/>
        </w:rPr>
      </w:pPr>
    </w:p>
    <w:p>
      <w:pPr>
        <w:jc w:val="both"/>
        <w:ind w:left="120" w:right="80"/>
        <w:spacing w:after="0" w:line="287" w:lineRule="auto"/>
        <w:rPr>
          <w:sz w:val="20"/>
          <w:szCs w:val="20"/>
          <w:color w:val="auto"/>
        </w:rPr>
      </w:pPr>
      <w:r>
        <w:rPr>
          <w:rFonts w:ascii="Arial" w:cs="Arial" w:eastAsia="Arial" w:hAnsi="Arial"/>
          <w:sz w:val="16"/>
          <w:szCs w:val="16"/>
          <w:color w:val="auto"/>
        </w:rPr>
        <w:t>Our ability to continue to fund these items and continue to service our debt could be adversely affected by the occurrence of any of the events described in Item 1A. Risk Factors. There can be no assurance that our business will generate sufficient cash flows from operations or that future borrowings will be available under the 2019 Variable Funding Notes or otherwise to enable us to service our indebtedness, or to make anticipated capital expenditures.</w:t>
      </w:r>
    </w:p>
    <w:p>
      <w:pPr>
        <w:spacing w:after="0" w:line="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Our future operating performance and our ability to service, extend or refinance the 2019, 2018, 2017 and 2015 Notes and to service, extend or refinance the 2019 Variable Funding Notes will be subject to future economic conditions and to financial, business and other factors, many of which are beyond our control.</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As of January 3, 2021, we had approximately $177.1 million of restricted cash and cash equivalents held for future principal and interest payments and other working capital requirements of our asset-backed securitization structure, $39.6 million of restricted cash equivalents held in a three-month interest reserve as required by the related debt agreements and $0.8 million of other restricted cash for a total of $217.5 million of restricted cash and cash equivalents. As of January 3, 2021, we also held $115.9 million of advertising fund restricted cash and cash equivalents, which can only be used for activities that promote the Domino’s brand.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Long-Term Debt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2019 Recapitalization</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On November 19, 2019, we completed the 2019 Recapitalization in which certain of our subsidiaries issued $675.0 million Series 2019-1 3.668% Fixed Rate Senior Secured Notes, Class A-2 with an anticipated term of 10 years (the “2019 Fixed Rate Notes”) pursuant to an asset-backed securitization. Concurrently, we also issued the 2019 Variable Funding Notes. Our previous variable funding note facility was canceled. Gross proceeds from the issuance of the 2019 Fixed Rate Notes was $675.0 million. Additional information related to the 2019 Recapitalization transaction is included in Note 4 to our consolidated financial statements.</w:t>
      </w:r>
    </w:p>
    <w:p>
      <w:pPr>
        <w:spacing w:after="0" w:line="188" w:lineRule="exact"/>
        <w:rPr>
          <w:sz w:val="20"/>
          <w:szCs w:val="20"/>
          <w:color w:val="auto"/>
        </w:rPr>
      </w:pPr>
    </w:p>
    <w:p>
      <w:pPr>
        <w:ind w:left="120" w:right="280"/>
        <w:spacing w:after="0" w:line="311" w:lineRule="auto"/>
        <w:rPr>
          <w:sz w:val="20"/>
          <w:szCs w:val="20"/>
          <w:color w:val="auto"/>
        </w:rPr>
      </w:pPr>
      <w:r>
        <w:rPr>
          <w:rFonts w:ascii="Arial" w:cs="Arial" w:eastAsia="Arial" w:hAnsi="Arial"/>
          <w:sz w:val="16"/>
          <w:szCs w:val="16"/>
          <w:color w:val="auto"/>
        </w:rPr>
        <w:t>The proceeds from the 2019 Recapitalization were used to pre-fund a portion of the principal and interest payable on the 2019 Fixed Rate Notes, pay transaction fees and expenses and repurchase and retire shares of our common stock. In connection with the 2019 Recapitalization, we capitalized $8.1 million of debt issuance costs, which are being amortized into interest expense over the expected term of the 2019 Fixed Rate Notes.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86"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2018 Recapitalization</w:t>
      </w:r>
    </w:p>
    <w:p>
      <w:pPr>
        <w:spacing w:after="0" w:line="117"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On April 24, 2018, we completed the 2018 Recapitalization in which certain of our subsidiaries issued notes pursuant to an asset-backed securitization. The notes consisted of $425.0 million Series 2018-1 4.116% Fixed Rate Senior Secured Notes, Class A-2-I with an anticipated term of 7.5 years (the “2018 7.5-Year Fixed Rate Notes”), and $400.0 million Series 2018-1 4.328% Fixed Rate Senior Secured Notes, Class A-2-II with an anticipated term of 9.25 years (the “2018 9.25-Year Fixed Rate Notes” and, collectively with the 2018 7.5-Year Fixed Rate Notes, the “2018 Notes”) in an offering exempt from registration under the Securities Act of 1933, as amended. Gross proceeds from the issuance of the 2018 Notes were $825.0 million. Additional information related to the 2018 Recapitalization transaction is included in Note 4 to our consolidated financial statements.</w:t>
      </w:r>
    </w:p>
    <w:p>
      <w:pPr>
        <w:spacing w:after="0" w:line="16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 portion of the proceeds from the 2018 Recapitalization was used to repay the remaining $490.1 million in outstanding principal and interest under the 2015 Five-Year Fixed Rate Notes, pre-fund a portion of the principal and interest payable on the 2018 Notes, pay transaction fees and expenses and repurchase and retire shares of our common stock. In connection with the repayment of the 2015 Five-Year Fixed Rate Notes, we expensed approximately $3.2 million for the remaining unamortized debt issuance costs associated with these notes. Additionally, in connection with the 2018 Recapitalization, we capitalized $8.2 million of debt issuance costs, which are being amortized into interest expense over the expected terms of the 2018 Notes.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2017 Recapitalization</w:t>
      </w:r>
    </w:p>
    <w:p>
      <w:pPr>
        <w:spacing w:after="0" w:line="117"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On July 24, 2017, we completed the 2017 Recapitalization in which certain of our subsidiaries issued notes pursuant to an asset-backed securitization. The notes consisted of $300.0 million Series 2017-1 Floating Rate Senior Secured Notes, Class A-2-I with an anticipated term of five years (the “2017 Five-Year Floating Rate Notes”), $600.0 million Series 2017-1 3.082% Fixed Rate Senior Secured Notes, Class A-2-II with an anticipated term of five years (the “2017 Five-Year Fixed Rate Notes”), and $1.0 billion Series 2017-1 4.118% Fixed Rate Senior Secured Notes, Class A-2-III with an anticipated term of 10 years (the “2017 Ten-Year Fixed Rate Notes” and, collectively with the 2017 Five-Year Floating Rate Notes and the 2017 Five-Year Fixed Rate Notes, the “2017 Notes”) in an offering exempt from registration under the Securities Act of 1933, as amended. The interest rate on the 2017 Five-Year Floating Rate Notes is payable at a rate equal to LIBOR plus 125 basis points. Gross proceeds from the issuance of the 2017 Notes were $1.9 billion. Additional information related to the 2017 Recapitalization transaction is included in Note 4 to our consolidated financial statements.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2015 Recapitalization</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On October 21, 2015, we completed the 2015 Recapitalization in which certain of our subsidiaries issued notes pursuant to an asset-backed securitization. The notes consisted of $500.0 million of Series 2015-1 3.484% Fixed Rate Senior Secured Notes, Class A-2-I (the “2015 Five-Year Fixed Rate Notes”), $800.0 million Series 2015-1 4.474% Fixed Rate Senior Secured Notes, Class A-2-II (the “2015 Ten-Year Fixed Rate Notes” and collectively with the 2015 Five-Year Fixed Rate Notes, the “2015 Notes”). Gross proceeds from the issuance of the 2015 Notes were $1.3 billion. The 2015 Five-Year Fixed Rate Notes were repaid in connection with the 2018 Recapitalization. Additional information related to the 2015 Recapitalization transaction is included in Note 4 to our consolidated financial statements.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2019, 2018, 2017 and 2015 Notes</w:t>
      </w:r>
    </w:p>
    <w:p>
      <w:pPr>
        <w:spacing w:after="0" w:line="11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“2019 Fixed Rate Notes,” “2018 Notes,” the “2017 Notes” and the “2015 Notes” are collectively referred to as the “2019, 2018, 2017 and 2015 Notes.”</w:t>
      </w:r>
    </w:p>
    <w:p>
      <w:pPr>
        <w:spacing w:after="0" w:line="170"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The 2019, 2018, 2017 and 2015 Notes have original scheduled principal payments of $42.0 million in 2021, $897.0 million in 2022, $33.0 million in each of 2023 and 2024, $1.15 billion in 2025, $20.8 million in 2026, $1.28 billion in 2027, $6.8 million in 2028 and $614.3 million in 2029. However, in accordance with our debt agreements, the payment of principal on the outstanding senior notes may be suspended if our leverage ratio is less than or equal to 5.0x total debt, as defined, to adjusted EBITDA, as defined, and no catch-up provisions are applicable.</w:t>
      </w:r>
    </w:p>
    <w:p>
      <w:pPr>
        <w:spacing w:after="0" w:line="171" w:lineRule="exact"/>
        <w:rPr>
          <w:sz w:val="20"/>
          <w:szCs w:val="20"/>
          <w:color w:val="auto"/>
        </w:rPr>
      </w:pPr>
    </w:p>
    <w:p>
      <w:pPr>
        <w:ind w:left="120" w:right="300"/>
        <w:spacing w:after="0" w:line="301" w:lineRule="auto"/>
        <w:rPr>
          <w:sz w:val="20"/>
          <w:szCs w:val="20"/>
          <w:color w:val="auto"/>
        </w:rPr>
      </w:pPr>
      <w:r>
        <w:rPr>
          <w:rFonts w:ascii="Arial" w:cs="Arial" w:eastAsia="Arial" w:hAnsi="Arial"/>
          <w:sz w:val="16"/>
          <w:szCs w:val="16"/>
          <w:color w:val="auto"/>
        </w:rPr>
        <w:t>As of the fourth quarter of 2020, we had a leverage ratio of less than 5.0x, and accordingly, did not make the previously scheduled debt amortization payment beginning in the first quarter of 2021. Accordingly, all principal amounts of the outstanding 2019, 2018, 2017 and 2015 Notes have been classified as long-term debt in the consolidated balance sheet as of January 3, 2021. As a result, we currently expect to make principal payments of $873.0 million in 2022, $1.18 billion in 2025, $1.36 billion in 2027 and $668.3 million in 2029 on the 2019, 2018, 2017 and 2015 Notes.</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86"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During the third quarter of 2019, we had a leverage ratio of less than 5.0x, and accordingly, did not make the previously scheduled debt amortization payment in the fourth quarter of 2019. Subsequent to the 2019 Recapitalization, our leverage ratios exceeded the leverage ratio of 5.0x and, accordingly, we resumed making the scheduled amortization payments in the first quarter of 2020.</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2019, 2018, 2017 and 2015 Notes are subject to certain financial and non-financial covenants, including a debt service coverage calculation, as defined in the related agreements. In the event that certain covenants are not met, the 2019, 2018, 2017 and 2015 Notes may become due and payable on an accelerated schedule.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 xml:space="preserve">We lease certain retail store and supply chain center locations, supply chain vehicles, various equipment and our World Resource Center under leases with expiration dates through 2041. The adoption of Accounting Standards Codification 842, </w:t>
      </w:r>
      <w:r>
        <w:rPr>
          <w:rFonts w:ascii="Arial" w:cs="Arial" w:eastAsia="Arial" w:hAnsi="Arial"/>
          <w:sz w:val="16"/>
          <w:szCs w:val="16"/>
          <w:i w:val="1"/>
          <w:iCs w:val="1"/>
          <w:color w:val="auto"/>
        </w:rPr>
        <w:t>Leases</w:t>
      </w:r>
      <w:r>
        <w:rPr>
          <w:rFonts w:ascii="Arial" w:cs="Arial" w:eastAsia="Arial" w:hAnsi="Arial"/>
          <w:sz w:val="16"/>
          <w:szCs w:val="16"/>
          <w:color w:val="auto"/>
        </w:rPr>
        <w:t>, on December 30, 2018 had a material impact our assets and liabilities due to the recognition of operating lease right-of-use assets and lease liabilities on our consolidated balance sheet. Refer to Note 5 to the consolidated financial statements for additional information regarding our leases, including future minimum rental commitments.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In the past three years, we have spent approximately $294.2 million for capital expenditures. In 2020, we invested $88.8 million in capital expenditures which primarily related to investments in our supply chain centers, proprietary internally developed point-of-sale system (Domino’s PULSE), our internal enterprise systems, our digital ordering platform, new Company-owned stores and asset upgrades for our existing Company-owned stores. We did not have any material commitments for capital expenditures as of January 3, 2021.</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Our share repurchase programs have historically been funded by excess operating cash flows, excess proceeds from our recapitalization transactions and borrowings under our variable funding notes. We used cash of approximately $304.6 million in 2020, $699.0 million in 2019 and $591.2 million in 2018 for share repurchases. Our Board of Directors authorized a share repurchase program to repurchase up to $1.0 billion of the Company’s common stock on October 4, 2019. We had approximately $101.6 million left under this share repurchase program as of January 3, 2021. From January 4, 2021 through February 18, 2021, we repurchased and retired 65,870 shares of common stock for approximately $25.0 million. On February 24, 2021, our Board of Directors authorized a new share repurchase program to repurchase up to $1.0 billion of our common stock. This repurchase program replaces the remaining availability of approximately $76.6 million under our previously approved $1.0 billion share repurchase program.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We declared dividends of approximately $122.2 million (or $3.12 per share) in 2020, approximately $105.6 million (or $2.60 per share) in 2019 and approximately $92.2 million (or $2.20 per share) in 2018. We paid dividends of approximately $121.9 million, $105.7 million and $92.2 million in 2020, 2019 and 2018, respectively.</w:t>
      </w:r>
    </w:p>
    <w:p>
      <w:pPr>
        <w:spacing w:after="0" w:line="184"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On February 24, 2021, the Company’s Board of Directors declared a quarterly dividend of $0.94 per common share payable on March 30, 2021 to shareholders of record at the close of business on March 15, 2021.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illustrates the main components of our cash flows:</w:t>
      </w:r>
    </w:p>
    <w:p>
      <w:pPr>
        <w:spacing w:after="0" w:line="25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19"/>
        </w:trPr>
        <w:tc>
          <w:tcPr>
            <w:tcW w:w="5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0"/>
                <w:szCs w:val="10"/>
                <w:color w:val="auto"/>
              </w:rPr>
            </w:pPr>
          </w:p>
        </w:tc>
        <w:tc>
          <w:tcPr>
            <w:tcW w:w="12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January 3,</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4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5"/>
              <w:spacing w:after="0" w:line="125" w:lineRule="exact"/>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3"/>
              <w:spacing w:after="0" w:line="12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auto"/>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Provided By (Used In)</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592.8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497.0</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(128.9)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(446.4)</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(222.8)</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changes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9"/>
        </w:trPr>
        <w:tc>
          <w:tcPr>
            <w:tcW w:w="5460" w:type="dxa"/>
            <w:vAlign w:val="bottom"/>
            <w:gridSpan w:val="2"/>
          </w:tcPr>
          <w:p>
            <w:pPr>
              <w:ind w:left="360"/>
              <w:spacing w:after="0"/>
              <w:rPr>
                <w:sz w:val="20"/>
                <w:szCs w:val="20"/>
                <w:color w:val="auto"/>
              </w:rPr>
            </w:pPr>
            <w:r>
              <w:rPr>
                <w:rFonts w:ascii="Arial" w:cs="Arial" w:eastAsia="Arial" w:hAnsi="Arial"/>
                <w:sz w:val="18"/>
                <w:szCs w:val="18"/>
                <w:color w:val="auto"/>
              </w:rPr>
              <w:t>Change in cash and cash equivalents, restricted cash and cash</w:t>
            </w:r>
          </w:p>
        </w:tc>
        <w:tc>
          <w:tcPr>
            <w:tcW w:w="6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ind w:left="540"/>
              <w:spacing w:after="0"/>
              <w:rPr>
                <w:sz w:val="20"/>
                <w:szCs w:val="20"/>
                <w:color w:val="auto"/>
              </w:rPr>
            </w:pPr>
            <w:r>
              <w:rPr>
                <w:rFonts w:ascii="Arial" w:cs="Arial" w:eastAsia="Arial" w:hAnsi="Arial"/>
                <w:sz w:val="18"/>
                <w:szCs w:val="18"/>
                <w:color w:val="auto"/>
              </w:rPr>
              <w:t>equivalents</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ind w:left="4100"/>
              <w:spacing w:after="0"/>
              <w:rPr>
                <w:sz w:val="20"/>
                <w:szCs w:val="20"/>
                <w:color w:val="auto"/>
              </w:rPr>
            </w:pPr>
            <w:r>
              <w:rPr>
                <w:rFonts w:ascii="Arial" w:cs="Arial" w:eastAsia="Arial" w:hAnsi="Arial"/>
                <w:sz w:val="18"/>
                <w:szCs w:val="18"/>
                <w:color w:val="auto"/>
              </w:rPr>
              <w:t>38</w:t>
            </w: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6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6"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Cash provided by operating activities increased $95.8 million in 2020, due to an increase in net income of $90.6 million and higher non-cash amounts of $29.4 million. These increases were partially offset by a $24.2 million negative impact of changes in operating assets and liabilities in 2020 as compared to 2019, which primarily related to timing of payments on accounts payable and accrued liabilities, as well as increases in our inventory and accounts receivable balances associated with higher revenues. These operating asset and liability changes were partially offset by an increase in net advertising fund assets and liabilities, restricted, in 2020 as compared to 2019 due to the receipt of advertising contributions outpacing payments for advertising activities.</w:t>
      </w:r>
    </w:p>
    <w:p>
      <w:pPr>
        <w:spacing w:after="0" w:line="19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We are focused on continually improving our net income and cash flow from operations and management expects to continue to generate positive cash flows from operating activities for the foreseeable future.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117"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Cash used in investing activities was $128.9 million in 2020, which consisted primarily of capital expenditures of $88.8 million (driven primarily by investments in supply chain centers, technological initiatives and corporate stores) and the investment in Dash Brands (Note 9) of $40.0 million.</w:t>
      </w:r>
    </w:p>
    <w:p>
      <w:pPr>
        <w:spacing w:after="0" w:line="124"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Cash used in investing activities was $27.9 million in 2019, which consisted primarily of $85.6 million of capital expenditures (driven primarily by investments in technological initiatives, supply chain centers and our Company-owned stores) and $3.4 million of purchases of franchise operations and other assets. These uses of cash were partially offset by maturities of restricted advertising fund investments of $50.2 million and the proceeds from the sale of assets of $12.3 million.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Cash used in financing activities was $446.4 million in 2020. We borrowed $158.0 million under the 2019 Variable Funding Notes and repaid $202.1 million of long-term debt (of which $158.0 million related to the repayment of borrowings under the 2019 Variable Funding Notes). We also repurchased approximately $304.6 million in common stock under our Board of Directors-approved share repurchase program, made dividend payments to our shareholders of $121.9 million and made tax payments for restricted stock upon vesting of $6.8 million. These uses of cash were partially offset by proceeds from the exercise of stock options of $31.0 million.</w:t>
      </w:r>
    </w:p>
    <w:p>
      <w:pPr>
        <w:spacing w:after="0" w:line="188"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Cash used in financing activities was $222.8 million in 2019, primarily related to repurchases of common stock of $699.0 million under our Board of Directors-approved share repurchase program, dividend payments to our shareholders of $105.7 million, repayments of long-term debt of $92.1 million (of which $65.0 million related to the repayment of borrowings under our variable funding notes), payments for financing costs of $8.1 million and tax payments for restricted stock upon vesting of $6.0 million. These uses of cash were partially offset by proceeds from the issuance of $675.0 million of debt in connection with our 2019 Recapitalization and the exercise of stock options of $13.1 million.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Inflation</w:t>
      </w:r>
    </w:p>
    <w:p>
      <w:pPr>
        <w:spacing w:after="0" w:line="121" w:lineRule="exact"/>
        <w:rPr>
          <w:sz w:val="20"/>
          <w:szCs w:val="20"/>
          <w:color w:val="auto"/>
        </w:rPr>
      </w:pPr>
    </w:p>
    <w:p>
      <w:pPr>
        <w:jc w:val="both"/>
        <w:ind w:left="120" w:right="280"/>
        <w:spacing w:after="0" w:line="311" w:lineRule="auto"/>
        <w:rPr>
          <w:sz w:val="20"/>
          <w:szCs w:val="20"/>
          <w:color w:val="auto"/>
        </w:rPr>
      </w:pPr>
      <w:r>
        <w:rPr>
          <w:rFonts w:ascii="Arial" w:cs="Arial" w:eastAsia="Arial" w:hAnsi="Arial"/>
          <w:sz w:val="16"/>
          <w:szCs w:val="16"/>
          <w:color w:val="auto"/>
        </w:rPr>
        <w:t>Inflation did not have a material impact on our operations in 2020, 2019 and 2018. Severe increases in inflation, however, could affect the global and U.S. economies and could have an adverse impact on our business, financial condition and results of operations. Further discussion on the impact of commodities and other cost pressures is included above, as well as in Item 7A. Quantitative and Qualitative Disclosures About Market Risk.</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86"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121"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This Form 10-K includes various forward-looking statements about the Company within the meaning of the Private Securities Litigation Reform Act of 1995 (the “Act”) that are based on current management expectations that involve substantial risks and uncertainties which could cause actual results to differ materially from the results expressed in, or implied by, these forward-looking statements. The following cautionary statements are being made pursuant to the provisions of the Act and with the intention of obtaining the benefits of the “safe harbor” provisions of the Act.</w:t>
      </w:r>
    </w:p>
    <w:p>
      <w:pPr>
        <w:spacing w:after="0" w:line="15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These forward-looking statements generally can be identified by the use of words such as “anticipate,” “believe,” “could,” “should,” “estimate,” “expect,” “intend,” “may,” “will,” “plan,” “predict,” “project,” “seek,” “approximately,” “potential,” “outlook” and similar terms and phrases that concern our strategy, plans or intentions, including references to assumptions. These forward-looking statements address various matters including information concerning future results of operations and business strategy, the expected demand for future pizza delivery, our expectation that we will meet the terms of our agreement with our third-party supplier of pizza cheese, our belief that alternative third-party suppliers are available for our key ingredients in the event we are required to replace any of our supply partners, our intention to continue to enhance and grow online ordering, digital marketing and technological capabilities, our expectation that there will be no material environmental compliance-related capital expenditures, our plans to expand U.S. and international operations in many of the markets where we currently operate and in selected new markets, our expectation that the contribution rate for advertising fees payable to DNAF will remain in place for the foreseeable future, and the availability of our borrowings under the 2019 Variable Funding Notes for, among other things, funding working capital requirements, paying capital expenditures and funding other general corporate purposes, including payment of dividends.</w:t>
      </w:r>
    </w:p>
    <w:p>
      <w:pPr>
        <w:spacing w:after="0" w:line="182"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Forward-looking statements relating to our anticipated profitability, estimates in same store sales growth, the growth of our U.S. and international business, ability to service our indebtedness, our future cash flows, our operating performance, trends in our business and other descriptions of future events reflect management’s expectations based upon currently available information and data. While we believe these expectations and projections are based on reasonable assumptions, such forward-looking statements are inherently subject to risks, uncertainties and assumptions about us, including the risk factors listed under Item 1A. Risk Factors, as well as other cautionary language in this Form 10-K.</w:t>
      </w:r>
    </w:p>
    <w:p>
      <w:pPr>
        <w:spacing w:after="0" w:line="176"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Actual results may differ materially from those expressed or implied in the forward-looking statements as a result of various factors, including but not limited to, the following:</w:t>
      </w:r>
    </w:p>
    <w:p>
      <w:pPr>
        <w:spacing w:after="0" w:line="76" w:lineRule="exact"/>
        <w:rPr>
          <w:sz w:val="20"/>
          <w:szCs w:val="20"/>
          <w:color w:val="auto"/>
        </w:rPr>
      </w:pPr>
    </w:p>
    <w:p>
      <w:pPr>
        <w:ind w:left="540" w:right="800" w:hanging="316"/>
        <w:spacing w:after="0" w:line="342"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substantial increased indebtedness as a result of the 2019 Recapitalization, 2018 Recapitalization, 2017 Recapitalization and 2015 Recapitalization and our ability to incur additional indebtedness or refinance or renegotiate key terms of that indebtedness in the future;</w:t>
      </w:r>
    </w:p>
    <w:p>
      <w:pPr>
        <w:spacing w:after="0" w:line="29" w:lineRule="exact"/>
        <w:rPr>
          <w:rFonts w:ascii="Arial" w:cs="Arial" w:eastAsia="Arial" w:hAnsi="Arial"/>
          <w:sz w:val="16"/>
          <w:szCs w:val="16"/>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a downgrade in our credit rating may have on our business, financial condition and results of operations;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future financial performance and our ability to pay principal and interest on our indebtedness;</w:t>
      </w:r>
    </w:p>
    <w:p>
      <w:pPr>
        <w:spacing w:after="0" w:line="130" w:lineRule="exact"/>
        <w:rPr>
          <w:rFonts w:ascii="Arial" w:cs="Arial" w:eastAsia="Arial" w:hAnsi="Arial"/>
          <w:sz w:val="18"/>
          <w:szCs w:val="18"/>
          <w:color w:val="auto"/>
        </w:rPr>
      </w:pPr>
    </w:p>
    <w:p>
      <w:pPr>
        <w:ind w:left="540" w:right="140" w:hanging="316"/>
        <w:spacing w:after="0" w:line="27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manage difficulties associated with or related to the COVID-19 pandemic and the effects of COVID-19 on our business and supply chain;</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advertising, operations and promotional initiatives;</w:t>
      </w:r>
    </w:p>
    <w:p>
      <w:pPr>
        <w:spacing w:after="0" w:line="130" w:lineRule="exact"/>
        <w:rPr>
          <w:rFonts w:ascii="Arial" w:cs="Arial" w:eastAsia="Arial" w:hAnsi="Arial"/>
          <w:sz w:val="18"/>
          <w:szCs w:val="18"/>
          <w:color w:val="auto"/>
        </w:rPr>
      </w:pPr>
    </w:p>
    <w:p>
      <w:pPr>
        <w:ind w:left="540" w:right="60" w:hanging="316"/>
        <w:spacing w:after="0" w:line="27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strength of our brand, including our ability to compete in the U.S. and internationally in our intensely competitive industry, including the food service and food delivery markets;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social media and other consumer-oriented technologies on our business, brand and reputation;</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new or improved technologies and alternative methods of delivery on consumer behavior;</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product, digital ordering and concept developments by us, and other food-industry competitors;</w:t>
      </w:r>
    </w:p>
    <w:p>
      <w:pPr>
        <w:spacing w:after="0" w:line="130" w:lineRule="exact"/>
        <w:rPr>
          <w:rFonts w:ascii="Arial" w:cs="Arial" w:eastAsia="Arial" w:hAnsi="Arial"/>
          <w:sz w:val="18"/>
          <w:szCs w:val="18"/>
          <w:color w:val="auto"/>
        </w:rPr>
      </w:pPr>
    </w:p>
    <w:p>
      <w:pPr>
        <w:ind w:left="540" w:right="20" w:hanging="316"/>
        <w:spacing w:after="0" w:line="27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good relationships with and attract new franchisees and franchisees’ ability to successfully manage their operations without negatively impacting our royalty payments and fees or our brand’s reputation;</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implement cost-saving strategies;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and that of our franchisees to successfully operate in the current and future credit environment;</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the level of consumer spending given general economic conditions, including interest rates, energy prices and consumer confidence;</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and that of our franchisees to open new restaurants and keep existing restaurants in operation;</w:t>
      </w:r>
    </w:p>
    <w:p>
      <w:pPr>
        <w:spacing w:after="0" w:line="130" w:lineRule="exact"/>
        <w:rPr>
          <w:rFonts w:ascii="Arial" w:cs="Arial" w:eastAsia="Arial" w:hAnsi="Arial"/>
          <w:sz w:val="18"/>
          <w:szCs w:val="18"/>
          <w:color w:val="auto"/>
        </w:rPr>
      </w:pPr>
    </w:p>
    <w:p>
      <w:pPr>
        <w:ind w:left="540" w:right="440" w:hanging="316"/>
        <w:spacing w:after="0" w:line="27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operating expenses resulting from changes in prices of food (particularly cheese), fuel and other commodity costs, labor, utilities, insurance, employee benefits and other operating costs;</w:t>
      </w:r>
    </w:p>
    <w:p>
      <w:pPr>
        <w:spacing w:after="0" w:line="75" w:lineRule="exact"/>
        <w:rPr>
          <w:rFonts w:ascii="Arial" w:cs="Arial" w:eastAsia="Arial" w:hAnsi="Arial"/>
          <w:sz w:val="18"/>
          <w:szCs w:val="18"/>
          <w:color w:val="auto"/>
        </w:rPr>
      </w:pPr>
    </w:p>
    <w:p>
      <w:pPr>
        <w:ind w:left="540" w:right="140" w:hanging="316"/>
        <w:spacing w:after="0" w:line="27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that widespread illness, health epidemics or general health concerns, severe weather conditions and natural disasters may have on our business and the economies of the countries where we operate;</w:t>
      </w:r>
    </w:p>
    <w:p>
      <w:pPr>
        <w:sectPr>
          <w:pgSz w:w="11900" w:h="16838" w:orient="portrait"/>
          <w:cols w:equalWidth="0" w:num="1">
            <w:col w:w="11100"/>
          </w:cols>
          <w:pgMar w:left="320" w:top="486" w:right="479" w:bottom="1440" w:gutter="0" w:footer="0" w:header="0"/>
        </w:sectPr>
      </w:pP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100"/>
          </w:cols>
          <w:pgMar w:left="320" w:top="486" w:right="47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316"/>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income tax rates;</w:t>
      </w:r>
    </w:p>
    <w:p>
      <w:pPr>
        <w:spacing w:after="0" w:line="130" w:lineRule="exact"/>
        <w:rPr>
          <w:rFonts w:ascii="Arial" w:cs="Arial" w:eastAsia="Arial" w:hAnsi="Arial"/>
          <w:sz w:val="18"/>
          <w:szCs w:val="18"/>
          <w:color w:val="auto"/>
        </w:rPr>
      </w:pPr>
    </w:p>
    <w:p>
      <w:pPr>
        <w:ind w:left="540" w:right="340" w:hanging="316"/>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retain or replace our executive officers and other key members of management and our ability to adequately staff our stores and supply chain centers with qualified personnel;</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find and/or retain suitable real estate for our stores and supply chain centers;</w:t>
      </w:r>
    </w:p>
    <w:p>
      <w:pPr>
        <w:spacing w:after="0" w:line="130" w:lineRule="exact"/>
        <w:rPr>
          <w:rFonts w:ascii="Arial" w:cs="Arial" w:eastAsia="Arial" w:hAnsi="Arial"/>
          <w:sz w:val="18"/>
          <w:szCs w:val="18"/>
          <w:color w:val="auto"/>
        </w:rPr>
      </w:pPr>
    </w:p>
    <w:p>
      <w:pPr>
        <w:ind w:left="540" w:right="80" w:hanging="316"/>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government legislation or regulation, including changes in laws and regulations regarding information privacy, payment methods and consumer protection and social media;</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legal judgments or settlements;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food-borne illness or contamination of products;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data breaches, power loss, technological failures, user error or other cyber risks threatening us or our franchisees;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war, terrorism, catastrophic events or climate change;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pay dividends and repurchase shares;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consumer taste, spending and traffic patterns and demographic trends;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actions by activist investors;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accounting policies;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adequacy of our insurance coverage.</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light of these risks, uncertainties and assumptions, the forward-looking events discussed in this Form 10-K might not occur. All forward-looking statements speak only as of the date of this Form 10-K and should be evaluated with an understanding of their inherent uncertainty. Except as required under federal securities laws and the rules and regulations of the Securities and Exchange Commission, we will not undertake, and specifically disclaim any obligation to publicly update or revise any forward-looking statements to reflect events or circumstances arising after the date of this Form 10-K, whether as a result of new information, future events or otherwise.</w:t>
      </w:r>
    </w:p>
    <w:p>
      <w:pPr>
        <w:spacing w:after="0" w:line="188"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Readers are cautioned not to place undue reliance on the forward-looking statements included in this Form 10-K or that may be made elsewhere from time to time by, or on behalf of, us. All forward-looking statements attributable to us are expressly qualified by these cautionary statements.</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40"/>
          </w:cols>
          <w:pgMar w:left="320" w:top="486" w:right="5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 risk</w:t>
      </w:r>
    </w:p>
    <w:p>
      <w:pPr>
        <w:spacing w:after="0" w:line="117"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We do not engage in speculative transactions nor do we hold or issue financial instruments for trading purposes. We are exposed to interest rate risk on borrowings under our 2017 Five-Year Floating Rate Notes and our 2019 Variable Funding Notes. As of January 3, 2021, we did not have any outstanding borrowings under our 2019 Variable Funding Notes. Our 2017 Five-Year Floating Rate Notes and our 2019 Variable Funding Notes bear interest at fluctuating interest rates based on LIBOR. A hypothetical 1.0% adverse change in the LIBOR rate would have resulted in higher interest expense of approximately $3.2 million in 2020.</w:t>
      </w:r>
    </w:p>
    <w:p>
      <w:pPr>
        <w:spacing w:after="0" w:line="188"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There is currently uncertainty around whether LIBOR will continue to exist after 2021. If LIBOR ceases to exist, we may need to renegotiate our loan documents and we cannot predict what alternative index would be negotiated with our lenders. As a result, our interest expense could increase, in which event we may have difficulties making interest payments and funding our other fixed costs, and our available cash flow for general corporate requirements may be adversely affected.</w:t>
      </w:r>
    </w:p>
    <w:p>
      <w:pPr>
        <w:spacing w:after="0" w:line="18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Our fixed rate debt exposes the Company to changes in market interest rates reflected in the fair value of the debt and to the risk that the Company may need to refinance maturing debt with new debt at a higher rate.</w:t>
      </w:r>
    </w:p>
    <w:p>
      <w:pPr>
        <w:spacing w:after="0" w:line="170"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We are exposed to market risks from changes in commodity prices. During the normal course of business, we purchase cheese and certain other food products that are affected by changes in commodity prices and, as a result, we are subject to volatility in our food costs. We may periodically enter into financial instruments to manage this risk. We do not engage in speculative transactions nor do we hold or issue financial instruments for trading purposes. In instances when we use fixed pricing agreements with our suppliers, these agreements cover our physical commodity needs, are not net-settled and are accounted for as normal purchases.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have exposure to various foreign currency exchange rate fluctuations for revenues generated by our operations outside the U.S., which can adversely impact our net income and cash flows. Approximately 6.1% of our total revenues in 2020, 6.7% of our total revenues in 2019 and 6.5% of our total revenues in 2018 were derived from our international franchise segment, a majority of which were denominated in foreign currencies. We also operate dough manufacturing and distribution facilities in Canada, which generate revenues denominated in Canadian dollars. We do not enter into financial instruments to manage this foreign currency exchange risk. A hypothetical 10% adverse change in the foreign currency rates for our international markets would have resulted in a negative impact on royalty revenues of approximately $22.2 million in 2020.</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86"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Domino’s Pizza, Inc.</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 xml:space="preserve">We have audited the accompanying consolidated balance sheets of Domino’s Pizza, Inc. and its subsidiaries (the “Company”) as of January 3, 2021 and December 29, 2019, and the related consolidated statements of income, comprehensive income, stockholders’ deficit and cash flows for each of the three years in the period ended January 3, 2021, including the related notes and the schedule of condensed financial information of the registrant as of January 3, 2021 and December 29, 2019 and for each of the three years in the period ended January 3, 2021 appearing under Item 15 (collectively referred to as the “consolidated financial statements”). We also have audited the Company’s internal control over financial reporting as of January 3, 2021,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95"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January 3, 2021 and December 29, 2019, and the results of its operations and its cash flows for each of the three years in the period ended January 3, 2021 in conformity with accounting principles generally accepted in the United States of America. Also in our opinion, the Company maintained, in all material respects, effective internal control over financial reporting as of January 3, 2021, based on criteria established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in Accounting Principles</w:t>
      </w:r>
    </w:p>
    <w:p>
      <w:pPr>
        <w:spacing w:after="0" w:line="117"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leases in 2019 and the manner in which it accounts for revenue in 2018.</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86"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7"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Valuation of Insurance Reserves</w:t>
      </w:r>
    </w:p>
    <w:p>
      <w:pPr>
        <w:spacing w:after="0" w:line="117"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As described in Note 1 to the consolidated financial statements, the Company has retention programs for workers’ compensation, general liability, and owned and non-owned automobile liabilities for certain periods prior to December 1998 and for periods after December 2001. As of January 3, 2021, the Company had accruals for these insurance matters of $54.6 million. The insurance reserves are based on undiscounted independent actuarial estimates, which are based on historical information along with assumptions about future events. Management utilizes various methods, including analyses of historical trends and actuarial valuation methods, to estimate the cost to settle reported claims and claims incurred but not yet reported. The actuarial valuation methods develop estimates of the future ultimate claim costs based on the claims incurred as of the balance sheet date. When estimating these liabilities, several factors are considered, including the severity, duration and frequency of claims, legal cost associated with claims, healthcare trends and projected inflation.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principal considerations for our determination that performing procedures relating to the valuation of insurance reserves is a critical audit matter are</w:t>
      </w:r>
    </w:p>
    <w:p>
      <w:pPr>
        <w:spacing w:after="0" w:line="46" w:lineRule="exact"/>
        <w:rPr>
          <w:sz w:val="20"/>
          <w:szCs w:val="20"/>
          <w:color w:val="auto"/>
        </w:rPr>
      </w:pPr>
    </w:p>
    <w:p>
      <w:pPr>
        <w:ind w:left="120" w:hanging="4"/>
        <w:spacing w:after="0" w:line="253"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significant judgment by management when developing the estimated reserves; (ii) a high degree of auditor judgment and effort in performing procedures relating to the actuarial valuation methods used to develop future ultimate claim costs and actuarial assumptions related to the severity, duration and frequency of claims, legal cost associated with claims, healthcare trends and projected inflation; and (iii) the audit effort involved the use of professionals with specialized skill and knowledge.</w:t>
      </w:r>
    </w:p>
    <w:p>
      <w:pPr>
        <w:spacing w:after="0" w:line="193" w:lineRule="exact"/>
        <w:rPr>
          <w:sz w:val="20"/>
          <w:szCs w:val="20"/>
          <w:color w:val="auto"/>
        </w:rPr>
      </w:pPr>
    </w:p>
    <w:p>
      <w:pPr>
        <w:ind w:left="120" w:right="160"/>
        <w:spacing w:after="0" w:line="293"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insurance reserves. These procedures also included, among others, obtaining and evaluating the Company’s insurance program documents and testing the underlying historical claims data. Professionals with specialized skill and knowledge were used to assist in testing management’s process for estimating the valuation of insurance reserves, including evaluating the appropriateness of the actuarial valuation methods and the reasonableness of actuarial assumptions related to the severity, duration and frequency of claims, legal cost associated with claims, healthcare trends and projected inflation.</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Detroit, Michigan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February 25, 2021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2002.</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86"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5"/>
              </w:rPr>
              <w:t>January 3,</w:t>
            </w:r>
          </w:p>
        </w:tc>
        <w:tc>
          <w:tcPr>
            <w:tcW w:w="12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29,</w:t>
            </w:r>
          </w:p>
        </w:tc>
      </w:tr>
      <w:tr>
        <w:trPr>
          <w:trHeight w:val="171"/>
        </w:trPr>
        <w:tc>
          <w:tcPr>
            <w:tcW w:w="296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3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190"/>
        </w:trPr>
        <w:tc>
          <w:tcPr>
            <w:tcW w:w="29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760" w:type="dxa"/>
            <w:vAlign w:val="bottom"/>
            <w:gridSpan w:val="3"/>
            <w:shd w:val="clear" w:color="auto" w:fill="CCEEFF"/>
          </w:tcPr>
          <w:p>
            <w:pPr>
              <w:jc w:val="center"/>
              <w:ind w:right="4280"/>
              <w:spacing w:after="0" w:line="156" w:lineRule="exact"/>
              <w:rPr>
                <w:sz w:val="20"/>
                <w:szCs w:val="20"/>
                <w:color w:val="auto"/>
              </w:rPr>
            </w:pPr>
            <w:r>
              <w:rPr>
                <w:rFonts w:ascii="Arial" w:cs="Arial" w:eastAsia="Arial" w:hAnsi="Arial"/>
                <w:sz w:val="18"/>
                <w:szCs w:val="18"/>
                <w:b w:val="1"/>
                <w:bCs w:val="1"/>
                <w:color w:val="auto"/>
                <w:w w:val="81"/>
              </w:rPr>
              <w:t>Assets</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6"/>
        </w:trPr>
        <w:tc>
          <w:tcPr>
            <w:tcW w:w="40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Current assets:</w:t>
            </w:r>
          </w:p>
        </w:tc>
        <w:tc>
          <w:tcPr>
            <w:tcW w:w="480" w:type="dxa"/>
            <w:vAlign w:val="bottom"/>
            <w:tcBorders>
              <w:top w:val="single" w:sz="8" w:color="auto"/>
            </w:tcBorders>
          </w:tcPr>
          <w:p>
            <w:pPr>
              <w:spacing w:after="0"/>
              <w:rPr>
                <w:sz w:val="18"/>
                <w:szCs w:val="18"/>
                <w:color w:val="auto"/>
              </w:rPr>
            </w:pPr>
          </w:p>
        </w:tc>
        <w:tc>
          <w:tcPr>
            <w:tcW w:w="428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88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168,821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190,615</w:t>
            </w:r>
          </w:p>
        </w:tc>
      </w:tr>
      <w:tr>
        <w:trPr>
          <w:trHeight w:val="216"/>
        </w:trPr>
        <w:tc>
          <w:tcPr>
            <w:tcW w:w="8820" w:type="dxa"/>
            <w:vAlign w:val="bottom"/>
            <w:gridSpan w:val="5"/>
          </w:tcPr>
          <w:p>
            <w:pPr>
              <w:ind w:left="360"/>
              <w:spacing w:after="0"/>
              <w:rPr>
                <w:sz w:val="20"/>
                <w:szCs w:val="20"/>
                <w:color w:val="auto"/>
              </w:rPr>
            </w:pPr>
            <w:r>
              <w:rPr>
                <w:rFonts w:ascii="Arial" w:cs="Arial" w:eastAsia="Arial" w:hAnsi="Arial"/>
                <w:sz w:val="18"/>
                <w:szCs w:val="18"/>
                <w:color w:val="auto"/>
              </w:rPr>
              <w:t>Restricted cash and cash equivalents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217,453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209,269</w:t>
            </w:r>
          </w:p>
        </w:tc>
      </w:tr>
      <w:tr>
        <w:trPr>
          <w:trHeight w:val="216"/>
        </w:trPr>
        <w:tc>
          <w:tcPr>
            <w:tcW w:w="88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Accounts receivable, net of reserves of $1,793 in 2020 and $2,856 in 2019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244,560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210,260</w:t>
            </w:r>
          </w:p>
        </w:tc>
      </w:tr>
      <w:tr>
        <w:trPr>
          <w:trHeight w:val="216"/>
        </w:trPr>
        <w:tc>
          <w:tcPr>
            <w:tcW w:w="8820" w:type="dxa"/>
            <w:vAlign w:val="bottom"/>
            <w:gridSpan w:val="5"/>
          </w:tcPr>
          <w:p>
            <w:pPr>
              <w:ind w:left="3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66,683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52,955</w:t>
            </w:r>
          </w:p>
        </w:tc>
      </w:tr>
      <w:tr>
        <w:trPr>
          <w:trHeight w:val="216"/>
        </w:trPr>
        <w:tc>
          <w:tcPr>
            <w:tcW w:w="88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Prepaid expenses and other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19,129</w:t>
            </w:r>
          </w:p>
        </w:tc>
      </w:tr>
      <w:tr>
        <w:trPr>
          <w:trHeight w:val="216"/>
        </w:trPr>
        <w:tc>
          <w:tcPr>
            <w:tcW w:w="8820" w:type="dxa"/>
            <w:vAlign w:val="bottom"/>
            <w:gridSpan w:val="5"/>
          </w:tcPr>
          <w:p>
            <w:pPr>
              <w:ind w:left="360"/>
              <w:spacing w:after="0"/>
              <w:rPr>
                <w:sz w:val="20"/>
                <w:szCs w:val="20"/>
                <w:color w:val="auto"/>
              </w:rPr>
            </w:pPr>
            <w:r>
              <w:rPr>
                <w:rFonts w:ascii="Arial" w:cs="Arial" w:eastAsia="Arial" w:hAnsi="Arial"/>
                <w:sz w:val="18"/>
                <w:szCs w:val="18"/>
                <w:color w:val="auto"/>
              </w:rPr>
              <w:t>Advertising fund assets, restricted</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147,698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105,389</w:t>
            </w:r>
          </w:p>
        </w:tc>
      </w:tr>
      <w:tr>
        <w:trPr>
          <w:trHeight w:val="27"/>
        </w:trPr>
        <w:tc>
          <w:tcPr>
            <w:tcW w:w="2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20" w:type="dxa"/>
            <w:vAlign w:val="bottom"/>
            <w:gridSpan w:val="5"/>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869,384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787,617</w:t>
            </w:r>
          </w:p>
        </w:tc>
      </w:tr>
      <w:tr>
        <w:trPr>
          <w:trHeight w:val="223"/>
        </w:trPr>
        <w:tc>
          <w:tcPr>
            <w:tcW w:w="8820" w:type="dxa"/>
            <w:vAlign w:val="bottom"/>
            <w:gridSpan w:val="5"/>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8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Land and buildings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88,063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44,845</w:t>
            </w:r>
          </w:p>
        </w:tc>
      </w:tr>
      <w:tr>
        <w:trPr>
          <w:trHeight w:val="216"/>
        </w:trPr>
        <w:tc>
          <w:tcPr>
            <w:tcW w:w="8820" w:type="dxa"/>
            <w:vAlign w:val="bottom"/>
            <w:gridSpan w:val="5"/>
          </w:tcPr>
          <w:p>
            <w:pPr>
              <w:ind w:left="360"/>
              <w:spacing w:after="0"/>
              <w:rPr>
                <w:sz w:val="20"/>
                <w:szCs w:val="20"/>
                <w:color w:val="auto"/>
              </w:rPr>
            </w:pPr>
            <w:r>
              <w:rPr>
                <w:rFonts w:ascii="Arial" w:cs="Arial" w:eastAsia="Arial" w:hAnsi="Arial"/>
                <w:sz w:val="18"/>
                <w:szCs w:val="18"/>
                <w:color w:val="auto"/>
              </w:rPr>
              <w:t>Leasehold and other improvements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186,456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164,071</w:t>
            </w:r>
          </w:p>
        </w:tc>
      </w:tr>
      <w:tr>
        <w:trPr>
          <w:trHeight w:val="216"/>
        </w:trPr>
        <w:tc>
          <w:tcPr>
            <w:tcW w:w="88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Equipment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292,456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243,708</w:t>
            </w:r>
          </w:p>
        </w:tc>
      </w:tr>
      <w:tr>
        <w:trPr>
          <w:trHeight w:val="216"/>
        </w:trPr>
        <w:tc>
          <w:tcPr>
            <w:tcW w:w="8820" w:type="dxa"/>
            <w:vAlign w:val="bottom"/>
            <w:gridSpan w:val="5"/>
          </w:tcPr>
          <w:p>
            <w:pPr>
              <w:ind w:left="360"/>
              <w:spacing w:after="0"/>
              <w:rPr>
                <w:sz w:val="20"/>
                <w:szCs w:val="20"/>
                <w:color w:val="auto"/>
              </w:rPr>
            </w:pPr>
            <w:r>
              <w:rPr>
                <w:rFonts w:ascii="Arial" w:cs="Arial" w:eastAsia="Arial" w:hAnsi="Arial"/>
                <w:sz w:val="18"/>
                <w:szCs w:val="18"/>
                <w:color w:val="auto"/>
              </w:rPr>
              <w:t>Construction in progress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13,014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42,705</w:t>
            </w:r>
          </w:p>
        </w:tc>
      </w:tr>
      <w:tr>
        <w:trPr>
          <w:trHeight w:val="27"/>
        </w:trPr>
        <w:tc>
          <w:tcPr>
            <w:tcW w:w="2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579,989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495,329</w:t>
            </w:r>
          </w:p>
        </w:tc>
      </w:tr>
      <w:tr>
        <w:trPr>
          <w:trHeight w:val="216"/>
        </w:trPr>
        <w:tc>
          <w:tcPr>
            <w:tcW w:w="8820" w:type="dxa"/>
            <w:vAlign w:val="bottom"/>
            <w:gridSpan w:val="5"/>
          </w:tcPr>
          <w:p>
            <w:pPr>
              <w:ind w:left="360"/>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(282,625)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(252,448)</w:t>
            </w:r>
          </w:p>
        </w:tc>
      </w:tr>
      <w:tr>
        <w:trPr>
          <w:trHeight w:val="27"/>
        </w:trPr>
        <w:tc>
          <w:tcPr>
            <w:tcW w:w="2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20" w:type="dxa"/>
            <w:vAlign w:val="bottom"/>
            <w:gridSpan w:val="5"/>
            <w:shd w:val="clear" w:color="auto" w:fill="CCEEFF"/>
          </w:tcPr>
          <w:p>
            <w:pPr>
              <w:ind w:left="72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297,364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242,881</w:t>
            </w:r>
          </w:p>
        </w:tc>
      </w:tr>
      <w:tr>
        <w:trPr>
          <w:trHeight w:val="223"/>
        </w:trPr>
        <w:tc>
          <w:tcPr>
            <w:tcW w:w="8820" w:type="dxa"/>
            <w:vAlign w:val="bottom"/>
            <w:gridSpan w:val="5"/>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8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228,268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228,785</w:t>
            </w:r>
          </w:p>
        </w:tc>
      </w:tr>
      <w:tr>
        <w:trPr>
          <w:trHeight w:val="216"/>
        </w:trPr>
        <w:tc>
          <w:tcPr>
            <w:tcW w:w="8820" w:type="dxa"/>
            <w:vAlign w:val="bottom"/>
            <w:gridSpan w:val="5"/>
          </w:tcPr>
          <w:p>
            <w:pPr>
              <w:ind w:left="360"/>
              <w:spacing w:after="0"/>
              <w:rPr>
                <w:sz w:val="20"/>
                <w:szCs w:val="20"/>
                <w:color w:val="auto"/>
              </w:rPr>
            </w:pPr>
            <w:r>
              <w:rPr>
                <w:rFonts w:ascii="Arial" w:cs="Arial" w:eastAsia="Arial" w:hAnsi="Arial"/>
                <w:sz w:val="18"/>
                <w:szCs w:val="18"/>
                <w:color w:val="auto"/>
              </w:rPr>
              <w:t>Investments in marketable securities, restricted</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13,251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11,982</w:t>
            </w:r>
          </w:p>
        </w:tc>
      </w:tr>
      <w:tr>
        <w:trPr>
          <w:trHeight w:val="216"/>
        </w:trPr>
        <w:tc>
          <w:tcPr>
            <w:tcW w:w="88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15,093</w:t>
            </w:r>
          </w:p>
        </w:tc>
      </w:tr>
      <w:tr>
        <w:trPr>
          <w:trHeight w:val="216"/>
        </w:trPr>
        <w:tc>
          <w:tcPr>
            <w:tcW w:w="8820" w:type="dxa"/>
            <w:vAlign w:val="bottom"/>
            <w:gridSpan w:val="5"/>
          </w:tcPr>
          <w:p>
            <w:pPr>
              <w:ind w:left="360"/>
              <w:spacing w:after="0"/>
              <w:rPr>
                <w:sz w:val="20"/>
                <w:szCs w:val="20"/>
                <w:color w:val="auto"/>
              </w:rPr>
            </w:pPr>
            <w:r>
              <w:rPr>
                <w:rFonts w:ascii="Arial" w:cs="Arial" w:eastAsia="Arial" w:hAnsi="Arial"/>
                <w:sz w:val="18"/>
                <w:szCs w:val="18"/>
                <w:color w:val="auto"/>
              </w:rPr>
              <w:t>Capitalized software, net of accumulated amortization of $124,043 in 2020 and $104,237 in 2019</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81,306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73,140</w:t>
            </w:r>
          </w:p>
        </w:tc>
      </w:tr>
      <w:tr>
        <w:trPr>
          <w:trHeight w:val="216"/>
        </w:trPr>
        <w:tc>
          <w:tcPr>
            <w:tcW w:w="88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12,521</w:t>
            </w:r>
          </w:p>
        </w:tc>
      </w:tr>
      <w:tr>
        <w:trPr>
          <w:trHeight w:val="216"/>
        </w:trPr>
        <w:tc>
          <w:tcPr>
            <w:tcW w:w="8820" w:type="dxa"/>
            <w:vAlign w:val="bottom"/>
            <w:gridSpan w:val="5"/>
          </w:tcPr>
          <w:p>
            <w:pPr>
              <w:ind w:left="3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1,904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10,073</w:t>
            </w:r>
          </w:p>
        </w:tc>
      </w:tr>
      <w:tr>
        <w:trPr>
          <w:trHeight w:val="27"/>
        </w:trPr>
        <w:tc>
          <w:tcPr>
            <w:tcW w:w="2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20" w:type="dxa"/>
            <w:vAlign w:val="bottom"/>
            <w:gridSpan w:val="5"/>
            <w:shd w:val="clear" w:color="auto" w:fill="CCEEFF"/>
          </w:tcPr>
          <w:p>
            <w:pPr>
              <w:ind w:left="720"/>
              <w:spacing w:after="0"/>
              <w:rPr>
                <w:sz w:val="20"/>
                <w:szCs w:val="20"/>
                <w:color w:val="auto"/>
              </w:rPr>
            </w:pPr>
            <w:r>
              <w:rPr>
                <w:rFonts w:ascii="Arial" w:cs="Arial" w:eastAsia="Arial" w:hAnsi="Arial"/>
                <w:sz w:val="18"/>
                <w:szCs w:val="18"/>
                <w:color w:val="auto"/>
              </w:rPr>
              <w:t>Total other 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400,420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351,594</w:t>
            </w:r>
          </w:p>
        </w:tc>
      </w:tr>
      <w:tr>
        <w:trPr>
          <w:trHeight w:val="223"/>
        </w:trPr>
        <w:tc>
          <w:tcPr>
            <w:tcW w:w="8820" w:type="dxa"/>
            <w:vAlign w:val="bottom"/>
            <w:gridSpan w:val="5"/>
          </w:tcPr>
          <w:p>
            <w:pPr>
              <w:ind w:left="72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1,567,168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1,382,092</w:t>
            </w:r>
          </w:p>
        </w:tc>
        <w:tc>
          <w:tcPr>
            <w:tcW w:w="120" w:type="dxa"/>
            <w:vAlign w:val="bottom"/>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0"/>
        </w:trPr>
        <w:tc>
          <w:tcPr>
            <w:tcW w:w="2960" w:type="dxa"/>
            <w:vAlign w:val="bottom"/>
            <w:tcBorders>
              <w:bottom w:val="single" w:sz="8" w:color="CCEEFF"/>
            </w:tcBorders>
            <w:shd w:val="clear" w:color="auto" w:fill="CCEEFF"/>
          </w:tcPr>
          <w:p>
            <w:pPr>
              <w:spacing w:after="0"/>
              <w:rPr>
                <w:sz w:val="16"/>
                <w:szCs w:val="16"/>
                <w:color w:val="auto"/>
              </w:rPr>
            </w:pPr>
          </w:p>
        </w:tc>
        <w:tc>
          <w:tcPr>
            <w:tcW w:w="2700" w:type="dxa"/>
            <w:vAlign w:val="bottom"/>
            <w:tcBorders>
              <w:bottom w:val="single" w:sz="8" w:color="auto"/>
            </w:tcBorders>
            <w:gridSpan w:val="3"/>
            <w:shd w:val="clear" w:color="auto" w:fill="CCEEFF"/>
          </w:tcPr>
          <w:p>
            <w:pPr>
              <w:jc w:val="center"/>
              <w:spacing w:after="0" w:line="170" w:lineRule="exact"/>
              <w:rPr>
                <w:sz w:val="20"/>
                <w:szCs w:val="20"/>
                <w:color w:val="auto"/>
              </w:rPr>
            </w:pPr>
            <w:r>
              <w:rPr>
                <w:rFonts w:ascii="Arial" w:cs="Arial" w:eastAsia="Arial" w:hAnsi="Arial"/>
                <w:sz w:val="18"/>
                <w:szCs w:val="18"/>
                <w:b w:val="1"/>
                <w:bCs w:val="1"/>
                <w:color w:val="auto"/>
                <w:w w:val="89"/>
              </w:rPr>
              <w:t>Liabilities and stockholders’ deficit</w:t>
            </w:r>
          </w:p>
        </w:tc>
        <w:tc>
          <w:tcPr>
            <w:tcW w:w="3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r>
      <w:tr>
        <w:trPr>
          <w:trHeight w:val="216"/>
        </w:trPr>
        <w:tc>
          <w:tcPr>
            <w:tcW w:w="8820" w:type="dxa"/>
            <w:vAlign w:val="bottom"/>
            <w:gridSpan w:val="5"/>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43,394</w:t>
            </w:r>
          </w:p>
        </w:tc>
      </w:tr>
      <w:tr>
        <w:trPr>
          <w:trHeight w:val="216"/>
        </w:trPr>
        <w:tc>
          <w:tcPr>
            <w:tcW w:w="8820" w:type="dxa"/>
            <w:vAlign w:val="bottom"/>
            <w:gridSpan w:val="5"/>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94,499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111,101</w:t>
            </w:r>
          </w:p>
        </w:tc>
      </w:tr>
      <w:tr>
        <w:trPr>
          <w:trHeight w:val="216"/>
        </w:trPr>
        <w:tc>
          <w:tcPr>
            <w:tcW w:w="88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Accrued compensation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46,214</w:t>
            </w:r>
          </w:p>
        </w:tc>
      </w:tr>
      <w:tr>
        <w:trPr>
          <w:trHeight w:val="216"/>
        </w:trPr>
        <w:tc>
          <w:tcPr>
            <w:tcW w:w="8820" w:type="dxa"/>
            <w:vAlign w:val="bottom"/>
            <w:gridSpan w:val="5"/>
          </w:tcPr>
          <w:p>
            <w:pPr>
              <w:ind w:left="36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31,695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27,881</w:t>
            </w:r>
          </w:p>
        </w:tc>
      </w:tr>
      <w:tr>
        <w:trPr>
          <w:trHeight w:val="216"/>
        </w:trPr>
        <w:tc>
          <w:tcPr>
            <w:tcW w:w="88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33,318</w:t>
            </w:r>
          </w:p>
        </w:tc>
      </w:tr>
      <w:tr>
        <w:trPr>
          <w:trHeight w:val="216"/>
        </w:trPr>
        <w:tc>
          <w:tcPr>
            <w:tcW w:w="8820" w:type="dxa"/>
            <w:vAlign w:val="bottom"/>
            <w:gridSpan w:val="5"/>
          </w:tcPr>
          <w:p>
            <w:pPr>
              <w:ind w:left="360"/>
              <w:spacing w:after="0"/>
              <w:rPr>
                <w:sz w:val="20"/>
                <w:szCs w:val="20"/>
                <w:color w:val="auto"/>
              </w:rPr>
            </w:pPr>
            <w:r>
              <w:rPr>
                <w:rFonts w:ascii="Arial" w:cs="Arial" w:eastAsia="Arial" w:hAnsi="Arial"/>
                <w:sz w:val="18"/>
                <w:szCs w:val="18"/>
                <w:color w:val="auto"/>
              </w:rPr>
              <w:t>Insurance reserves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26,377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23,735</w:t>
            </w:r>
          </w:p>
        </w:tc>
      </w:tr>
      <w:tr>
        <w:trPr>
          <w:trHeight w:val="216"/>
        </w:trPr>
        <w:tc>
          <w:tcPr>
            <w:tcW w:w="88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Advertising fund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141,175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101,921</w:t>
            </w:r>
          </w:p>
        </w:tc>
      </w:tr>
      <w:tr>
        <w:trPr>
          <w:trHeight w:val="216"/>
        </w:trPr>
        <w:tc>
          <w:tcPr>
            <w:tcW w:w="8820" w:type="dxa"/>
            <w:vAlign w:val="bottom"/>
            <w:gridSpan w:val="5"/>
          </w:tcPr>
          <w:p>
            <w:pPr>
              <w:ind w:left="36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79,837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66,267</w:t>
            </w:r>
          </w:p>
        </w:tc>
      </w:tr>
      <w:tr>
        <w:trPr>
          <w:trHeight w:val="27"/>
        </w:trPr>
        <w:tc>
          <w:tcPr>
            <w:tcW w:w="2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20" w:type="dxa"/>
            <w:vAlign w:val="bottom"/>
            <w:gridSpan w:val="5"/>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470,819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453,831</w:t>
            </w:r>
          </w:p>
        </w:tc>
      </w:tr>
      <w:tr>
        <w:trPr>
          <w:trHeight w:val="223"/>
        </w:trPr>
        <w:tc>
          <w:tcPr>
            <w:tcW w:w="8820" w:type="dxa"/>
            <w:vAlign w:val="bottom"/>
            <w:gridSpan w:val="5"/>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8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Long-term debt, less current portion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4,116,018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4,071,055</w:t>
            </w:r>
          </w:p>
        </w:tc>
      </w:tr>
      <w:tr>
        <w:trPr>
          <w:trHeight w:val="216"/>
        </w:trPr>
        <w:tc>
          <w:tcPr>
            <w:tcW w:w="8820" w:type="dxa"/>
            <w:vAlign w:val="bottom"/>
            <w:gridSpan w:val="5"/>
          </w:tcPr>
          <w:p>
            <w:pPr>
              <w:ind w:left="360"/>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202,268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202,731</w:t>
            </w:r>
          </w:p>
        </w:tc>
      </w:tr>
      <w:tr>
        <w:trPr>
          <w:trHeight w:val="216"/>
        </w:trPr>
        <w:tc>
          <w:tcPr>
            <w:tcW w:w="88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Insurance reserves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34,675</w:t>
            </w:r>
          </w:p>
        </w:tc>
      </w:tr>
      <w:tr>
        <w:trPr>
          <w:trHeight w:val="216"/>
        </w:trPr>
        <w:tc>
          <w:tcPr>
            <w:tcW w:w="8820" w:type="dxa"/>
            <w:vAlign w:val="bottom"/>
            <w:gridSpan w:val="5"/>
          </w:tcPr>
          <w:p>
            <w:pPr>
              <w:ind w:left="3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6,099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Other accrued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35,559</w:t>
            </w:r>
          </w:p>
        </w:tc>
      </w:tr>
      <w:tr>
        <w:trPr>
          <w:trHeight w:val="230"/>
        </w:trPr>
        <w:tc>
          <w:tcPr>
            <w:tcW w:w="8820" w:type="dxa"/>
            <w:vAlign w:val="bottom"/>
            <w:gridSpan w:val="5"/>
          </w:tcPr>
          <w:p>
            <w:pPr>
              <w:ind w:left="720"/>
              <w:spacing w:after="0"/>
              <w:rPr>
                <w:sz w:val="20"/>
                <w:szCs w:val="20"/>
                <w:color w:val="auto"/>
              </w:rPr>
            </w:pPr>
            <w:r>
              <w:rPr>
                <w:rFonts w:ascii="Arial" w:cs="Arial" w:eastAsia="Arial" w:hAnsi="Arial"/>
                <w:sz w:val="18"/>
                <w:szCs w:val="18"/>
                <w:color w:val="auto"/>
              </w:rPr>
              <w:t>Total long-term liabilities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4,396,754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4,344,020</w:t>
            </w:r>
          </w:p>
        </w:tc>
        <w:tc>
          <w:tcPr>
            <w:tcW w:w="120" w:type="dxa"/>
            <w:vAlign w:val="bottom"/>
          </w:tcPr>
          <w:p>
            <w:pPr>
              <w:spacing w:after="0"/>
              <w:rPr>
                <w:sz w:val="20"/>
                <w:szCs w:val="20"/>
                <w:color w:val="auto"/>
              </w:rPr>
            </w:pPr>
          </w:p>
        </w:tc>
      </w:tr>
      <w:tr>
        <w:trPr>
          <w:trHeight w:val="216"/>
        </w:trPr>
        <w:tc>
          <w:tcPr>
            <w:tcW w:w="8820" w:type="dxa"/>
            <w:vAlign w:val="bottom"/>
            <w:gridSpan w:val="5"/>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4,867,573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4,797,851</w:t>
            </w:r>
          </w:p>
        </w:tc>
      </w:tr>
      <w:tr>
        <w:trPr>
          <w:trHeight w:val="223"/>
        </w:trPr>
        <w:tc>
          <w:tcPr>
            <w:tcW w:w="8820" w:type="dxa"/>
            <w:vAlign w:val="bottom"/>
            <w:gridSpan w:val="5"/>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820" w:type="dxa"/>
            <w:vAlign w:val="bottom"/>
            <w:gridSpan w:val="5"/>
          </w:tcPr>
          <w:p>
            <w:pPr>
              <w:ind w:left="360"/>
              <w:spacing w:after="0" w:line="201" w:lineRule="exact"/>
              <w:rPr>
                <w:sz w:val="20"/>
                <w:szCs w:val="20"/>
                <w:color w:val="auto"/>
              </w:rPr>
            </w:pPr>
            <w:r>
              <w:rPr>
                <w:rFonts w:ascii="Arial" w:cs="Arial" w:eastAsia="Arial" w:hAnsi="Arial"/>
                <w:sz w:val="18"/>
                <w:szCs w:val="18"/>
                <w:color w:val="auto"/>
                <w:w w:val="93"/>
              </w:rPr>
              <w:t>Common stock, par value $0.01 per share; 170,000,000 shares authorized; 38,868,350 in 2020 and 38,934,009 in</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820" w:type="dxa"/>
            <w:vAlign w:val="bottom"/>
            <w:gridSpan w:val="5"/>
          </w:tcPr>
          <w:p>
            <w:pPr>
              <w:ind w:left="540"/>
              <w:spacing w:after="0"/>
              <w:rPr>
                <w:sz w:val="20"/>
                <w:szCs w:val="20"/>
                <w:color w:val="auto"/>
              </w:rPr>
            </w:pPr>
            <w:r>
              <w:rPr>
                <w:rFonts w:ascii="Arial" w:cs="Arial" w:eastAsia="Arial" w:hAnsi="Arial"/>
                <w:sz w:val="18"/>
                <w:szCs w:val="18"/>
                <w:color w:val="auto"/>
              </w:rPr>
              <w:t>2019 issued and outstanding</w:t>
            </w:r>
          </w:p>
        </w:tc>
        <w:tc>
          <w:tcPr>
            <w:tcW w:w="1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389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389</w:t>
            </w:r>
          </w:p>
        </w:tc>
      </w:tr>
      <w:tr>
        <w:trPr>
          <w:trHeight w:val="216"/>
        </w:trPr>
        <w:tc>
          <w:tcPr>
            <w:tcW w:w="88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Preferred stock, par value $0.01 per share; 5,000,000 shares authorized, none issued</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gridSpan w:val="5"/>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5,122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243</w:t>
            </w:r>
          </w:p>
        </w:tc>
      </w:tr>
      <w:tr>
        <w:trPr>
          <w:trHeight w:val="216"/>
        </w:trPr>
        <w:tc>
          <w:tcPr>
            <w:tcW w:w="88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Retained deficit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9"/>
              </w:rPr>
              <w:t>(3,303,492)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(3,412,649)</w:t>
            </w:r>
          </w:p>
        </w:tc>
      </w:tr>
      <w:tr>
        <w:trPr>
          <w:trHeight w:val="216"/>
        </w:trPr>
        <w:tc>
          <w:tcPr>
            <w:tcW w:w="8820" w:type="dxa"/>
            <w:vAlign w:val="bottom"/>
            <w:gridSpan w:val="5"/>
          </w:tcPr>
          <w:p>
            <w:pPr>
              <w:ind w:left="3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(2,424)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(3,742)</w:t>
            </w:r>
          </w:p>
        </w:tc>
      </w:tr>
      <w:tr>
        <w:trPr>
          <w:trHeight w:val="27"/>
        </w:trPr>
        <w:tc>
          <w:tcPr>
            <w:tcW w:w="2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20" w:type="dxa"/>
            <w:vAlign w:val="bottom"/>
            <w:gridSpan w:val="5"/>
            <w:shd w:val="clear" w:color="auto" w:fill="CCEEFF"/>
          </w:tcPr>
          <w:p>
            <w:pPr>
              <w:ind w:left="720"/>
              <w:spacing w:after="0"/>
              <w:rPr>
                <w:sz w:val="20"/>
                <w:szCs w:val="20"/>
                <w:color w:val="auto"/>
              </w:rPr>
            </w:pPr>
            <w:r>
              <w:rPr>
                <w:rFonts w:ascii="Arial" w:cs="Arial" w:eastAsia="Arial" w:hAnsi="Arial"/>
                <w:sz w:val="18"/>
                <w:szCs w:val="18"/>
                <w:color w:val="auto"/>
              </w:rPr>
              <w:t>Total stockholders’ deficit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9"/>
              </w:rPr>
              <w:t>(3,300,405)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(3,415,759)</w:t>
            </w:r>
          </w:p>
        </w:tc>
      </w:tr>
      <w:tr>
        <w:trPr>
          <w:trHeight w:val="223"/>
        </w:trPr>
        <w:tc>
          <w:tcPr>
            <w:tcW w:w="8820" w:type="dxa"/>
            <w:vAlign w:val="bottom"/>
            <w:gridSpan w:val="5"/>
          </w:tcPr>
          <w:p>
            <w:pPr>
              <w:ind w:left="720"/>
              <w:spacing w:after="0"/>
              <w:rPr>
                <w:sz w:val="20"/>
                <w:szCs w:val="20"/>
                <w:color w:val="auto"/>
              </w:rPr>
            </w:pPr>
            <w:r>
              <w:rPr>
                <w:rFonts w:ascii="Arial" w:cs="Arial" w:eastAsia="Arial" w:hAnsi="Arial"/>
                <w:sz w:val="18"/>
                <w:szCs w:val="18"/>
                <w:color w:val="auto"/>
              </w:rPr>
              <w:t>Total liabilities and stockholders’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1,567,168</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1,382,092</w:t>
            </w:r>
          </w:p>
        </w:tc>
        <w:tc>
          <w:tcPr>
            <w:tcW w:w="120" w:type="dxa"/>
            <w:vAlign w:val="bottom"/>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140"/>
          </w:cols>
          <w:pgMar w:left="320" w:top="486" w:right="439" w:bottom="925" w:gutter="0" w:footer="0" w:header="0"/>
        </w:sectPr>
      </w:pP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140"/>
          </w:cols>
          <w:pgMar w:left="320" w:top="486" w:right="439" w:bottom="925"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6"/>
              </w:rPr>
              <w:t>For the Years Ended</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54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940" w:type="dxa"/>
            <w:vAlign w:val="bottom"/>
            <w:gridSpan w:val="3"/>
          </w:tcPr>
          <w:p>
            <w:pPr>
              <w:jc w:val="right"/>
              <w:ind w:right="200"/>
              <w:spacing w:after="0" w:line="133" w:lineRule="exact"/>
              <w:rPr>
                <w:sz w:val="20"/>
                <w:szCs w:val="20"/>
                <w:color w:val="auto"/>
              </w:rPr>
            </w:pPr>
            <w:r>
              <w:rPr>
                <w:rFonts w:ascii="Arial" w:cs="Arial" w:eastAsia="Arial" w:hAnsi="Arial"/>
                <w:sz w:val="14"/>
                <w:szCs w:val="14"/>
                <w:b w:val="1"/>
                <w:bCs w:val="1"/>
                <w:color w:val="auto"/>
              </w:rPr>
              <w:t>January 3,</w:t>
            </w:r>
          </w:p>
        </w:tc>
        <w:tc>
          <w:tcPr>
            <w:tcW w:w="280" w:type="dxa"/>
            <w:vAlign w:val="bottom"/>
          </w:tcPr>
          <w:p>
            <w:pPr>
              <w:spacing w:after="0"/>
              <w:rPr>
                <w:sz w:val="11"/>
                <w:szCs w:val="11"/>
                <w:color w:val="auto"/>
              </w:rPr>
            </w:pPr>
          </w:p>
        </w:tc>
        <w:tc>
          <w:tcPr>
            <w:tcW w:w="124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December 29,</w:t>
            </w:r>
          </w:p>
        </w:tc>
        <w:tc>
          <w:tcPr>
            <w:tcW w:w="84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0"/>
              </w:rPr>
              <w:t>December 30,</w:t>
            </w:r>
          </w:p>
        </w:tc>
        <w:tc>
          <w:tcPr>
            <w:tcW w:w="120" w:type="dxa"/>
            <w:vAlign w:val="bottom"/>
          </w:tcPr>
          <w:p>
            <w:pPr>
              <w:spacing w:after="0"/>
              <w:rPr>
                <w:sz w:val="11"/>
                <w:szCs w:val="11"/>
                <w:color w:val="auto"/>
              </w:rPr>
            </w:pPr>
          </w:p>
        </w:tc>
      </w:tr>
      <w:tr>
        <w:trPr>
          <w:trHeight w:val="171"/>
        </w:trPr>
        <w:tc>
          <w:tcPr>
            <w:tcW w:w="544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r>
      <w:tr>
        <w:trPr>
          <w:trHeight w:val="20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U.S. Company-owned stores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485,569</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453,560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514,804</w:t>
            </w: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franchise royalties and fees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503,196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428,504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391,493</w:t>
            </w: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Supply chain</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2,416,651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2,104,936</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1,943,297</w:t>
            </w: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 franchise royalties and fees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249,757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240,975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224,747</w:t>
            </w: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U.S. franchise advertising</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462,238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390,799</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358,526</w:t>
            </w:r>
          </w:p>
        </w:tc>
      </w:tr>
      <w:tr>
        <w:trPr>
          <w:trHeight w:val="27"/>
        </w:trPr>
        <w:tc>
          <w:tcPr>
            <w:tcW w:w="54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4,117,411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3,618,774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3,432,867</w:t>
            </w: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Cost of sales:</w:t>
            </w:r>
          </w:p>
        </w:tc>
        <w:tc>
          <w:tcPr>
            <w:tcW w:w="2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Company-owned stores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379,598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346,168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398,158</w:t>
            </w: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Supply chain</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2,143,320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1,870,107</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1,732,030</w:t>
            </w:r>
          </w:p>
        </w:tc>
      </w:tr>
      <w:tr>
        <w:trPr>
          <w:trHeight w:val="27"/>
        </w:trPr>
        <w:tc>
          <w:tcPr>
            <w:tcW w:w="54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cost of sales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2,522,918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2,216,275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2,130,188</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Operating margin</w:t>
            </w:r>
          </w:p>
        </w:tc>
        <w:tc>
          <w:tcPr>
            <w:tcW w:w="2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1,594,493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1,402,499</w:t>
            </w: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1,302,679</w:t>
            </w:r>
          </w:p>
        </w:tc>
        <w:tc>
          <w:tcPr>
            <w:tcW w:w="120" w:type="dxa"/>
            <w:vAlign w:val="bottom"/>
          </w:tcPr>
          <w:p>
            <w:pPr>
              <w:spacing w:after="0"/>
              <w:rPr>
                <w:sz w:val="20"/>
                <w:szCs w:val="20"/>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406,613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382,293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372,464</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U.S. franchise advertising</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462,238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390,799</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358,526</w:t>
            </w:r>
          </w:p>
        </w:tc>
      </w:tr>
      <w:tr>
        <w:trPr>
          <w:trHeight w:val="27"/>
        </w:trPr>
        <w:tc>
          <w:tcPr>
            <w:tcW w:w="54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725,642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629,407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571,689</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Interest income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1,654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4,048</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3,334</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(172,166)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(150,818)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(146,345)</w:t>
            </w: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2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555,130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482,637</w:t>
            </w: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428,678</w:t>
            </w:r>
          </w:p>
        </w:tc>
        <w:tc>
          <w:tcPr>
            <w:tcW w:w="120" w:type="dxa"/>
            <w:vAlign w:val="bottom"/>
          </w:tcPr>
          <w:p>
            <w:pPr>
              <w:spacing w:after="0"/>
              <w:rPr>
                <w:sz w:val="19"/>
                <w:szCs w:val="19"/>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63,834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81,928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66,706</w:t>
            </w: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Net income</w:t>
            </w:r>
          </w:p>
        </w:tc>
        <w:tc>
          <w:tcPr>
            <w:tcW w:w="2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491,296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400,709</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361,972</w:t>
            </w:r>
          </w:p>
        </w:tc>
        <w:tc>
          <w:tcPr>
            <w:tcW w:w="12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Common Stock – basic</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12.61</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9.83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8.65</w:t>
            </w: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 diluted</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12.39</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8.35</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86"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9"/>
              </w:rPr>
              <w:t>For the Years Ended</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506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00" w:type="dxa"/>
            <w:vAlign w:val="bottom"/>
            <w:gridSpan w:val="2"/>
          </w:tcPr>
          <w:p>
            <w:pPr>
              <w:jc w:val="right"/>
              <w:ind w:right="140"/>
              <w:spacing w:after="0" w:line="133" w:lineRule="exact"/>
              <w:rPr>
                <w:sz w:val="20"/>
                <w:szCs w:val="20"/>
                <w:color w:val="auto"/>
              </w:rPr>
            </w:pPr>
            <w:r>
              <w:rPr>
                <w:rFonts w:ascii="Arial" w:cs="Arial" w:eastAsia="Arial" w:hAnsi="Arial"/>
                <w:sz w:val="14"/>
                <w:szCs w:val="14"/>
                <w:b w:val="1"/>
                <w:bCs w:val="1"/>
                <w:color w:val="auto"/>
                <w:w w:val="92"/>
              </w:rPr>
              <w:t>January 3,</w:t>
            </w:r>
          </w:p>
        </w:tc>
        <w:tc>
          <w:tcPr>
            <w:tcW w:w="24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December 29,</w:t>
            </w:r>
          </w:p>
        </w:tc>
        <w:tc>
          <w:tcPr>
            <w:tcW w:w="84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0"/>
              </w:rPr>
              <w:t>December 30,</w:t>
            </w:r>
          </w:p>
        </w:tc>
        <w:tc>
          <w:tcPr>
            <w:tcW w:w="120" w:type="dxa"/>
            <w:vAlign w:val="bottom"/>
          </w:tcPr>
          <w:p>
            <w:pPr>
              <w:spacing w:after="0"/>
              <w:rPr>
                <w:sz w:val="11"/>
                <w:szCs w:val="11"/>
                <w:color w:val="auto"/>
              </w:rPr>
            </w:pPr>
          </w:p>
        </w:tc>
      </w:tr>
      <w:tr>
        <w:trPr>
          <w:trHeight w:val="171"/>
        </w:trPr>
        <w:tc>
          <w:tcPr>
            <w:tcW w:w="5060" w:type="dxa"/>
            <w:vAlign w:val="bottom"/>
          </w:tcPr>
          <w:p>
            <w:pPr>
              <w:spacing w:after="0"/>
              <w:rPr>
                <w:sz w:val="14"/>
                <w:szCs w:val="14"/>
                <w:color w:val="auto"/>
              </w:rPr>
            </w:pPr>
          </w:p>
        </w:tc>
        <w:tc>
          <w:tcPr>
            <w:tcW w:w="344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209"/>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7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$491,296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400,709</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361,972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27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1,318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687</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(2,048)</w:t>
            </w:r>
          </w:p>
        </w:tc>
      </w:tr>
      <w:tr>
        <w:trPr>
          <w:trHeight w:val="27"/>
        </w:trPr>
        <w:tc>
          <w:tcPr>
            <w:tcW w:w="50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492,614</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401,396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359,924</w:t>
            </w:r>
          </w:p>
        </w:tc>
      </w:tr>
      <w:tr>
        <w:trPr>
          <w:trHeight w:val="20"/>
        </w:trPr>
        <w:tc>
          <w:tcPr>
            <w:tcW w:w="50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86"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r>
      <w:tr>
        <w:trPr>
          <w:trHeight w:val="198"/>
        </w:trPr>
        <w:tc>
          <w:tcPr>
            <w:tcW w:w="5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7"/>
                <w:szCs w:val="17"/>
                <w:color w:val="auto"/>
              </w:rPr>
            </w:pPr>
          </w:p>
        </w:tc>
        <w:tc>
          <w:tcPr>
            <w:tcW w:w="146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Other</w:t>
            </w:r>
          </w:p>
        </w:tc>
      </w:tr>
      <w:tr>
        <w:trPr>
          <w:trHeight w:val="133"/>
        </w:trPr>
        <w:tc>
          <w:tcPr>
            <w:tcW w:w="5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gridSpan w:val="3"/>
          </w:tcPr>
          <w:p>
            <w:pPr>
              <w:jc w:val="center"/>
              <w:ind w:left="13"/>
              <w:spacing w:after="0" w:line="133"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Retained</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tcPr>
          <w:p>
            <w:pPr>
              <w:jc w:val="center"/>
              <w:ind w:right="40"/>
              <w:spacing w:after="0" w:line="133" w:lineRule="exact"/>
              <w:rPr>
                <w:sz w:val="20"/>
                <w:szCs w:val="20"/>
                <w:color w:val="auto"/>
              </w:rPr>
            </w:pPr>
            <w:r>
              <w:rPr>
                <w:rFonts w:ascii="Arial" w:cs="Arial" w:eastAsia="Arial" w:hAnsi="Arial"/>
                <w:sz w:val="14"/>
                <w:szCs w:val="14"/>
                <w:b w:val="1"/>
                <w:bCs w:val="1"/>
                <w:color w:val="auto"/>
                <w:w w:val="91"/>
              </w:rPr>
              <w:t>Comprehensive</w:t>
            </w:r>
          </w:p>
        </w:tc>
      </w:tr>
      <w:tr>
        <w:trPr>
          <w:trHeight w:val="171"/>
        </w:trPr>
        <w:tc>
          <w:tcPr>
            <w:tcW w:w="5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560" w:type="dxa"/>
            <w:vAlign w:val="bottom"/>
            <w:tcBorders>
              <w:bottom w:val="single" w:sz="8" w:color="auto"/>
            </w:tcBorders>
            <w:gridSpan w:val="3"/>
          </w:tcPr>
          <w:p>
            <w:pPr>
              <w:jc w:val="center"/>
              <w:ind w:left="13"/>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Deficit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60" w:type="dxa"/>
            <w:vAlign w:val="bottom"/>
          </w:tcPr>
          <w:p>
            <w:pPr>
              <w:spacing w:after="0"/>
              <w:rPr>
                <w:sz w:val="14"/>
                <w:szCs w:val="14"/>
                <w:color w:val="auto"/>
              </w:rPr>
            </w:pP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8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3"/>
              </w:rPr>
              <w:t>42,898,329</w:t>
            </w:r>
          </w:p>
        </w:tc>
        <w:tc>
          <w:tcPr>
            <w:tcW w:w="1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429</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70"/>
              </w:rPr>
              <w:t>5,654</w:t>
            </w:r>
          </w:p>
        </w:tc>
        <w:tc>
          <w:tcPr>
            <w:tcW w:w="9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0"/>
              </w:rPr>
              <w:t>$(2,739,437)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60" w:type="dxa"/>
            <w:vAlign w:val="bottom"/>
            <w:shd w:val="clear" w:color="auto" w:fill="CCEEFF"/>
          </w:tcPr>
          <w:p>
            <w:pPr>
              <w:spacing w:after="0"/>
              <w:rPr>
                <w:sz w:val="18"/>
                <w:szCs w:val="18"/>
                <w:color w:val="auto"/>
              </w:rPr>
            </w:pP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361,972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declared on common stock and equivalents ($2.20)</w:t>
            </w:r>
          </w:p>
        </w:tc>
        <w:tc>
          <w:tcPr>
            <w:tcW w:w="130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(92,211)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Issuance and cancellation of stock awards, net</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79,868</w:t>
            </w:r>
          </w:p>
        </w:tc>
        <w:tc>
          <w:tcPr>
            <w:tcW w:w="100" w:type="dxa"/>
            <w:vAlign w:val="bottom"/>
          </w:tcPr>
          <w:p>
            <w:pPr>
              <w:spacing w:after="0"/>
              <w:rPr>
                <w:sz w:val="18"/>
                <w:szCs w:val="18"/>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payments for restricted stock upon vesting</w:t>
            </w:r>
          </w:p>
        </w:tc>
        <w:tc>
          <w:tcPr>
            <w:tcW w:w="130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(27,308)</w:t>
            </w: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Purchases of common stock</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(2,387,430)</w:t>
            </w:r>
          </w:p>
        </w:tc>
        <w:tc>
          <w:tcPr>
            <w:tcW w:w="100" w:type="dxa"/>
            <w:vAlign w:val="bottom"/>
          </w:tcPr>
          <w:p>
            <w:pPr>
              <w:spacing w:after="0"/>
              <w:rPr>
                <w:sz w:val="18"/>
                <w:szCs w:val="18"/>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(30,743)</w:t>
            </w:r>
          </w:p>
        </w:tc>
        <w:tc>
          <w:tcPr>
            <w:tcW w:w="80" w:type="dxa"/>
            <w:vAlign w:val="bottom"/>
          </w:tcPr>
          <w:p>
            <w:pPr>
              <w:spacing w:after="0"/>
              <w:rPr>
                <w:sz w:val="18"/>
                <w:szCs w:val="18"/>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(560,445)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Exercises of stock options</w:t>
            </w:r>
          </w:p>
        </w:tc>
        <w:tc>
          <w:tcPr>
            <w:tcW w:w="130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414,102</w:t>
            </w: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9,828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Non-cash equity-based compensation expense</w:t>
            </w: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22,792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Adoption of ASC 606 (Note 1)</w:t>
            </w:r>
          </w:p>
        </w:tc>
        <w:tc>
          <w:tcPr>
            <w:tcW w:w="130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(6,701)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Currency translation adjustment</w:t>
            </w: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(2,048)</w:t>
            </w: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Reclassification adjustment for stranded taxes (Note 1)</w:t>
            </w:r>
          </w:p>
        </w:tc>
        <w:tc>
          <w:tcPr>
            <w:tcW w:w="130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(351)</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Balance at December 30, 2018</w:t>
            </w:r>
          </w:p>
        </w:tc>
        <w:tc>
          <w:tcPr>
            <w:tcW w:w="100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w w:val="86"/>
              </w:rPr>
              <w:t>40,977,561</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w w:val="86"/>
              </w:rPr>
              <w:t>410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569</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4"/>
              </w:rPr>
              <w:t>(3,036,471)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(4,429)</w:t>
            </w:r>
          </w:p>
        </w:tc>
        <w:tc>
          <w:tcPr>
            <w:tcW w:w="120" w:type="dxa"/>
            <w:vAlign w:val="bottom"/>
            <w:gridSpan w:val="2"/>
          </w:tcPr>
          <w:p>
            <w:pPr>
              <w:spacing w:after="0"/>
              <w:rPr>
                <w:sz w:val="19"/>
                <w:szCs w:val="19"/>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30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400,709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Dividends declared on common stock and equivalents ($2.60)</w:t>
            </w: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(105,605)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and cancellation of stock awards, net</w:t>
            </w:r>
          </w:p>
        </w:tc>
        <w:tc>
          <w:tcPr>
            <w:tcW w:w="130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46,913</w:t>
            </w: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Tax payments for restricted stock upon vesting</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(22,506)</w:t>
            </w:r>
          </w:p>
        </w:tc>
        <w:tc>
          <w:tcPr>
            <w:tcW w:w="100" w:type="dxa"/>
            <w:vAlign w:val="bottom"/>
          </w:tcPr>
          <w:p>
            <w:pPr>
              <w:spacing w:after="0"/>
              <w:rPr>
                <w:sz w:val="18"/>
                <w:szCs w:val="18"/>
                <w:color w:val="auto"/>
              </w:rPr>
            </w:pPr>
          </w:p>
        </w:tc>
        <w:tc>
          <w:tcPr>
            <w:tcW w:w="4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(5,951)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common stock</w:t>
            </w:r>
          </w:p>
        </w:tc>
        <w:tc>
          <w:tcPr>
            <w:tcW w:w="130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(2,493,560)</w:t>
            </w: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(27,700)</w:t>
            </w: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(671,282)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Exercises of stock options</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425,601</w:t>
            </w:r>
          </w:p>
        </w:tc>
        <w:tc>
          <w:tcPr>
            <w:tcW w:w="100" w:type="dxa"/>
            <w:vAlign w:val="bottom"/>
          </w:tcPr>
          <w:p>
            <w:pPr>
              <w:spacing w:after="0"/>
              <w:rPr>
                <w:sz w:val="18"/>
                <w:szCs w:val="18"/>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13,060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equity-based compensation expense</w:t>
            </w:r>
          </w:p>
        </w:tc>
        <w:tc>
          <w:tcPr>
            <w:tcW w:w="130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20,265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Currency translation adjustment</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center"/>
              <w:ind w:left="1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Arial" w:cs="Arial" w:eastAsia="Arial" w:hAnsi="Arial"/>
                <w:sz w:val="18"/>
                <w:szCs w:val="18"/>
                <w:color w:val="auto"/>
                <w:w w:val="99"/>
              </w:rPr>
              <w:t>687</w:t>
            </w:r>
          </w:p>
        </w:tc>
        <w:tc>
          <w:tcPr>
            <w:tcW w:w="60" w:type="dxa"/>
            <w:vAlign w:val="bottom"/>
          </w:tcPr>
          <w:p>
            <w:pPr>
              <w:spacing w:after="0"/>
              <w:rPr>
                <w:sz w:val="18"/>
                <w:szCs w:val="18"/>
                <w:color w:val="auto"/>
              </w:rPr>
            </w:pPr>
          </w:p>
        </w:tc>
      </w:tr>
      <w:tr>
        <w:trPr>
          <w:trHeight w:val="27"/>
        </w:trPr>
        <w:tc>
          <w:tcPr>
            <w:tcW w:w="59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29, 2019</w:t>
            </w:r>
          </w:p>
        </w:tc>
        <w:tc>
          <w:tcPr>
            <w:tcW w:w="130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38,934,009</w:t>
            </w: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389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1"/>
              </w:rPr>
              <w:t>(3,412,649)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(3,742)</w:t>
            </w: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491,296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declared on common stock and equivalents ($3.12)</w:t>
            </w:r>
          </w:p>
        </w:tc>
        <w:tc>
          <w:tcPr>
            <w:tcW w:w="130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(122,183)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Issuance and cancellation of stock awards, net</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35,210</w:t>
            </w:r>
          </w:p>
        </w:tc>
        <w:tc>
          <w:tcPr>
            <w:tcW w:w="100" w:type="dxa"/>
            <w:vAlign w:val="bottom"/>
          </w:tcPr>
          <w:p>
            <w:pPr>
              <w:spacing w:after="0"/>
              <w:rPr>
                <w:sz w:val="18"/>
                <w:szCs w:val="18"/>
                <w:color w:val="auto"/>
              </w:rPr>
            </w:pPr>
          </w:p>
        </w:tc>
        <w:tc>
          <w:tcPr>
            <w:tcW w:w="4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payments for restricted stock upon vesting</w:t>
            </w:r>
          </w:p>
        </w:tc>
        <w:tc>
          <w:tcPr>
            <w:tcW w:w="130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(18,681)</w:t>
            </w: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Purchases of common stock</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(838,871)</w:t>
            </w:r>
          </w:p>
        </w:tc>
        <w:tc>
          <w:tcPr>
            <w:tcW w:w="100" w:type="dxa"/>
            <w:vAlign w:val="bottom"/>
          </w:tcPr>
          <w:p>
            <w:pPr>
              <w:spacing w:after="0"/>
              <w:rPr>
                <w:sz w:val="18"/>
                <w:szCs w:val="18"/>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(43,524)</w:t>
            </w:r>
          </w:p>
        </w:tc>
        <w:tc>
          <w:tcPr>
            <w:tcW w:w="80" w:type="dxa"/>
            <w:vAlign w:val="bottom"/>
          </w:tcPr>
          <w:p>
            <w:pPr>
              <w:spacing w:after="0"/>
              <w:rPr>
                <w:sz w:val="18"/>
                <w:szCs w:val="18"/>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(261,058)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Exercises of stock options</w:t>
            </w:r>
          </w:p>
        </w:tc>
        <w:tc>
          <w:tcPr>
            <w:tcW w:w="130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756,683</w:t>
            </w: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30,962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Non-cash equity-based compensation expense</w:t>
            </w: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24,244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Adoption of ASC 326 (Note 1)</w:t>
            </w:r>
          </w:p>
        </w:tc>
        <w:tc>
          <w:tcPr>
            <w:tcW w:w="130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1,102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Currency translation adjustment</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center"/>
              <w:ind w:left="1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1,318</w:t>
            </w:r>
          </w:p>
        </w:tc>
        <w:tc>
          <w:tcPr>
            <w:tcW w:w="60" w:type="dxa"/>
            <w:vAlign w:val="bottom"/>
          </w:tcPr>
          <w:p>
            <w:pPr>
              <w:spacing w:after="0"/>
              <w:rPr>
                <w:sz w:val="18"/>
                <w:szCs w:val="18"/>
                <w:color w:val="auto"/>
              </w:rPr>
            </w:pPr>
          </w:p>
        </w:tc>
      </w:tr>
      <w:tr>
        <w:trPr>
          <w:trHeight w:val="27"/>
        </w:trPr>
        <w:tc>
          <w:tcPr>
            <w:tcW w:w="59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3, 2021</w:t>
            </w:r>
          </w:p>
        </w:tc>
        <w:tc>
          <w:tcPr>
            <w:tcW w:w="130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38,868,350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389</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5,122</w:t>
            </w:r>
          </w:p>
        </w:tc>
        <w:tc>
          <w:tcPr>
            <w:tcW w:w="9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(3,303,492)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(2,424)</w:t>
            </w:r>
          </w:p>
        </w:tc>
      </w:tr>
      <w:tr>
        <w:trPr>
          <w:trHeight w:val="20"/>
        </w:trPr>
        <w:tc>
          <w:tcPr>
            <w:tcW w:w="59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86"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8"/>
              </w:rPr>
              <w:t>For the Years Ended</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7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3"/>
          </w:tcPr>
          <w:p>
            <w:pPr>
              <w:jc w:val="right"/>
              <w:ind w:right="180"/>
              <w:spacing w:after="0" w:line="133" w:lineRule="exact"/>
              <w:rPr>
                <w:sz w:val="20"/>
                <w:szCs w:val="20"/>
                <w:color w:val="auto"/>
              </w:rPr>
            </w:pPr>
            <w:r>
              <w:rPr>
                <w:rFonts w:ascii="Arial" w:cs="Arial" w:eastAsia="Arial" w:hAnsi="Arial"/>
                <w:sz w:val="14"/>
                <w:szCs w:val="14"/>
                <w:b w:val="1"/>
                <w:bCs w:val="1"/>
                <w:color w:val="auto"/>
                <w:w w:val="95"/>
              </w:rPr>
              <w:t>January 3,</w:t>
            </w:r>
          </w:p>
        </w:tc>
        <w:tc>
          <w:tcPr>
            <w:tcW w:w="260" w:type="dxa"/>
            <w:vAlign w:val="bottom"/>
          </w:tcPr>
          <w:p>
            <w:pPr>
              <w:spacing w:after="0"/>
              <w:rPr>
                <w:sz w:val="11"/>
                <w:szCs w:val="11"/>
                <w:color w:val="auto"/>
              </w:rPr>
            </w:pPr>
          </w:p>
        </w:tc>
        <w:tc>
          <w:tcPr>
            <w:tcW w:w="124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December 29,</w:t>
            </w:r>
          </w:p>
        </w:tc>
        <w:tc>
          <w:tcPr>
            <w:tcW w:w="84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0"/>
              </w:rPr>
              <w:t>December 30,</w:t>
            </w:r>
          </w:p>
        </w:tc>
        <w:tc>
          <w:tcPr>
            <w:tcW w:w="120" w:type="dxa"/>
            <w:vAlign w:val="bottom"/>
          </w:tcPr>
          <w:p>
            <w:pPr>
              <w:spacing w:after="0"/>
              <w:rPr>
                <w:sz w:val="11"/>
                <w:szCs w:val="11"/>
                <w:color w:val="auto"/>
              </w:rPr>
            </w:pPr>
          </w:p>
        </w:tc>
      </w:tr>
      <w:tr>
        <w:trPr>
          <w:trHeight w:val="171"/>
        </w:trPr>
        <w:tc>
          <w:tcPr>
            <w:tcW w:w="7680" w:type="dxa"/>
            <w:vAlign w:val="bottom"/>
          </w:tcPr>
          <w:p>
            <w:pPr>
              <w:spacing w:after="0"/>
              <w:rPr>
                <w:sz w:val="14"/>
                <w:szCs w:val="14"/>
                <w:color w:val="auto"/>
              </w:rPr>
            </w:pPr>
          </w:p>
        </w:tc>
        <w:tc>
          <w:tcPr>
            <w:tcW w:w="74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90"/>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9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209"/>
        </w:trPr>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6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w w:val="89"/>
              </w:rPr>
              <w:t>$ 491,296</w:t>
            </w:r>
          </w:p>
        </w:tc>
        <w:tc>
          <w:tcPr>
            <w:tcW w:w="120" w:type="dxa"/>
            <w:vAlign w:val="bottom"/>
          </w:tcPr>
          <w:p>
            <w:pPr>
              <w:spacing w:after="0"/>
              <w:rPr>
                <w:sz w:val="18"/>
                <w:szCs w:val="18"/>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400,709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361,972</w:t>
            </w:r>
          </w:p>
        </w:tc>
      </w:tr>
      <w:tr>
        <w:trPr>
          <w:trHeight w:val="216"/>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68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65,038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59,930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53,665</w:t>
            </w:r>
          </w:p>
        </w:tc>
      </w:tr>
      <w:tr>
        <w:trPr>
          <w:trHeight w:val="216"/>
        </w:trPr>
        <w:tc>
          <w:tcPr>
            <w:tcW w:w="7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(gain) on sale/disposal of assets</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(4,737)</w:t>
            </w:r>
          </w:p>
        </w:tc>
      </w:tr>
      <w:tr>
        <w:trPr>
          <w:trHeight w:val="216"/>
        </w:trPr>
        <w:tc>
          <w:tcPr>
            <w:tcW w:w="7680" w:type="dxa"/>
            <w:vAlign w:val="bottom"/>
          </w:tcPr>
          <w:p>
            <w:pPr>
              <w:ind w:left="720"/>
              <w:spacing w:after="0"/>
              <w:rPr>
                <w:sz w:val="20"/>
                <w:szCs w:val="20"/>
                <w:color w:val="auto"/>
              </w:rPr>
            </w:pPr>
            <w:r>
              <w:rPr>
                <w:rFonts w:ascii="Arial" w:cs="Arial" w:eastAsia="Arial" w:hAnsi="Arial"/>
                <w:sz w:val="18"/>
                <w:szCs w:val="18"/>
                <w:color w:val="auto"/>
              </w:rPr>
              <w:t>Amortization of debt issuance costs</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5,526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4,748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8,033</w:t>
            </w:r>
          </w:p>
        </w:tc>
      </w:tr>
      <w:tr>
        <w:trPr>
          <w:trHeight w:val="216"/>
        </w:trPr>
        <w:tc>
          <w:tcPr>
            <w:tcW w:w="7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Provision (benefit) for deferred income taxes</w:t>
            </w: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14,424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(3,297)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(872)</w:t>
            </w:r>
          </w:p>
        </w:tc>
      </w:tr>
      <w:tr>
        <w:trPr>
          <w:trHeight w:val="216"/>
        </w:trPr>
        <w:tc>
          <w:tcPr>
            <w:tcW w:w="7680" w:type="dxa"/>
            <w:vAlign w:val="bottom"/>
          </w:tcPr>
          <w:p>
            <w:pPr>
              <w:ind w:left="720"/>
              <w:spacing w:after="0"/>
              <w:rPr>
                <w:sz w:val="20"/>
                <w:szCs w:val="20"/>
                <w:color w:val="auto"/>
              </w:rPr>
            </w:pPr>
            <w:r>
              <w:rPr>
                <w:rFonts w:ascii="Arial" w:cs="Arial" w:eastAsia="Arial" w:hAnsi="Arial"/>
                <w:sz w:val="18"/>
                <w:szCs w:val="18"/>
                <w:color w:val="auto"/>
              </w:rPr>
              <w:t>Non-cash equity-based compensation expense</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24,244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20,265</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22,792</w:t>
            </w:r>
          </w:p>
        </w:tc>
      </w:tr>
      <w:tr>
        <w:trPr>
          <w:trHeight w:val="216"/>
        </w:trPr>
        <w:tc>
          <w:tcPr>
            <w:tcW w:w="7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Excess tax benefits from equity-based compensation</w:t>
            </w: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(60,364)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(25,735)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(23,786)</w:t>
            </w:r>
          </w:p>
        </w:tc>
      </w:tr>
      <w:tr>
        <w:trPr>
          <w:trHeight w:val="216"/>
        </w:trPr>
        <w:tc>
          <w:tcPr>
            <w:tcW w:w="7680" w:type="dxa"/>
            <w:vAlign w:val="bottom"/>
          </w:tcPr>
          <w:p>
            <w:pPr>
              <w:ind w:left="720"/>
              <w:spacing w:after="0"/>
              <w:rPr>
                <w:sz w:val="20"/>
                <w:szCs w:val="20"/>
                <w:color w:val="auto"/>
              </w:rPr>
            </w:pPr>
            <w:r>
              <w:rPr>
                <w:rFonts w:ascii="Arial" w:cs="Arial" w:eastAsia="Arial" w:hAnsi="Arial"/>
                <w:sz w:val="18"/>
                <w:szCs w:val="18"/>
                <w:color w:val="auto"/>
              </w:rPr>
              <w:t>Provision for losses on accounts and notes receivable</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2,134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1,195</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899</w:t>
            </w:r>
          </w:p>
        </w:tc>
      </w:tr>
      <w:tr>
        <w:trPr>
          <w:trHeight w:val="216"/>
        </w:trPr>
        <w:tc>
          <w:tcPr>
            <w:tcW w:w="7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680" w:type="dxa"/>
            <w:vAlign w:val="bottom"/>
          </w:tcPr>
          <w:p>
            <w:pPr>
              <w:ind w:left="1080"/>
              <w:spacing w:after="0"/>
              <w:rPr>
                <w:sz w:val="20"/>
                <w:szCs w:val="20"/>
                <w:color w:val="auto"/>
              </w:rPr>
            </w:pPr>
            <w:r>
              <w:rPr>
                <w:rFonts w:ascii="Arial" w:cs="Arial" w:eastAsia="Arial" w:hAnsi="Arial"/>
                <w:sz w:val="18"/>
                <w:szCs w:val="18"/>
                <w:color w:val="auto"/>
              </w:rPr>
              <w:t>Changes in accounts receivable</w:t>
            </w: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(33,334)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(20,900)</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(18,172)</w:t>
            </w:r>
          </w:p>
        </w:tc>
      </w:tr>
      <w:tr>
        <w:trPr>
          <w:trHeight w:val="216"/>
        </w:trPr>
        <w:tc>
          <w:tcPr>
            <w:tcW w:w="76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Changes in inventories, prepaid expenses and other</w:t>
            </w: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(24,959)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(6,741)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(12,455)</w:t>
            </w:r>
          </w:p>
        </w:tc>
      </w:tr>
      <w:tr>
        <w:trPr>
          <w:trHeight w:val="216"/>
        </w:trPr>
        <w:tc>
          <w:tcPr>
            <w:tcW w:w="7680" w:type="dxa"/>
            <w:vAlign w:val="bottom"/>
          </w:tcPr>
          <w:p>
            <w:pPr>
              <w:ind w:left="1080"/>
              <w:spacing w:after="0"/>
              <w:rPr>
                <w:sz w:val="20"/>
                <w:szCs w:val="20"/>
                <w:color w:val="auto"/>
              </w:rPr>
            </w:pPr>
            <w:r>
              <w:rPr>
                <w:rFonts w:ascii="Arial" w:cs="Arial" w:eastAsia="Arial" w:hAnsi="Arial"/>
                <w:sz w:val="18"/>
                <w:szCs w:val="18"/>
                <w:color w:val="auto"/>
              </w:rPr>
              <w:t>Changes in accounts payable and accrued liabilities</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68,954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66,137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10,010</w:t>
            </w:r>
          </w:p>
        </w:tc>
      </w:tr>
      <w:tr>
        <w:trPr>
          <w:trHeight w:val="216"/>
        </w:trPr>
        <w:tc>
          <w:tcPr>
            <w:tcW w:w="76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Changes in insurance reserves</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5,544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5,322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2,174</w:t>
            </w:r>
          </w:p>
        </w:tc>
      </w:tr>
      <w:tr>
        <w:trPr>
          <w:trHeight w:val="216"/>
        </w:trPr>
        <w:tc>
          <w:tcPr>
            <w:tcW w:w="7680" w:type="dxa"/>
            <w:vAlign w:val="bottom"/>
          </w:tcPr>
          <w:p>
            <w:pPr>
              <w:ind w:left="1080"/>
              <w:spacing w:after="0"/>
              <w:rPr>
                <w:sz w:val="20"/>
                <w:szCs w:val="20"/>
                <w:color w:val="auto"/>
              </w:rPr>
            </w:pPr>
            <w:r>
              <w:rPr>
                <w:rFonts w:ascii="Arial" w:cs="Arial" w:eastAsia="Arial" w:hAnsi="Arial"/>
                <w:sz w:val="18"/>
                <w:szCs w:val="18"/>
                <w:color w:val="auto"/>
              </w:rPr>
              <w:t>Changes in operating lease assets and liabilities</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2,592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3,302</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6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Changes in advertising fund assets and liabilities, restricted</w:t>
            </w: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28,777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(5,352)</w:t>
            </w: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592,794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496,950</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394,171</w:t>
            </w:r>
          </w:p>
        </w:tc>
        <w:tc>
          <w:tcPr>
            <w:tcW w:w="120" w:type="dxa"/>
            <w:vAlign w:val="bottom"/>
          </w:tcPr>
          <w:p>
            <w:pPr>
              <w:spacing w:after="0"/>
              <w:rPr>
                <w:sz w:val="20"/>
                <w:szCs w:val="20"/>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68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(88,768)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(85,565)</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(119,888)</w:t>
            </w:r>
          </w:p>
        </w:tc>
      </w:tr>
      <w:tr>
        <w:trPr>
          <w:trHeight w:val="216"/>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investments (Note 9)</w:t>
            </w: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(40,000)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680" w:type="dxa"/>
            <w:vAlign w:val="bottom"/>
          </w:tcPr>
          <w:p>
            <w:pPr>
              <w:ind w:left="360"/>
              <w:spacing w:after="0"/>
              <w:rPr>
                <w:sz w:val="20"/>
                <w:szCs w:val="20"/>
                <w:color w:val="auto"/>
              </w:rPr>
            </w:pPr>
            <w:r>
              <w:rPr>
                <w:rFonts w:ascii="Arial" w:cs="Arial" w:eastAsia="Arial" w:hAnsi="Arial"/>
                <w:sz w:val="18"/>
                <w:szCs w:val="18"/>
                <w:color w:val="auto"/>
              </w:rPr>
              <w:t>Proceeds from sale of assets</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174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12,258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8,367</w:t>
            </w:r>
          </w:p>
        </w:tc>
      </w:tr>
      <w:tr>
        <w:trPr>
          <w:trHeight w:val="216"/>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Maturities of advertising fund investments, restricted</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50,152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94,007</w:t>
            </w:r>
          </w:p>
        </w:tc>
      </w:tr>
      <w:tr>
        <w:trPr>
          <w:trHeight w:val="216"/>
        </w:trPr>
        <w:tc>
          <w:tcPr>
            <w:tcW w:w="7680" w:type="dxa"/>
            <w:vAlign w:val="bottom"/>
          </w:tcPr>
          <w:p>
            <w:pPr>
              <w:ind w:left="360"/>
              <w:spacing w:after="0"/>
              <w:rPr>
                <w:sz w:val="20"/>
                <w:szCs w:val="20"/>
                <w:color w:val="auto"/>
              </w:rPr>
            </w:pPr>
            <w:r>
              <w:rPr>
                <w:rFonts w:ascii="Arial" w:cs="Arial" w:eastAsia="Arial" w:hAnsi="Arial"/>
                <w:sz w:val="18"/>
                <w:szCs w:val="18"/>
                <w:color w:val="auto"/>
              </w:rPr>
              <w:t>Purchases of advertising fund investments, restricted</w:t>
            </w:r>
          </w:p>
        </w:tc>
        <w:tc>
          <w:tcPr>
            <w:tcW w:w="2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(70,152)</w:t>
            </w:r>
          </w:p>
        </w:tc>
      </w:tr>
      <w:tr>
        <w:trPr>
          <w:trHeight w:val="216"/>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franchise operations and other assets</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(3,423)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680" w:type="dxa"/>
            <w:vAlign w:val="bottom"/>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(333)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(1,276)</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(591)</w:t>
            </w:r>
          </w:p>
        </w:tc>
      </w:tr>
      <w:tr>
        <w:trPr>
          <w:trHeight w:val="27"/>
        </w:trPr>
        <w:tc>
          <w:tcPr>
            <w:tcW w:w="768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(128,927)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(27,854)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(88,257)</w:t>
            </w:r>
          </w:p>
        </w:tc>
      </w:tr>
      <w:tr>
        <w:trPr>
          <w:trHeight w:val="223"/>
        </w:trPr>
        <w:tc>
          <w:tcPr>
            <w:tcW w:w="76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158,000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675,000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970,000</w:t>
            </w:r>
          </w:p>
        </w:tc>
      </w:tr>
      <w:tr>
        <w:trPr>
          <w:trHeight w:val="216"/>
        </w:trPr>
        <w:tc>
          <w:tcPr>
            <w:tcW w:w="7680" w:type="dxa"/>
            <w:vAlign w:val="bottom"/>
          </w:tcPr>
          <w:p>
            <w:pPr>
              <w:ind w:left="360"/>
              <w:spacing w:after="0"/>
              <w:rPr>
                <w:sz w:val="20"/>
                <w:szCs w:val="20"/>
                <w:color w:val="auto"/>
              </w:rPr>
            </w:pPr>
            <w:r>
              <w:rPr>
                <w:rFonts w:ascii="Arial" w:cs="Arial" w:eastAsia="Arial" w:hAnsi="Arial"/>
                <w:sz w:val="18"/>
                <w:szCs w:val="18"/>
                <w:color w:val="auto"/>
              </w:rPr>
              <w:t>Repayments of long-term debt and finance lease obligations</w:t>
            </w: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(202,058)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(92,085)</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(604,088)</w:t>
            </w:r>
          </w:p>
        </w:tc>
      </w:tr>
      <w:tr>
        <w:trPr>
          <w:trHeight w:val="216"/>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30,970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13,064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9,832</w:t>
            </w:r>
          </w:p>
        </w:tc>
      </w:tr>
      <w:tr>
        <w:trPr>
          <w:trHeight w:val="216"/>
        </w:trPr>
        <w:tc>
          <w:tcPr>
            <w:tcW w:w="7680" w:type="dxa"/>
            <w:vAlign w:val="bottom"/>
          </w:tcPr>
          <w:p>
            <w:pPr>
              <w:ind w:left="360"/>
              <w:spacing w:after="0"/>
              <w:rPr>
                <w:sz w:val="20"/>
                <w:szCs w:val="20"/>
                <w:color w:val="auto"/>
              </w:rPr>
            </w:pPr>
            <w:r>
              <w:rPr>
                <w:rFonts w:ascii="Arial" w:cs="Arial" w:eastAsia="Arial" w:hAnsi="Arial"/>
                <w:sz w:val="18"/>
                <w:szCs w:val="18"/>
                <w:color w:val="auto"/>
              </w:rPr>
              <w:t>Purchases of common stock</w:t>
            </w: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(304,590)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(699,007)</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(591,212)</w:t>
            </w:r>
          </w:p>
        </w:tc>
      </w:tr>
      <w:tr>
        <w:trPr>
          <w:trHeight w:val="216"/>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payments for restricted stock upon vesting</w:t>
            </w: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(6,803)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(5,951)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(6,962)</w:t>
            </w:r>
          </w:p>
        </w:tc>
      </w:tr>
      <w:tr>
        <w:trPr>
          <w:trHeight w:val="216"/>
        </w:trPr>
        <w:tc>
          <w:tcPr>
            <w:tcW w:w="7680" w:type="dxa"/>
            <w:vAlign w:val="bottom"/>
          </w:tcPr>
          <w:p>
            <w:pPr>
              <w:ind w:left="360"/>
              <w:spacing w:after="0"/>
              <w:rPr>
                <w:sz w:val="20"/>
                <w:szCs w:val="20"/>
                <w:color w:val="auto"/>
              </w:rPr>
            </w:pPr>
            <w:r>
              <w:rPr>
                <w:rFonts w:ascii="Arial" w:cs="Arial" w:eastAsia="Arial" w:hAnsi="Arial"/>
                <w:sz w:val="18"/>
                <w:szCs w:val="18"/>
                <w:color w:val="auto"/>
              </w:rPr>
              <w:t>Payments of common stock dividends and equivalents</w:t>
            </w: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(121,925)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(105,715)</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(92,166)</w:t>
            </w:r>
          </w:p>
        </w:tc>
      </w:tr>
      <w:tr>
        <w:trPr>
          <w:trHeight w:val="216"/>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financing costs</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(8,098)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(8,207)</w:t>
            </w: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(446,406</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(222,792)</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(322,803)</w:t>
            </w:r>
          </w:p>
        </w:tc>
        <w:tc>
          <w:tcPr>
            <w:tcW w:w="120" w:type="dxa"/>
            <w:vAlign w:val="bottom"/>
          </w:tcPr>
          <w:p>
            <w:pPr>
              <w:spacing w:after="0"/>
              <w:rPr>
                <w:sz w:val="20"/>
                <w:szCs w:val="20"/>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761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(538)</w:t>
            </w:r>
          </w:p>
        </w:tc>
      </w:tr>
      <w:tr>
        <w:trPr>
          <w:trHeight w:val="223"/>
        </w:trPr>
        <w:tc>
          <w:tcPr>
            <w:tcW w:w="7680" w:type="dxa"/>
            <w:vAlign w:val="bottom"/>
          </w:tcPr>
          <w:p>
            <w:pPr>
              <w:spacing w:after="0"/>
              <w:rPr>
                <w:sz w:val="20"/>
                <w:szCs w:val="20"/>
                <w:color w:val="auto"/>
              </w:rPr>
            </w:pPr>
            <w:r>
              <w:rPr>
                <w:rFonts w:ascii="Arial" w:cs="Arial" w:eastAsia="Arial" w:hAnsi="Arial"/>
                <w:sz w:val="18"/>
                <w:szCs w:val="18"/>
                <w:color w:val="auto"/>
              </w:rPr>
              <w:t>Change in cash and cash equivalents, restricted cash and cash equivalents</w:t>
            </w:r>
          </w:p>
        </w:tc>
        <w:tc>
          <w:tcPr>
            <w:tcW w:w="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246,505</w:t>
            </w: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(17,427)</w:t>
            </w:r>
          </w:p>
        </w:tc>
        <w:tc>
          <w:tcPr>
            <w:tcW w:w="12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190,615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25,438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35,768</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Restricted cash and cash equivalents, beginning of period</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209,269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166,993</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191,762</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included in advertising fund assets, restricted, beginning of period</w:t>
            </w: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84,040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44,988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27,316</w:t>
            </w:r>
          </w:p>
        </w:tc>
      </w:tr>
      <w:tr>
        <w:trPr>
          <w:trHeight w:val="209"/>
        </w:trPr>
        <w:tc>
          <w:tcPr>
            <w:tcW w:w="7680" w:type="dxa"/>
            <w:vAlign w:val="bottom"/>
          </w:tcPr>
          <w:p>
            <w:pPr>
              <w:spacing w:after="0"/>
              <w:rPr>
                <w:sz w:val="20"/>
                <w:szCs w:val="20"/>
                <w:color w:val="auto"/>
              </w:rPr>
            </w:pPr>
            <w:r>
              <w:rPr>
                <w:rFonts w:ascii="Arial" w:cs="Arial" w:eastAsia="Arial" w:hAnsi="Arial"/>
                <w:sz w:val="18"/>
                <w:szCs w:val="18"/>
                <w:color w:val="auto"/>
                <w:w w:val="99"/>
              </w:rPr>
              <w:t>Cash and cash equivalents, restricted cash and cash equivalents and cash and cash equivalents</w:t>
            </w:r>
          </w:p>
        </w:tc>
        <w:tc>
          <w:tcPr>
            <w:tcW w:w="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80" w:type="dxa"/>
            <w:vAlign w:val="bottom"/>
          </w:tcPr>
          <w:p>
            <w:pPr>
              <w:ind w:left="180"/>
              <w:spacing w:after="0"/>
              <w:rPr>
                <w:sz w:val="20"/>
                <w:szCs w:val="20"/>
                <w:color w:val="auto"/>
              </w:rPr>
            </w:pPr>
            <w:r>
              <w:rPr>
                <w:rFonts w:ascii="Arial" w:cs="Arial" w:eastAsia="Arial" w:hAnsi="Arial"/>
                <w:sz w:val="18"/>
                <w:szCs w:val="18"/>
                <w:color w:val="auto"/>
              </w:rPr>
              <w:t>included in advertising fund assets, restricted, beginning of period</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483,924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237,419</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254,846</w:t>
            </w:r>
          </w:p>
        </w:tc>
      </w:tr>
      <w:tr>
        <w:trPr>
          <w:trHeight w:val="20"/>
        </w:trPr>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168,821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190,615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25,438</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Restricted cash and cash equivalents, end of period</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217,453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209,269</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166,993</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included in advertising fund assets, restricted, end of period</w:t>
            </w: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115,872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84,040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44,988</w:t>
            </w:r>
          </w:p>
        </w:tc>
      </w:tr>
      <w:tr>
        <w:trPr>
          <w:trHeight w:val="209"/>
        </w:trPr>
        <w:tc>
          <w:tcPr>
            <w:tcW w:w="7680" w:type="dxa"/>
            <w:vAlign w:val="bottom"/>
          </w:tcPr>
          <w:p>
            <w:pPr>
              <w:spacing w:after="0"/>
              <w:rPr>
                <w:sz w:val="20"/>
                <w:szCs w:val="20"/>
                <w:color w:val="auto"/>
              </w:rPr>
            </w:pPr>
            <w:r>
              <w:rPr>
                <w:rFonts w:ascii="Arial" w:cs="Arial" w:eastAsia="Arial" w:hAnsi="Arial"/>
                <w:sz w:val="18"/>
                <w:szCs w:val="18"/>
                <w:color w:val="auto"/>
                <w:w w:val="99"/>
              </w:rPr>
              <w:t>Cash and cash equivalents, restricted cash and cash equivalents and cash and cash equivalents</w:t>
            </w:r>
          </w:p>
        </w:tc>
        <w:tc>
          <w:tcPr>
            <w:tcW w:w="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80" w:type="dxa"/>
            <w:vAlign w:val="bottom"/>
          </w:tcPr>
          <w:p>
            <w:pPr>
              <w:ind w:left="180"/>
              <w:spacing w:after="0"/>
              <w:rPr>
                <w:sz w:val="20"/>
                <w:szCs w:val="20"/>
                <w:color w:val="auto"/>
              </w:rPr>
            </w:pPr>
            <w:r>
              <w:rPr>
                <w:rFonts w:ascii="Arial" w:cs="Arial" w:eastAsia="Arial" w:hAnsi="Arial"/>
                <w:sz w:val="18"/>
                <w:szCs w:val="18"/>
                <w:color w:val="auto"/>
              </w:rPr>
              <w:t>included in advertising fund assets, restricted, end of period</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w w:val="89"/>
              </w:rPr>
              <w:t>$ 502,146</w:t>
            </w:r>
          </w:p>
        </w:tc>
        <w:tc>
          <w:tcPr>
            <w:tcW w:w="120" w:type="dxa"/>
            <w:vAlign w:val="bottom"/>
          </w:tcPr>
          <w:p>
            <w:pPr>
              <w:spacing w:after="0"/>
              <w:rPr>
                <w:sz w:val="20"/>
                <w:szCs w:val="20"/>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483,924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237,419</w:t>
            </w:r>
          </w:p>
        </w:tc>
      </w:tr>
      <w:tr>
        <w:trPr>
          <w:trHeight w:val="20"/>
        </w:trPr>
        <w:tc>
          <w:tcPr>
            <w:tcW w:w="7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140"/>
          </w:cols>
          <w:pgMar w:left="320" w:top="486" w:right="439" w:bottom="1440" w:gutter="0" w:footer="0" w:header="0"/>
        </w:sectPr>
      </w:pP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140"/>
          </w:cols>
          <w:pgMar w:left="320" w:top="486" w:right="4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left="120" w:right="5000" w:hanging="4"/>
        <w:spacing w:after="0" w:line="378" w:lineRule="auto"/>
        <w:tabs>
          <w:tab w:leader="none" w:pos="5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Summary of Significant Accounting Policies Description of Business</w:t>
      </w:r>
    </w:p>
    <w:p>
      <w:pPr>
        <w:ind w:left="120" w:right="40" w:firstLine="440"/>
        <w:spacing w:after="0" w:line="273" w:lineRule="auto"/>
        <w:rPr>
          <w:sz w:val="20"/>
          <w:szCs w:val="20"/>
          <w:color w:val="auto"/>
        </w:rPr>
      </w:pPr>
      <w:r>
        <w:rPr>
          <w:rFonts w:ascii="Arial" w:cs="Arial" w:eastAsia="Arial" w:hAnsi="Arial"/>
          <w:sz w:val="17"/>
          <w:szCs w:val="17"/>
          <w:color w:val="auto"/>
        </w:rPr>
        <w:t>Domino’s Pizza, Inc. (“DPI”), a Delaware corporation, conducts its operations and derives substantially all of its operating income and cash flows through its wholly-owned subsidiary, Domino’s, Inc. (“Domino’s”) and Domino’s wholly-owned subsidiary, Domino’s Pizza LLC (“DPLLC”). DPI and its wholly-owned subsidiaries (collectively, “the Company”) are primarily engaged in the following business activities: (i) retail sales of food through Company-owned Domino’s Pizza stores; (ii) sales of food, equipment and supplies to Company-owned and franchised Domino’s Pizza stores through Company-owned supply chain centers; (iii) receipt of royalties, advertising contributions and fees from U.S. Domino’s Pizza franchisees; and (iv) receipt of royalties and fees from international Domino’s Pizza franchisees.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DPI and its subsidiaries. All significant intercompany accounts and transactions have been eliminated.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Fiscal Year</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Company’s fiscal year ends on the Sunday closest to December 31. The 2020 fiscal year ended on January 3, 2021, the 2019 fiscal year ended on December 29, 2019 and the 2018 fiscal year ended on December 30, 2018. The 2020 fiscal year consisted of fifty-three weeks, and the 2019 and 2018 fiscal years each consisted of fifty-two weeks.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Cash equivalents consist of highly liquid investments with original maturities of three months or less at the date of purchase. These investments are carried at cost, which approximates fair value.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Cash and Cash Equivalents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Restricted cash and cash equivalents at January 3, 2021 included approximately $177.1 million of restricted cash and cash equivalents held for future principal and interest payments and other working capital requirements of the Company’s asset-backed securitization structure, $39.6 million of restricted cash equivalents held in a three-month interest reserve as required by the related debt agreements and $0.8 million of other restricted cash. As of January 3, 2021, the Company also held $115.9 million of advertising fund restricted cash and cash equivalents, which can only be used for activities that promote the Domino’s Pizza brand.</w:t>
      </w:r>
    </w:p>
    <w:p>
      <w:pPr>
        <w:spacing w:after="0" w:line="18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Restricted cash and cash equivalents at December 29, 2019 included $157.4 million of restricted cash and cash equivalents held for future principal and interest payments and other working capital requirements of the Company’s asset-backed securitization structure, $48.7 million of restricted cash equivalents held in a three-month interest reserve as required by the related debt agreements and $3.2 million of other restricted cash. As of December 29, 2019, the Company also held $84.0 million of advertising fund restricted cash and cash equivalents, which can only be used for activities that promote the Domino’s Pizza brand.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Allowances for Credit Losses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Company closely monitors accounts and notes receivable balances and estimates the allowance for credit losses. These estimates are based on historical collection experience and other factors, including those related to current market conditions and events. The Company’s allowances for accounts and notes receivable have not historically been material.</w:t>
      </w:r>
    </w:p>
    <w:p>
      <w:pPr>
        <w:spacing w:after="0" w:line="184"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The Company also monitors its off-balance sheet exposures under its letters of credit (Note 4), lease guarantees (Note 5) and surety bonds. Total conditional commitments under surety bonds were $11.0 million as of January 3, 2021 and $7.6 million as of December 29, 2019. None of these arrangements has had or is likely to have a material effect on the Company’s results of operations, financial condition, revenues, expenses or liquidity.</w:t>
      </w: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86"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(Continued)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Inventories are valued at the lower of cost (on a first-in, first-out basis) or net realizable value. Inventories at January 3, 2021 and December 29,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2019 were comprised of the following (in thousands):</w:t>
      </w:r>
    </w:p>
    <w:p>
      <w:pPr>
        <w:spacing w:after="0" w:line="243"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7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Food</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$57,116</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$49,304</w:t>
            </w:r>
          </w:p>
        </w:tc>
        <w:tc>
          <w:tcPr>
            <w:tcW w:w="4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Equipment and supplies</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9,567</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3,651</w:t>
            </w:r>
          </w:p>
        </w:tc>
      </w:tr>
      <w:tr>
        <w:trPr>
          <w:trHeight w:val="27"/>
        </w:trPr>
        <w:tc>
          <w:tcPr>
            <w:tcW w:w="67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66,683</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52,955</w:t>
            </w:r>
          </w:p>
        </w:tc>
      </w:tr>
      <w:tr>
        <w:trPr>
          <w:trHeight w:val="20"/>
        </w:trPr>
        <w:tc>
          <w:tcPr>
            <w:tcW w:w="67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Assets</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Current and long-term other assets primarily include prepaid expenses such as insurance, taxes, deposits, notes receivable, software licenses, implementation costs for software as a service arrangements, equity investments without readily determinable fair values, covenants not-to-compete and other intangible assets primarily arising from franchise acquisitions. Other long-term assets included an amortizable intangible asset associated with the acquisition of three U.S. franchise stores during 2019 (Note 13). This intangible asset had a net carrying value, inclusive of accumulated amortization, of $0.9 million and $1.3 million as of January 3, 2021 and December 29, 2019, respectively.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jc w:val="both"/>
        <w:ind w:left="120" w:right="640" w:firstLine="440"/>
        <w:spacing w:after="0" w:line="263" w:lineRule="auto"/>
        <w:rPr>
          <w:sz w:val="20"/>
          <w:szCs w:val="20"/>
          <w:color w:val="auto"/>
        </w:rPr>
      </w:pPr>
      <w:r>
        <w:rPr>
          <w:rFonts w:ascii="Arial" w:cs="Arial" w:eastAsia="Arial" w:hAnsi="Arial"/>
          <w:sz w:val="18"/>
          <w:szCs w:val="18"/>
          <w:color w:val="auto"/>
        </w:rPr>
        <w:t>Additions to property, plant and equipment are recorded at cost. Repair and maintenance costs are expensed as incurred. Depreciation and amortization expense are provided using the straight-line method over the estimated useful lives of the related assets. Estimated useful lives are generally as follows (in years):</w:t>
      </w:r>
    </w:p>
    <w:p>
      <w:pPr>
        <w:spacing w:after="0" w:line="225"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34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Leasehold and other improvements</w:t>
            </w:r>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ind w:left="20"/>
              <w:spacing w:after="0"/>
              <w:rPr>
                <w:sz w:val="20"/>
                <w:szCs w:val="20"/>
                <w:color w:val="auto"/>
              </w:rPr>
            </w:pPr>
            <w:r>
              <w:rPr>
                <w:rFonts w:ascii="Arial" w:cs="Arial" w:eastAsia="Arial" w:hAnsi="Arial"/>
                <w:sz w:val="18"/>
                <w:szCs w:val="18"/>
                <w:color w:val="auto"/>
                <w:w w:val="96"/>
              </w:rPr>
              <w:t>– 15</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15</w:t>
            </w:r>
          </w:p>
        </w:tc>
      </w:tr>
    </w:tbl>
    <w:p>
      <w:pPr>
        <w:spacing w:after="0" w:line="202"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Depreciation and amortization expense on property, plant and equipment was approximately $42.0 million, $37.1 million and $35.0 million in 2020, 2019 and 2018, respectively.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Impairments of Long-Lived Assets</w:t>
      </w:r>
    </w:p>
    <w:p>
      <w:pPr>
        <w:spacing w:after="0" w:line="121"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Company evaluates the potential impairment of long-lived assets at least annually based on various analyses including the projection of undiscounted cash flows and whenever events or changes in circumstances indicate that the carrying amount of the assets may not be recoverable. For Company-owned stores, the Company performs this evaluation on an operating market basis, which the Company has determined to be the lowest level for which identifiable cash flows are largely independent of other cash flows. If the carrying amount of a long-lived asset exceeds the amount of the expected future undiscounted cash flows of that asset, the Company estimates the fair value of the assets. If the carrying amount of the asset exceeds the estimated fair value of the asset, an impairment loss is recognized, and the asset is written down to its estimated fair value. The Company did not record any impairment losses on long-lived assets in 2020, 2019 and 2018.</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Investments in Marketable Securities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Investments in marketable securities consist of investments in various mutual funds made by eligible individuals as part of the Company’s deferred compensation plan (Note 8). These investments are stated at aggregate fair value, are restricted and have been placed in a rabbi trust whereby the amounts are irrevocably set aside to fund the Company’s obligations under the deferred compensation plan. The Company classifies and accounts for these investments in marketable securities as trading securities.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120" w:right="460" w:firstLine="440"/>
        <w:spacing w:after="0" w:line="342" w:lineRule="auto"/>
        <w:rPr>
          <w:sz w:val="20"/>
          <w:szCs w:val="20"/>
          <w:color w:val="auto"/>
        </w:rPr>
      </w:pPr>
      <w:r>
        <w:rPr>
          <w:rFonts w:ascii="Arial" w:cs="Arial" w:eastAsia="Arial" w:hAnsi="Arial"/>
          <w:sz w:val="16"/>
          <w:szCs w:val="16"/>
          <w:color w:val="auto"/>
        </w:rPr>
        <w:t>The Company’s goodwill amounts primarily relate to franchise store acquisitions and are not amortized. The Company performs its required impairment tests in the fourth quarter of each fiscal year and did not recognize any goodwill impairment charges in 2020, 2019 and 2018.</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86"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(Continued)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investments without readily determinable fair values</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Equity investments without readily determinable fair values are recorded at cost with adjustments for observable changes in prices resulting from orderly transactions for the identical or a similar investment of the same issuer or impairments and are classified as long-term other assets in the Company’s consolidated balance sheet. Any adjustments to the carrying amount are recognized in other income (expense), net in the Company’s consolidated statements of income.</w:t>
      </w:r>
    </w:p>
    <w:p>
      <w:pPr>
        <w:spacing w:after="0" w:line="18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The Company evaluates the potential impairment of its investments based on various analyses including financial results and operating trends, implied values from recent similar transactions and other relevant available information. If the carrying amount of the investment exceeds the estimated fair value of the investment, an impairment loss is recognized, and the investment is written down to its estimated fair value.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Capitalized Software</w:t>
      </w:r>
    </w:p>
    <w:p>
      <w:pPr>
        <w:spacing w:after="0" w:line="121"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Capitalized software is recorded at cost and includes purchased, internally-developed and externally-developed software used in the Company’s operations. Amortization expense is provided using the straight-line method over the estimated useful lives of the software, which range from one to seven years. Capitalized software amortization expense was approximately $23.0 million, $22.8 million and $18.7 million in 2020, 2019 and 2018, respectively. As of January 3, 2021, scheduled amortization for capitalized software that has been placed in service is approximately $20.5 million in 2021, $12.6 million in 2022, $4.3 million in 2023, $0.8 million in 2024, $0.5 million in 2025 and $0.2 million thereafter. As of January 3, 2021, the Company also had $42.4 million of capitalized software that had not yet been placed in service.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Debt Issuance Costs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Debt issuance costs are recorded as a reduction to the Company’s debt balance and primarily include the expenses incurred by the Company as part of the 2019, 2018, 2017 and 2015 Recapitalizations. See Note 4 for a description of the 2019, 2018, 2017 and 2015 Recapitalizations. Amortization is recorded on a straight-line basis (which is materially consistent with the effective interest method) over the expected terms of the respective debt instrument to which the costs relate and is included in interest expense.</w:t>
      </w:r>
    </w:p>
    <w:p>
      <w:pPr>
        <w:spacing w:after="0" w:line="187" w:lineRule="exact"/>
        <w:rPr>
          <w:sz w:val="20"/>
          <w:szCs w:val="20"/>
          <w:color w:val="auto"/>
        </w:rPr>
      </w:pPr>
    </w:p>
    <w:p>
      <w:pPr>
        <w:ind w:left="120" w:right="360" w:firstLine="440"/>
        <w:spacing w:after="0" w:line="286" w:lineRule="auto"/>
        <w:rPr>
          <w:sz w:val="20"/>
          <w:szCs w:val="20"/>
          <w:color w:val="auto"/>
        </w:rPr>
      </w:pPr>
      <w:r>
        <w:rPr>
          <w:rFonts w:ascii="Arial" w:cs="Arial" w:eastAsia="Arial" w:hAnsi="Arial"/>
          <w:sz w:val="17"/>
          <w:szCs w:val="17"/>
          <w:color w:val="auto"/>
        </w:rPr>
        <w:t>In connection with the 2019, 2018, 2017 and 2015 Recapitalizations, the Company recorded $8.1 million, $8.2 million, $16.8 million and $17.4 million of debt issuance costs, respectively. In connection with the 2018 Recapitalization, the Company repaid the 2015 Five-Year Fixed Rate Notes and expensed approximately $3.2 million for the remaining unamortized debt issuance costs associated with these notes.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Debt issuance cost expense was approximately $5.5 million, $4.7 million and $8.0 million in 2020, 2019 and 2018, respectively.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Insurance Reserves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Company has retention programs for workers’ compensation, general liability and owned and non-owned automobile liabilities for certain periods prior to December 1998 and for periods after December 2001. The Company is generally responsible for up to $2.0 million per occurrence under these retention programs for workers’ compensation and general liability exposures. The Company is also generally responsible for between $500,000 and $5.5 million per occurrence under these retention programs for owned and non-owned automobile liabilities depending on the year. Total insurance limits under these retention programs vary depending on the year covered and range up to $110.0 million per occurrence for general liability and owned and non-owned automobile liabilities and up to the applicable statutory limits for workers’ compensation.</w:t>
      </w:r>
    </w:p>
    <w:p>
      <w:pPr>
        <w:spacing w:after="0" w:line="178" w:lineRule="exact"/>
        <w:rPr>
          <w:sz w:val="20"/>
          <w:szCs w:val="20"/>
          <w:color w:val="auto"/>
        </w:rPr>
      </w:pPr>
    </w:p>
    <w:p>
      <w:pPr>
        <w:ind w:left="120" w:right="200" w:firstLine="440"/>
        <w:spacing w:after="0" w:line="255" w:lineRule="auto"/>
        <w:rPr>
          <w:sz w:val="20"/>
          <w:szCs w:val="20"/>
          <w:color w:val="auto"/>
        </w:rPr>
      </w:pPr>
      <w:r>
        <w:rPr>
          <w:rFonts w:ascii="Arial" w:cs="Arial" w:eastAsia="Arial" w:hAnsi="Arial"/>
          <w:sz w:val="18"/>
          <w:szCs w:val="18"/>
          <w:color w:val="auto"/>
        </w:rPr>
        <w:t>Insurance reserves relating to our retention programs are based on undiscounted actuarial estimates. These estimates are based on historical information and on certain assumptions about future events. Changes in assumptions for such factors as medical costs and legal actions, as well as changes in actual experience, could cause these estimates to change in the near term. The Company generally receives estimates of outstanding insurance exposures from its independent actuary twice per year and differences between these estimated actuarial exposures and the Company’s recorded amounts are adjusted as appropriate. The Company had reserves for these programs of $54.6 million and $50.3 million as of January 3, 2021 and December 29, 2019, respectively.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86"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(Continued)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addition, the Company maintains reserves for its share of employee health costs as part of the health care benefits offered to its employees.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Reserves are based on estimated claims incurred that have not yet been paid, based on historical claims and payment lag times.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 Liabilities</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Contract liabilities consist primarily of deferred franchise fees and deferred development fees. Deferred franchise fees and deferred development fees of $4.1 million and $4.2 million were included in current other accrued liabilities as of January 3, 2021 and December 29, 2019, respectively. Deferred franchise fees and deferred development fees of $15.0 million and $16.3 million were included in long-term other accrued liabilities as of January 3, 2021 and December 29, 2019, respectively.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Changes in deferred franchise fees and deferred development fees in 2020 and 2019 were as follows (in thousands):</w:t>
      </w:r>
    </w:p>
    <w:p>
      <w:pPr>
        <w:spacing w:after="0" w:line="25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21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Fiscal Year Ended</w:t>
            </w:r>
          </w:p>
        </w:tc>
      </w:tr>
      <w:tr>
        <w:trPr>
          <w:trHeight w:val="119"/>
        </w:trPr>
        <w:tc>
          <w:tcPr>
            <w:tcW w:w="626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w w:val="99"/>
              </w:rPr>
              <w:t>January 3,</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29,</w:t>
            </w:r>
          </w:p>
        </w:tc>
        <w:tc>
          <w:tcPr>
            <w:tcW w:w="100" w:type="dxa"/>
            <w:vAlign w:val="bottom"/>
          </w:tcPr>
          <w:p>
            <w:pPr>
              <w:spacing w:after="0"/>
              <w:rPr>
                <w:sz w:val="10"/>
                <w:szCs w:val="10"/>
                <w:color w:val="auto"/>
              </w:rPr>
            </w:pPr>
          </w:p>
        </w:tc>
      </w:tr>
      <w:tr>
        <w:trPr>
          <w:trHeight w:val="171"/>
        </w:trPr>
        <w:tc>
          <w:tcPr>
            <w:tcW w:w="62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09"/>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Deferred franchise fees and deferred development fees at beginning of period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$ 20,463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Revenue recognized during the period</w:t>
            </w:r>
          </w:p>
        </w:tc>
        <w:tc>
          <w:tcPr>
            <w:tcW w:w="1160" w:type="dxa"/>
            <w:vAlign w:val="bottom"/>
            <w:gridSpan w:val="3"/>
          </w:tcPr>
          <w:p>
            <w:pPr>
              <w:jc w:val="right"/>
              <w:ind w:right="440"/>
              <w:spacing w:after="0"/>
              <w:rPr>
                <w:sz w:val="20"/>
                <w:szCs w:val="20"/>
                <w:color w:val="auto"/>
              </w:rPr>
            </w:pPr>
            <w:r>
              <w:rPr>
                <w:rFonts w:ascii="Arial" w:cs="Arial" w:eastAsia="Arial" w:hAnsi="Arial"/>
                <w:sz w:val="18"/>
                <w:szCs w:val="18"/>
                <w:color w:val="auto"/>
              </w:rPr>
              <w:t>(6,205)</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(5,695)</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New deferrals due to cash received and other</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4,832</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6,258</w:t>
            </w: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Deferred franchise fees and deferred development fees at end of period</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$ 19,090</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20,463</w:t>
            </w:r>
          </w:p>
        </w:tc>
        <w:tc>
          <w:tcPr>
            <w:tcW w:w="10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The Company expects to recognize revenue of $4.1 million in 2021, $3.0 million in 2022, $2.7 million in 2023, $2.4 million in 2024, $2.0 million in 2025 and $4.9 million thereafter associated with the total deferred franchise fee and deferred development fee amount above.</w:t>
      </w:r>
    </w:p>
    <w:p>
      <w:pPr>
        <w:spacing w:after="0" w:line="146"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 Company has applied the sales-based royalty exemption which permits exclusion of variable consideration in the form of sales-based royalties from the disclosure of remaining performance obligations.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Accrued Liabilities</w:t>
      </w:r>
    </w:p>
    <w:p>
      <w:pPr>
        <w:spacing w:after="0" w:line="121"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Current and long-term other accrued liabilities primarily include accruals for income, sales, property and other taxes, legal reserves, store operating expenses, dividends payable and deferred compensation liabilities.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Company’s foreign entities use their local currency as the functional currency. For these entities, the Company translates net assets into U.S. dollars at year end exchange rates, while income and expense accounts are translated at average annual exchange rates. Currency translation adjustments are included in accumulated other comprehensive income (loss) and foreign currency transaction gains and losses are included in determining net income.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U.S. Company-owned stores revenues are comprised of retail sales of food through Company-owned Domino’s Pizza stores located in the U.S. and are recognized when the items are delivered to or carried out by customers. Customer payments are generally due at the time of sale. Sales taxes related to these sales are collected from customers and remitted to the appropriate taxing authority and are not reflected in the Company’s consolidated statements of income as revenue.</w:t>
      </w:r>
    </w:p>
    <w:p>
      <w:pPr>
        <w:spacing w:after="0" w:line="18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U.S. franchise royalties and fees are primarily comprised of royalties and fees from Domino’s Pizza franchisees with operations in the U.S. Each franchisee is generally required to pay a 5.5% royalty fee on sales. In certain instances, the Company will collect lower rates based on area development agreements, sales initiatives, store relocation incentives and new store incentives. Royalty revenues are based on a percentage of franchise retail sales and are recognized when the items are delivered to or carried out by franchisees’ customers. U.S. franchise fee revenue primarily relates</w:t>
      </w:r>
    </w:p>
    <w:p>
      <w:pPr>
        <w:spacing w:after="0" w:line="1"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to per-transaction technology fees that are recognized as the related sales occur. Payments for U.S. royalties and fees are generally due within seven days of the prior week end date.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86"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(Continued)</w:t>
      </w:r>
    </w:p>
    <w:p>
      <w:pPr>
        <w:spacing w:after="0" w:line="143"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Supply chain revenues are primarily comprised of sales of food, equipment and supplies to franchised Domino’s Pizza stores located in the U.S. and Canada. Revenues from the sale of food are recognized upon delivery of the food to franchisees and payments for food purchases are generally due within 30 days of the shipping date. Revenues from the sale of equipment and supplies are recognized upon delivery or shipment of the related products to franchisees, based on shipping terms, and payments for equipment and supplies are generally due within 90 days of the shipping date. The Company also offers profit sharing rebates and volume discounts to its franchisees. Obligations for profit sharing rebates are calculated based on actual results of its supply chain centers and are recognized as a reduction to revenue. Volume discounts are based on annual sales. The Company estimates the amount that will be earned and records a reduction to revenue.</w:t>
      </w:r>
    </w:p>
    <w:p>
      <w:pPr>
        <w:spacing w:after="0" w:line="17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International franchise royalties and fees are primarily comprised of royalties and fees from Domino’s Pizza franchisees outside of the U.S. Royalty revenues are recognized when the items are delivered to or carried out by franchisees’ customers. Store opening fees received from international franchisees are recognized as revenue on a straight-line basis over the term of each respective franchise store agreement, which is typically ten years. Development fees received from international master franchisees are also deferred when amounts are received and are recognized as revenue on a straight-line basis over the term of the respective master franchise agreement, which is typically ten years. International franchise fee revenue primarily relates to per-transaction technology fees that are recognized as the related sales occur. International franchise royalties and fees are invoiced at least quarterly and payments are generally due within 60 days.</w:t>
      </w:r>
    </w:p>
    <w:p>
      <w:pPr>
        <w:spacing w:after="0" w:line="17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U.S. franchise advertising revenues are comprised of contributions from Domino’s Pizza franchisees with operations in the U.S. to the Domino’s National Advertising Fund Inc. (“DNAF”), the Company’s consolidated not-for-profit subsidiary that administers the Domino’s Pizza system’s national and market level advertising activities in the U.S. Each franchisee is generally required to contribute 6% of their retail sales to fund national marketing and advertising campaigns (subject, in certain instances, to lower rates based on certain incentives and waivers). These revenues are recognized when items are delivered to or carried out by franchisees’ customers. Payments for U.S. franchise advertising revenues are generally due within seven days of the prior week end date. Although these revenues are restricted to be used only for advertising and promotional activities to benefit franchised stores, the Company has determined there are not performance obligations associated with the franchise advertising contributions received by DNAF that are separate from its U.S. royalty payment stream and as a result, these franchise contributions and the related expenses are presented gross in the Company’s consolidated statements of income.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Current accounting standards require that companies disaggregate revenue from contracts with customers into categories that depict how the nature, amount, timing, and uncertainty of revenue and cash flows are affected by economic factors. The Company has included its revenues disaggregated in its consolidated statements of income to satisfy this requirement.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Supply Chain Profit-Sharing Arrangements</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Company enters into profit-sharing arrangements with U.S. and Canadian stores that purchase all of their food from the Company’s supply chain centers. These profit-sharing arrangements generally offer Company-owned stores and participating franchisees with 50% (or a higher percentage in the case of Company-owned stores and certain franchisees who operate a larger number of stores) of the pre-tax profit from the Company’s supply chain center operations. Profit-sharing obligations are recorded as a revenue reduction in supply chain in the same period as the related revenues and costs are recorded, and were $169.0 million, $143.5 million and $132.7 million in 2020, 2019 and 2018, respectively.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Advertising</w:t>
      </w:r>
    </w:p>
    <w:p>
      <w:pPr>
        <w:spacing w:after="0" w:line="12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U.S. stores (Note 12) are generally required to contribute 6% of sales to DNAF. U.S. franchise advertising costs are accrued and expensed when the related U.S. franchise advertising revenues are recognized, as DNAF is obligated to expend such revenues on advertising. U.S. franchise advertising costs expended by DNAF are included in U.S. franchise advertising expenses in the Company’s consolidated statements of income. Advertising costs funded by Company-owned stores are generally expensed as incurred and are included in general and administrative expense. Contributions from Company-owned stores that have not yet been expended are included in advertising fund assets, restricted on the Company’s consolidated balance sheet.</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86"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(Continued)</w:t>
      </w:r>
    </w:p>
    <w:p>
      <w:pPr>
        <w:spacing w:after="0" w:line="143"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Advertising expense included $462.2 million, $390.8 million and $358.5 million of U.S. franchise advertising expense in 2020, 2019 and 2018, respectively. Advertising expense also included $35.7 million, $37.6 million and $43.4 million in 2020, 2019 and 2018, respectively, primarily related to advertising costs funded by U.S. Company-owned stores which is included in general and administrative expense in the consolidated statements of income.</w:t>
      </w:r>
    </w:p>
    <w:p>
      <w:pPr>
        <w:spacing w:after="0" w:line="18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As of January 3, 2021, advertising fund assets, restricted of $147.7 million consisted of $115.9 million of cash and cash equivalents, $27.0 million of accounts receivable and $4.8 million of prepaid expenses. As of January 3, 2021, advertising fund cash and cash equivalents included $6.5 million of cash contributed from U.S. Company-owned stores that had not yet been expended.</w:t>
      </w:r>
    </w:p>
    <w:p>
      <w:pPr>
        <w:spacing w:after="0" w:line="184" w:lineRule="exact"/>
        <w:rPr>
          <w:sz w:val="20"/>
          <w:szCs w:val="20"/>
          <w:color w:val="auto"/>
        </w:rPr>
      </w:pPr>
    </w:p>
    <w:p>
      <w:pPr>
        <w:ind w:left="120" w:right="580" w:firstLine="440"/>
        <w:spacing w:after="0" w:line="286" w:lineRule="auto"/>
        <w:rPr>
          <w:sz w:val="20"/>
          <w:szCs w:val="20"/>
          <w:color w:val="auto"/>
        </w:rPr>
      </w:pPr>
      <w:r>
        <w:rPr>
          <w:rFonts w:ascii="Arial" w:cs="Arial" w:eastAsia="Arial" w:hAnsi="Arial"/>
          <w:sz w:val="17"/>
          <w:szCs w:val="17"/>
          <w:color w:val="auto"/>
        </w:rPr>
        <w:t>As of December 29, 2019, advertising fund assets, restricted of $105.4 million consisted of $84.0 million of cash and cash equivalents, $15.3 million of accounts receivable and $6.1 million of prepaid expenses. As of December 29, 2019, advertising fund cash and cash equivalents included $3.5 million of cash contributed from U.S. Company-owned stores that had not yet been expended.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The Company leases certain retail store and supply chain center locations, supply chain vehicles, equipment and its corporate headquarters. The Company determines whether an arrangement is or contains a lease at contract inception. The majority of the Company’s leases are classified as operating leases, which are included in operating lease right-of-use assets and operating lease liabilities in the Company’s consolidated balance sheet. Finance leases are included in property, plant and equipment, current portion of long-term debt and long-term debt on the Company’s consolidated balance sheet.</w:t>
      </w:r>
    </w:p>
    <w:p>
      <w:pPr>
        <w:spacing w:after="0" w:line="188" w:lineRule="exact"/>
        <w:rPr>
          <w:sz w:val="20"/>
          <w:szCs w:val="20"/>
          <w:color w:val="auto"/>
        </w:rPr>
      </w:pPr>
    </w:p>
    <w:p>
      <w:pPr>
        <w:jc w:val="both"/>
        <w:ind w:left="120" w:right="60" w:firstLine="440"/>
        <w:spacing w:after="0" w:line="279" w:lineRule="auto"/>
        <w:rPr>
          <w:sz w:val="20"/>
          <w:szCs w:val="20"/>
          <w:color w:val="auto"/>
        </w:rPr>
      </w:pPr>
      <w:r>
        <w:rPr>
          <w:rFonts w:ascii="Arial" w:cs="Arial" w:eastAsia="Arial" w:hAnsi="Arial"/>
          <w:sz w:val="17"/>
          <w:szCs w:val="17"/>
          <w:color w:val="auto"/>
        </w:rPr>
        <w:t>Right-of-use assets and lease liabilities are recognized based on the present value of the future minimum lease payments over the lease term at the commencement date for leases exceeding 12 months. Minimum lease payments include only the fixed lease component of the agreement, as well as any variable rate payments that depend on an index, initially measured using the index at the lease commencement date. Lease terms may include options to renew when it is reasonably certain that the Company will exercise that option.</w:t>
      </w:r>
    </w:p>
    <w:p>
      <w:pPr>
        <w:spacing w:after="0" w:line="171"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The Company estimates its incremental borrowing rate for each lease using a portfolio approach based on the respective weighted average term of the agreements. This estimation considers the market rates of the Company’s outstanding collateralized borrowings and interpolations of rates outside of the terms of the outstanding borrowings, including comparisons to comparable borrowings of similarly rated companies with longer term borrowings.</w:t>
      </w:r>
    </w:p>
    <w:p>
      <w:pPr>
        <w:spacing w:after="0" w:line="14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Operating lease expense is recognized on a straight-line basis over the lease term and is included in cost of sales or general and administrative expense. Amortization expense for finance leases is recognized on a straight-line basis over the lease term and is included in cost of sales or general and administrative expense. Interest expense for finance leases is recognized using the effective interest method. Variable lease payments that do not depend on a rate or index, payments associated with non-lease components and short-term rentals (leases with terms less than 12 months) are expensed as incurred.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 Dividends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Company declared dividends of approximately $122.2 million (or $3.12 per share) in 2020, approximately $105.6 million (or $2.60 per share) in 2019 and approximately $92.2 million (or $2.20 per share) in 2018. The Company paid dividends of approximately $121.9 million, $105.7 million and $92.2 million in 2020, 2019 and 2018, respectively.</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On February 24, 2021, the Company’s Board of Directors declared a quarterly dividend of $0.94 per common share payable on March 30, 2021 to shareholders of record at the close of business on March 15, 2021.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Options and Other Equity-Based Compensation Arrangements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cost of all of the Company’s stock options, as well as other equity-based compensation arrangements, is reflected in the financial statements based on the estimated fair value of the awards (Note 10).</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86"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(Continued)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The Company discloses two calculations of earnings per share (“EPS”): basic EPS and diluted EPS (Note 2). The numerator in calculating common stock basic and diluted EPS is consolidated net income. The denominator in calculating common stock basic EPS is the weighted average shares outstanding. The denominator in calculating common stock diluted EPS includes the additional dilutive effect of outstanding stock options, unvested restricted stock grants and unvested performance-based restricted stock grants.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Supplemental Disclosures of Cash Flow Information</w:t>
      </w:r>
    </w:p>
    <w:p>
      <w:pPr>
        <w:spacing w:after="0" w:line="121"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The Company paid interest of approximately $160.6 million, $142.3 million and $132.8 million during 2020, 2019 and 2018, respectively, on its Notes (Note 4). Cash paid for income taxes was approximately $60.4 million, $80.3 million and $71.7 million in 2020, 2019 and 2018.</w:t>
      </w:r>
    </w:p>
    <w:p>
      <w:pPr>
        <w:spacing w:after="0" w:line="14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Company had $4.3 million, $6.9 million and $3.8 million of non-cash investing activities related to accruals for capital expenditures at January 3, 2021, December 29, 2019 and December 30, 2018, respectively. The Company also had $0.7 million of non-cash investing activities related to lease incentives in 2020.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Recently Adopted Accounting Standards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Accounting Standards Update (“ASU”) 2016-13, Financial Instruments – Credit Losses (Topic 326)</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In June 2016, the Financial Accounting Standards Board (“FASB”) issued </w:t>
      </w:r>
      <w:r>
        <w:rPr>
          <w:rFonts w:ascii="Arial" w:cs="Arial" w:eastAsia="Arial" w:hAnsi="Arial"/>
          <w:sz w:val="17"/>
          <w:szCs w:val="17"/>
          <w:i w:val="1"/>
          <w:iCs w:val="1"/>
          <w:color w:val="auto"/>
        </w:rPr>
        <w:t>ASU 2016-13, Financial Instruments – 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 of Credit Losses on Financial Instruments </w:t>
      </w:r>
      <w:r>
        <w:rPr>
          <w:rFonts w:ascii="Arial" w:cs="Arial" w:eastAsia="Arial" w:hAnsi="Arial"/>
          <w:sz w:val="17"/>
          <w:szCs w:val="17"/>
          <w:color w:val="auto"/>
        </w:rPr>
        <w:t>(“ASC 326”). ASC 326 requires companies to measure credit losses utilizing a methodology</w:t>
      </w:r>
      <w:r>
        <w:rPr>
          <w:rFonts w:ascii="Arial" w:cs="Arial" w:eastAsia="Arial" w:hAnsi="Arial"/>
          <w:sz w:val="17"/>
          <w:szCs w:val="17"/>
          <w:i w:val="1"/>
          <w:iCs w:val="1"/>
          <w:color w:val="auto"/>
        </w:rPr>
        <w:t xml:space="preserve"> </w:t>
      </w:r>
      <w:r>
        <w:rPr>
          <w:rFonts w:ascii="Arial" w:cs="Arial" w:eastAsia="Arial" w:hAnsi="Arial"/>
          <w:sz w:val="17"/>
          <w:szCs w:val="17"/>
          <w:color w:val="auto"/>
        </w:rPr>
        <w:t>that reflects expected credit losses and requires a consideration of a broader range of reasonable and supportable information to inform credit loss estimates. The Company adopted this standard as of December 30, 2019, the first day of its 2020 fiscal year, using the modified retrospective approach and it did not have a material impact on its consolidated financial statements.</w:t>
      </w:r>
    </w:p>
    <w:p>
      <w:pPr>
        <w:spacing w:after="0" w:line="176"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effects of the changes made to the Company’s consolidated balance sheet as of December 30, 2019 for the adoption of ASC 326 were as follows: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Balance at</w:t>
            </w:r>
          </w:p>
        </w:tc>
        <w:tc>
          <w:tcPr>
            <w:tcW w:w="13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Adjustments</w:t>
            </w:r>
          </w:p>
        </w:tc>
        <w:tc>
          <w:tcPr>
            <w:tcW w:w="22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Balance at</w:t>
            </w:r>
          </w:p>
        </w:tc>
      </w:tr>
      <w:tr>
        <w:trPr>
          <w:trHeight w:val="149"/>
        </w:trPr>
        <w:tc>
          <w:tcPr>
            <w:tcW w:w="40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December 29,</w:t>
            </w:r>
          </w:p>
        </w:tc>
        <w:tc>
          <w:tcPr>
            <w:tcW w:w="24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Due to ASC</w:t>
            </w:r>
          </w:p>
        </w:tc>
        <w:tc>
          <w:tcPr>
            <w:tcW w:w="2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30,</w:t>
            </w:r>
          </w:p>
        </w:tc>
      </w:tr>
      <w:tr>
        <w:trPr>
          <w:trHeight w:val="171"/>
        </w:trPr>
        <w:tc>
          <w:tcPr>
            <w:tcW w:w="4080" w:type="dxa"/>
            <w:vAlign w:val="bottom"/>
          </w:tcPr>
          <w:p>
            <w:pPr>
              <w:spacing w:after="0"/>
              <w:rPr>
                <w:sz w:val="14"/>
                <w:szCs w:val="14"/>
                <w:color w:val="auto"/>
              </w:rPr>
            </w:pPr>
          </w:p>
        </w:tc>
        <w:tc>
          <w:tcPr>
            <w:tcW w:w="2400" w:type="dxa"/>
            <w:vAlign w:val="bottom"/>
            <w:gridSpan w:val="2"/>
          </w:tcPr>
          <w:p>
            <w:pPr>
              <w:jc w:val="center"/>
              <w:ind w:left="1413"/>
              <w:spacing w:after="0"/>
              <w:rPr>
                <w:sz w:val="20"/>
                <w:szCs w:val="20"/>
                <w:color w:val="auto"/>
              </w:rPr>
            </w:pPr>
            <w:r>
              <w:rPr>
                <w:rFonts w:ascii="Arial" w:cs="Arial" w:eastAsia="Arial" w:hAnsi="Arial"/>
                <w:sz w:val="14"/>
                <w:szCs w:val="14"/>
                <w:b w:val="1"/>
                <w:bCs w:val="1"/>
                <w:color w:val="auto"/>
                <w:w w:val="96"/>
              </w:rPr>
              <w:t>2019</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center"/>
              <w:ind w:right="93"/>
              <w:spacing w:after="0"/>
              <w:rPr>
                <w:sz w:val="20"/>
                <w:szCs w:val="20"/>
                <w:color w:val="auto"/>
              </w:rPr>
            </w:pPr>
            <w:r>
              <w:rPr>
                <w:rFonts w:ascii="Arial" w:cs="Arial" w:eastAsia="Arial" w:hAnsi="Arial"/>
                <w:sz w:val="14"/>
                <w:szCs w:val="14"/>
                <w:b w:val="1"/>
                <w:bCs w:val="1"/>
                <w:color w:val="auto"/>
                <w:w w:val="94"/>
              </w:rPr>
              <w:t>326</w:t>
            </w:r>
          </w:p>
        </w:tc>
        <w:tc>
          <w:tcPr>
            <w:tcW w:w="280" w:type="dxa"/>
            <w:vAlign w:val="bottom"/>
          </w:tcPr>
          <w:p>
            <w:pPr>
              <w:spacing w:after="0"/>
              <w:rPr>
                <w:sz w:val="14"/>
                <w:szCs w:val="14"/>
                <w:color w:val="auto"/>
              </w:rPr>
            </w:pPr>
          </w:p>
        </w:tc>
        <w:tc>
          <w:tcPr>
            <w:tcW w:w="1100" w:type="dxa"/>
            <w:vAlign w:val="bottom"/>
            <w:gridSpan w:val="2"/>
          </w:tcPr>
          <w:p>
            <w:pPr>
              <w:jc w:val="center"/>
              <w:ind w:left="133"/>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Current assets:</w:t>
            </w:r>
          </w:p>
        </w:tc>
        <w:tc>
          <w:tcPr>
            <w:tcW w:w="1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210,260</w:t>
            </w: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211,695</w:t>
            </w:r>
          </w:p>
        </w:tc>
        <w:tc>
          <w:tcPr>
            <w:tcW w:w="120" w:type="dxa"/>
            <w:vAlign w:val="bottom"/>
            <w:shd w:val="clear" w:color="auto" w:fill="CCEEFF"/>
          </w:tcPr>
          <w:p>
            <w:pPr>
              <w:spacing w:after="0"/>
              <w:rPr>
                <w:sz w:val="18"/>
                <w:szCs w:val="18"/>
                <w:color w:val="auto"/>
              </w:rPr>
            </w:pPr>
          </w:p>
        </w:tc>
      </w:tr>
      <w:tr>
        <w:trPr>
          <w:trHeight w:val="216"/>
        </w:trPr>
        <w:tc>
          <w:tcPr>
            <w:tcW w:w="4080" w:type="dxa"/>
            <w:vAlign w:val="bottom"/>
          </w:tcPr>
          <w:p>
            <w:pPr>
              <w:ind w:left="360"/>
              <w:spacing w:after="0"/>
              <w:rPr>
                <w:sz w:val="20"/>
                <w:szCs w:val="20"/>
                <w:color w:val="auto"/>
              </w:rPr>
            </w:pPr>
            <w:r>
              <w:rPr>
                <w:rFonts w:ascii="Arial" w:cs="Arial" w:eastAsia="Arial" w:hAnsi="Arial"/>
                <w:sz w:val="18"/>
                <w:szCs w:val="18"/>
                <w:color w:val="auto"/>
              </w:rPr>
              <w:t>Prepaid expenses and other</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19,129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19,133</w:t>
            </w:r>
          </w:p>
        </w:tc>
        <w:tc>
          <w:tcPr>
            <w:tcW w:w="12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08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12,521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12,548</w:t>
            </w:r>
          </w:p>
        </w:tc>
        <w:tc>
          <w:tcPr>
            <w:tcW w:w="120" w:type="dxa"/>
            <w:vAlign w:val="bottom"/>
          </w:tcPr>
          <w:p>
            <w:pPr>
              <w:spacing w:after="0"/>
              <w:rPr>
                <w:sz w:val="18"/>
                <w:szCs w:val="18"/>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10,073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9,709</w:t>
            </w:r>
          </w:p>
        </w:tc>
        <w:tc>
          <w:tcPr>
            <w:tcW w:w="12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Liabilities and stockholders’ deficit</w:t>
            </w:r>
          </w:p>
        </w:tc>
        <w:tc>
          <w:tcPr>
            <w:tcW w:w="1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4080" w:type="dxa"/>
            <w:vAlign w:val="bottom"/>
          </w:tcPr>
          <w:p>
            <w:pPr>
              <w:ind w:left="360"/>
              <w:spacing w:after="0"/>
              <w:rPr>
                <w:sz w:val="20"/>
                <w:szCs w:val="20"/>
                <w:color w:val="auto"/>
              </w:rPr>
            </w:pPr>
            <w:r>
              <w:rPr>
                <w:rFonts w:ascii="Arial" w:cs="Arial" w:eastAsia="Arial" w:hAnsi="Arial"/>
                <w:sz w:val="18"/>
                <w:szCs w:val="18"/>
                <w:color w:val="auto"/>
              </w:rPr>
              <w:t>Retained deficit</w:t>
            </w:r>
          </w:p>
        </w:tc>
        <w:tc>
          <w:tcPr>
            <w:tcW w:w="2660" w:type="dxa"/>
            <w:vAlign w:val="bottom"/>
            <w:gridSpan w:val="3"/>
          </w:tcPr>
          <w:p>
            <w:pPr>
              <w:jc w:val="right"/>
              <w:ind w:right="220"/>
              <w:spacing w:after="0"/>
              <w:rPr>
                <w:sz w:val="20"/>
                <w:szCs w:val="20"/>
                <w:color w:val="auto"/>
              </w:rPr>
            </w:pPr>
            <w:r>
              <w:rPr>
                <w:rFonts w:ascii="Arial" w:cs="Arial" w:eastAsia="Arial" w:hAnsi="Arial"/>
                <w:sz w:val="18"/>
                <w:szCs w:val="18"/>
                <w:color w:val="auto"/>
              </w:rPr>
              <w:t>(3,412,649)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1,102</w:t>
            </w:r>
          </w:p>
        </w:tc>
        <w:tc>
          <w:tcPr>
            <w:tcW w:w="280" w:type="dxa"/>
            <w:vAlign w:val="bottom"/>
          </w:tcPr>
          <w:p>
            <w:pPr>
              <w:spacing w:after="0"/>
              <w:rPr>
                <w:sz w:val="20"/>
                <w:szCs w:val="20"/>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(3,411,547)</w:t>
            </w:r>
          </w:p>
        </w:tc>
      </w:tr>
    </w:tbl>
    <w:p>
      <w:pPr>
        <w:spacing w:after="0" w:line="187" w:lineRule="exact"/>
        <w:rPr>
          <w:sz w:val="20"/>
          <w:szCs w:val="20"/>
          <w:color w:val="auto"/>
        </w:rPr>
      </w:pPr>
    </w:p>
    <w:p>
      <w:pPr>
        <w:jc w:val="both"/>
        <w:ind w:left="120" w:right="100" w:firstLine="440"/>
        <w:spacing w:after="0" w:line="296" w:lineRule="auto"/>
        <w:rPr>
          <w:sz w:val="20"/>
          <w:szCs w:val="20"/>
          <w:color w:val="auto"/>
        </w:rPr>
      </w:pPr>
      <w:r>
        <w:rPr>
          <w:rFonts w:ascii="Arial" w:cs="Arial" w:eastAsia="Arial" w:hAnsi="Arial"/>
          <w:sz w:val="16"/>
          <w:szCs w:val="16"/>
          <w:color w:val="auto"/>
        </w:rPr>
        <w:t>The Company recognized the cumulative effect of initially applying ASC 326 as an adjustment to the opening balance of retained deficit. The comparative information has not been restated and continues to be reported under the accounting standards in effect for that period. An adjustment to beginning retained deficit and a corresponding adjustment to the allowance for doubtful accounts and notes receivable of approximately $1.5 million was recorded on the date of adoption, representing the remeasurement of these accounts to the Company’s estimate for current expected credit losses. The adjustment to beginning retained deficit was also net of a $0.4 million adjustment to deferred income taxes.</w:t>
      </w:r>
    </w:p>
    <w:p>
      <w:pPr>
        <w:spacing w:after="0" w:line="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80"/>
          </w:cols>
          <w:pgMar w:left="320" w:top="486" w:right="5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(Continued)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ASU 2016-02, Leases (Topic 842)</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which requires a lessee to recognize assets and liabilities on the balance sheet for leases with lease terms greater than 12 months. On December 31, 2018, the first day of its fiscal 2019 year, the Company adopted ASC 842 using the modified retrospective method. The comparative information has not been restated and continues to be reported under the accounting standards in effect for those periods.</w:t>
      </w:r>
    </w:p>
    <w:p>
      <w:pPr>
        <w:spacing w:after="0" w:line="18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The adoption of ASC 842 had a material impact on the Company’s assets and liabilities due to the recognition of operating lease right-of-use assets and lease liabilities on its consolidated balance sheet. The Company elected the optional transition package, including practical expedients that permitted it not to reassess whether any expired or existing contracts are or contain leases, the classification of any expired or existing leases and initial direct costs of any existing leases, and accordingly, the adoption of ASC 842 did not have a material effect on the Company’s consolidated statement of income and consolidated statement of cash flows. Refer to Note 5 for additional disclosure related to the Company’s lease arrangements.</w:t>
      </w:r>
    </w:p>
    <w:p>
      <w:pPr>
        <w:spacing w:after="0" w:line="16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On December 31, 2018, the Company recorded an adjustment of $226.8 million for operating lease right-of-use assets and liabilities. The operating lease right-of-use assets recorded on the date of adoption were also net of a $7.9 million reclassification of other accrued liabilities and prepaid expenses representing previously deferred (prepaid) rent and lease incentives. The Company also derecognized $1.9 million of construction in progress and other long-term accrued liabilities associated with a new building that was completed and leased to the Company in the third quarter of 2019. During the construction phase, this lease was previously accounted for as a build-to-suit arrangement under prior lease accounting guidance.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ASU 2014-09, Revenue from Contracts with Customers (Topic 606)</w:t>
      </w:r>
    </w:p>
    <w:p>
      <w:pPr>
        <w:spacing w:after="0" w:line="117" w:lineRule="exact"/>
        <w:rPr>
          <w:sz w:val="20"/>
          <w:szCs w:val="20"/>
          <w:color w:val="auto"/>
        </w:rPr>
      </w:pPr>
    </w:p>
    <w:p>
      <w:pPr>
        <w:ind w:left="120" w:right="400" w:firstLine="440"/>
        <w:spacing w:after="0" w:line="257"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and has since issued various amendments which provide additional clarification and implementation guidance. This standard has been codified as ASC 606. This guidance outlines a single, comprehensive model for entities to use in accounting for revenue arising from contracts with customers and superseded most revenue recognition guidance issued by the FASB, including industry specific guidance. On January 1, 2018, the Company adopted ASC 606 using the modified retrospective method.</w:t>
      </w:r>
    </w:p>
    <w:p>
      <w:pPr>
        <w:spacing w:after="0" w:line="188"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The Company recognized the cumulative effect of initially applying ASC 606 as an adjustment to the opening balance of retained deficit. The comparative information has not been restated and continues to be reported under the accounting standards in effect for that period.</w:t>
      </w:r>
    </w:p>
    <w:p>
      <w:pPr>
        <w:spacing w:after="0" w:line="124"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The Company has determined that the store opening fees received from international franchisees do not relate to separate and distinct performance obligations from the franchise right and those upfront fees will therefore be recognized as revenue over the term of each respective franchise store agreement, which is typically 10 years. In the past, the Company recognized such fees as revenue when the related store opened. An adjustment to beginning retained deficit and a corresponding contract liability of approximately $15.0 million (of which $2.4 million was current and $12.6 million was long-term) was established on the date of adoption associated with the fees received through December 31, 2017 that would have been deferred and recognized over the term of each respective franchise store agreement if the new guidance had been applied in the past. A deferred tax asset of</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$3.5 million related to this contract liability was also established on the date of adoption.</w:t>
      </w:r>
    </w:p>
    <w:p>
      <w:pPr>
        <w:spacing w:after="0" w:line="21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Company has also determined that ASC 606 requires a gross presentation on the consolidated statement of income for franchisee contributions received by and related expenses of DNAF, the Company’s consolidated not-for-profit subsidiary. DNAF exists solely for the purpose of promoting the Domino’s Pizza brand in the U.S. Under prior accounting guidance, the Company had presented the restricted assets and liabilities of DNAF in its consolidated balance sheets and had determined that it acted as an agent for accounting purposes with regard to franchisee contributions and disbursements. As a result, the Company historically presented the activities of DNAF net in its consolidated statements of income and consolidated statements of cash flows.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86"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(Continued)</w:t>
      </w:r>
    </w:p>
    <w:p>
      <w:pPr>
        <w:spacing w:after="0" w:line="143"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Under the requirements of ASC 606, the Company determined that there are not performance obligations associated with the franchise advertising contributions received by DNAF that are separate from the Company’s U.S. royalty payment stream and as a result, these franchise contributions and the related expenses are presented gross in the Company’s consolidated statement of income and consolidated statement of cash flows. While this change materially impacted the gross amount of reported franchise revenues and expenses, the impact is generally expected to be an offsetting increase to both revenues and expenses such that the impact on income from operations and net income is not expected to be material. An adjustment to beginning retained deficit and advertising fund liabilities of approximately $6.4 million related to the timing of advertising expense recognition was recorded on the date of adoption. A deferred tax liability of approximately $1.6 million related to this adjustment was also established on the date of adoption.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ASU 2018-02, Income Statement – Reporting Comprehensive Income (Topic 220)</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Income Statement – Reporting Comprehensive Income (Topic 220): Reclassification of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 Effects from Accumulated Other Comprehensive Income </w:t>
      </w:r>
      <w:r>
        <w:rPr>
          <w:rFonts w:ascii="Arial" w:cs="Arial" w:eastAsia="Arial" w:hAnsi="Arial"/>
          <w:sz w:val="18"/>
          <w:szCs w:val="18"/>
          <w:color w:val="auto"/>
        </w:rPr>
        <w:t>(“ASU 2018-02”). The amendments in this updated standard allow a reclassification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accumulated other comprehensive income to retained earnings for stranded tax effects resulting from the Tax Cuts and Jobs Act of 2017. The Company adopted ASU 2018-02 in 2018 and, as a result, recorded a $0.4 million reclassification from accumulated other comprehensive loss to the beginning balance of retained deficit in 2018.</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Accounting Standards Not Yet Adopted</w:t>
      </w:r>
    </w:p>
    <w:p>
      <w:pPr>
        <w:spacing w:after="0" w:line="117"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The Company has considered all new accounting pronouncements issued by the FASB. The following represent accounting pronouncements that are applicable to the Company, but for which the Company has not yet completed its assessment or has not yet adopted as of January 3, 2021.</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ASU 2019-12, Income Taxes – Simplifying the Accounting for Income Taxes (Topic 740)</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which simplifies the accounting for income taxes. ASU 2019-12 is effective for fiscal years beginning after December 15, 2020, including applicable interim periods. The Company will adopt this accounting standard in the first quarter of 2021 and does not expect that it will have a material impact on its consolidated financial statements.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ASU 2020-04, Facilitation of the Effects of Reference Rate Reform on Financial Reporting (Topic 848)</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Reporting </w:t>
      </w:r>
      <w:r>
        <w:rPr>
          <w:rFonts w:ascii="Arial" w:cs="Arial" w:eastAsia="Arial" w:hAnsi="Arial"/>
          <w:sz w:val="16"/>
          <w:szCs w:val="16"/>
          <w:color w:val="auto"/>
        </w:rPr>
        <w:t>(“ASU 2020-04”), which provides temporary optional expedients and exceptions for applying generally accepted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principles to contracts, hedging relationships and other transactions affected by reference rate reform. The Company’s floating rate notes and variable funding notes bear interest at fluctuating interest rates based on LIBOR. If LIBOR ceases to exist, the Company may need to renegotiate its loan documents and the Company cannot predict what alternative index would be negotiated with its lenders. ASU 2020-04 is currently effective and upon adoption may be applied prospectively to contract modifications made on or before December 31, 2022. The Company is currently assessing the impact of adopting this standard but does not expect the adoption of this guidance to have a material impact on its consolidated financial statements.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86"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(Continued)</w:t>
      </w:r>
    </w:p>
    <w:p>
      <w:pPr>
        <w:spacing w:after="0" w:line="139" w:lineRule="exact"/>
        <w:rPr>
          <w:sz w:val="20"/>
          <w:szCs w:val="20"/>
          <w:color w:val="auto"/>
        </w:rPr>
      </w:pPr>
    </w:p>
    <w:p>
      <w:pPr>
        <w:ind w:left="540" w:hanging="424"/>
        <w:spacing w:after="0"/>
        <w:tabs>
          <w:tab w:leader="none" w:pos="5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computation of basic and diluted earnings per common share for 2020, 2019 and 2018 is as follows (in thousands, except share and per share amounts):</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0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w w:val="96"/>
              </w:rPr>
              <w:t>Net income available to common stockholders – basic and diluted</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491,296</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400,709</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color w:val="auto"/>
              </w:rPr>
              <w:t>Weighted average number of common shares</w:t>
            </w: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38,974,037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40,766,362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41,856,017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 basic</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Diluted weighted average number of common shares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39,640,791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41,923,062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43,331,278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 diluted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denominators used in calculating diluted earnings per share for common stock do not include 52,330 options to purchase common stock in 2020, 160,980 options to purchase common stock in 2019 and 76,686 options to purchase common stock in 2018, as the effect of including these options would be anti-dilutive. The denominator used in calculating diluted earnings per share for common stock does not include 28,570 shares subject to restricted stock awards in 2018, as the effect of including these shares would have been anti-dilutive. The denominators used in calculating diluted earnings per share for common stock do not include 68,159 restricted performance shares in 2020, 82,647 restricted performance shares in 2019 and 81,545 restricted performance shares in 2018 as the performance targets for these awards had not yet been met.</w:t>
      </w:r>
    </w:p>
    <w:p>
      <w:pPr>
        <w:spacing w:after="0" w:line="79" w:lineRule="exact"/>
        <w:rPr>
          <w:sz w:val="20"/>
          <w:szCs w:val="20"/>
          <w:color w:val="auto"/>
        </w:rPr>
      </w:pPr>
    </w:p>
    <w:p>
      <w:pPr>
        <w:ind w:left="540" w:hanging="424"/>
        <w:spacing w:after="0"/>
        <w:tabs>
          <w:tab w:leader="none" w:pos="5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Fair value measurements enable the reader of the financial statements to assess the inputs used to develop those measurements by establishing a hierarchy for ranking the quality and reliability of the information used to determine fair values. The Company classifies and discloses assets and liabilities carried at fair value in one of the following three categories:</w:t>
      </w:r>
    </w:p>
    <w:p>
      <w:pPr>
        <w:spacing w:after="0" w:line="184" w:lineRule="exact"/>
        <w:rPr>
          <w:sz w:val="20"/>
          <w:szCs w:val="20"/>
          <w:color w:val="auto"/>
        </w:rPr>
      </w:pPr>
    </w:p>
    <w:p>
      <w:pPr>
        <w:ind w:left="560"/>
        <w:spacing w:after="0"/>
        <w:tabs>
          <w:tab w:leader="none" w:pos="13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market prices in active markets for identical assets or liabilities.</w:t>
      </w:r>
    </w:p>
    <w:p>
      <w:pPr>
        <w:spacing w:after="0" w:line="23" w:lineRule="exact"/>
        <w:rPr>
          <w:sz w:val="20"/>
          <w:szCs w:val="20"/>
          <w:color w:val="auto"/>
        </w:rPr>
      </w:pPr>
    </w:p>
    <w:p>
      <w:pPr>
        <w:ind w:left="560"/>
        <w:spacing w:after="0"/>
        <w:tabs>
          <w:tab w:leader="none" w:pos="13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Observable market-based inputs or unobservable inputs that are corroborated by market data.</w:t>
      </w:r>
    </w:p>
    <w:p>
      <w:pPr>
        <w:spacing w:after="0" w:line="9" w:lineRule="exact"/>
        <w:rPr>
          <w:sz w:val="20"/>
          <w:szCs w:val="20"/>
          <w:color w:val="auto"/>
        </w:rPr>
      </w:pPr>
    </w:p>
    <w:p>
      <w:pPr>
        <w:ind w:left="560"/>
        <w:spacing w:after="0"/>
        <w:tabs>
          <w:tab w:leader="none" w:pos="13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that are not corroborated by market data.</w:t>
      </w:r>
    </w:p>
    <w:p>
      <w:pPr>
        <w:spacing w:after="0" w:line="211" w:lineRule="exact"/>
        <w:rPr>
          <w:sz w:val="20"/>
          <w:szCs w:val="20"/>
          <w:color w:val="auto"/>
        </w:rPr>
      </w:pPr>
    </w:p>
    <w:p>
      <w:pPr>
        <w:ind w:left="120" w:right="480" w:firstLine="440"/>
        <w:spacing w:after="0" w:line="301" w:lineRule="auto"/>
        <w:rPr>
          <w:sz w:val="20"/>
          <w:szCs w:val="20"/>
          <w:color w:val="auto"/>
        </w:rPr>
      </w:pPr>
      <w:r>
        <w:rPr>
          <w:rFonts w:ascii="Arial" w:cs="Arial" w:eastAsia="Arial" w:hAnsi="Arial"/>
          <w:sz w:val="16"/>
          <w:szCs w:val="16"/>
          <w:color w:val="auto"/>
        </w:rPr>
        <w:t>The fair values of the Company’s cash equivalents and investments in marketable securities are based on quoted prices in active markets for identical assets. The fair value of the Company’s Level 3 investment (Note 9) is not readily determinable. The fair value represents its cost with adjustments for observable changes in prices resulting from orderly transactions for the identical or a similar investment of the same issuer or impairments. The following table summarizes the carrying amounts and fair values of certain assets at January 3, 2021 (in thousands):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4"/>
                <w:szCs w:val="14"/>
                <w:b w:val="1"/>
                <w:bCs w:val="1"/>
                <w:color w:val="auto"/>
              </w:rPr>
              <w:t>At January 3, 2021</w:t>
            </w:r>
          </w:p>
        </w:tc>
        <w:tc>
          <w:tcPr>
            <w:tcW w:w="4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36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3"/>
                <w:szCs w:val="13"/>
                <w:color w:val="auto"/>
              </w:rPr>
            </w:pPr>
          </w:p>
        </w:tc>
        <w:tc>
          <w:tcPr>
            <w:tcW w:w="2600" w:type="dxa"/>
            <w:vAlign w:val="bottom"/>
            <w:tcBorders>
              <w:bottom w:val="single" w:sz="8" w:color="auto"/>
            </w:tcBorders>
            <w:gridSpan w:val="5"/>
          </w:tcPr>
          <w:p>
            <w:pPr>
              <w:jc w:val="right"/>
              <w:ind w:right="377"/>
              <w:spacing w:after="0" w:line="155" w:lineRule="exact"/>
              <w:rPr>
                <w:sz w:val="20"/>
                <w:szCs w:val="20"/>
                <w:color w:val="auto"/>
              </w:rPr>
            </w:pPr>
            <w:r>
              <w:rPr>
                <w:rFonts w:ascii="Arial" w:cs="Arial" w:eastAsia="Arial" w:hAnsi="Arial"/>
                <w:sz w:val="14"/>
                <w:szCs w:val="14"/>
                <w:b w:val="1"/>
                <w:bCs w:val="1"/>
                <w:color w:val="auto"/>
              </w:rPr>
              <w:t>Fair Value Estimated Using</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63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9"/>
              </w:rPr>
              <w:t>Level 1</w:t>
            </w:r>
          </w:p>
        </w:tc>
        <w:tc>
          <w:tcPr>
            <w:tcW w:w="4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5"/>
              </w:rPr>
              <w:t>Level 2</w:t>
            </w:r>
          </w:p>
        </w:tc>
        <w:tc>
          <w:tcPr>
            <w:tcW w:w="44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Level 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Inputs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5"/>
              </w:rPr>
              <w:t>Inputs</w:t>
            </w:r>
          </w:p>
        </w:tc>
        <w:tc>
          <w:tcPr>
            <w:tcW w:w="440" w:type="dxa"/>
            <w:vAlign w:val="bottom"/>
          </w:tcPr>
          <w:p>
            <w:pPr>
              <w:spacing w:after="0"/>
              <w:rPr>
                <w:sz w:val="14"/>
                <w:szCs w:val="14"/>
                <w:color w:val="auto"/>
              </w:rPr>
            </w:pPr>
          </w:p>
        </w:tc>
        <w:tc>
          <w:tcPr>
            <w:tcW w:w="6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209"/>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$151,502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$151,502</w:t>
            </w:r>
          </w:p>
        </w:tc>
        <w:tc>
          <w:tcPr>
            <w:tcW w:w="4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   —</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Restricted cash equivalents</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126,595</w:t>
            </w: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126,595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marketable securities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13,251</w:t>
            </w:r>
          </w:p>
        </w:tc>
        <w:tc>
          <w:tcPr>
            <w:tcW w:w="13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13,251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Advertising fund cash equivalents, restricted</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104,197</w:t>
            </w: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104,197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Investments (Note 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4"/>
              </w:rPr>
              <w:t>40,000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carrying amounts and fair values of certain assets at December 29, 2019 (in thousands):</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At December 29, 2019</w:t>
            </w:r>
          </w:p>
        </w:tc>
        <w:tc>
          <w:tcPr>
            <w:tcW w:w="4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3"/>
                <w:szCs w:val="13"/>
                <w:color w:val="auto"/>
              </w:rPr>
            </w:pPr>
          </w:p>
        </w:tc>
        <w:tc>
          <w:tcPr>
            <w:tcW w:w="2260" w:type="dxa"/>
            <w:vAlign w:val="bottom"/>
            <w:tcBorders>
              <w:bottom w:val="single" w:sz="8" w:color="auto"/>
            </w:tcBorders>
            <w:gridSpan w:val="5"/>
          </w:tcPr>
          <w:p>
            <w:pPr>
              <w:jc w:val="right"/>
              <w:ind w:right="196"/>
              <w:spacing w:after="0" w:line="155" w:lineRule="exact"/>
              <w:rPr>
                <w:sz w:val="20"/>
                <w:szCs w:val="20"/>
                <w:color w:val="auto"/>
              </w:rPr>
            </w:pPr>
            <w:r>
              <w:rPr>
                <w:rFonts w:ascii="Arial" w:cs="Arial" w:eastAsia="Arial" w:hAnsi="Arial"/>
                <w:sz w:val="14"/>
                <w:szCs w:val="14"/>
                <w:b w:val="1"/>
                <w:bCs w:val="1"/>
                <w:color w:val="auto"/>
              </w:rPr>
              <w:t>Fair Value Estimated Using</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0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right"/>
              <w:ind w:right="460"/>
              <w:spacing w:after="0" w:line="133" w:lineRule="exact"/>
              <w:rPr>
                <w:sz w:val="20"/>
                <w:szCs w:val="20"/>
                <w:color w:val="auto"/>
              </w:rPr>
            </w:pPr>
            <w:r>
              <w:rPr>
                <w:rFonts w:ascii="Arial" w:cs="Arial" w:eastAsia="Arial" w:hAnsi="Arial"/>
                <w:sz w:val="14"/>
                <w:szCs w:val="14"/>
                <w:b w:val="1"/>
                <w:bCs w:val="1"/>
                <w:color w:val="auto"/>
              </w:rPr>
              <w:t>Level 1</w:t>
            </w:r>
          </w:p>
        </w:tc>
        <w:tc>
          <w:tcPr>
            <w:tcW w:w="7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2"/>
              </w:rPr>
              <w:t>Level 2</w:t>
            </w:r>
          </w:p>
        </w:tc>
        <w:tc>
          <w:tcPr>
            <w:tcW w:w="4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6"/>
              </w:rPr>
              <w:t>Level 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Inputs</w:t>
            </w:r>
          </w:p>
        </w:tc>
        <w:tc>
          <w:tcPr>
            <w:tcW w:w="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Inputs</w:t>
            </w:r>
          </w:p>
        </w:tc>
        <w:tc>
          <w:tcPr>
            <w:tcW w:w="5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7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$180,459</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$180,459</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 —</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Restricted cash equivalents</w:t>
            </w:r>
          </w:p>
        </w:tc>
        <w:tc>
          <w:tcPr>
            <w:tcW w:w="3540" w:type="dxa"/>
            <w:vAlign w:val="bottom"/>
            <w:gridSpan w:val="3"/>
          </w:tcPr>
          <w:p>
            <w:pPr>
              <w:jc w:val="right"/>
              <w:ind w:right="140"/>
              <w:spacing w:after="0"/>
              <w:rPr>
                <w:sz w:val="20"/>
                <w:szCs w:val="20"/>
                <w:color w:val="auto"/>
              </w:rPr>
            </w:pPr>
            <w:r>
              <w:rPr>
                <w:rFonts w:ascii="Arial" w:cs="Arial" w:eastAsia="Arial" w:hAnsi="Arial"/>
                <w:sz w:val="18"/>
                <w:szCs w:val="18"/>
                <w:color w:val="auto"/>
              </w:rPr>
              <w:t>126,963</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126,963</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marketable securities</w:t>
            </w:r>
          </w:p>
        </w:tc>
        <w:tc>
          <w:tcPr>
            <w:tcW w:w="3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11,982</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11,982</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Advertising fund cash equivalents, restricted</w:t>
            </w:r>
          </w:p>
        </w:tc>
        <w:tc>
          <w:tcPr>
            <w:tcW w:w="3540" w:type="dxa"/>
            <w:vAlign w:val="bottom"/>
            <w:gridSpan w:val="3"/>
          </w:tcPr>
          <w:p>
            <w:pPr>
              <w:jc w:val="right"/>
              <w:ind w:right="140"/>
              <w:spacing w:after="0"/>
              <w:rPr>
                <w:sz w:val="20"/>
                <w:szCs w:val="20"/>
                <w:color w:val="auto"/>
              </w:rPr>
            </w:pPr>
            <w:r>
              <w:rPr>
                <w:rFonts w:ascii="Arial" w:cs="Arial" w:eastAsia="Arial" w:hAnsi="Arial"/>
                <w:sz w:val="18"/>
                <w:szCs w:val="18"/>
                <w:color w:val="auto"/>
              </w:rPr>
              <w:t>67,851</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67,851</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4080" w:type="dxa"/>
            <w:vAlign w:val="bottom"/>
          </w:tcPr>
          <w:p>
            <w:pPr>
              <w:spacing w:after="0"/>
              <w:rPr>
                <w:sz w:val="24"/>
                <w:szCs w:val="24"/>
                <w:color w:val="auto"/>
              </w:rPr>
            </w:pPr>
          </w:p>
        </w:tc>
        <w:tc>
          <w:tcPr>
            <w:tcW w:w="2720" w:type="dxa"/>
            <w:vAlign w:val="bottom"/>
          </w:tcPr>
          <w:p>
            <w:pPr>
              <w:jc w:val="right"/>
              <w:ind w:right="1570"/>
              <w:spacing w:after="0"/>
              <w:rPr>
                <w:sz w:val="20"/>
                <w:szCs w:val="20"/>
                <w:color w:val="auto"/>
              </w:rPr>
            </w:pPr>
            <w:r>
              <w:rPr>
                <w:rFonts w:ascii="Arial" w:cs="Arial" w:eastAsia="Arial" w:hAnsi="Arial"/>
                <w:sz w:val="18"/>
                <w:szCs w:val="18"/>
                <w:color w:val="auto"/>
              </w:rPr>
              <w:t>59</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6"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(Continued)</w:t>
      </w:r>
    </w:p>
    <w:p>
      <w:pPr>
        <w:spacing w:after="0" w:line="139" w:lineRule="exact"/>
        <w:rPr>
          <w:sz w:val="20"/>
          <w:szCs w:val="20"/>
          <w:color w:val="auto"/>
        </w:rPr>
      </w:pPr>
    </w:p>
    <w:p>
      <w:pPr>
        <w:ind w:left="120" w:right="7120" w:hanging="4"/>
        <w:spacing w:after="0" w:line="378" w:lineRule="auto"/>
        <w:tabs>
          <w:tab w:leader="none" w:pos="375"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Recapitalizations and Financing Arrangements 2019 Recapitalization</w:t>
      </w:r>
    </w:p>
    <w:p>
      <w:pPr>
        <w:ind w:left="120" w:right="140" w:firstLine="440"/>
        <w:spacing w:after="0" w:line="273" w:lineRule="auto"/>
        <w:rPr>
          <w:sz w:val="20"/>
          <w:szCs w:val="20"/>
          <w:color w:val="auto"/>
        </w:rPr>
      </w:pPr>
      <w:r>
        <w:rPr>
          <w:rFonts w:ascii="Arial" w:cs="Arial" w:eastAsia="Arial" w:hAnsi="Arial"/>
          <w:sz w:val="17"/>
          <w:szCs w:val="17"/>
          <w:color w:val="auto"/>
        </w:rPr>
        <w:t>On November 19, 2019, the Company completed a recapitalization (the “2019 Recapitalization”) in which certain of the Company’s subsidiaries issued $675.0 million Series 2019-1 3.668% Fixed Rate Senior Secured Notes, Class A-2 with an anticipated term of 10 years (the “2019 Fixed Rate Notes”) pursuant to an asset-backed securitization. The Company also entered into a revolving financing facility on the Closing Date, which allows for the issuance of up to $200.0 million Series 2019-1 Variable Funding Senior Secured Notes, Class A-1 (the “2019 Variable Funding Notes”) and certain other credit instruments, including letters of credit. The 2019 Fixed Rate Notes and the 2019 Variable Funding Notes are referred to collectively as the “2019 Notes.” Gross proceeds from the issuance of the 2019 Notes were $675.0 million.</w:t>
      </w:r>
    </w:p>
    <w:p>
      <w:pPr>
        <w:spacing w:after="0" w:line="17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proceeds from the 2019 Recapitalization were used to pre-fund a portion of the principal and interest payable on the 2019 Notes, pay transaction fees and expenses and repurchase and retire shares of the Company’s common stock. Additionally, in connection with the 2019 Recapitalization, the Company capitalized $8.1 million of debt issuance costs, which are being amortized into interest expense over the expected term of the 2019 Fixed Rate Notes.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2018 Recapitalization</w:t>
      </w:r>
    </w:p>
    <w:p>
      <w:pPr>
        <w:spacing w:after="0" w:line="121" w:lineRule="exact"/>
        <w:rPr>
          <w:sz w:val="20"/>
          <w:szCs w:val="20"/>
          <w:color w:val="auto"/>
        </w:rPr>
      </w:pPr>
    </w:p>
    <w:p>
      <w:pPr>
        <w:ind w:left="120" w:right="40" w:firstLine="440"/>
        <w:spacing w:after="0" w:line="274" w:lineRule="auto"/>
        <w:rPr>
          <w:sz w:val="20"/>
          <w:szCs w:val="20"/>
          <w:color w:val="auto"/>
        </w:rPr>
      </w:pPr>
      <w:r>
        <w:rPr>
          <w:rFonts w:ascii="Arial" w:cs="Arial" w:eastAsia="Arial" w:hAnsi="Arial"/>
          <w:sz w:val="17"/>
          <w:szCs w:val="17"/>
          <w:color w:val="auto"/>
        </w:rPr>
        <w:t>On April 24, 2018, the Company completed a recapitalization (the “2018 Recapitalization”) in which certain of the Company’s subsidiaries issued notes pursuant to an asset-backed securitization. The notes consist of $425.0 million Series 2018-1 4.116% Fixed Rate Senior Secured</w:t>
      </w:r>
    </w:p>
    <w:p>
      <w:pPr>
        <w:ind w:left="120" w:right="160"/>
        <w:spacing w:after="0" w:line="277" w:lineRule="auto"/>
        <w:rPr>
          <w:sz w:val="20"/>
          <w:szCs w:val="20"/>
          <w:color w:val="auto"/>
        </w:rPr>
      </w:pPr>
      <w:r>
        <w:rPr>
          <w:rFonts w:ascii="Arial" w:cs="Arial" w:eastAsia="Arial" w:hAnsi="Arial"/>
          <w:sz w:val="17"/>
          <w:szCs w:val="17"/>
          <w:color w:val="auto"/>
        </w:rPr>
        <w:t>Notes, Class A-2-I with an anticipated term of 7.5 years (the “2018 7.5-Year Fixed Rate Notes”), and $400.0 million Series 2018-1 4.328% Fixed Rate Senior Secured Notes, Class A-2-II with an anticipated term of 9.25 years (the “2018 9.25-Year Fixed Rate Notes” and, collectively with the 2018 7.5-Year Fixed Rate Notes, the “2018 Notes”). Gross proceeds from the issuance of the 2018 Notes were $825.0 million.</w:t>
      </w:r>
    </w:p>
    <w:p>
      <w:pPr>
        <w:spacing w:after="0" w:line="173"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proceeds from the 2018 Recapitalization were used to repay the remaining $490.1 million in outstanding principal and interest under the Company’s 2015 Five-Year Fixed Rate Notes, pre-fund a portion of the principal and interest payable on the 2018 Notes, pay transaction fees and expenses and repurchase and retire shares of the Company’s common stock. In connection with the repayment of the 2015 Five-Year Fixed Rate notes, the Company expensed approximately $3.2 million for the remaining unamortized debt issuance costs associated with these notes. Additionally, in connection with the 2018 Recapitalization, the Company capitalized $8.2 million of debt issuance costs, which are being amortized into interest expense over the expected terms of the 2018 Notes.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2017 Recapitalization</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On July 24, 2017, the Company completed a recapitalization (the “2017 Recapitalization”) in which certain of the Company’s subsidiaries issued notes pursuant to an asset-backed securitization. The notes consist of $300.0 million Series 2017-1 Floating Rate Senior Secured Notes, Class A-2-I with an anticipated term of five years (the “2017 Floating Rate Notes”), $600.0 million Series 2017-1 3.082% Fixed Rate Senior Secured Notes, Class A-2-II with an anticipated term of five years (the “2017 Five-Year Fixed Rate Notes”) and $1.0 billion Series 2017-1 4.118% Fixed Rate Senior Secured Notes, Class A-2-III with an anticipated term of ten years (the “2017 Ten-Year Fixed Rate Notes” and, collectively with the 2017 Floating Rate Notes and the 2017 Five-Year Fixed Rate Notes, the “2017 Notes”). The interest rate on the 2017 Floating Rate Notes is payable at a rate equal to LIBOR plus 125 basis points. Gross proceeds from the issuance of the 2017 Notes were $1.9 billion.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2015 Recapitalization</w:t>
      </w:r>
    </w:p>
    <w:p>
      <w:pPr>
        <w:spacing w:after="0" w:line="12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On October 21, 2015, the Company completed a recapitalization transaction (the “2015 Recapitalization”) in which certain of the Company’s subsidiaries issued notes pursuant to an asset-backed securitization. The notes consisted of $500.0 million Series 2015-1 3.484% Fixed Rate Senior Secured Notes, Class A-2-I (the “2015 Five-Year Fixed Rate Notes”) and $800.0 million Series 2015-1 4.474% Fixed Rate Senior Secured Notes, Class A-2-II (the “2015 Ten-Year Fixed Rate Notes” and, together with the 2015 Five-Year Fixed Rate Notes, the “2015 Notes”). Gross proceeds from the issuance of the 2015 Notes were $1.3 billion.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2019 Notes, 2018 Notes, 2017 Notes and 2015 Notes are collectively referred to as the “Notes.”</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86"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(Continued)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2019 Notes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2019 Fixed Rate Notes have original remaining scheduled principal payments of $6.8 million in each of 2021 through 2028 and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$614.3 million in 2029. During 2020, the Company made principal payments of approximately $6.8 million on the 2019 Fixed Rate Notes. As noted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below with respect to guarantees and covenants of the notes, as of the fourth quarter of 2020, the Company had a leverage ratio of less than 5.0x,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accordingly, did not make the previously scheduled debt amortization payment beginning in the first quarter of 2021.</w:t>
      </w:r>
    </w:p>
    <w:p>
      <w:pPr>
        <w:spacing w:after="0" w:line="21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legal final maturity date of the 2019 Fixed Rate Notes is October 2049, but it is anticipated that, unless earlier prepaid to the extent permitted under the related debt agreements, the 2019 Fixed Rate Notes will be repaid on or prior to the anticipated repayment date occurring in October 2029. If the Company has not repaid or refinanced the 2019 Fixed Rate Notes prior to the applicable anticipated repayment dates, additional interest of at least 5% per annum will accrue, as defined in the related agreements.</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2019 Variable Funding Notes allow for advances of up to $200.0 million and issuance of certain other credit instruments, including letters of credit. The letters of credit are primarily related to our casualty insurance programs and certain supply chain center leases. Interest on the 2019 Variable Funding Notes is payable at a per year rate equal to LIBOR plus 150 basis points. The 2019 Variable Funding Notes were undrawn at closing. The unused portion of the 2019 Variable Funding Notes is subject to a commitment fee ranging from 50 to 100 basis points depending on utilization. It is anticipated that any amounts outstanding on the 2019 Variable Funding Notes will be repaid in full on or prior to October 2024, subject to two additional one-year extensions at the option of the Company, subject to certain conditions. Following the anticipated repayment date (and any extensions thereof), additional interest will accrue on the 2019 Variable Funding Notes equal to 5% per annum.</w:t>
      </w:r>
    </w:p>
    <w:p>
      <w:pPr>
        <w:spacing w:after="0" w:line="17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Company borrowed and repaid $158.0 million under the 2019 Variable Funding Notes in 2020. As of January 3, 2021, the Company had no outstanding borrowings and $157.5 million of available borrowing capacity under its 2019 Variable Funding Notes, net of letters of credit issued of $42.5 million.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2018 Notes</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2018 Notes have original remaining scheduled principal payments of $8.3 million in each of 2021 through 2024, $402.4 million in 2025, $4.0 million in 2026 and $367.0 million in 2027. During 2020, the Company made principal payments of approximately $8.3 million on the 2018 Notes. As noted below with respect to guarantees and covenants of the notes, as of the fourth quarter of 2020, the Company had a leverage ratio of less than 5.0x, and accordingly, did not make the previously scheduled debt amortization payment beginning in the first quarter of 2021.</w:t>
      </w:r>
    </w:p>
    <w:p>
      <w:pPr>
        <w:spacing w:after="0" w:line="17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legal final maturity date of the 2018 Notes is July 2048, but it is anticipated that, unless earlier prepaid to the extent permitted under the related debt agreements, the 2018 7.5-Year Fixed Rate Notes will be repaid on or prior to the anticipated repayment date occurring in October 2025, and the 2018 9.25-Year Fixed Rate Notes will be repaid on or prior to the anticipated repayment date occurring in July 2027. If the Company has not repaid or refinanced the 2018 Notes prior to the applicable anticipated repayment dates, additional interest of at least 5% per annum will accrue, as defined in the related agreements.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2017 Notes</w:t>
      </w:r>
    </w:p>
    <w:p>
      <w:pPr>
        <w:spacing w:after="0" w:line="121"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The 2017 Notes have original remaining scheduled principal payments of $19.0 million in 2021, $874.0 million in 2022, $10.0 million in each of 2023 through 2026, and $910.0 million in 2027. During 2020, the Company made principal payments of approximately $19.0 million on the 2017 Notes. As noted below with respect to guarantees and covenants of the notes, as of the fourth quarter of 2020, the Company had a leverage ratio of less than 5.0x, and accordingly, did not make the previously scheduled debt amortization payment beginning in the first quarter of 2021.</w:t>
      </w:r>
    </w:p>
    <w:p>
      <w:pPr>
        <w:spacing w:after="0" w:line="15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legal final maturity date of the 2017 Notes is October 2047, but it is anticipated that, unless earlier prepaid to the extent permitted under the related debt agreements, the 2017 Floating Rate Notes and 2017 Five-Year Fixed Rate Notes will be repaid on or prior to the anticipated repayment date occurring in July 2022, and the 2017 Ten-Year Fixed Rate Notes will be repaid on or prior to the anticipated repayment date occurring in July 2027. If the Company has not repaid or refinanced the 2017 Notes prior to the applicable anticipated repayment dates, additional interest of at least 5% per annum will accrue, as defined in the related agreements.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86"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(Continued)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2015 Notes</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2015 Five-Year Fixed Rate Notes were repaid in connection with the 2018 Recapitalization. The 2015 Ten-Year Fixed Rate Notes have original remaining scheduled principal payments of $8.0 million in 2021 through 2024 and $734.0 million in 2025. During 2020, the Company made principal payments of approximately $8.0 million on the 2015 Ten-Year Fixed Rate Notes. As noted below with respect to guarantees and covenants of the notes, as of the fourth quarter of 2020, the Company had a leverage ratio of less than 5.0x, and accordingly, did not make the previously scheduled debt amortization payment beginning in the first quarter of 2021.</w:t>
      </w:r>
    </w:p>
    <w:p>
      <w:pPr>
        <w:spacing w:after="0" w:line="188" w:lineRule="exact"/>
        <w:rPr>
          <w:sz w:val="20"/>
          <w:szCs w:val="20"/>
          <w:color w:val="auto"/>
        </w:rPr>
      </w:pPr>
    </w:p>
    <w:p>
      <w:pPr>
        <w:ind w:left="120" w:right="340" w:firstLine="440"/>
        <w:spacing w:after="0" w:line="279" w:lineRule="auto"/>
        <w:rPr>
          <w:sz w:val="20"/>
          <w:szCs w:val="20"/>
          <w:color w:val="auto"/>
        </w:rPr>
      </w:pPr>
      <w:r>
        <w:rPr>
          <w:rFonts w:ascii="Arial" w:cs="Arial" w:eastAsia="Arial" w:hAnsi="Arial"/>
          <w:sz w:val="17"/>
          <w:szCs w:val="17"/>
          <w:color w:val="auto"/>
        </w:rPr>
        <w:t>The legal final maturity date of the 2015 Ten-Year Fixed Rate Notes is in October 2045, but it is anticipated that, unless earlier prepaid to the extent permitted under the related debt agreements, the 2015 Ten-Year Fixed Rate Notes will be repaid on or prior to the anticipated repayment date occurring in October 2025. If the Company has not repaid or refinanced the 2015 Ten-Year Fixed Rate Notes prior to the applicable anticipated repayment date, additional interest will accrue of at least 5% per annum, as defined in the related agreements.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Debt Issuance Costs and Transaction-Related Expenses</w:t>
      </w:r>
    </w:p>
    <w:p>
      <w:pPr>
        <w:spacing w:after="0" w:line="121"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During 2019 and in connection with the 2019 Recapitalization, the Company incurred $0.5 million of net pre-tax 2019 Recapitalization-related general and administrative expenses, including legal and professional fees. In connection with the 2019 Recapitalization, the Company recorded $8.1 million of debt issuance costs, which are being amortized into interest expense over the ten-year expected term of the 2019 Fixed Rate Notes.</w:t>
      </w:r>
    </w:p>
    <w:p>
      <w:pPr>
        <w:spacing w:after="0" w:line="14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During 2018 and in connection with the 2018 Recapitalization, the Company incurred approximately $3.8 million of net pre-tax expenses, primarily related to $3.2 million in expense related to the write-off of debt issuance costs associated with the repayment of the 2015 Five-Year Fixed Rate Notes. The Company also incurred approximately $0.1 million of interest expense on the 2015 Five-Year Fixed Rate Notes subsequent to the closing of the 2018 Recapitalization but prior to the repayment of the 2015 Five-Year Fixed Rate Notes, resulting in the payment of interest on both the full amount of the 2015 Five-Year Fixed Rate Notes and 2018 Notes for a short period of time. Further, the Company incurred $0.5 million of other net 2018 Recapitalization-related general and administrative expenses, including legal and professional fees. In connection with the 2018 Recapitalization, the Company recorded $8.2 million of debt issuance costs, which are being amortized into interest expense over the 7.5 and 9.25-year expected terms of the 2018 Notes.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Guarantees and Covenants of the Notes</w:t>
      </w:r>
    </w:p>
    <w:p>
      <w:pPr>
        <w:spacing w:after="0" w:line="121"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The Notes are guaranteed by certain subsidiaries of DPLLC and secured by a security interest in substantially all of the assets of the Company, including royalty and certain other income from all U.S. and international stores, U.S. supply chain income and intellectual property. The restrictions placed on the Company’s subsidiaries require that the Company’s principal and interest obligations have first priority and amounts are segregated weekly to ensure appropriate funds are reserved to pay the quarterly principal and interest amounts due. The amount of weekly cash flow that exceeds the required weekly principal and interest reserve is generally remitted to the Company in the form of a dividend. However, once the required obligations are satisfied, there are no further restrictions, including payment of dividends, on the cash flows of the subsidiaries.</w:t>
      </w:r>
    </w:p>
    <w:p>
      <w:pPr>
        <w:spacing w:after="0" w:line="16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Notes are subject to certain financial and non-financial covenants, including a debt service coverage ratio calculation, as defined in the related agreements. The covenants, among other things, may limit the ability of certain of the Company’s subsidiaries to declare dividends, make loans or advances or enter into transactions with affiliates. In the event that certain covenants are not met, the Notes may become partially or fully due and payable on an accelerated schedule. In addition, the Company may voluntarily prepay, in part or in full, the Notes at any time, subject to certain make-whole interest obligations.</w:t>
      </w:r>
    </w:p>
    <w:p>
      <w:pPr>
        <w:spacing w:after="0" w:line="18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While the Notes are outstanding, scheduled payments of principal and interest are required to be made on a quarterly basis. The payment of principal of the 2019 Fixed Rate Notes, 2018 Notes, the 2017 Notes and the 2015 Notes may be suspended if the leverage ratio for the Company is less than or equal to 5.0x total debt, as defined, to adjusted EBITDA, as defined. Scheduled principal payments will resume upon failure to satisfy the aforementioned leverage ratio on an ongoing basis and no catch-up provisions are applicable.</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86"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As of the fourth quarter of 2020, the Company had a leverage ratio of less than 5.0x, and accordingly, did not make the previously scheduled debt amortization payment beginning in the first quarter of 2021, and the Company does not intend to make any scheduled dept principal payments in 2021 while the leverage ratio is less than 5.0x. Accordingly, all principal amounts of the outstanding 2019 Fixed Rate Notes, 2018 Notes, the 2017 Notes and the 2015 Notes have been classified as long-term debt in the consolidated balance sheet as of January 3, 2021.</w:t>
      </w:r>
    </w:p>
    <w:p>
      <w:pPr>
        <w:spacing w:after="0" w:line="90"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During the third quarter of 2019, the Company had a leverage ratio of less than 5.0x, and, in accordance with the Company’s debt agreements, ceased debt amortization payments in the fourth quarter of 2019. Subsequent to the 2019 Recapitalization, the Company’s leverage ratios exceeded the leverage ratio of 5.0x and, accordingly, the Company resumed making the scheduled amortization payments on the Notes in the first quarter of 2020.</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Long-Term Debt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January 3, 2021 and December 29, 2019, consolidated long-term debt consisted of the following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86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2015</w:t>
            </w:r>
          </w:p>
        </w:tc>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Ten-Year Fixed Rate Notes</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766,000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774,000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2017</w:t>
            </w:r>
          </w:p>
        </w:tc>
        <w:tc>
          <w:tcPr>
            <w:tcW w:w="5900" w:type="dxa"/>
            <w:vAlign w:val="bottom"/>
            <w:gridSpan w:val="2"/>
          </w:tcPr>
          <w:p>
            <w:pPr>
              <w:ind w:left="20"/>
              <w:spacing w:after="0"/>
              <w:rPr>
                <w:sz w:val="20"/>
                <w:szCs w:val="20"/>
                <w:color w:val="auto"/>
              </w:rPr>
            </w:pPr>
            <w:r>
              <w:rPr>
                <w:rFonts w:ascii="Arial" w:cs="Arial" w:eastAsia="Arial" w:hAnsi="Arial"/>
                <w:sz w:val="18"/>
                <w:szCs w:val="18"/>
                <w:color w:val="auto"/>
              </w:rPr>
              <w:t>Five-Year Fixed Rate Notes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582,000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588,000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2017</w:t>
            </w:r>
          </w:p>
        </w:tc>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Ten-Year Fixed Rate Notes</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970,000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980,000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2017</w:t>
            </w:r>
          </w:p>
        </w:tc>
        <w:tc>
          <w:tcPr>
            <w:tcW w:w="5900" w:type="dxa"/>
            <w:vAlign w:val="bottom"/>
            <w:gridSpan w:val="2"/>
          </w:tcPr>
          <w:p>
            <w:pPr>
              <w:ind w:left="20"/>
              <w:spacing w:after="0"/>
              <w:rPr>
                <w:sz w:val="20"/>
                <w:szCs w:val="20"/>
                <w:color w:val="auto"/>
              </w:rPr>
            </w:pPr>
            <w:r>
              <w:rPr>
                <w:rFonts w:ascii="Arial" w:cs="Arial" w:eastAsia="Arial" w:hAnsi="Arial"/>
                <w:sz w:val="18"/>
                <w:szCs w:val="18"/>
                <w:color w:val="auto"/>
              </w:rPr>
              <w:t>Five-Year Floating Rate Notes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291,000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294,000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2018</w:t>
            </w:r>
          </w:p>
        </w:tc>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7.5-Year Fixed Rate Notes</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415,438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419,688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2018</w:t>
            </w:r>
          </w:p>
        </w:tc>
        <w:tc>
          <w:tcPr>
            <w:tcW w:w="5900" w:type="dxa"/>
            <w:vAlign w:val="bottom"/>
            <w:gridSpan w:val="2"/>
          </w:tcPr>
          <w:p>
            <w:pPr>
              <w:ind w:left="20"/>
              <w:spacing w:after="0"/>
              <w:rPr>
                <w:sz w:val="20"/>
                <w:szCs w:val="20"/>
                <w:color w:val="auto"/>
              </w:rPr>
            </w:pPr>
            <w:r>
              <w:rPr>
                <w:rFonts w:ascii="Arial" w:cs="Arial" w:eastAsia="Arial" w:hAnsi="Arial"/>
                <w:sz w:val="18"/>
                <w:szCs w:val="18"/>
                <w:color w:val="auto"/>
              </w:rPr>
              <w:t>9.25-Year Fixed Rate Notes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391,000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395,000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2019</w:t>
            </w:r>
          </w:p>
        </w:tc>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Ten-Year Fixed Rate Notes</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668,250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675,000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Arial" w:cs="Arial" w:eastAsia="Arial" w:hAnsi="Arial"/>
                <w:sz w:val="18"/>
                <w:szCs w:val="18"/>
                <w:color w:val="auto"/>
              </w:rPr>
              <w:t>Finance lease obligations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60,555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19,657</w:t>
            </w: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6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6"/>
              </w:rPr>
              <w:t>Debt issuance costs, net of accumulated amortization of $18.4 million in 2020 and</w:t>
            </w:r>
          </w:p>
        </w:tc>
        <w:tc>
          <w:tcPr>
            <w:tcW w:w="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6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$12.9 million in 2019</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(25,370)</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(30,896)</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280" w:type="dxa"/>
            <w:vAlign w:val="bottom"/>
            <w:gridSpan w:val="3"/>
          </w:tcPr>
          <w:p>
            <w:pPr>
              <w:spacing w:after="0"/>
              <w:rPr>
                <w:sz w:val="20"/>
                <w:szCs w:val="20"/>
                <w:color w:val="auto"/>
              </w:rPr>
            </w:pPr>
            <w:r>
              <w:rPr>
                <w:rFonts w:ascii="Arial" w:cs="Arial" w:eastAsia="Arial" w:hAnsi="Arial"/>
                <w:sz w:val="18"/>
                <w:szCs w:val="18"/>
                <w:color w:val="auto"/>
              </w:rPr>
              <w:t>Total debt</w:t>
            </w:r>
          </w:p>
        </w:tc>
        <w:tc>
          <w:tcPr>
            <w:tcW w:w="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4,118,873</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7"/>
              </w:rPr>
              <w:t>4,114,449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 current portion</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43,394</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280" w:type="dxa"/>
            <w:vAlign w:val="bottom"/>
            <w:gridSpan w:val="3"/>
          </w:tcPr>
          <w:p>
            <w:pPr>
              <w:spacing w:after="0"/>
              <w:rPr>
                <w:sz w:val="20"/>
                <w:szCs w:val="20"/>
                <w:color w:val="auto"/>
              </w:rPr>
            </w:pPr>
            <w:r>
              <w:rPr>
                <w:rFonts w:ascii="Arial" w:cs="Arial" w:eastAsia="Arial" w:hAnsi="Arial"/>
                <w:sz w:val="18"/>
                <w:szCs w:val="18"/>
                <w:color w:val="auto"/>
              </w:rPr>
              <w:t>Consolidated long-term debt, net of debt issuance costs</w:t>
            </w:r>
          </w:p>
        </w:tc>
        <w:tc>
          <w:tcPr>
            <w:tcW w:w="20" w:type="dxa"/>
            <w:vAlign w:val="bottom"/>
            <w:tcBorders>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4,116,018</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4,071,055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gridSpan w:val="3"/>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20" w:type="dxa"/>
            <w:vAlign w:val="bottom"/>
            <w:gridSpan w:val="6"/>
          </w:tcPr>
          <w:p>
            <w:pPr>
              <w:jc w:val="right"/>
              <w:ind w:right="150"/>
              <w:spacing w:after="0"/>
              <w:rPr>
                <w:sz w:val="20"/>
                <w:szCs w:val="20"/>
                <w:color w:val="auto"/>
              </w:rPr>
            </w:pPr>
            <w:r>
              <w:rPr>
                <w:rFonts w:ascii="Arial" w:cs="Arial" w:eastAsia="Arial" w:hAnsi="Arial"/>
                <w:sz w:val="18"/>
                <w:szCs w:val="18"/>
                <w:color w:val="auto"/>
                <w:w w:val="90"/>
              </w:rPr>
              <w:t>At January 3, 2021, maturities of long-term debt and finance lease obligations are as follows (in thousands):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vMerge w:val="restart"/>
          </w:tcPr>
          <w:p>
            <w:pPr>
              <w:spacing w:after="0"/>
              <w:rPr>
                <w:sz w:val="21"/>
                <w:szCs w:val="21"/>
                <w:color w:val="auto"/>
              </w:rPr>
            </w:pPr>
          </w:p>
        </w:tc>
        <w:tc>
          <w:tcPr>
            <w:tcW w:w="5840" w:type="dxa"/>
            <w:vAlign w:val="bottom"/>
          </w:tcPr>
          <w:p>
            <w:pPr>
              <w:spacing w:after="0"/>
              <w:rPr>
                <w:sz w:val="21"/>
                <w:szCs w:val="21"/>
                <w:color w:val="auto"/>
              </w:rPr>
            </w:pPr>
          </w:p>
        </w:tc>
        <w:tc>
          <w:tcPr>
            <w:tcW w:w="860" w:type="dxa"/>
            <w:vAlign w:val="bottom"/>
            <w:gridSpan w:val="2"/>
          </w:tcPr>
          <w:p>
            <w:pPr>
              <w:spacing w:after="0"/>
              <w:rPr>
                <w:sz w:val="21"/>
                <w:szCs w:val="21"/>
                <w:color w:val="auto"/>
              </w:rPr>
            </w:pPr>
          </w:p>
        </w:tc>
        <w:tc>
          <w:tcPr>
            <w:tcW w:w="720" w:type="dxa"/>
            <w:vAlign w:val="bottom"/>
            <w:gridSpan w:val="3"/>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2,855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876,027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2,937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3,198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7"/>
              </w:rPr>
              <w:t>1,184,512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w w:val="87"/>
              </w:rPr>
              <w:t>2,074,714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spacing w:after="0"/>
              <w:rPr>
                <w:sz w:val="18"/>
                <w:szCs w:val="18"/>
                <w:color w:val="auto"/>
              </w:rPr>
            </w:pP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77"/>
              </w:rPr>
              <w:t>$</w:t>
            </w:r>
            <w:r>
              <w:rPr>
                <w:rFonts w:ascii="Arial" w:cs="Arial" w:eastAsia="Arial" w:hAnsi="Arial"/>
                <w:sz w:val="18"/>
                <w:szCs w:val="18"/>
                <w:color w:val="auto"/>
                <w:w w:val="77"/>
              </w:rPr>
              <w:t>4,144,243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Disclosures</w:t>
      </w:r>
    </w:p>
    <w:p>
      <w:pPr>
        <w:spacing w:after="0" w:line="121"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Management estimated the approximate fair values of the 2019 Fixed Rate Notes, 2018 Notes, 2017 Notes and 2015 Notes as follows (in thousands):</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92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4"/>
                <w:szCs w:val="14"/>
                <w:b w:val="1"/>
                <w:bCs w:val="1"/>
                <w:color w:val="auto"/>
              </w:rPr>
              <w:t>January 3, 2021</w:t>
            </w:r>
          </w:p>
        </w:tc>
        <w:tc>
          <w:tcPr>
            <w:tcW w:w="420" w:type="dxa"/>
            <w:vAlign w:val="bottom"/>
          </w:tcPr>
          <w:p>
            <w:pPr>
              <w:spacing w:after="0"/>
              <w:rPr>
                <w:sz w:val="14"/>
                <w:szCs w:val="14"/>
                <w:color w:val="auto"/>
              </w:rPr>
            </w:pPr>
          </w:p>
        </w:tc>
        <w:tc>
          <w:tcPr>
            <w:tcW w:w="194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4"/>
                <w:szCs w:val="14"/>
                <w:b w:val="1"/>
                <w:bCs w:val="1"/>
                <w:color w:val="auto"/>
              </w:rPr>
              <w:t>December 29, 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110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Principal</w:t>
            </w: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Fair Value</w:t>
            </w:r>
          </w:p>
        </w:tc>
        <w:tc>
          <w:tcPr>
            <w:tcW w:w="110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Principal</w:t>
            </w: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1240" w:type="dxa"/>
            <w:vAlign w:val="bottom"/>
            <w:gridSpan w:val="2"/>
            <w:vMerge w:val="continue"/>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2015</w:t>
            </w:r>
          </w:p>
        </w:tc>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Ten-Year Fixed Rate Notes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$766,000</w:t>
            </w:r>
          </w:p>
        </w:tc>
        <w:tc>
          <w:tcPr>
            <w:tcW w:w="4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809,662</w:t>
            </w:r>
          </w:p>
        </w:tc>
        <w:tc>
          <w:tcPr>
            <w:tcW w:w="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$774,000</w:t>
            </w:r>
          </w:p>
        </w:tc>
        <w:tc>
          <w:tcPr>
            <w:tcW w:w="4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804,960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4"/>
              </w:rPr>
              <w:t>2017</w:t>
            </w:r>
          </w:p>
        </w:tc>
        <w:tc>
          <w:tcPr>
            <w:tcW w:w="5420" w:type="dxa"/>
            <w:vAlign w:val="bottom"/>
          </w:tcPr>
          <w:p>
            <w:pPr>
              <w:ind w:left="20"/>
              <w:spacing w:after="0"/>
              <w:rPr>
                <w:sz w:val="20"/>
                <w:szCs w:val="20"/>
                <w:color w:val="auto"/>
              </w:rPr>
            </w:pPr>
            <w:r>
              <w:rPr>
                <w:rFonts w:ascii="Arial" w:cs="Arial" w:eastAsia="Arial" w:hAnsi="Arial"/>
                <w:sz w:val="18"/>
                <w:szCs w:val="18"/>
                <w:color w:val="auto"/>
              </w:rPr>
              <w:t>Five-Year Fixed Rate Notes</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582,000</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582,582</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588,000</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588,588</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2017</w:t>
            </w: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Ten-Year Fixed Rate Notes</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970,000</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1,035,960</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980,000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1,017,240</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4"/>
              </w:rPr>
              <w:t>2017</w:t>
            </w:r>
          </w:p>
        </w:tc>
        <w:tc>
          <w:tcPr>
            <w:tcW w:w="5420" w:type="dxa"/>
            <w:vAlign w:val="bottom"/>
          </w:tcPr>
          <w:p>
            <w:pPr>
              <w:ind w:left="20"/>
              <w:spacing w:after="0"/>
              <w:rPr>
                <w:sz w:val="20"/>
                <w:szCs w:val="20"/>
                <w:color w:val="auto"/>
              </w:rPr>
            </w:pPr>
            <w:r>
              <w:rPr>
                <w:rFonts w:ascii="Arial" w:cs="Arial" w:eastAsia="Arial" w:hAnsi="Arial"/>
                <w:sz w:val="18"/>
                <w:szCs w:val="18"/>
                <w:color w:val="auto"/>
              </w:rPr>
              <w:t>Five-Year Floating Rate Notes</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291,000</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291,000</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294,000</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294,000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2018</w:t>
            </w: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7.5-Year Fixed Rate Notes</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415,438</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437,456</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419,688</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431,439</w:t>
            </w: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4"/>
              </w:rPr>
              <w:t>2018</w:t>
            </w:r>
          </w:p>
        </w:tc>
        <w:tc>
          <w:tcPr>
            <w:tcW w:w="5420" w:type="dxa"/>
            <w:vAlign w:val="bottom"/>
          </w:tcPr>
          <w:p>
            <w:pPr>
              <w:ind w:left="20"/>
              <w:spacing w:after="0"/>
              <w:rPr>
                <w:sz w:val="20"/>
                <w:szCs w:val="20"/>
                <w:color w:val="auto"/>
              </w:rPr>
            </w:pPr>
            <w:r>
              <w:rPr>
                <w:rFonts w:ascii="Arial" w:cs="Arial" w:eastAsia="Arial" w:hAnsi="Arial"/>
                <w:sz w:val="18"/>
                <w:szCs w:val="18"/>
                <w:color w:val="auto"/>
              </w:rPr>
              <w:t>9.25-Year Fixed Rate Notes</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391,000</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422,280</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395,000</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414,355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2019</w:t>
            </w: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Ten-Year Fixed Rate Notes</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668,250</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712,355</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675,000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675,675</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040"/>
          </w:cols>
          <w:pgMar w:left="320" w:top="486" w:right="539" w:bottom="1440" w:gutter="0" w:footer="0" w:header="0"/>
        </w:sectPr>
      </w:pPr>
    </w:p>
    <w:p>
      <w:pPr>
        <w:jc w:val="center"/>
        <w:ind w:right="-17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040"/>
          </w:cols>
          <w:pgMar w:left="320" w:top="486" w:right="5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(Continued)</w:t>
      </w:r>
    </w:p>
    <w:p>
      <w:pPr>
        <w:spacing w:after="0" w:line="143"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2019 Fixed Rate Notes, 2018 Notes, 2017 Notes and 2015 Notes are classified as a Level 2 measurement, as the Company estimated the fair value amount by using available market information. The Company obtained broker quotes from two separate brokerage firms that are knowledgeable about the Notes and, at times, trade these notes. Further, the Company performs its own internal analysis based on the information it gathers from public markets, including information on notes that are similar to those of the Company. However, considerable judgment is required in interpreting market data to develop estimates of fair value. Accordingly, the fair value estimates presented herein are not necessarily indicative of the amount that the Company or the debtholders could realize in a current market exchange. The use of different assumptions and/or estimation methodologies may have a material effect on the estimated fair values calculated above.</w:t>
      </w:r>
    </w:p>
    <w:p>
      <w:pPr>
        <w:spacing w:after="0" w:line="17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At January 3, 2021 and December 29, 2019, the Company did not have any outstanding borrowings under its 2019 Variable Funding Notes. Borrowings under the 2019 Variable Funding Notes are a variable rate loan. The fair value of this loan approximated book value based on the borrowing rates currently available for variable rate loans obtained from third party lending institutions. This fair value represents a Level 2 measurement.</w:t>
      </w:r>
    </w:p>
    <w:p>
      <w:pPr>
        <w:spacing w:after="0" w:line="14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fair values in the table above represent the fair value of such Notes at January 3, 2021 and December 29, 2019. In light of the novel coronavirus (“COVID-19”) pandemic (discussed further in Note 14) and its impact on financial markets, these fair values fluctuated significantly during 2020 and may continue to fluctuate based on market conditions and other factors.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Leases</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Company leases certain retail store and supply chain center locations, supply chain vehicles, equipment and its corporate headquarters with expiration dates through 2041.</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operating and finance lease cost for 2020 and 2019 were as follows (in thousands):</w:t>
      </w:r>
    </w:p>
    <w:p>
      <w:pPr>
        <w:spacing w:after="0" w:line="25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Fiscal Year Ended</w:t>
            </w:r>
          </w:p>
        </w:tc>
        <w:tc>
          <w:tcPr>
            <w:tcW w:w="6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55"/>
        </w:trPr>
        <w:tc>
          <w:tcPr>
            <w:tcW w:w="5700" w:type="dxa"/>
            <w:vAlign w:val="bottom"/>
          </w:tcPr>
          <w:p>
            <w:pPr>
              <w:spacing w:after="0"/>
              <w:rPr>
                <w:sz w:val="13"/>
                <w:szCs w:val="13"/>
                <w:color w:val="auto"/>
              </w:rPr>
            </w:pPr>
          </w:p>
        </w:tc>
        <w:tc>
          <w:tcPr>
            <w:tcW w:w="14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January 3, 2021</w:t>
            </w:r>
          </w:p>
        </w:tc>
        <w:tc>
          <w:tcPr>
            <w:tcW w:w="11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0"/>
              </w:rPr>
              <w:t>December 29, 2019</w:t>
            </w:r>
          </w:p>
        </w:tc>
        <w:tc>
          <w:tcPr>
            <w:tcW w:w="40" w:type="dxa"/>
            <w:vAlign w:val="bottom"/>
          </w:tcPr>
          <w:p>
            <w:pPr>
              <w:spacing w:after="0"/>
              <w:rPr>
                <w:sz w:val="13"/>
                <w:szCs w:val="13"/>
                <w:color w:val="auto"/>
              </w:rPr>
            </w:pP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44,679</w:t>
            </w:r>
          </w:p>
        </w:tc>
        <w:tc>
          <w:tcPr>
            <w:tcW w:w="4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42,903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Finance lease cost:</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right-of-use assets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2,186</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1,167</w:t>
            </w: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Interest on lease liabilities</w:t>
            </w:r>
          </w:p>
        </w:tc>
        <w:tc>
          <w:tcPr>
            <w:tcW w:w="2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3,340</w:t>
            </w:r>
          </w:p>
        </w:tc>
        <w:tc>
          <w:tcPr>
            <w:tcW w:w="5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1,952</w:t>
            </w:r>
          </w:p>
        </w:tc>
      </w:tr>
      <w:tr>
        <w:trPr>
          <w:trHeight w:val="27"/>
        </w:trPr>
        <w:tc>
          <w:tcPr>
            <w:tcW w:w="57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finance lease cost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5,526</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3,119</w:t>
            </w:r>
          </w:p>
        </w:tc>
      </w:tr>
      <w:tr>
        <w:trPr>
          <w:trHeight w:val="20"/>
        </w:trPr>
        <w:tc>
          <w:tcPr>
            <w:tcW w:w="5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Rent expense totaled $73.7 million, $69.7 million and $67.4 million in 2020, 2019 and 2018 respectively. Rent expense includes operating lease cost, as well as expense for non-lease components including common area maintenance, real estate taxes and insurance for the Company’s real estate leases. Rent expense also includes the variable rate per mile driven and fixed maintenance charges for the Company’s supply chain center tractors and trailers and expense for short-term rentals. Variable rent expense and rent expense for short-term leases were immaterial for 2020 and 2019, respectively.</w:t>
      </w:r>
    </w:p>
    <w:p>
      <w:pPr>
        <w:spacing w:after="0" w:line="157"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Supplemental balance sheet information related to the Company’s leases as of January 3, 2021 and December 29, 2019 was as follows (in thousands):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January 3,</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29,</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CCEEFF"/>
            </w:tcBorders>
          </w:tcPr>
          <w:p>
            <w:pPr>
              <w:spacing w:after="0"/>
              <w:rPr>
                <w:sz w:val="14"/>
                <w:szCs w:val="14"/>
                <w:color w:val="auto"/>
              </w:rPr>
            </w:pPr>
          </w:p>
        </w:tc>
        <w:tc>
          <w:tcPr>
            <w:tcW w:w="2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Land and buildings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68,084</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(10,049)</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(7,846)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 assets, net</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58,035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17,630</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8"/>
                <w:szCs w:val="18"/>
                <w:color w:val="auto"/>
              </w:rPr>
              <w:t>Current portion of long-term debt</w:t>
            </w:r>
          </w:p>
        </w:tc>
        <w:tc>
          <w:tcPr>
            <w:tcW w:w="2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vMerge w:val="continue"/>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2,855</w:t>
            </w:r>
          </w:p>
        </w:tc>
        <w:tc>
          <w:tcPr>
            <w:tcW w:w="5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57,700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18,263</w:t>
            </w:r>
          </w:p>
        </w:tc>
        <w:tc>
          <w:tcPr>
            <w:tcW w:w="0" w:type="dxa"/>
            <w:vAlign w:val="bottom"/>
          </w:tcPr>
          <w:p>
            <w:pPr>
              <w:spacing w:after="0"/>
              <w:rPr>
                <w:sz w:val="1"/>
                <w:szCs w:val="1"/>
                <w:color w:val="auto"/>
              </w:rPr>
            </w:pPr>
          </w:p>
        </w:tc>
      </w:tr>
      <w:tr>
        <w:trPr>
          <w:trHeight w:val="223"/>
        </w:trPr>
        <w:tc>
          <w:tcPr>
            <w:tcW w:w="3700" w:type="dxa"/>
            <w:vAlign w:val="bottom"/>
          </w:tcPr>
          <w:p>
            <w:pPr>
              <w:ind w:left="360"/>
              <w:spacing w:after="0"/>
              <w:rPr>
                <w:sz w:val="20"/>
                <w:szCs w:val="20"/>
                <w:color w:val="auto"/>
              </w:rPr>
            </w:pPr>
            <w:r>
              <w:rPr>
                <w:rFonts w:ascii="Arial" w:cs="Arial" w:eastAsia="Arial" w:hAnsi="Arial"/>
                <w:sz w:val="18"/>
                <w:szCs w:val="18"/>
                <w:color w:val="auto"/>
              </w:rPr>
              <w:t>Total principal payable on finance leases</w:t>
            </w:r>
          </w:p>
        </w:tc>
        <w:tc>
          <w:tcPr>
            <w:tcW w:w="2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60,555</w:t>
            </w: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560" w:type="dxa"/>
            <w:vAlign w:val="bottom"/>
            <w:vMerge w:val="restart"/>
          </w:tcPr>
          <w:p>
            <w:pPr>
              <w:jc w:val="right"/>
              <w:ind w:right="189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tcPr>
          <w:p>
            <w:pPr>
              <w:spacing w:after="0"/>
              <w:rPr>
                <w:sz w:val="18"/>
                <w:szCs w:val="18"/>
                <w:color w:val="auto"/>
              </w:rPr>
            </w:pPr>
          </w:p>
        </w:tc>
        <w:tc>
          <w:tcPr>
            <w:tcW w:w="2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6"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As of January 3, 2021 and December 29, 2019, the weighted average remaining lease term and weighted average discount rate for the Company’s operating and finance leases were as follows:</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200" w:type="dxa"/>
            <w:vAlign w:val="bottom"/>
            <w:gridSpan w:val="4"/>
          </w:tcPr>
          <w:p>
            <w:pPr>
              <w:ind w:left="380"/>
              <w:spacing w:after="0"/>
              <w:rPr>
                <w:sz w:val="20"/>
                <w:szCs w:val="20"/>
                <w:color w:val="auto"/>
              </w:rPr>
            </w:pPr>
            <w:r>
              <w:rPr>
                <w:rFonts w:ascii="Arial" w:cs="Arial" w:eastAsia="Arial" w:hAnsi="Arial"/>
                <w:sz w:val="14"/>
                <w:szCs w:val="14"/>
                <w:b w:val="1"/>
                <w:bCs w:val="1"/>
                <w:color w:val="auto"/>
              </w:rPr>
              <w:t>January 3, 2021</w:t>
            </w:r>
          </w:p>
        </w:tc>
        <w:tc>
          <w:tcPr>
            <w:tcW w:w="19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December 29, 2019</w:t>
            </w:r>
          </w:p>
        </w:tc>
      </w:tr>
      <w:tr>
        <w:trPr>
          <w:trHeight w:val="133"/>
        </w:trPr>
        <w:tc>
          <w:tcPr>
            <w:tcW w:w="5960" w:type="dxa"/>
            <w:vAlign w:val="bottom"/>
          </w:tcPr>
          <w:p>
            <w:pPr>
              <w:spacing w:after="0"/>
              <w:rPr>
                <w:sz w:val="11"/>
                <w:szCs w:val="11"/>
                <w:color w:val="auto"/>
              </w:rPr>
            </w:pPr>
          </w:p>
        </w:tc>
        <w:tc>
          <w:tcPr>
            <w:tcW w:w="108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4"/>
                <w:szCs w:val="14"/>
                <w:b w:val="1"/>
                <w:bCs w:val="1"/>
                <w:color w:val="auto"/>
              </w:rPr>
              <w:t>Operating</w:t>
            </w:r>
          </w:p>
        </w:tc>
        <w:tc>
          <w:tcPr>
            <w:tcW w:w="6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0"/>
              </w:rPr>
              <w:t>Finance</w:t>
            </w:r>
          </w:p>
        </w:tc>
        <w:tc>
          <w:tcPr>
            <w:tcW w:w="460" w:type="dxa"/>
            <w:vAlign w:val="bottom"/>
          </w:tcPr>
          <w:p>
            <w:pPr>
              <w:spacing w:after="0"/>
              <w:rPr>
                <w:sz w:val="11"/>
                <w:szCs w:val="11"/>
                <w:color w:val="auto"/>
              </w:rPr>
            </w:pPr>
          </w:p>
        </w:tc>
        <w:tc>
          <w:tcPr>
            <w:tcW w:w="1100" w:type="dxa"/>
            <w:vAlign w:val="bottom"/>
            <w:tcBorders>
              <w:top w:val="single" w:sz="8" w:color="auto"/>
            </w:tcBorders>
            <w:gridSpan w:val="2"/>
          </w:tcPr>
          <w:p>
            <w:pPr>
              <w:jc w:val="right"/>
              <w:ind w:right="460"/>
              <w:spacing w:after="0" w:line="133" w:lineRule="exact"/>
              <w:rPr>
                <w:sz w:val="20"/>
                <w:szCs w:val="20"/>
                <w:color w:val="auto"/>
              </w:rPr>
            </w:pPr>
            <w:r>
              <w:rPr>
                <w:rFonts w:ascii="Arial" w:cs="Arial" w:eastAsia="Arial" w:hAnsi="Arial"/>
                <w:sz w:val="14"/>
                <w:szCs w:val="14"/>
                <w:b w:val="1"/>
                <w:bCs w:val="1"/>
                <w:color w:val="auto"/>
                <w:w w:val="93"/>
              </w:rPr>
              <w:t>Operating</w:t>
            </w:r>
          </w:p>
        </w:tc>
        <w:tc>
          <w:tcPr>
            <w:tcW w:w="6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4"/>
              </w:rPr>
              <w:t>Finance</w:t>
            </w:r>
          </w:p>
        </w:tc>
        <w:tc>
          <w:tcPr>
            <w:tcW w:w="200" w:type="dxa"/>
            <w:vAlign w:val="bottom"/>
          </w:tcPr>
          <w:p>
            <w:pPr>
              <w:spacing w:after="0"/>
              <w:rPr>
                <w:sz w:val="11"/>
                <w:szCs w:val="11"/>
                <w:color w:val="auto"/>
              </w:rPr>
            </w:pPr>
          </w:p>
        </w:tc>
      </w:tr>
      <w:tr>
        <w:trPr>
          <w:trHeight w:val="171"/>
        </w:trPr>
        <w:tc>
          <w:tcPr>
            <w:tcW w:w="596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Leases</w:t>
            </w: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4"/>
              </w:rPr>
              <w:t>Leases</w:t>
            </w:r>
          </w:p>
        </w:tc>
        <w:tc>
          <w:tcPr>
            <w:tcW w:w="1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Leases</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Leases</w:t>
            </w:r>
          </w:p>
        </w:tc>
      </w:tr>
      <w:tr>
        <w:trPr>
          <w:trHeight w:val="209"/>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6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1"/>
              </w:rPr>
              <w:t>7 years</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16 years</w:t>
            </w: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years</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 years</w:t>
            </w:r>
          </w:p>
        </w:tc>
        <w:tc>
          <w:tcPr>
            <w:tcW w:w="200" w:type="dxa"/>
            <w:vAlign w:val="bottom"/>
            <w:tcBorders>
              <w:top w:val="single" w:sz="8" w:color="CCEEFF"/>
            </w:tcBorders>
            <w:shd w:val="clear" w:color="auto" w:fill="CCEEFF"/>
          </w:tcPr>
          <w:p>
            <w:pPr>
              <w:spacing w:after="0"/>
              <w:rPr>
                <w:sz w:val="18"/>
                <w:szCs w:val="18"/>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080" w:type="dxa"/>
            <w:vAlign w:val="bottom"/>
            <w:gridSpan w:val="2"/>
          </w:tcPr>
          <w:p>
            <w:pPr>
              <w:ind w:left="400"/>
              <w:spacing w:after="0"/>
              <w:rPr>
                <w:sz w:val="20"/>
                <w:szCs w:val="20"/>
                <w:color w:val="auto"/>
              </w:rPr>
            </w:pPr>
            <w:r>
              <w:rPr>
                <w:rFonts w:ascii="Arial" w:cs="Arial" w:eastAsia="Arial" w:hAnsi="Arial"/>
                <w:sz w:val="18"/>
                <w:szCs w:val="18"/>
                <w:color w:val="auto"/>
              </w:rPr>
              <w:t>3.7%</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6.8%</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r>
    </w:tbl>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Supplemental cash flow information related to leases for 2020 and 2019 was as follows (in thousands):</w:t>
      </w:r>
    </w:p>
    <w:p>
      <w:pPr>
        <w:spacing w:after="0" w:line="25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 Ended</w:t>
            </w:r>
          </w:p>
        </w:tc>
        <w:tc>
          <w:tcPr>
            <w:tcW w:w="5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55"/>
        </w:trPr>
        <w:tc>
          <w:tcPr>
            <w:tcW w:w="6020" w:type="dxa"/>
            <w:vAlign w:val="bottom"/>
          </w:tcPr>
          <w:p>
            <w:pPr>
              <w:spacing w:after="0"/>
              <w:rPr>
                <w:sz w:val="13"/>
                <w:szCs w:val="13"/>
                <w:color w:val="auto"/>
              </w:rPr>
            </w:pPr>
          </w:p>
        </w:tc>
        <w:tc>
          <w:tcPr>
            <w:tcW w:w="230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w w:val="95"/>
              </w:rPr>
              <w:t>January 3, 2021  December 29, 2019</w:t>
            </w:r>
          </w:p>
        </w:tc>
        <w:tc>
          <w:tcPr>
            <w:tcW w:w="40" w:type="dxa"/>
            <w:vAlign w:val="bottom"/>
          </w:tcPr>
          <w:p>
            <w:pPr>
              <w:spacing w:after="0"/>
              <w:rPr>
                <w:sz w:val="13"/>
                <w:szCs w:val="13"/>
                <w:color w:val="auto"/>
              </w:rPr>
            </w:pP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ind w:left="360"/>
              <w:spacing w:after="0"/>
              <w:rPr>
                <w:sz w:val="20"/>
                <w:szCs w:val="20"/>
                <w:color w:val="auto"/>
              </w:rPr>
            </w:pPr>
            <w:r>
              <w:rPr>
                <w:rFonts w:ascii="Arial" w:cs="Arial" w:eastAsia="Arial" w:hAnsi="Arial"/>
                <w:sz w:val="18"/>
                <w:szCs w:val="18"/>
                <w:color w:val="auto"/>
              </w:rPr>
              <w:t>Operating cash flows from operating leases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43,679</w:t>
            </w:r>
          </w:p>
        </w:tc>
        <w:tc>
          <w:tcPr>
            <w:tcW w:w="620" w:type="dxa"/>
            <w:vAlign w:val="bottom"/>
          </w:tcPr>
          <w:p>
            <w:pPr>
              <w:jc w:val="right"/>
              <w:ind w:right="467"/>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43,608</w:t>
            </w: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cash flows from finance leases</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3,340</w:t>
            </w:r>
          </w:p>
        </w:tc>
        <w:tc>
          <w:tcPr>
            <w:tcW w:w="6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1,952</w:t>
            </w:r>
          </w:p>
        </w:tc>
      </w:tr>
      <w:tr>
        <w:trPr>
          <w:trHeight w:val="216"/>
        </w:trPr>
        <w:tc>
          <w:tcPr>
            <w:tcW w:w="6020" w:type="dxa"/>
            <w:vAlign w:val="bottom"/>
          </w:tcPr>
          <w:p>
            <w:pPr>
              <w:ind w:left="360"/>
              <w:spacing w:after="0"/>
              <w:rPr>
                <w:sz w:val="20"/>
                <w:szCs w:val="20"/>
                <w:color w:val="auto"/>
              </w:rPr>
            </w:pPr>
            <w:r>
              <w:rPr>
                <w:rFonts w:ascii="Arial" w:cs="Arial" w:eastAsia="Arial" w:hAnsi="Arial"/>
                <w:sz w:val="18"/>
                <w:szCs w:val="18"/>
                <w:color w:val="auto"/>
              </w:rPr>
              <w:t>Financing cash flows from finance leases</w:t>
            </w:r>
          </w:p>
        </w:tc>
        <w:tc>
          <w:tcPr>
            <w:tcW w:w="3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2,058</w:t>
            </w:r>
          </w:p>
        </w:tc>
        <w:tc>
          <w:tcPr>
            <w:tcW w:w="6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647</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new lease obligations:</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02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37,375</w:t>
            </w:r>
          </w:p>
        </w:tc>
        <w:tc>
          <w:tcPr>
            <w:tcW w:w="6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63,685</w:t>
            </w: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42,894</w:t>
            </w:r>
          </w:p>
        </w:tc>
        <w:tc>
          <w:tcPr>
            <w:tcW w:w="6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3,255</w:t>
            </w:r>
          </w:p>
        </w:tc>
      </w:tr>
    </w:tbl>
    <w:p>
      <w:pPr>
        <w:spacing w:after="0" w:line="20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During 2018, the Company renewed the leases of four supply chain center buildings and extended the terms of the leases. As a result, the Company recorded non-cash financing activities of $12.0 million for the increase in capital lease assets and liabilities during 2018. During 2018, the Company also recorded $1.9 million in non-cash financing activities related to a build-to-suit arrangement, which was derecognized in connection with the Company’s adoption of ASC 842 in 2019.</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Maturities of lease liabilities as of January 3, 2021 were as follows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Operating</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Finance</w:t>
            </w:r>
          </w:p>
        </w:tc>
      </w:tr>
      <w:tr>
        <w:trPr>
          <w:trHeight w:val="171"/>
        </w:trPr>
        <w:tc>
          <w:tcPr>
            <w:tcW w:w="6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Leases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Leases</w:t>
            </w:r>
          </w:p>
        </w:tc>
      </w:tr>
      <w:tr>
        <w:trPr>
          <w:trHeight w:val="210"/>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45,143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42,441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6,706</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36,879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6,227</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35,466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6,684</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28,758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6,479</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Thereafter</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84,440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69,687</w:t>
            </w:r>
          </w:p>
        </w:tc>
      </w:tr>
      <w:tr>
        <w:trPr>
          <w:trHeight w:val="27"/>
        </w:trPr>
        <w:tc>
          <w:tcPr>
            <w:tcW w:w="6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rental commitments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273,127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101,632</w:t>
            </w: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Less – amounts representing interest</w:t>
            </w: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(34,998)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(41,077)</w:t>
            </w:r>
          </w:p>
        </w:tc>
        <w:tc>
          <w:tcPr>
            <w:tcW w:w="100" w:type="dxa"/>
            <w:vAlign w:val="bottom"/>
          </w:tcPr>
          <w:p>
            <w:pPr>
              <w:spacing w:after="0"/>
              <w:rPr>
                <w:sz w:val="20"/>
                <w:szCs w:val="20"/>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238,129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60,555</w:t>
            </w:r>
          </w:p>
        </w:tc>
      </w:tr>
      <w:tr>
        <w:trPr>
          <w:trHeight w:val="20"/>
        </w:trPr>
        <w:tc>
          <w:tcPr>
            <w:tcW w:w="6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 of January 3, 2021, the Company had additional leases for certain supply chain tractors and trailers that had not yet commenced with estimated future minimum rental commitments of approximately $2.0 million. These leases are expected to commence in 2021 with lease terms of up to 9 years. These undiscounted amounts are not included in the table above.</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Company has guaranteed lease payments related to certain franchisees’ lease arrangements. The maximum amount of potential future payments under these guarantees was $12.6 million and $16.7 million as of January 3, 2021 and December 29, 2019, respectively. The Company does not believe these arrangements have or are likely to have a material effect on its results of operations, financial condition, revenues or expenses, capital expenditures or liquidity.</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486"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(Continued)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The Company is a party to lawsuits, revenue agent reviews by taxing authorities and legal proceedings, of which the majority involve workers’ compensation, employment practices liability, general liability and automobile and franchisee claims arising in the ordinary course of business. The Company records legal fees associated with loss contingencies when they are probable and reasonably estimable.</w:t>
      </w:r>
    </w:p>
    <w:p>
      <w:pPr>
        <w:spacing w:after="0" w:line="165"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Litigation is subject to many uncertainties, and the outcome of individual litigated matters is not predictable with assurance. These matters referenced above could be decided unfavorably to us and could require us to pay damages or make other expenditures in amounts or a range of amounts that cannot be estimated with accuracy. In management’s opinion, these matters, individually and in the aggregate, should not have a significant adverse effect on the financial condition of the Company, and the established accruals adequately provide for the estimated resolution of such claims.</w:t>
      </w:r>
    </w:p>
    <w:p>
      <w:pPr>
        <w:spacing w:after="0" w:line="15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On February 14, 2011, Domino’s Pizza LLC was named as a defendant in a lawsuit along with Fischler Enterprises of C.F., Inc., a franchisee, and Jeffrey S. Kidd, the franchisee’s delivery driver, filed by Yvonne Wiederhold, the plaintiff, as Personal Representative of the Estate of Richard E. Wiederhold, deceased. The case involved a traffic accident in which the franchisee’s delivery driver is alleged to have caused an accident involving a vehicle driven by Richard Wiederhold. Mr. Wiederhold sustained spinal injuries resulting in quadriplegia and passed away several months after the accident. The case went to trial in 2016 and the Company was found liable, but the verdict was reversed by the Florida Fifth District Court of Appeals in May 2018 and was remanded to the Ninth Judicial Circuit Court of Florida for a new trial. The case was tried again in June 2019 and the jury returned a $9.0 million judgment for the plaintiff where the Company and Mr. Kidd were found to be 100% liable (after certain offsets and other deductions the final verdict was $8.0 million). In October 2020, the Florida Fifth District Court of Appeals issued a split two-judge majority with one dissent per curiam decision affirming the judgment entered by the Ninth Judicial Circuit Court of Florida. With all viable appellate options exhausted, the decision was made by the Company and its insurers to pay the verdict in the fourth quarter of 2020. This payment was subject to the Company’s insurance retention programs for non-owned automobile liabilities described in Note 1. This payment did not have a material impact on the Company’s results of operations.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Income before provision for income taxes in 2020, 2019 and 2018 consists of the following (in thousands):</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4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2020</w:t>
            </w:r>
          </w:p>
        </w:tc>
        <w:tc>
          <w:tcPr>
            <w:tcW w:w="10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10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w:t>
            </w:r>
          </w:p>
        </w:tc>
        <w:tc>
          <w:tcPr>
            <w:tcW w:w="17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$541,646</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$468,467</w:t>
            </w:r>
          </w:p>
        </w:tc>
        <w:tc>
          <w:tcPr>
            <w:tcW w:w="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$414,804</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Foreign</w:t>
            </w:r>
          </w:p>
        </w:tc>
        <w:tc>
          <w:tcPr>
            <w:tcW w:w="17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13,484</w:t>
            </w:r>
          </w:p>
        </w:tc>
        <w:tc>
          <w:tcPr>
            <w:tcW w:w="3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14,170</w:t>
            </w:r>
          </w:p>
        </w:tc>
        <w:tc>
          <w:tcPr>
            <w:tcW w:w="3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555,130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482,637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428,678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differences between the U.S. Federal statutory income tax provision (using the statutory rate of 21%) and the Company’s consolidated provision for income taxes for 2020, 2019 and 2018 are summarized as follows (in thousands):</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82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210"/>
        </w:trPr>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income tax provision based on the statutory rate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116,577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101,354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$ 90,022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State and local income taxes, net of related Federal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16,660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15,141</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14,233</w:t>
            </w:r>
          </w:p>
        </w:tc>
        <w:tc>
          <w:tcPr>
            <w:tcW w:w="12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Non-resident withholding and foreign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20,351</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21,369</w:t>
            </w:r>
          </w:p>
        </w:tc>
        <w:tc>
          <w:tcPr>
            <w:tcW w:w="12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Foreign tax and other tax credits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(19,506)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(20,090)</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(25,301)</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Foreign derived intangible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(12,390)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(12,810)</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(11,760)</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Excess tax benefits from equity-based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(60,364)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(25,735)</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(23,786)</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2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Unrecognized tax provision, net of related Federal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694</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(371)</w:t>
            </w:r>
          </w:p>
        </w:tc>
      </w:tr>
      <w:tr>
        <w:trPr>
          <w:trHeight w:val="223"/>
        </w:trPr>
        <w:tc>
          <w:tcPr>
            <w:tcW w:w="6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63,834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81,928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$ 66,706</w:t>
            </w:r>
          </w:p>
        </w:tc>
        <w:tc>
          <w:tcPr>
            <w:tcW w:w="12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Excess tax benefits or deficiencies from equity-based compensation activity resulted in a decrease in the Company’s provision for income taxes of $60.4 million in 2020, $25.7 million in 2019 and $23.8 million in 2018, primarily due to the recognition of excess tax benefits for options exercised and the vesting of equity awards.</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320" w:top="486"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the 2020, 2019 and 2018 consolidated provision for income taxes are as follows (in thousands):</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6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9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Federal income taxes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Current provision</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$19,894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$49,539</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$33,558</w:t>
            </w:r>
          </w:p>
        </w:tc>
        <w:tc>
          <w:tcPr>
            <w:tcW w:w="120" w:type="dxa"/>
            <w:vAlign w:val="bottom"/>
          </w:tcPr>
          <w:p>
            <w:pPr>
              <w:spacing w:after="0"/>
              <w:rPr>
                <w:sz w:val="18"/>
                <w:szCs w:val="18"/>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provision (benefit)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14,301</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(2,862)</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(1,543)</w:t>
            </w:r>
          </w:p>
        </w:tc>
      </w:tr>
      <w:tr>
        <w:trPr>
          <w:trHeight w:val="223"/>
        </w:trPr>
        <w:tc>
          <w:tcPr>
            <w:tcW w:w="6760" w:type="dxa"/>
            <w:vAlign w:val="bottom"/>
          </w:tcPr>
          <w:p>
            <w:pPr>
              <w:ind w:left="720"/>
              <w:spacing w:after="0"/>
              <w:rPr>
                <w:sz w:val="20"/>
                <w:szCs w:val="20"/>
                <w:color w:val="auto"/>
              </w:rPr>
            </w:pPr>
            <w:r>
              <w:rPr>
                <w:rFonts w:ascii="Arial" w:cs="Arial" w:eastAsia="Arial" w:hAnsi="Arial"/>
                <w:sz w:val="18"/>
                <w:szCs w:val="18"/>
                <w:color w:val="auto"/>
              </w:rPr>
              <w:t>Total provision for Federal income taxes</w:t>
            </w:r>
          </w:p>
        </w:tc>
        <w:tc>
          <w:tcPr>
            <w:tcW w:w="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34,195</w:t>
            </w:r>
          </w:p>
        </w:tc>
        <w:tc>
          <w:tcPr>
            <w:tcW w:w="3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46,677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32,015</w:t>
            </w:r>
          </w:p>
        </w:tc>
        <w:tc>
          <w:tcPr>
            <w:tcW w:w="120" w:type="dxa"/>
            <w:vAlign w:val="bottom"/>
          </w:tcPr>
          <w:p>
            <w:pPr>
              <w:spacing w:after="0"/>
              <w:rPr>
                <w:sz w:val="19"/>
                <w:szCs w:val="19"/>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state and local income taxes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Current provision</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10,775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15,335</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12,651</w:t>
            </w:r>
          </w:p>
        </w:tc>
        <w:tc>
          <w:tcPr>
            <w:tcW w:w="120" w:type="dxa"/>
            <w:vAlign w:val="bottom"/>
          </w:tcPr>
          <w:p>
            <w:pPr>
              <w:spacing w:after="0"/>
              <w:rPr>
                <w:sz w:val="18"/>
                <w:szCs w:val="18"/>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provision (benefit)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20" w:type="dxa"/>
            <w:vAlign w:val="bottom"/>
            <w:shd w:val="clear" w:color="auto" w:fill="CCEEFF"/>
          </w:tcPr>
          <w:p>
            <w:pPr>
              <w:spacing w:after="0"/>
              <w:rPr>
                <w:sz w:val="18"/>
                <w:szCs w:val="18"/>
                <w:color w:val="auto"/>
              </w:rPr>
            </w:pPr>
          </w:p>
        </w:tc>
      </w:tr>
      <w:tr>
        <w:trPr>
          <w:trHeight w:val="223"/>
        </w:trPr>
        <w:tc>
          <w:tcPr>
            <w:tcW w:w="6760" w:type="dxa"/>
            <w:vAlign w:val="bottom"/>
          </w:tcPr>
          <w:p>
            <w:pPr>
              <w:ind w:left="720"/>
              <w:spacing w:after="0"/>
              <w:rPr>
                <w:sz w:val="20"/>
                <w:szCs w:val="20"/>
                <w:color w:val="auto"/>
              </w:rPr>
            </w:pPr>
            <w:r>
              <w:rPr>
                <w:rFonts w:ascii="Arial" w:cs="Arial" w:eastAsia="Arial" w:hAnsi="Arial"/>
                <w:sz w:val="18"/>
                <w:szCs w:val="18"/>
                <w:color w:val="auto"/>
              </w:rPr>
              <w:t>Total provision for state and local income taxes</w:t>
            </w:r>
          </w:p>
        </w:tc>
        <w:tc>
          <w:tcPr>
            <w:tcW w:w="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10,898</w:t>
            </w:r>
          </w:p>
        </w:tc>
        <w:tc>
          <w:tcPr>
            <w:tcW w:w="3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13,322</w:t>
            </w:r>
          </w:p>
        </w:tc>
        <w:tc>
          <w:tcPr>
            <w:tcW w:w="120" w:type="dxa"/>
            <w:vAlign w:val="bottom"/>
          </w:tcPr>
          <w:p>
            <w:pPr>
              <w:spacing w:after="0"/>
              <w:rPr>
                <w:sz w:val="19"/>
                <w:szCs w:val="19"/>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non-resident withholding and foreign income taxes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18,741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20,351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21,369</w:t>
            </w:r>
          </w:p>
        </w:tc>
        <w:tc>
          <w:tcPr>
            <w:tcW w:w="120" w:type="dxa"/>
            <w:vAlign w:val="bottom"/>
            <w:shd w:val="clear" w:color="auto" w:fill="CCEEFF"/>
          </w:tcPr>
          <w:p>
            <w:pPr>
              <w:spacing w:after="0"/>
              <w:rPr>
                <w:sz w:val="18"/>
                <w:szCs w:val="18"/>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63,834</w:t>
            </w:r>
          </w:p>
        </w:tc>
        <w:tc>
          <w:tcPr>
            <w:tcW w:w="3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81,928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66,706</w:t>
            </w:r>
          </w:p>
        </w:tc>
        <w:tc>
          <w:tcPr>
            <w:tcW w:w="12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 January 3, 2021 and December 29, 2019, the significant components of net deferred income taxes are as follows (in thousands):</w:t>
      </w:r>
    </w:p>
    <w:p>
      <w:pPr>
        <w:spacing w:after="0" w:line="26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4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58,885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58,546</w:t>
            </w: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Accruals and reserves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14,148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11,874</w:t>
            </w: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Insurance reserves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12,447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11,256</w:t>
            </w: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equity-based compensation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10,357</w:t>
            </w: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Foreign tax credit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6,603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9,333</w:t>
            </w: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6,980</w:t>
            </w:r>
          </w:p>
        </w:tc>
      </w:tr>
      <w:tr>
        <w:trPr>
          <w:trHeight w:val="230"/>
        </w:trPr>
        <w:tc>
          <w:tcPr>
            <w:tcW w:w="6460" w:type="dxa"/>
            <w:vAlign w:val="bottom"/>
          </w:tcPr>
          <w:p>
            <w:pPr>
              <w:ind w:left="720"/>
              <w:spacing w:after="0"/>
              <w:rPr>
                <w:sz w:val="20"/>
                <w:szCs w:val="20"/>
                <w:color w:val="auto"/>
              </w:rPr>
            </w:pPr>
            <w:r>
              <w:rPr>
                <w:rFonts w:ascii="Arial" w:cs="Arial" w:eastAsia="Arial" w:hAnsi="Arial"/>
                <w:sz w:val="18"/>
                <w:szCs w:val="18"/>
                <w:color w:val="auto"/>
              </w:rPr>
              <w:t>Deferred income tax assets before valuation allowance</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108,134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108,346</w:t>
            </w:r>
          </w:p>
        </w:tc>
        <w:tc>
          <w:tcPr>
            <w:tcW w:w="100" w:type="dxa"/>
            <w:vAlign w:val="bottom"/>
          </w:tcPr>
          <w:p>
            <w:pPr>
              <w:spacing w:after="0"/>
              <w:rPr>
                <w:sz w:val="20"/>
                <w:szCs w:val="20"/>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(7,600)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(4,280)</w:t>
            </w:r>
          </w:p>
        </w:tc>
      </w:tr>
      <w:tr>
        <w:trPr>
          <w:trHeight w:val="230"/>
        </w:trPr>
        <w:tc>
          <w:tcPr>
            <w:tcW w:w="6460" w:type="dxa"/>
            <w:vAlign w:val="bottom"/>
          </w:tcPr>
          <w:p>
            <w:pPr>
              <w:ind w:left="720"/>
              <w:spacing w:after="0"/>
              <w:rPr>
                <w:sz w:val="20"/>
                <w:szCs w:val="20"/>
                <w:color w:val="auto"/>
              </w:rPr>
            </w:pPr>
            <w:r>
              <w:rPr>
                <w:rFonts w:ascii="Arial" w:cs="Arial" w:eastAsia="Arial" w:hAnsi="Arial"/>
                <w:sz w:val="18"/>
                <w:szCs w:val="18"/>
                <w:color w:val="auto"/>
              </w:rPr>
              <w:t>Total deferred income tax assets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100,534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104,066</w:t>
            </w:r>
          </w:p>
        </w:tc>
        <w:tc>
          <w:tcPr>
            <w:tcW w:w="100" w:type="dxa"/>
            <w:vAlign w:val="bottom"/>
          </w:tcPr>
          <w:p>
            <w:pPr>
              <w:spacing w:after="0"/>
              <w:rPr>
                <w:sz w:val="20"/>
                <w:szCs w:val="20"/>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Operating lease right-of-use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56,446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56,744</w:t>
            </w: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amortization and asset basis differences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18,687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9,919</w:t>
            </w: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Capitalized software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29,596</w:t>
            </w:r>
          </w:p>
        </w:tc>
        <w:tc>
          <w:tcPr>
            <w:tcW w:w="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27,330</w:t>
            </w:r>
          </w:p>
        </w:tc>
      </w:tr>
      <w:tr>
        <w:trPr>
          <w:trHeight w:val="27"/>
        </w:trPr>
        <w:tc>
          <w:tcPr>
            <w:tcW w:w="6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income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104,729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93,993</w:t>
            </w: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Net deferred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(4,195</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10,073</w:t>
            </w:r>
          </w:p>
        </w:tc>
        <w:tc>
          <w:tcPr>
            <w:tcW w:w="10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Prior period amounts in the table above have been reclassified to conform to the current year presentation.</w:t>
      </w:r>
    </w:p>
    <w:p>
      <w:pPr>
        <w:spacing w:after="0" w:line="12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Realization of the Company’s deferred tax assets is dependent upon many factors, including, but not limited to, the Company’s ability to generate sufficient taxable income. Although realization of the Company’s deferred tax assets is not assured, on an ongoing basis, management assesses whether it remains more likely than not the deferred tax assets will be realized.</w:t>
      </w:r>
    </w:p>
    <w:p>
      <w:pPr>
        <w:spacing w:after="0" w:line="184"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As of January 3, 2021, the Company had total foreign tax credits of $6.6 million, which is fully offset with a corresponding valuation allowance. As of January 3, 2021, the Company also had a $1.0 million valuation allowance related to interest deductibility in separately filed states. As of December 29, 2019, the Company had total foreign tax credits of $9.3 million, of which $5.6 million was carried back one year to be fully utilized. As of December 29, 2019, the Company had a total valuation allowance of $4.3 million, related to expected limitations on foreign tax credits and interest deductibility in separately filed states. Management believes the remaining deferred tax assets will be realized.</w:t>
      </w:r>
    </w:p>
    <w:p>
      <w:pPr>
        <w:spacing w:after="0" w:line="17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For financial reporting purposes, the Company’s investment in foreign subsidiaries does not exceed its tax basis. Therefore, no deferred income taxes have been provided.</w:t>
      </w:r>
    </w:p>
    <w:p>
      <w:pPr>
        <w:spacing w:after="0" w:line="170" w:lineRule="exact"/>
        <w:rPr>
          <w:sz w:val="20"/>
          <w:szCs w:val="20"/>
          <w:color w:val="auto"/>
        </w:rPr>
      </w:pPr>
    </w:p>
    <w:p>
      <w:pPr>
        <w:jc w:val="both"/>
        <w:ind w:left="120" w:right="60" w:firstLine="440"/>
        <w:spacing w:after="0" w:line="275" w:lineRule="auto"/>
        <w:rPr>
          <w:sz w:val="20"/>
          <w:szCs w:val="20"/>
          <w:color w:val="auto"/>
        </w:rPr>
      </w:pPr>
      <w:r>
        <w:rPr>
          <w:rFonts w:ascii="Arial" w:cs="Arial" w:eastAsia="Arial" w:hAnsi="Arial"/>
          <w:sz w:val="17"/>
          <w:szCs w:val="17"/>
          <w:color w:val="auto"/>
        </w:rPr>
        <w:t>The Company recognizes the financial statement benefit of a tax position if it is more likely than not that the position is sustainable, based solely on its technical merits and consideration of the relevant taxing authorities widely understood administrative practices and precedents. For tax positions meeting the “more likely than not” threshold, the amount recognized in the financial statements is the largest benefit that has a greater than 50 percent likelihood of being realized upon ultimate settlement with the relevant tax authority. The Company recognizes accrued interest related to unrecognized tax benefits in interest expense and recognizes penalties in income tax expense.</w:t>
      </w:r>
    </w:p>
    <w:p>
      <w:pPr>
        <w:sectPr>
          <w:pgSz w:w="11900" w:h="16838" w:orient="portrait"/>
          <w:cols w:equalWidth="0" w:num="1">
            <w:col w:w="11040"/>
          </w:cols>
          <w:pgMar w:left="320" w:top="486" w:right="539" w:bottom="1440" w:gutter="0" w:footer="0" w:header="0"/>
        </w:sectPr>
      </w:pPr>
    </w:p>
    <w:p>
      <w:pPr>
        <w:spacing w:after="0" w:line="176"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040"/>
          </w:cols>
          <w:pgMar w:left="320" w:top="486" w:right="5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880" w:type="dxa"/>
            <w:vAlign w:val="bottom"/>
          </w:tcPr>
          <w:p>
            <w:pPr>
              <w:spacing w:after="0"/>
              <w:rPr>
                <w:sz w:val="14"/>
                <w:szCs w:val="14"/>
                <w:color w:val="auto"/>
              </w:rPr>
            </w:pPr>
          </w:p>
        </w:tc>
        <w:tc>
          <w:tcPr>
            <w:tcW w:w="5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209"/>
        </w:trPr>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Unrecognized tax benefits at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$2,802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$1,964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$1,837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tcPr>
          <w:p>
            <w:pPr>
              <w:ind w:left="340"/>
              <w:spacing w:after="0"/>
              <w:rPr>
                <w:sz w:val="20"/>
                <w:szCs w:val="20"/>
                <w:color w:val="auto"/>
              </w:rPr>
            </w:pPr>
            <w:r>
              <w:rPr>
                <w:rFonts w:ascii="Arial" w:cs="Arial" w:eastAsia="Arial" w:hAnsi="Arial"/>
                <w:sz w:val="18"/>
                <w:szCs w:val="18"/>
                <w:color w:val="auto"/>
              </w:rPr>
              <w:t>Additions for tax positions of current year</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494</w:t>
            </w: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468</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8"/>
                <w:szCs w:val="18"/>
                <w:color w:val="auto"/>
              </w:rPr>
            </w:pPr>
          </w:p>
        </w:tc>
      </w:tr>
      <w:tr>
        <w:trPr>
          <w:trHeight w:val="216"/>
        </w:trPr>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for tax positions of prior years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r>
      <w:tr>
        <w:trPr>
          <w:trHeight w:val="216"/>
        </w:trPr>
        <w:tc>
          <w:tcPr>
            <w:tcW w:w="6880" w:type="dxa"/>
            <w:vAlign w:val="bottom"/>
          </w:tcPr>
          <w:p>
            <w:pPr>
              <w:ind w:left="340"/>
              <w:spacing w:after="0"/>
              <w:rPr>
                <w:sz w:val="20"/>
                <w:szCs w:val="20"/>
                <w:color w:val="auto"/>
              </w:rPr>
            </w:pPr>
            <w:r>
              <w:rPr>
                <w:rFonts w:ascii="Arial" w:cs="Arial" w:eastAsia="Arial" w:hAnsi="Arial"/>
                <w:sz w:val="18"/>
                <w:szCs w:val="18"/>
                <w:color w:val="auto"/>
              </w:rPr>
              <w:t>Reductions for changes in prior year tax positions</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(178)</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(284)</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(64)</w:t>
            </w:r>
          </w:p>
        </w:tc>
      </w:tr>
      <w:tr>
        <w:trPr>
          <w:trHeight w:val="216"/>
        </w:trPr>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Reductions for lapses of applicable statute of limitations</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(306)</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(349)</w:t>
            </w: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Unrecognized tax benefits at end of period</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3,318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2,802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1,964</w:t>
            </w:r>
          </w:p>
        </w:tc>
        <w:tc>
          <w:tcPr>
            <w:tcW w:w="120" w:type="dxa"/>
            <w:vAlign w:val="bottom"/>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As of January 3, 2021, the amount of unrecognized tax benefits was $3.3 million of which, if ultimately recognized, $2.4 million would be recognized as an income tax benefit and reduce the Company’s effective tax rate. As of January 3, 2021, the Company had $0.2 million of accrued interest and no accrued penalties.</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As of December 29, 2019, the amount of unrecognized tax benefits was $2.8 million of which, if ultimately recognized, $2.2 million would be recognized as an income tax benefit and reduce the Company’s effective tax rate. As of December 29, 2019, the Company had $0.1 million of accrued interest and $0.2 million of accrued penalties.</w:t>
      </w:r>
    </w:p>
    <w:p>
      <w:pPr>
        <w:spacing w:after="0" w:line="184"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There are currently no Internal Revenue Service audits in progress for the Company. The Company continues to be under examination by certain states. The Company’s Federal statute of limitation has expired for years prior to 2017, but it varies for state and foreign locations. The Company believes appropriate provisions for all outstanding tax issues have been made for all jurisdictions and all open years.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Employee Benefits</w:t>
      </w:r>
    </w:p>
    <w:p>
      <w:pPr>
        <w:spacing w:after="0" w:line="1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Company has a retirement savings plan which qualifies under Internal Revenue Code Section 401(k). All employees of the Company who have completed 1,000 hours of service and are at least 18 years of age are eligible to participate in the plan. During 2020 and 2019, the plan required the Company to match 100% of the first 5% of each employee’s elective deferrals. During 2018, the plan required the Company to match 100% of the first 3% of each employee’s elective deferrals and 50% of the next 2% of each employee’s elective deferrals. The Company’s matching contributions were made in the form of cash and vested immediately. The expenses incurred for Company contributions to the plan were approximately $12.0 million, $10.8 million and $7.3 million in 2020, 2019 and 2018, respectively.</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Company has established a non-qualified deferred compensation plan available for certain key employees. Under this self-funding plan, the participants may defer up to 40% of their base salary and up to 80% of their bonus compensation. The participants direct the investment of their deferred compensation within several investment funds. The Company is not required to contribute and did not contribute to this plan during 2020, 2019 and 2018.</w:t>
      </w:r>
    </w:p>
    <w:p>
      <w:pPr>
        <w:spacing w:after="0" w:line="18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Company has an employee stock payroll deduction plan (the “ESPDP”). Under the ESPDP, eligible employees may deduct up to 15% of their eligible wages to purchase common stock at 85% of the market price of the stock at the purchase date. The ESPDP requires employees to hold their purchased common stock for at least one year. The Company purchases common stock on the open market for the ESPDP at the current market price. There were 16,017 shares, 20,222 shares and 19,494 shares of common stock in 2020, 2019 and 2018, respectively, purchased on the open market for participating employees at a weighted-average price of $357.54 in 2020, $257.12 in 2019 and $249.57 in 2018. The expenses incurred under the ESPDP were approximately $1.0 million, $0.8 million and $0.7 million in 2020, 2019 and 2018, respectively.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Investment in Dash Brands</w:t>
      </w:r>
    </w:p>
    <w:p>
      <w:pPr>
        <w:spacing w:after="0" w:line="121"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During the second quarter of 2020, a subsidiary of the Company acquired a non-controlling interest in Dash Brands Ltd., a privately-held business company limited by shares incorporated with limited liability under the laws of the British Virgin Islands (“Dash Brands”), for $40.0 million. Through its subsidiaries, Dash Brands serves as the Company’s master franchisee in China that owns and operates Domino’s Pizza stores in that market. The Company’s investment in Dash Brands’ senior ordinary shares, which are not in-substance common stock, represents an equity investment without a readily determinable fair value and is recorded at cost with adjustments for observable changes in prices resulting from orderly transactions for the identical or a similar investment of the same issuer or impairments within long-term other assets in the Company’s consolidated balance sheet. The Company did not record any adjustments to the carrying amount of $40.0 million in 2020.</w:t>
      </w:r>
    </w:p>
    <w:p>
      <w:pPr>
        <w:sectPr>
          <w:pgSz w:w="11900" w:h="16838" w:orient="portrait"/>
          <w:cols w:equalWidth="0" w:num="1">
            <w:col w:w="11120"/>
          </w:cols>
          <w:pgMar w:left="320" w:top="486" w:right="459" w:bottom="1440" w:gutter="0" w:footer="0" w:header="0"/>
        </w:sectPr>
      </w:pPr>
    </w:p>
    <w:p>
      <w:pPr>
        <w:spacing w:after="0" w:line="17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120"/>
          </w:cols>
          <w:pgMar w:left="320" w:top="486" w:right="45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jc w:val="both"/>
        <w:ind w:left="120" w:right="360" w:firstLine="440"/>
        <w:spacing w:after="0" w:line="286" w:lineRule="auto"/>
        <w:rPr>
          <w:sz w:val="20"/>
          <w:szCs w:val="20"/>
          <w:color w:val="auto"/>
        </w:rPr>
      </w:pPr>
      <w:r>
        <w:rPr>
          <w:rFonts w:ascii="Arial" w:cs="Arial" w:eastAsia="Arial" w:hAnsi="Arial"/>
          <w:sz w:val="17"/>
          <w:szCs w:val="17"/>
          <w:color w:val="auto"/>
        </w:rPr>
        <w:t>In the first quarter of 2021, the Company invested an additional $40.0 million in Dash Brands based on Dash Brands’ achievement of certain performance conditions. In the first quarter of 2021, the Company recorded a positive adjustment of $2.5 million to the original carrying amount of $40.0 million resulting from the observable change in price from the valuation of the additional investment.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Equity Incentive Plans</w:t>
      </w:r>
    </w:p>
    <w:p>
      <w:pPr>
        <w:spacing w:after="0" w:line="121"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The cost of all employee stock options, as well as other equity-based compensation arrangements, is reflected in the consolidated statements of income based on the estimated fair value of the awards and is amortized over the requisite service period of each award.</w:t>
      </w:r>
    </w:p>
    <w:p>
      <w:pPr>
        <w:spacing w:after="0" w:line="146" w:lineRule="exact"/>
        <w:rPr>
          <w:sz w:val="20"/>
          <w:szCs w:val="20"/>
          <w:color w:val="auto"/>
        </w:rPr>
      </w:pPr>
    </w:p>
    <w:p>
      <w:pPr>
        <w:jc w:val="both"/>
        <w:ind w:left="120" w:right="200" w:firstLine="440"/>
        <w:spacing w:after="0" w:line="259" w:lineRule="auto"/>
        <w:rPr>
          <w:sz w:val="20"/>
          <w:szCs w:val="20"/>
          <w:color w:val="auto"/>
        </w:rPr>
      </w:pPr>
      <w:r>
        <w:rPr>
          <w:rFonts w:ascii="Arial" w:cs="Arial" w:eastAsia="Arial" w:hAnsi="Arial"/>
          <w:sz w:val="18"/>
          <w:szCs w:val="18"/>
          <w:color w:val="auto"/>
        </w:rPr>
        <w:t>The Company’s current equity incentive plan benefits certain of the Company’s employees and directors and is named the Domino’s Pizza, Inc. 2004 Equity Incentive Plan (the “2004 Equity Incentive Plan”). As of January 3, 2021, the maximum number of shares that may be granted under the 2004 Equity Incentive Plan is 15,600,000 shares of voting common stock of which 2,559,832 shares were authorized for grant but have not been granted.</w:t>
      </w:r>
    </w:p>
    <w:p>
      <w:pPr>
        <w:spacing w:after="0" w:line="187"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The Company recorded total non-cash compensation expense of $24.2 million, $20.3 million and $22.8 million in 2020, 2019 and 2018, respectively. All non-cash compensation expense amounts are recorded in general and administrative expense. The Company recorded a deferred tax benefit related to non-cash compensation expense of approximately $3.6 million in 2020 and $3.8 million in 2019.</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As of January 3, 2021, the number of stock options granted and outstanding under the 2004 Equity Incentive Plan was 832,666 options. Stock options granted in fiscal 2011 and fiscal 2012 were granted with an exercise price equal to the market price at the date of the grant and expire ten years from the date of grant. Stock options granted in fiscal 2013 through fiscal 2020 were granted with an exercise price equal to the market price at the date of the grant, expire ten years from the date of grant and generally vest over four years from the date of grant. Additionally, all stock options granted become fully exercisable upon vesting. These awards also contain provisions for accelerated vesting upon the retirement of holders that have achieved specific service and age requirements.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Stock option activity related to the 2004 Equity Incentive Plan is summarized as follows:</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w w:val="97"/>
              </w:rPr>
              <w:t>Common Stock Options</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Weighted</w:t>
            </w:r>
          </w:p>
        </w:tc>
        <w:tc>
          <w:tcPr>
            <w:tcW w:w="116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9"/>
              </w:rPr>
              <w:t>Weighted</w:t>
            </w:r>
          </w:p>
        </w:tc>
        <w:tc>
          <w:tcPr>
            <w:tcW w:w="120" w:type="dxa"/>
            <w:vAlign w:val="bottom"/>
          </w:tcPr>
          <w:p>
            <w:pPr>
              <w:spacing w:after="0"/>
              <w:rPr>
                <w:sz w:val="10"/>
                <w:szCs w:val="10"/>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24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89"/>
              </w:rPr>
              <w:t>Outstanding</w:t>
            </w:r>
          </w:p>
        </w:tc>
        <w:tc>
          <w:tcPr>
            <w:tcW w:w="10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Exercise</w:t>
            </w: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Price</w:t>
            </w: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(Years)</w:t>
            </w:r>
          </w:p>
        </w:tc>
        <w:tc>
          <w:tcPr>
            <w:tcW w:w="480" w:type="dxa"/>
            <w:vAlign w:val="bottom"/>
          </w:tcPr>
          <w:p>
            <w:pPr>
              <w:spacing w:after="0"/>
              <w:rPr>
                <w:sz w:val="12"/>
                <w:szCs w:val="12"/>
                <w:color w:val="auto"/>
              </w:rPr>
            </w:pPr>
          </w:p>
        </w:tc>
        <w:tc>
          <w:tcPr>
            <w:tcW w:w="9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at December 31, 2017</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2,238,114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55.94</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Stock options granted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96,580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266.11</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options cancelled</w:t>
            </w: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(11,193)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174.63</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Stock options exercised</w:t>
            </w:r>
          </w:p>
        </w:tc>
        <w:tc>
          <w:tcPr>
            <w:tcW w:w="1240" w:type="dxa"/>
            <w:vAlign w:val="bottom"/>
            <w:gridSpan w:val="3"/>
          </w:tcPr>
          <w:p>
            <w:pPr>
              <w:jc w:val="right"/>
              <w:ind w:right="400"/>
              <w:spacing w:after="0"/>
              <w:rPr>
                <w:sz w:val="20"/>
                <w:szCs w:val="20"/>
                <w:color w:val="auto"/>
              </w:rPr>
            </w:pPr>
            <w:r>
              <w:rPr>
                <w:rFonts w:ascii="Arial" w:cs="Arial" w:eastAsia="Arial" w:hAnsi="Arial"/>
                <w:sz w:val="18"/>
                <w:szCs w:val="18"/>
                <w:color w:val="auto"/>
              </w:rPr>
              <w:t>(414,102)</w:t>
            </w: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23.74</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at December 30, 2018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1,909,399</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72.86</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Stock options granted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96,280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272.64</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options cancelled</w:t>
            </w: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(33,667)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196.47</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Stock options exercised</w:t>
            </w:r>
          </w:p>
        </w:tc>
        <w:tc>
          <w:tcPr>
            <w:tcW w:w="1240" w:type="dxa"/>
            <w:vAlign w:val="bottom"/>
            <w:gridSpan w:val="3"/>
          </w:tcPr>
          <w:p>
            <w:pPr>
              <w:jc w:val="right"/>
              <w:ind w:right="400"/>
              <w:spacing w:after="0"/>
              <w:rPr>
                <w:sz w:val="20"/>
                <w:szCs w:val="20"/>
                <w:color w:val="auto"/>
              </w:rPr>
            </w:pPr>
            <w:r>
              <w:rPr>
                <w:rFonts w:ascii="Arial" w:cs="Arial" w:eastAsia="Arial" w:hAnsi="Arial"/>
                <w:sz w:val="18"/>
                <w:szCs w:val="18"/>
                <w:color w:val="auto"/>
              </w:rPr>
              <w:t>(425,601)</w:t>
            </w: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30.70</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at December 29, 2019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1,546,411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94.21</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Stock options granted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52,730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413.80</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options cancelled</w:t>
            </w: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(9,792)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268.94</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Stock options exercised</w:t>
            </w:r>
          </w:p>
        </w:tc>
        <w:tc>
          <w:tcPr>
            <w:tcW w:w="1240" w:type="dxa"/>
            <w:vAlign w:val="bottom"/>
            <w:gridSpan w:val="3"/>
          </w:tcPr>
          <w:p>
            <w:pPr>
              <w:jc w:val="right"/>
              <w:ind w:right="400"/>
              <w:spacing w:after="0"/>
              <w:rPr>
                <w:sz w:val="20"/>
                <w:szCs w:val="20"/>
                <w:color w:val="auto"/>
              </w:rPr>
            </w:pPr>
            <w:r>
              <w:rPr>
                <w:rFonts w:ascii="Arial" w:cs="Arial" w:eastAsia="Arial" w:hAnsi="Arial"/>
                <w:sz w:val="18"/>
                <w:szCs w:val="18"/>
                <w:color w:val="auto"/>
              </w:rPr>
              <w:t>(756,683)</w:t>
            </w: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40.93</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at January 3, 2021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832,666</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160.82</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186,974</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Exercisable at January 3, 2021</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gridSpan w:val="2"/>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687,570</w:t>
            </w:r>
          </w:p>
        </w:tc>
        <w:tc>
          <w:tcPr>
            <w:tcW w:w="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127.50</w:t>
            </w:r>
          </w:p>
        </w:tc>
        <w:tc>
          <w:tcPr>
            <w:tcW w:w="48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4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total intrinsic value of stock options exercised was approximately $249.7 million, $103.8 million and $91.2 million in 2020, 2019 and 2018, respectively. Cash received from the exercise of stock options was approximately $31.0 million, $13.1 million and $9.8 million in 2020, 2019 and 2018, respectively. The tax benefit realized from stock options exercised was approximately $59.1 million, $24.9 million and $22.0 million in 2020, 2019 and 2018, respectively.</w:t>
      </w:r>
    </w:p>
    <w:p>
      <w:pPr>
        <w:sectPr>
          <w:pgSz w:w="11900" w:h="16838" w:orient="portrait"/>
          <w:cols w:equalWidth="0" w:num="1">
            <w:col w:w="11080"/>
          </w:cols>
          <w:pgMar w:left="320" w:top="486" w:right="499" w:bottom="1440" w:gutter="0" w:footer="0" w:header="0"/>
        </w:sectPr>
      </w:pPr>
    </w:p>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080"/>
          </w:cols>
          <w:pgMar w:left="320" w:top="486" w:right="49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(Continued)</w:t>
      </w:r>
    </w:p>
    <w:p>
      <w:pPr>
        <w:spacing w:after="0" w:line="143"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The Company recorded total non-cash compensation expense of $</w:t>
      </w:r>
      <w:r>
        <w:rPr>
          <w:rFonts w:ascii="Arial" w:cs="Arial" w:eastAsia="Arial" w:hAnsi="Arial"/>
          <w:sz w:val="13"/>
          <w:szCs w:val="13"/>
          <w:color w:val="auto"/>
        </w:rPr>
        <w:t>6.3</w:t>
      </w:r>
      <w:r>
        <w:rPr>
          <w:rFonts w:ascii="Arial" w:cs="Arial" w:eastAsia="Arial" w:hAnsi="Arial"/>
          <w:sz w:val="17"/>
          <w:szCs w:val="17"/>
          <w:color w:val="auto"/>
        </w:rPr>
        <w:t xml:space="preserve"> million, $</w:t>
      </w:r>
      <w:r>
        <w:rPr>
          <w:rFonts w:ascii="Arial" w:cs="Arial" w:eastAsia="Arial" w:hAnsi="Arial"/>
          <w:sz w:val="13"/>
          <w:szCs w:val="13"/>
          <w:color w:val="auto"/>
        </w:rPr>
        <w:t>4.0</w:t>
      </w:r>
      <w:r>
        <w:rPr>
          <w:rFonts w:ascii="Arial" w:cs="Arial" w:eastAsia="Arial" w:hAnsi="Arial"/>
          <w:sz w:val="17"/>
          <w:szCs w:val="17"/>
          <w:color w:val="auto"/>
        </w:rPr>
        <w:t xml:space="preserve"> million and $</w:t>
      </w:r>
      <w:r>
        <w:rPr>
          <w:rFonts w:ascii="Arial" w:cs="Arial" w:eastAsia="Arial" w:hAnsi="Arial"/>
          <w:sz w:val="13"/>
          <w:szCs w:val="13"/>
          <w:color w:val="auto"/>
        </w:rPr>
        <w:t>6.3</w:t>
      </w:r>
      <w:r>
        <w:rPr>
          <w:rFonts w:ascii="Arial" w:cs="Arial" w:eastAsia="Arial" w:hAnsi="Arial"/>
          <w:sz w:val="17"/>
          <w:szCs w:val="17"/>
          <w:color w:val="auto"/>
        </w:rPr>
        <w:t xml:space="preserve"> million in 2020, 2019 and 2018, respectively, related to stock option awards. As of January 3, 2021, there was $</w:t>
      </w:r>
      <w:r>
        <w:rPr>
          <w:rFonts w:ascii="Arial" w:cs="Arial" w:eastAsia="Arial" w:hAnsi="Arial"/>
          <w:sz w:val="13"/>
          <w:szCs w:val="13"/>
          <w:color w:val="auto"/>
        </w:rPr>
        <w:t>8.0</w:t>
      </w:r>
      <w:r>
        <w:rPr>
          <w:rFonts w:ascii="Arial" w:cs="Arial" w:eastAsia="Arial" w:hAnsi="Arial"/>
          <w:sz w:val="17"/>
          <w:szCs w:val="17"/>
          <w:color w:val="auto"/>
        </w:rPr>
        <w:t xml:space="preserve"> million of total unrecognized compensation cost related to </w:t>
      </w:r>
      <w:r>
        <w:rPr>
          <w:rFonts w:ascii="Arial" w:cs="Arial" w:eastAsia="Arial" w:hAnsi="Arial"/>
          <w:sz w:val="13"/>
          <w:szCs w:val="13"/>
          <w:color w:val="auto"/>
        </w:rPr>
        <w:t>unvested</w:t>
      </w:r>
      <w:r>
        <w:rPr>
          <w:rFonts w:ascii="Arial" w:cs="Arial" w:eastAsia="Arial" w:hAnsi="Arial"/>
          <w:sz w:val="17"/>
          <w:szCs w:val="17"/>
          <w:color w:val="auto"/>
        </w:rPr>
        <w:t xml:space="preserve"> stock options granted under the 2004 Equity Incentive Plan which generally will be recognized on a straight-line basis over the related vesting period. This unrecognized compensation cost is expected to be recognized over a weighted average period of </w:t>
      </w:r>
      <w:r>
        <w:rPr>
          <w:rFonts w:ascii="Arial" w:cs="Arial" w:eastAsia="Arial" w:hAnsi="Arial"/>
          <w:sz w:val="13"/>
          <w:szCs w:val="13"/>
          <w:color w:val="auto"/>
        </w:rPr>
        <w:t>2.4</w:t>
      </w:r>
      <w:r>
        <w:rPr>
          <w:rFonts w:ascii="Arial" w:cs="Arial" w:eastAsia="Arial" w:hAnsi="Arial"/>
          <w:sz w:val="17"/>
          <w:szCs w:val="17"/>
          <w:color w:val="auto"/>
        </w:rPr>
        <w:t xml:space="preserve"> years.</w:t>
      </w:r>
    </w:p>
    <w:p>
      <w:pPr>
        <w:spacing w:after="0" w:line="10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Management estimated the fair value of each option grant made during 2020, 2019 and 2018 as of the date of the grant using the Black-Scholes option pricing method. Weighted average assumptions are presented in the following table. The risk-free interest rate is based on the estimated effective life and is estimated based on U.S. Treasury Bond rates as of the grant date. The expected life is based on several factors, including, among other things, the vesting term and contractual term as well as historical experience. The expected volatility is based principally on the historical volatility of the Company’s share price.</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82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r>
      <w:tr>
        <w:trPr>
          <w:trHeight w:val="209"/>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Expected life (years)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30.0%</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25.0%</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24.2%</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520" w:type="dxa"/>
            <w:vAlign w:val="bottom"/>
            <w:gridSpan w:val="3"/>
          </w:tcPr>
          <w:p>
            <w:pPr>
              <w:jc w:val="right"/>
              <w:ind w:right="200"/>
              <w:spacing w:after="0"/>
              <w:rPr>
                <w:sz w:val="20"/>
                <w:szCs w:val="20"/>
                <w:color w:val="auto"/>
              </w:rPr>
            </w:pPr>
            <w:r>
              <w:rPr>
                <w:rFonts w:ascii="Arial" w:cs="Arial" w:eastAsia="Arial" w:hAnsi="Arial"/>
                <w:sz w:val="18"/>
                <w:szCs w:val="18"/>
                <w:color w:val="auto"/>
              </w:rPr>
              <w:t>0.8%</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0.9%</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0.8%</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per stock option</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$105.76</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$64.66</w:t>
            </w: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$67.65</w:t>
            </w:r>
          </w:p>
        </w:tc>
        <w:tc>
          <w:tcPr>
            <w:tcW w:w="2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Option valuation models require the input of highly subjective assumptions. In management’s opinion, existing models do not necessarily provide a reliable single measure of the fair value of the Company’s stock options, as changes in subjective input assumptions can significantly affect the fair value estimate.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Equity-Based Compensation Arrangements</w:t>
      </w:r>
    </w:p>
    <w:p>
      <w:pPr>
        <w:spacing w:after="0" w:line="121"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The Company granted 3,630 shares, 3,780 shares and 3,790 shares of restricted stock in 2020, 2019 and 2018, respectively, to members of its Board of Directors. These grants generally vest one year from the date of the grant and have a fair value equal to the market price of the Company’s stock on the grant date. These awards also contain provisions for accelerated vesting upon the retirement of holders that have achieved specific service and age requirements. The Company recorded total non-cash compensation expense of $1.2 million, $1.0 million and $0.8 million in 2020, 2019 and 2018, respectively, related to these restricted stock awards. As of January 3, 2021, there was $0.2 million of total unrecognized compensation cost related to these restricted stock grants.</w:t>
      </w:r>
    </w:p>
    <w:p>
      <w:pPr>
        <w:spacing w:after="0" w:line="192"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In 2018, the Company granted 28,570 shares of restricted stock to two executives of the Company. These grants will vest four years from the date of the grant and have a fair value equal to the market price of the Company’s stock on the grant date. These awards also contain provisions for accelerated vesting upon the retirement of holders that have achieved specific service and age requirements. The Company recorded total non-cash compensation expense of $2.1 million, $2.1 million and $1.1 million in 2020, 2019 and 2018 related to these restricted stock awards. As of January 3, 2021, there was $2.7 million of total unrecognized compensation cost related to these restricted stock grants.</w:t>
      </w:r>
    </w:p>
    <w:p>
      <w:pPr>
        <w:spacing w:after="0" w:line="17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Company granted 39,150 shares, 63,790 shares and 59,070 shares of performance-based restricted stock in 2020, 2019 and 2018, respectively, to certain employees of the Company. These performance-based restricted stock awards are separated into four tranches and have time-based and performance-based vesting conditions with the last tranche vesting four years from the issuance date. These awards also contain provisions for accelerated vesting upon the retirement of holders that have achieved specific service and age requirements. These awards are considered granted for accounting purposes when the performance target is established, which is generally in the fourth quarter of each year. The Company recorded total non-cash compensation expense of $14.6 million, $13.2 million and $14.6 million in 2020, 2019 and 2018, respectively, related to these awards. As of January 3, 2021, there was an estimated $30.8 million of total unrecognized compensation cost related to performance-based restricted stock.</w:t>
      </w:r>
    </w:p>
    <w:p>
      <w:pPr>
        <w:spacing w:after="0" w:line="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86"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(Continued)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Restricted stock and performance-based restricted stock activity related to the 2004 Equity Incentive Plan is summarized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8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9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Fair Value (1)</w:t>
            </w:r>
          </w:p>
        </w:tc>
        <w:tc>
          <w:tcPr>
            <w:tcW w:w="0" w:type="dxa"/>
            <w:vAlign w:val="bottom"/>
          </w:tcPr>
          <w:p>
            <w:pPr>
              <w:spacing w:after="0"/>
              <w:rPr>
                <w:sz w:val="1"/>
                <w:szCs w:val="1"/>
                <w:color w:val="auto"/>
              </w:rPr>
            </w:pP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31, 2017</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194,604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Shares granted</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91,430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271.33</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cancelled</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178.06</w:t>
            </w: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Shares vested</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(82,963)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128.57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30, 2018</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190,379</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213.57</w:t>
            </w: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Shares granted</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67,570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275.06</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cancelled</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(17,923)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230.60</w:t>
            </w: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Shares vested</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(68,956)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175.84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29, 2019</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171,070</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251.29</w:t>
            </w: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Shares granted</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42,780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398.08</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cancelled</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273.70</w:t>
            </w: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Shares vested</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(58,743)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221.58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3, 2021</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146,762</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304.69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line="253" w:lineRule="auto"/>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weighted average grant date fair value for performance-based restricted shares granted was calculated based on the market price on the grant dates. Certain tranches will ultimately be valued when the performance condition is established for each tranche, which generally occurs in the fourth quarter of each fiscal year.</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Capital Structure</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Company’s Board of Directors approved a $1.0 billion program to repurchase the Company’s common stock during the fourth quarter of 2019. The Company’s share repurchase programs have historically been funded by excess operating cash flows, excess proceeds from the Company’s recapitalization transactions and borrowings under the Company’s variable funding notes. The Company’s policy is to recognize the difference between the purchase price and par value of the common stock in additional paid-in capital. In instances where there is no additional paid-in capital, the difference is recognized in retained deficit.</w:t>
      </w:r>
    </w:p>
    <w:p>
      <w:pPr>
        <w:spacing w:after="0" w:line="18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During 2020, 2019 and 2018, the Company repurchased 838,871 shares, 2,493,560 shares and 2,387,430 shares for approximately $304.6 million, $699.0 million and $591.2 million, respectively. At January 3, 2021, the Company had $101.6 million remaining under its $1.0 billion authorization. From January 4, 2021 through February 18, 2021, the Company repurchased and retired an additional 65,870 shares of common stock for approximately $25.0 million.</w:t>
      </w:r>
    </w:p>
    <w:p>
      <w:pPr>
        <w:spacing w:after="0" w:line="187"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On February 24, 2021, the Company’s Board of Directors authorized a new share repurchase program to repurchase up to $1.0 billion of the Company’s common stock. This repurchase program replaces the remaining availability of approximately $76.6 million under the Company’s previously approved $1.0 billion share repurchase program.</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As of January 3, 2021, authorized common stock consists of 160,000,000 voting shares and 10,000,000 non-voting shares. The share components of outstanding common stock at January 3, 2021 and December 29, 2019 were as follows:</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438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880" w:type="dxa"/>
            <w:vAlign w:val="bottom"/>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Voting</w:t>
            </w:r>
          </w:p>
        </w:tc>
        <w:tc>
          <w:tcPr>
            <w:tcW w:w="35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38,865,160</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38,930,646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Non-Voting</w:t>
            </w:r>
          </w:p>
        </w:tc>
        <w:tc>
          <w:tcPr>
            <w:tcW w:w="35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3,190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3,363</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Total Common Stock</w:t>
            </w:r>
          </w:p>
        </w:tc>
        <w:tc>
          <w:tcPr>
            <w:tcW w:w="3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38,868,350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38,934,009</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3520" w:type="dxa"/>
            <w:vAlign w:val="bottom"/>
            <w:vMerge w:val="restart"/>
          </w:tcPr>
          <w:p>
            <w:pPr>
              <w:jc w:val="right"/>
              <w:ind w:right="1979"/>
              <w:spacing w:after="0"/>
              <w:rPr>
                <w:sz w:val="20"/>
                <w:szCs w:val="20"/>
                <w:color w:val="auto"/>
              </w:rPr>
            </w:pPr>
            <w:r>
              <w:rPr>
                <w:rFonts w:ascii="Arial" w:cs="Arial" w:eastAsia="Arial" w:hAnsi="Arial"/>
                <w:sz w:val="18"/>
                <w:szCs w:val="18"/>
                <w:color w:val="auto"/>
              </w:rPr>
              <w:t>71</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82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6"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(Continued)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Segment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three reportable segments: (i) U.S. stores; (ii) supply chain; and (iii) international franchise.</w:t>
      </w:r>
    </w:p>
    <w:p>
      <w:pPr>
        <w:spacing w:after="0" w:line="225"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The Company’s operations are organized by management on the combined basis of line of business and geography. The U.S. stores segment includes operations with respect to all franchised and Company-owned stores throughout the U.S. The supply chain segment primarily includes the distribution of food, equipment and supplies to stores from the Company’s supply chain center operations in the U.S. and Canada. The international franchise segment primarily includes operations related to the Company’s franchising business in foreign markets. The accounting policies of the reportable segments are the same as those described in Note 1. The Company evaluates the performance of its segments and allocates resources to them based on earnings before interest, taxes, depreciation, amortization and other, referred to as Segment Income.</w:t>
      </w:r>
    </w:p>
    <w:p>
      <w:pPr>
        <w:spacing w:after="0" w:line="164"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The tables below summarize the financial information concerning the Company’s reportable segments for fiscal 2020, 2019 and 2018. Intersegment revenues are comprised of sales of food, equipment and supplies from the supply chain segment to the Company-owned stores in the U.S. stores segment. Intersegment sales prices are market based. The “Other” column as it relates to Segment Income below primarily includes corporate administrative costs that are not allocable to a reportable segment, including labor, computer expenses, professional fees, travel and entertainment, rent, insurance and other corporate administrative costs. The “Other” column as it relates to capital expenditures primarily includes capitalized software, certain equipment and leasehold improvements for our corporate offices. Tabular amounts presented below are in thousands.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U.S.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Supply</w:t>
            </w:r>
          </w:p>
        </w:tc>
        <w:tc>
          <w:tcPr>
            <w:tcW w:w="120" w:type="dxa"/>
            <w:vAlign w:val="bottom"/>
          </w:tcPr>
          <w:p>
            <w:pPr>
              <w:spacing w:after="0"/>
              <w:rPr>
                <w:sz w:val="14"/>
                <w:szCs w:val="14"/>
                <w:color w:val="auto"/>
              </w:rPr>
            </w:pPr>
          </w:p>
        </w:tc>
        <w:tc>
          <w:tcPr>
            <w:tcW w:w="1000" w:type="dxa"/>
            <w:vAlign w:val="bottom"/>
            <w:gridSpan w:val="4"/>
          </w:tcPr>
          <w:p>
            <w:pPr>
              <w:ind w:left="20"/>
              <w:spacing w:after="0"/>
              <w:rPr>
                <w:sz w:val="20"/>
                <w:szCs w:val="20"/>
                <w:color w:val="auto"/>
              </w:rPr>
            </w:pPr>
            <w:r>
              <w:rPr>
                <w:rFonts w:ascii="Arial" w:cs="Arial" w:eastAsia="Arial" w:hAnsi="Arial"/>
                <w:sz w:val="14"/>
                <w:szCs w:val="14"/>
                <w:b w:val="1"/>
                <w:bCs w:val="1"/>
                <w:color w:val="auto"/>
              </w:rPr>
              <w:t>International</w:t>
            </w:r>
          </w:p>
        </w:tc>
        <w:tc>
          <w:tcPr>
            <w:tcW w:w="80" w:type="dxa"/>
            <w:vAlign w:val="bottom"/>
          </w:tcPr>
          <w:p>
            <w:pPr>
              <w:spacing w:after="0"/>
              <w:rPr>
                <w:sz w:val="14"/>
                <w:szCs w:val="14"/>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0"/>
              </w:rPr>
              <w:t>Intersegment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Stores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Chain</w:t>
            </w:r>
          </w:p>
        </w:tc>
        <w:tc>
          <w:tcPr>
            <w:tcW w:w="120" w:type="dxa"/>
            <w:vAlign w:val="bottom"/>
          </w:tcPr>
          <w:p>
            <w:pPr>
              <w:spacing w:after="0"/>
              <w:rPr>
                <w:sz w:val="14"/>
                <w:szCs w:val="14"/>
                <w:color w:val="auto"/>
              </w:rPr>
            </w:pPr>
          </w:p>
        </w:tc>
        <w:tc>
          <w:tcPr>
            <w:tcW w:w="1000" w:type="dxa"/>
            <w:vAlign w:val="bottom"/>
            <w:gridSpan w:val="4"/>
          </w:tcPr>
          <w:p>
            <w:pPr>
              <w:ind w:left="120"/>
              <w:spacing w:after="0"/>
              <w:rPr>
                <w:sz w:val="20"/>
                <w:szCs w:val="20"/>
                <w:color w:val="auto"/>
              </w:rPr>
            </w:pPr>
            <w:r>
              <w:rPr>
                <w:rFonts w:ascii="Arial" w:cs="Arial" w:eastAsia="Arial" w:hAnsi="Arial"/>
                <w:sz w:val="14"/>
                <w:szCs w:val="14"/>
                <w:b w:val="1"/>
                <w:bCs w:val="1"/>
                <w:color w:val="auto"/>
              </w:rPr>
              <w:t>Franchise</w:t>
            </w:r>
          </w:p>
        </w:tc>
        <w:tc>
          <w:tcPr>
            <w:tcW w:w="80" w:type="dxa"/>
            <w:vAlign w:val="bottom"/>
          </w:tcPr>
          <w:p>
            <w:pPr>
              <w:spacing w:after="0"/>
              <w:rPr>
                <w:sz w:val="14"/>
                <w:szCs w:val="14"/>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2020</w:t>
            </w:r>
          </w:p>
        </w:tc>
        <w:tc>
          <w:tcPr>
            <w:tcW w:w="36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1,451,003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2,552,795</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249,757</w:t>
            </w:r>
          </w:p>
        </w:tc>
        <w:tc>
          <w:tcPr>
            <w:tcW w:w="1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 (136,144)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4,117,411</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2019</w:t>
            </w:r>
          </w:p>
        </w:tc>
        <w:tc>
          <w:tcPr>
            <w:tcW w:w="3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1,272,863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2,231,838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240,975</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(126,902)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3,618,774</w:t>
            </w:r>
          </w:p>
        </w:tc>
        <w:tc>
          <w:tcPr>
            <w:tcW w:w="0" w:type="dxa"/>
            <w:vAlign w:val="bottom"/>
          </w:tcPr>
          <w:p>
            <w:pPr>
              <w:spacing w:after="0"/>
              <w:rPr>
                <w:sz w:val="1"/>
                <w:szCs w:val="1"/>
                <w:color w:val="auto"/>
              </w:rPr>
            </w:pPr>
          </w:p>
        </w:tc>
      </w:tr>
      <w:tr>
        <w:trPr>
          <w:trHeight w:val="216"/>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2018</w:t>
            </w:r>
          </w:p>
        </w:tc>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1,264,823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2,087,408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224,747</w:t>
            </w:r>
          </w:p>
        </w:tc>
        <w:tc>
          <w:tcPr>
            <w:tcW w:w="1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(144,111)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3,432,867</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2020</w:t>
            </w:r>
          </w:p>
        </w:tc>
        <w:tc>
          <w:tcPr>
            <w:tcW w:w="36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435,089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238,420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197,602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960" w:type="dxa"/>
            <w:vAlign w:val="bottom"/>
            <w:gridSpan w:val="4"/>
          </w:tcPr>
          <w:p>
            <w:pPr>
              <w:jc w:val="right"/>
              <w:ind w:right="140"/>
              <w:spacing w:after="0"/>
              <w:rPr>
                <w:sz w:val="20"/>
                <w:szCs w:val="20"/>
                <w:color w:val="auto"/>
              </w:rPr>
            </w:pPr>
            <w:r>
              <w:rPr>
                <w:rFonts w:ascii="Arial" w:cs="Arial" w:eastAsia="Arial" w:hAnsi="Arial"/>
                <w:sz w:val="18"/>
                <w:szCs w:val="18"/>
                <w:color w:val="auto"/>
              </w:rPr>
              <w:t>$(53,265)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817,846</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2019</w:t>
            </w:r>
          </w:p>
        </w:tc>
        <w:tc>
          <w:tcPr>
            <w:tcW w:w="3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361,673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199,844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187,318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(36,701)</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712,134</w:t>
            </w:r>
          </w:p>
        </w:tc>
        <w:tc>
          <w:tcPr>
            <w:tcW w:w="0" w:type="dxa"/>
            <w:vAlign w:val="bottom"/>
          </w:tcPr>
          <w:p>
            <w:pPr>
              <w:spacing w:after="0"/>
              <w:rPr>
                <w:sz w:val="1"/>
                <w:szCs w:val="1"/>
                <w:color w:val="auto"/>
              </w:rPr>
            </w:pPr>
          </w:p>
        </w:tc>
      </w:tr>
      <w:tr>
        <w:trPr>
          <w:trHeight w:val="216"/>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2018</w:t>
            </w:r>
          </w:p>
        </w:tc>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335,989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176,714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174,700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960" w:type="dxa"/>
            <w:vAlign w:val="bottom"/>
            <w:gridSpan w:val="4"/>
          </w:tcPr>
          <w:p>
            <w:pPr>
              <w:jc w:val="right"/>
              <w:ind w:right="140"/>
              <w:spacing w:after="0"/>
              <w:rPr>
                <w:sz w:val="20"/>
                <w:szCs w:val="20"/>
                <w:color w:val="auto"/>
              </w:rPr>
            </w:pPr>
            <w:r>
              <w:rPr>
                <w:rFonts w:ascii="Arial" w:cs="Arial" w:eastAsia="Arial" w:hAnsi="Arial"/>
                <w:sz w:val="18"/>
                <w:szCs w:val="18"/>
                <w:color w:val="auto"/>
              </w:rPr>
              <w:t>(43,462)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643,941</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2020</w:t>
            </w:r>
          </w:p>
        </w:tc>
        <w:tc>
          <w:tcPr>
            <w:tcW w:w="36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15,319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36,229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960" w:type="dxa"/>
            <w:vAlign w:val="bottom"/>
            <w:gridSpan w:val="4"/>
          </w:tcPr>
          <w:p>
            <w:pPr>
              <w:jc w:val="right"/>
              <w:ind w:right="200"/>
              <w:spacing w:after="0"/>
              <w:rPr>
                <w:sz w:val="20"/>
                <w:szCs w:val="20"/>
                <w:color w:val="auto"/>
              </w:rPr>
            </w:pPr>
            <w:r>
              <w:rPr>
                <w:rFonts w:ascii="Arial" w:cs="Arial" w:eastAsia="Arial" w:hAnsi="Arial"/>
                <w:sz w:val="18"/>
                <w:szCs w:val="18"/>
                <w:color w:val="auto"/>
              </w:rPr>
              <w:t>$ 35,371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86,919</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2019</w:t>
            </w:r>
          </w:p>
        </w:tc>
        <w:tc>
          <w:tcPr>
            <w:tcW w:w="3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43,304</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88,668</w:t>
            </w:r>
          </w:p>
        </w:tc>
        <w:tc>
          <w:tcPr>
            <w:tcW w:w="0" w:type="dxa"/>
            <w:vAlign w:val="bottom"/>
          </w:tcPr>
          <w:p>
            <w:pPr>
              <w:spacing w:after="0"/>
              <w:rPr>
                <w:sz w:val="1"/>
                <w:szCs w:val="1"/>
                <w:color w:val="auto"/>
              </w:rPr>
            </w:pPr>
          </w:p>
        </w:tc>
      </w:tr>
      <w:tr>
        <w:trPr>
          <w:trHeight w:val="230"/>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2018</w:t>
            </w:r>
          </w:p>
        </w:tc>
        <w:tc>
          <w:tcPr>
            <w:tcW w:w="3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15,717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61,652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960" w:type="dxa"/>
            <w:vAlign w:val="bottom"/>
            <w:gridSpan w:val="4"/>
          </w:tcPr>
          <w:p>
            <w:pPr>
              <w:jc w:val="right"/>
              <w:ind w:right="200"/>
              <w:spacing w:after="0"/>
              <w:rPr>
                <w:sz w:val="20"/>
                <w:szCs w:val="20"/>
                <w:color w:val="auto"/>
              </w:rPr>
            </w:pPr>
            <w:r>
              <w:rPr>
                <w:rFonts w:ascii="Arial" w:cs="Arial" w:eastAsia="Arial" w:hAnsi="Arial"/>
                <w:sz w:val="18"/>
                <w:szCs w:val="18"/>
                <w:color w:val="auto"/>
              </w:rPr>
              <w:t>42,171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119,674</w:t>
            </w:r>
          </w:p>
        </w:tc>
        <w:tc>
          <w:tcPr>
            <w:tcW w:w="0" w:type="dxa"/>
            <w:vAlign w:val="bottom"/>
          </w:tcPr>
          <w:p>
            <w:pPr>
              <w:spacing w:after="0"/>
              <w:rPr>
                <w:sz w:val="1"/>
                <w:szCs w:val="1"/>
                <w:color w:val="auto"/>
              </w:rPr>
            </w:pPr>
          </w:p>
        </w:tc>
      </w:tr>
      <w:tr>
        <w:trPr>
          <w:trHeight w:val="418"/>
        </w:trPr>
        <w:tc>
          <w:tcPr>
            <w:tcW w:w="9060" w:type="dxa"/>
            <w:vAlign w:val="bottom"/>
            <w:gridSpan w:val="19"/>
          </w:tcPr>
          <w:p>
            <w:pPr>
              <w:jc w:val="right"/>
              <w:ind w:right="460"/>
              <w:spacing w:after="0"/>
              <w:rPr>
                <w:sz w:val="20"/>
                <w:szCs w:val="20"/>
                <w:color w:val="auto"/>
              </w:rPr>
            </w:pPr>
            <w:r>
              <w:rPr>
                <w:rFonts w:ascii="Arial" w:cs="Arial" w:eastAsia="Arial" w:hAnsi="Arial"/>
                <w:sz w:val="18"/>
                <w:szCs w:val="18"/>
                <w:color w:val="auto"/>
                <w:w w:val="96"/>
              </w:rPr>
              <w:t>The following table reconciles total Segment Income to income before provision for income taxes (in thousands):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4"/>
                <w:szCs w:val="24"/>
                <w:color w:val="auto"/>
              </w:rPr>
            </w:pPr>
          </w:p>
        </w:tc>
        <w:tc>
          <w:tcPr>
            <w:tcW w:w="98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Segment Income</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817,846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$ 712,134</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$ 643,941</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(65,038)</w:t>
            </w:r>
          </w:p>
        </w:tc>
        <w:tc>
          <w:tcPr>
            <w:tcW w:w="1120" w:type="dxa"/>
            <w:vAlign w:val="bottom"/>
            <w:gridSpan w:val="4"/>
          </w:tcPr>
          <w:p>
            <w:pPr>
              <w:jc w:val="right"/>
              <w:ind w:right="80"/>
              <w:spacing w:after="0"/>
              <w:rPr>
                <w:sz w:val="20"/>
                <w:szCs w:val="20"/>
                <w:color w:val="auto"/>
              </w:rPr>
            </w:pPr>
            <w:r>
              <w:rPr>
                <w:rFonts w:ascii="Arial" w:cs="Arial" w:eastAsia="Arial" w:hAnsi="Arial"/>
                <w:sz w:val="18"/>
                <w:szCs w:val="18"/>
                <w:color w:val="auto"/>
              </w:rPr>
              <w:t>(59,930)</w:t>
            </w:r>
          </w:p>
        </w:tc>
        <w:tc>
          <w:tcPr>
            <w:tcW w:w="1080" w:type="dxa"/>
            <w:vAlign w:val="bottom"/>
            <w:gridSpan w:val="5"/>
          </w:tcPr>
          <w:p>
            <w:pPr>
              <w:jc w:val="right"/>
              <w:ind w:right="60"/>
              <w:spacing w:after="0"/>
              <w:rPr>
                <w:sz w:val="20"/>
                <w:szCs w:val="20"/>
                <w:color w:val="auto"/>
              </w:rPr>
            </w:pPr>
            <w:r>
              <w:rPr>
                <w:rFonts w:ascii="Arial" w:cs="Arial" w:eastAsia="Arial" w:hAnsi="Arial"/>
                <w:sz w:val="18"/>
                <w:szCs w:val="18"/>
                <w:color w:val="auto"/>
              </w:rPr>
              <w:t>(53,665)</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(Loss) gain on sale/disposal of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(2,922)</w:t>
            </w:r>
          </w:p>
        </w:tc>
        <w:tc>
          <w:tcPr>
            <w:tcW w:w="11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(2,023)</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4,737</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w w:val="95"/>
              </w:rPr>
              <w:t>Non-cash equity-based compensation expense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(24,244)</w:t>
            </w:r>
          </w:p>
        </w:tc>
        <w:tc>
          <w:tcPr>
            <w:tcW w:w="1120" w:type="dxa"/>
            <w:vAlign w:val="bottom"/>
            <w:gridSpan w:val="4"/>
          </w:tcPr>
          <w:p>
            <w:pPr>
              <w:jc w:val="right"/>
              <w:ind w:right="80"/>
              <w:spacing w:after="0"/>
              <w:rPr>
                <w:sz w:val="20"/>
                <w:szCs w:val="20"/>
                <w:color w:val="auto"/>
              </w:rPr>
            </w:pPr>
            <w:r>
              <w:rPr>
                <w:rFonts w:ascii="Arial" w:cs="Arial" w:eastAsia="Arial" w:hAnsi="Arial"/>
                <w:sz w:val="18"/>
                <w:szCs w:val="18"/>
                <w:color w:val="auto"/>
              </w:rPr>
              <w:t>(20,265)</w:t>
            </w:r>
          </w:p>
        </w:tc>
        <w:tc>
          <w:tcPr>
            <w:tcW w:w="1080" w:type="dxa"/>
            <w:vAlign w:val="bottom"/>
            <w:gridSpan w:val="5"/>
          </w:tcPr>
          <w:p>
            <w:pPr>
              <w:jc w:val="right"/>
              <w:ind w:right="60"/>
              <w:spacing w:after="0"/>
              <w:rPr>
                <w:sz w:val="20"/>
                <w:szCs w:val="20"/>
                <w:color w:val="auto"/>
              </w:rPr>
            </w:pPr>
            <w:r>
              <w:rPr>
                <w:rFonts w:ascii="Arial" w:cs="Arial" w:eastAsia="Arial" w:hAnsi="Arial"/>
                <w:sz w:val="18"/>
                <w:szCs w:val="18"/>
                <w:color w:val="auto"/>
              </w:rPr>
              <w:t>(22,792)</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Recapitalization-related expenses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(509)</w:t>
            </w:r>
          </w:p>
        </w:tc>
        <w:tc>
          <w:tcPr>
            <w:tcW w:w="108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gridSpan w:val="2"/>
          </w:tcPr>
          <w:p>
            <w:pPr>
              <w:ind w:left="880"/>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725,642</w:t>
            </w:r>
          </w:p>
        </w:tc>
        <w:tc>
          <w:tcPr>
            <w:tcW w:w="12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629,407</w:t>
            </w:r>
          </w:p>
        </w:tc>
        <w:tc>
          <w:tcPr>
            <w:tcW w:w="14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571,689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4,048</w:t>
            </w:r>
          </w:p>
        </w:tc>
        <w:tc>
          <w:tcPr>
            <w:tcW w:w="1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(172,166)</w:t>
            </w:r>
          </w:p>
        </w:tc>
        <w:tc>
          <w:tcPr>
            <w:tcW w:w="1120" w:type="dxa"/>
            <w:vAlign w:val="bottom"/>
            <w:gridSpan w:val="4"/>
          </w:tcPr>
          <w:p>
            <w:pPr>
              <w:jc w:val="right"/>
              <w:ind w:right="80"/>
              <w:spacing w:after="0"/>
              <w:rPr>
                <w:sz w:val="20"/>
                <w:szCs w:val="20"/>
                <w:color w:val="auto"/>
              </w:rPr>
            </w:pPr>
            <w:r>
              <w:rPr>
                <w:rFonts w:ascii="Arial" w:cs="Arial" w:eastAsia="Arial" w:hAnsi="Arial"/>
                <w:sz w:val="18"/>
                <w:szCs w:val="18"/>
                <w:color w:val="auto"/>
              </w:rPr>
              <w:t>(150,818)</w:t>
            </w:r>
          </w:p>
        </w:tc>
        <w:tc>
          <w:tcPr>
            <w:tcW w:w="1080" w:type="dxa"/>
            <w:vAlign w:val="bottom"/>
            <w:gridSpan w:val="5"/>
          </w:tcPr>
          <w:p>
            <w:pPr>
              <w:jc w:val="right"/>
              <w:ind w:right="60"/>
              <w:spacing w:after="0"/>
              <w:rPr>
                <w:sz w:val="20"/>
                <w:szCs w:val="20"/>
                <w:color w:val="auto"/>
              </w:rPr>
            </w:pPr>
            <w:r>
              <w:rPr>
                <w:rFonts w:ascii="Arial" w:cs="Arial" w:eastAsia="Arial" w:hAnsi="Arial"/>
                <w:sz w:val="18"/>
                <w:szCs w:val="18"/>
                <w:color w:val="auto"/>
              </w:rPr>
              <w:t>(146,345)</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555,130</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$ 482,637</w:t>
            </w:r>
          </w:p>
        </w:tc>
        <w:tc>
          <w:tcPr>
            <w:tcW w:w="1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$ 428,678</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(Continued)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the Company’s identifiable asset information as of January 3, 2021 and December 29, 2019 (in thousands):</w:t>
      </w:r>
    </w:p>
    <w:p>
      <w:pPr>
        <w:spacing w:after="0" w:line="26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09"/>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U.S. stores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308,088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251,844</w:t>
            </w:r>
          </w:p>
        </w:tc>
        <w:tc>
          <w:tcPr>
            <w:tcW w:w="40" w:type="dxa"/>
            <w:vAlign w:val="bottom"/>
            <w:shd w:val="clear" w:color="auto" w:fill="CCEEFF"/>
          </w:tcPr>
          <w:p>
            <w:pPr>
              <w:spacing w:after="0"/>
              <w:rPr>
                <w:sz w:val="18"/>
                <w:szCs w:val="18"/>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U.S. supply chain</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488,983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408,919</w:t>
            </w:r>
          </w:p>
        </w:tc>
        <w:tc>
          <w:tcPr>
            <w:tcW w:w="40" w:type="dxa"/>
            <w:vAlign w:val="bottom"/>
          </w:tcPr>
          <w:p>
            <w:pPr>
              <w:spacing w:after="0"/>
              <w:rPr>
                <w:sz w:val="19"/>
                <w:szCs w:val="19"/>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U.S.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797,071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660,763</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International franchise</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41,408</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23,396</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International supply chain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31,060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35,745</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Total international assets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72,468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59,141</w:t>
            </w:r>
          </w:p>
        </w:tc>
        <w:tc>
          <w:tcPr>
            <w:tcW w:w="40" w:type="dxa"/>
            <w:vAlign w:val="bottom"/>
          </w:tcPr>
          <w:p>
            <w:pPr>
              <w:spacing w:after="0"/>
              <w:rPr>
                <w:sz w:val="19"/>
                <w:szCs w:val="19"/>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Unallocated</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697,629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662,188</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1,567,168</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1,382,092</w:t>
            </w:r>
          </w:p>
        </w:tc>
        <w:tc>
          <w:tcPr>
            <w:tcW w:w="4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Unallocated assets primarily include cash and cash equivalents, restricted cash and cash equivalents, certain accounts receivable and prepaid expenses, investments in equity securities without readily determinable fair values and marketable securities, certain long-lived assets including certain property, plant and equipment and the operating lease right-of-use asset for the Company’s corporate headquarters and deferred income taxes.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Company’s goodwill balance as of January 3, 2021 and December 29, 2019 (in thousands):</w:t>
      </w:r>
    </w:p>
    <w:p>
      <w:pPr>
        <w:spacing w:after="0" w:line="25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7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U.S. stores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$13,994</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$14,026</w:t>
            </w:r>
          </w:p>
        </w:tc>
        <w:tc>
          <w:tcPr>
            <w:tcW w:w="4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Supply chain</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1,067</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1,067</w:t>
            </w:r>
          </w:p>
        </w:tc>
      </w:tr>
      <w:tr>
        <w:trPr>
          <w:trHeight w:val="27"/>
        </w:trPr>
        <w:tc>
          <w:tcPr>
            <w:tcW w:w="67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Consolidated goodwill</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15,061</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15,093</w:t>
            </w:r>
          </w:p>
        </w:tc>
      </w:tr>
      <w:tr>
        <w:trPr>
          <w:trHeight w:val="20"/>
        </w:trPr>
        <w:tc>
          <w:tcPr>
            <w:tcW w:w="67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Company-owned Store Transactions</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During 2019, the Company sold 62 U.S. Company-owned stores to certain of its existing U.S. franchisees for proceeds of $12.3 million. In connection with the sale of the stores, the Company recorded a $0.3 million pre-tax loss on the sale of the related assets and liabilities, which was net of a $1.5 million reduction in goodwill. The net loss on these store sales was recorded in general and administrative expense in the Company’s consolidated statements of income. During 2019, the Company also purchased three U.S. franchised stores from a U.S. franchisee for $3.4 million, which included $1.7 million of goodwill, $1.3 million of intangibles and $0.4 million of leasehold improvements and other assets.</w:t>
      </w:r>
    </w:p>
    <w:p>
      <w:pPr>
        <w:spacing w:after="0" w:line="176"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During 2018, the Company sold 12 U.S. Company-owned stores to a former executive of the Company for proceeds of $7.9 million. The former executive terminated his employment with the Company prior to the closing date of the sale and became a franchisee. In connection with the sale of the stores, the Company recorded a $5.9 million pre-tax gain on the sale of the related assets, which was net of a $0.4 million reduction in goodwill. During 2018, the Company also sold two U.S. Company-owned stores to a franchisee for proceeds of $0.3 million. In connection with the sale of the stores, the Company recorded a pre-tax gain of less than $0.1 million on the sale of the related assets, which was net of a $0.1 million reduction in goodwill. The gains on these sales were recorded in general and administrative expense in the Company’s consolidated statements of income.</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60"/>
          </w:cols>
          <w:pgMar w:left="320" w:top="486" w:right="5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Domino’s Pizza,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(Continued)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COVID-19 Pandemic</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December 2019, the COVID-19 disease was reported and in January 2020, the World Health Organization (“WHO”) declared it a Public Health Emergency of International Concern. On February 28, 2020, the WHO raised its assessment of the COVID-19 threat from high to very high at a global level due to the continued increase in the number of cases and affected countries, and on March 11, 2020, the WHO characterized COVID-19 as a pandemic. During 2020 in the midst of the COVID-19 pandemic, the Company continued to increase its U.S. stores revenues. U.S. supply chain experienced higher volumes as a result of the increases in U.S. store sales. The COVID-19 pandemic negatively impacted the Company’s international franchise revenues during the second quarter of 2020 due to temporary store closures in certain markets as well as changes in operating procedures and store hours resulting from actions taken to increase social distancing across the Company’s international franchise markets. In the third and fourth quarters of 2020, these negative impacts lessened due to the reopening and resumption of normal store hours at a majority of the Company’s international franchised stores that had been temporarily closed for portions of the second quarter. The Company made certain investments during the COVID-19 pandemic related to safety and cleaning equipment, enhanced sick pay and compensation for frontline team members and support for the Company’s franchisees and their communities. Finally, given the market uncertainty arising from COVID-19, the Company took a precautionary measure and borrowed $158.0 million under its 2019 Variable Funding Notes during the second quarter of 2020, which was fully repaid throughout the remainder of 2020. The Company is closely monitoring the impact of the pandemic on all aspects of its business and is unable at this time to predict the continued impact that COVID-19 will have on its business, financial position and operating results in future periods due to numerous uncertainties.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86"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Evaluation of Disclosure Controls and Procedures.</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Company carried out an evaluation as of the end of the period covered by this report, under the supervision and with the participation of the Company’s management, including the Company’s Chief Executive Officer and Chief Financial Officer, of the effectiveness of the design and operation of the Company’s disclosure controls and procedures pursuant to Rules 13a-15 and 15d-15 of the Securities Exchange Act of 1934, as amended (the “Exchange Act”). Based upon that evaluation, the Chief Executive Officer and Chief Financial Officer concluded that the Company’s disclosure controls and procedures are effective in ensuring that all information required in the reports it files or submits under the Exchange Act was accumulated and communicated to the Company’s management, including its Chief Executive Officer and Chief Financial Officer, as appropriate to allow timely decisions regarding required disclosure and was recorded, processed, summarized and reported within the time period required by the rules and regulations of the Securities and Exchange Commission.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 Changes in Internal Control over Financial Reporting.</w:t>
      </w:r>
    </w:p>
    <w:p>
      <w:pPr>
        <w:spacing w:after="0" w:line="11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There have been no changes in internal control over financial reporting that occurred during the last fiscal quarter that have materially affected, or are reasonably likely to materially affect, the Company’s internal control over financial reporting.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 Management’s Annual Report on Internal Control over Financial Reporting.</w:t>
      </w:r>
    </w:p>
    <w:p>
      <w:pPr>
        <w:spacing w:after="0" w:line="117"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 xml:space="preserve">The management of Domino’s Pizza, Inc. is responsible for establishing and maintaining adequate internal control over financial reporting. Internal control over financial reporting is defined in Rule 13a-15(f)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Under the supervision and with the participation of the Company’s management, including its Chief Executive Officer and Chief Financial Officer, the Company conducted an evaluation of the effectiveness of its internal control over financial reporting as of January 3, 2021 based on the framework in </w:t>
      </w:r>
      <w:r>
        <w:rPr>
          <w:rFonts w:ascii="Arial" w:cs="Arial" w:eastAsia="Arial" w:hAnsi="Arial"/>
          <w:sz w:val="17"/>
          <w:szCs w:val="17"/>
          <w:i w:val="1"/>
          <w:iCs w:val="1"/>
          <w:color w:val="auto"/>
        </w:rPr>
        <w:t>Internal Control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(2013) </w:t>
      </w:r>
      <w:r>
        <w:rPr>
          <w:rFonts w:ascii="Arial" w:cs="Arial" w:eastAsia="Arial" w:hAnsi="Arial"/>
          <w:sz w:val="17"/>
          <w:szCs w:val="17"/>
          <w:color w:val="auto"/>
        </w:rPr>
        <w:t>issued by the Committee of Sponsoring Organizations of the Treadway Commission. Based on that evaluation,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concluded that its internal control over financial reporting was effective as of January 3, 2021. The effectiveness of the Company’s internal control over financial reporting as of January 3, 2021, has been audited by PricewaterhouseCoopers LLP, an independent registered public accounting firm, as stated in their report which appears herein.</w:t>
      </w:r>
    </w:p>
    <w:p>
      <w:pPr>
        <w:spacing w:after="0" w:line="331"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86"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III</w:t>
      </w:r>
    </w:p>
    <w:p>
      <w:pPr>
        <w:spacing w:after="0" w:line="131"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about our executive officers and directors.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1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8480" w:type="dxa"/>
            <w:vAlign w:val="bottom"/>
          </w:tcPr>
          <w:p>
            <w:pPr>
              <w:ind w:left="398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2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A. Brandon</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68</w:t>
            </w:r>
          </w:p>
        </w:tc>
        <w:tc>
          <w:tcPr>
            <w:tcW w:w="120" w:type="dxa"/>
            <w:vAlign w:val="bottom"/>
          </w:tcPr>
          <w:p>
            <w:pPr>
              <w:spacing w:after="0"/>
              <w:rPr>
                <w:sz w:val="16"/>
                <w:szCs w:val="16"/>
                <w:color w:val="auto"/>
              </w:rPr>
            </w:pPr>
          </w:p>
        </w:tc>
        <w:tc>
          <w:tcPr>
            <w:tcW w:w="8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Chairman of the Board of Directors</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Richard E. Allison, Jr.</w:t>
            </w:r>
          </w:p>
        </w:tc>
        <w:tc>
          <w:tcPr>
            <w:tcW w:w="240" w:type="dxa"/>
            <w:vAlign w:val="bottom"/>
          </w:tcPr>
          <w:p>
            <w:pPr>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Stuart A. Levy</w:t>
            </w:r>
          </w:p>
        </w:tc>
        <w:tc>
          <w:tcPr>
            <w:tcW w:w="240" w:type="dxa"/>
            <w:vAlign w:val="bottom"/>
          </w:tcPr>
          <w:p>
            <w:pPr>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Executive Vice President, Chief Financial Officer</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Russell J. Weiner</w:t>
            </w:r>
          </w:p>
        </w:tc>
        <w:tc>
          <w:tcPr>
            <w:tcW w:w="240" w:type="dxa"/>
            <w:vAlign w:val="bottom"/>
          </w:tcPr>
          <w:p>
            <w:pPr>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Chief Operating Officer and President—Domino’s U.S.</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Thomas B. Curtis</w:t>
            </w:r>
          </w:p>
        </w:tc>
        <w:tc>
          <w:tcPr>
            <w:tcW w:w="240" w:type="dxa"/>
            <w:vAlign w:val="bottom"/>
          </w:tcPr>
          <w:p>
            <w:pPr>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Executive Vice President, U.S. Operations and Support</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Arthur P. D’Elia</w:t>
            </w:r>
          </w:p>
        </w:tc>
        <w:tc>
          <w:tcPr>
            <w:tcW w:w="240" w:type="dxa"/>
            <w:vAlign w:val="bottom"/>
          </w:tcPr>
          <w:p>
            <w:pPr>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Executive Vice President, Chief Marketing Officer</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Kelly E. Garcia</w:t>
            </w:r>
          </w:p>
        </w:tc>
        <w:tc>
          <w:tcPr>
            <w:tcW w:w="240" w:type="dxa"/>
            <w:vAlign w:val="bottom"/>
          </w:tcPr>
          <w:p>
            <w:pPr>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Executive Vice President, Chief Technology Officer</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Cynthia A. Headen</w:t>
            </w:r>
          </w:p>
        </w:tc>
        <w:tc>
          <w:tcPr>
            <w:tcW w:w="240" w:type="dxa"/>
            <w:vAlign w:val="bottom"/>
          </w:tcPr>
          <w:p>
            <w:pPr>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Executive Vice President, Supply Chain Services</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Joseph H. Jordan</w:t>
            </w:r>
          </w:p>
        </w:tc>
        <w:tc>
          <w:tcPr>
            <w:tcW w:w="240" w:type="dxa"/>
            <w:vAlign w:val="bottom"/>
          </w:tcPr>
          <w:p>
            <w:pPr>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Executive Vice President, International</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Timothy P. McIntyre</w:t>
            </w:r>
          </w:p>
        </w:tc>
        <w:tc>
          <w:tcPr>
            <w:tcW w:w="240" w:type="dxa"/>
            <w:vAlign w:val="bottom"/>
          </w:tcPr>
          <w:p>
            <w:pPr>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Executive Vice President, Communications and Legislative Affairs</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Kevin S. Morris</w:t>
            </w:r>
          </w:p>
        </w:tc>
        <w:tc>
          <w:tcPr>
            <w:tcW w:w="240" w:type="dxa"/>
            <w:vAlign w:val="bottom"/>
          </w:tcPr>
          <w:p>
            <w:pPr>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Executive Vice President, General Counsel and Corporate Secretary</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Lisa V. Price</w:t>
            </w:r>
          </w:p>
        </w:tc>
        <w:tc>
          <w:tcPr>
            <w:tcW w:w="240" w:type="dxa"/>
            <w:vAlign w:val="bottom"/>
          </w:tcPr>
          <w:p>
            <w:pPr>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Executive Vice President, Chief Human Resources Officer</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C. Andrew Ballard</w:t>
            </w:r>
          </w:p>
        </w:tc>
        <w:tc>
          <w:tcPr>
            <w:tcW w:w="240" w:type="dxa"/>
            <w:vAlign w:val="bottom"/>
          </w:tcPr>
          <w:p>
            <w:pPr>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Andrew B. Balson</w:t>
            </w:r>
          </w:p>
        </w:tc>
        <w:tc>
          <w:tcPr>
            <w:tcW w:w="240" w:type="dxa"/>
            <w:vAlign w:val="bottom"/>
          </w:tcPr>
          <w:p>
            <w:pPr>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Corie S. Barry</w:t>
            </w:r>
          </w:p>
        </w:tc>
        <w:tc>
          <w:tcPr>
            <w:tcW w:w="240" w:type="dxa"/>
            <w:vAlign w:val="bottom"/>
          </w:tcPr>
          <w:p>
            <w:pPr>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Diana F. Cantor</w:t>
            </w:r>
          </w:p>
        </w:tc>
        <w:tc>
          <w:tcPr>
            <w:tcW w:w="240" w:type="dxa"/>
            <w:vAlign w:val="bottom"/>
          </w:tcPr>
          <w:p>
            <w:pPr>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Richard L. Federico</w:t>
            </w:r>
          </w:p>
        </w:tc>
        <w:tc>
          <w:tcPr>
            <w:tcW w:w="240" w:type="dxa"/>
            <w:vAlign w:val="bottom"/>
          </w:tcPr>
          <w:p>
            <w:pPr>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James A. Goldman</w:t>
            </w:r>
          </w:p>
        </w:tc>
        <w:tc>
          <w:tcPr>
            <w:tcW w:w="240" w:type="dxa"/>
            <w:vAlign w:val="bottom"/>
          </w:tcPr>
          <w:p>
            <w:pPr>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2180" w:type="dxa"/>
            <w:vAlign w:val="bottom"/>
            <w:gridSpan w:val="2"/>
          </w:tcPr>
          <w:p>
            <w:pPr>
              <w:spacing w:after="0"/>
              <w:rPr>
                <w:sz w:val="20"/>
                <w:szCs w:val="20"/>
                <w:color w:val="auto"/>
              </w:rPr>
            </w:pPr>
            <w:r>
              <w:rPr>
                <w:rFonts w:ascii="Arial" w:cs="Arial" w:eastAsia="Arial" w:hAnsi="Arial"/>
                <w:sz w:val="18"/>
                <w:szCs w:val="18"/>
                <w:color w:val="auto"/>
              </w:rPr>
              <w:t>Patricia E. Lopez</w:t>
            </w:r>
          </w:p>
        </w:tc>
        <w:tc>
          <w:tcPr>
            <w:tcW w:w="240" w:type="dxa"/>
            <w:vAlign w:val="bottom"/>
          </w:tcPr>
          <w:p>
            <w:pPr>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both"/>
        <w:ind w:left="120" w:right="200"/>
        <w:spacing w:after="0" w:line="287" w:lineRule="auto"/>
        <w:rPr>
          <w:sz w:val="20"/>
          <w:szCs w:val="20"/>
          <w:color w:val="auto"/>
        </w:rPr>
      </w:pPr>
      <w:r>
        <w:rPr>
          <w:rFonts w:ascii="Arial" w:cs="Arial" w:eastAsia="Arial" w:hAnsi="Arial"/>
          <w:sz w:val="16"/>
          <w:szCs w:val="16"/>
          <w:b w:val="1"/>
          <w:bCs w:val="1"/>
          <w:i w:val="1"/>
          <w:iCs w:val="1"/>
          <w:color w:val="auto"/>
        </w:rPr>
        <w:t xml:space="preserve">David A. Brandon </w:t>
      </w:r>
      <w:r>
        <w:rPr>
          <w:rFonts w:ascii="Arial" w:cs="Arial" w:eastAsia="Arial" w:hAnsi="Arial"/>
          <w:sz w:val="16"/>
          <w:szCs w:val="16"/>
          <w:color w:val="auto"/>
        </w:rPr>
        <w:t>has served as the Chairman of the Domino’s Board of Directors since March 1999. Mr. Brandon most recently served as Chairman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Chief Executive Officer of Toys “R” Us, Inc., formerly the world’s largest specialty retailer of toy and baby products, a position he held from July 2015 to December 2018. Previously, Mr. Brandon was the Director of Athletics at the University of Michigan from March 2010 to October 2014.</w:t>
      </w:r>
    </w:p>
    <w:p>
      <w:pPr>
        <w:spacing w:after="0" w:line="2" w:lineRule="exact"/>
        <w:rPr>
          <w:sz w:val="20"/>
          <w:szCs w:val="20"/>
          <w:color w:val="auto"/>
        </w:rPr>
      </w:pPr>
    </w:p>
    <w:p>
      <w:pPr>
        <w:ind w:left="120" w:right="140"/>
        <w:spacing w:after="0" w:line="252" w:lineRule="auto"/>
        <w:rPr>
          <w:sz w:val="20"/>
          <w:szCs w:val="20"/>
          <w:color w:val="auto"/>
        </w:rPr>
      </w:pPr>
      <w:r>
        <w:rPr>
          <w:rFonts w:ascii="Arial" w:cs="Arial" w:eastAsia="Arial" w:hAnsi="Arial"/>
          <w:sz w:val="18"/>
          <w:szCs w:val="18"/>
          <w:color w:val="auto"/>
        </w:rPr>
        <w:t>Mr. Brandon served as Domino’s Chief Executive Officer from March 1999 to March 2010. Mr. Brandon was retained by the Company as a Special Advisor from March 2010 to January 2011. Prior to joining Domino’s, Mr. Brandon was President and Chief Executive Officer of Valassis, Inc., a company in the sales promotion and coupon industries, from 1989 to 1998 and Chairman of the Board of Directors of Valassis, Inc. from 1997 to 1998. In addition to serving on the Board of Directors of Domino’s, Mr. Brandon also serves on the Boards of Directors of DTE Energy Co. and Herman Miller, Inc. He previously served on the Boards of Directors of Toys “R” Us, Inc., Burger King Corporation, Kaydon Corporation, Northwest Airlines and the TJX Companies, Inc.</w:t>
      </w:r>
    </w:p>
    <w:p>
      <w:pPr>
        <w:spacing w:after="0" w:line="194"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b w:val="1"/>
          <w:bCs w:val="1"/>
          <w:i w:val="1"/>
          <w:iCs w:val="1"/>
          <w:color w:val="auto"/>
        </w:rPr>
        <w:t xml:space="preserve">Richard E. Allison, Jr. </w:t>
      </w:r>
      <w:r>
        <w:rPr>
          <w:rFonts w:ascii="Arial" w:cs="Arial" w:eastAsia="Arial" w:hAnsi="Arial"/>
          <w:sz w:val="16"/>
          <w:szCs w:val="16"/>
          <w:color w:val="auto"/>
        </w:rPr>
        <w:t>has served as Chief Executive Officer of Domino’s since July 2018. Mr. Allison oversees all company operations, strategy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vision in his role as Chief Executive Officer. He previously served as President, Domino’s International from October 2014 to July 2018, after joining the Company in March 2011 as Executive Vice President of International. Prior to joining Domino’s, Mr. Allison worked at Bain &amp; Company, Inc. for more than 13 years, serving as a Partner from 2004 to December 2010, and as co-leader of Bain’s restaurant practice, working with some of the world’s most well-known restaurant brands. Mr. Allison has served on Domino’s Board of Directors since July 2018, when he was elected in conjunction with his appointment as Chief Executive Officer. Mr. Allison also serves on the Board of Directors of Starbucks Corporation.</w:t>
      </w:r>
    </w:p>
    <w:p>
      <w:pPr>
        <w:spacing w:after="0" w:line="164"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b w:val="1"/>
          <w:bCs w:val="1"/>
          <w:i w:val="1"/>
          <w:iCs w:val="1"/>
          <w:color w:val="auto"/>
        </w:rPr>
        <w:t xml:space="preserve">Stuart A. Levy </w:t>
      </w:r>
      <w:r>
        <w:rPr>
          <w:rFonts w:ascii="Arial" w:cs="Arial" w:eastAsia="Arial" w:hAnsi="Arial"/>
          <w:sz w:val="18"/>
          <w:szCs w:val="18"/>
          <w:color w:val="auto"/>
        </w:rPr>
        <w:t>has served as Domino’s Executive Vice President and Chief Financial Officer since August 2020. Mr. Levy joined Domino’s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Vice President, Supply Chain Services in January 2019. Prior to joining Domino’s, Mr. Levy served as Executive Vice President, Chief Transformation Officer for Republic Services, Inc. from January 2015 to November 2017. Prior to joining Republic Services, Mr. Levy was employed by Bain &amp; Company from 2001 to 2014, serving most recently as a Partner from 2008 to 2014.</w:t>
      </w:r>
    </w:p>
    <w:p>
      <w:pPr>
        <w:spacing w:after="0" w:line="187"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b w:val="1"/>
          <w:bCs w:val="1"/>
          <w:i w:val="1"/>
          <w:iCs w:val="1"/>
          <w:color w:val="auto"/>
        </w:rPr>
        <w:t xml:space="preserve">Russell J. Weiner </w:t>
      </w:r>
      <w:r>
        <w:rPr>
          <w:rFonts w:ascii="Arial" w:cs="Arial" w:eastAsia="Arial" w:hAnsi="Arial"/>
          <w:sz w:val="18"/>
          <w:szCs w:val="18"/>
          <w:color w:val="auto"/>
        </w:rPr>
        <w:t>has served as Chief Operating Officer and President, Domino’s U.S. since July 2020 and as Chief Operating Officer and President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Americas from July 2018 to July 2020. He previously served as President, Domino’s USA from October 2014 to July 2018. Mr. Weiner served as Executive Vice President and Chief Marketing Officer, from September 2008 to October 2014. Prior to joining Domino’s, Mr. Weiner held various marketing positions at PepsiCo, Inc. from 1998 to 2008, most recently serving as Vice President of Marketing, Colas for Pepsi-Cola North America. Mr. Weiner serves on the Board of Directors of The Clorox Company.</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320" w:top="486"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b w:val="1"/>
          <w:bCs w:val="1"/>
          <w:i w:val="1"/>
          <w:iCs w:val="1"/>
          <w:color w:val="auto"/>
        </w:rPr>
        <w:t xml:space="preserve">Thomas B. Curtis </w:t>
      </w:r>
      <w:r>
        <w:rPr>
          <w:rFonts w:ascii="Arial" w:cs="Arial" w:eastAsia="Arial" w:hAnsi="Arial"/>
          <w:sz w:val="16"/>
          <w:szCs w:val="16"/>
          <w:color w:val="auto"/>
        </w:rPr>
        <w:t>has served as Domino’s Executive Vice President, U.S. Operations and Support since March 2020 and as Executive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Corporate Operations from July 2018 to March 2020. Prior to this, Mr. Curtis served as Vice President of Franchise Relations and Operations Innovation from March 2017 to July 2018, after serving as Vice President of Operations Support from August 2016 to March 2017 and as West Region Vice President from November 2012 to August 2016. Mr. Curtis joined Domino’s in 2006, after being a Domino’s franchisee since 1987.</w:t>
      </w:r>
    </w:p>
    <w:p>
      <w:pPr>
        <w:spacing w:after="0" w:line="15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b w:val="1"/>
          <w:bCs w:val="1"/>
          <w:i w:val="1"/>
          <w:iCs w:val="1"/>
          <w:color w:val="auto"/>
        </w:rPr>
        <w:t xml:space="preserve">Arthur P. D’Elia </w:t>
      </w:r>
      <w:r>
        <w:rPr>
          <w:rFonts w:ascii="Arial" w:cs="Arial" w:eastAsia="Arial" w:hAnsi="Arial"/>
          <w:sz w:val="18"/>
          <w:szCs w:val="18"/>
          <w:color w:val="auto"/>
        </w:rPr>
        <w:t>has served as Domino’s Executive Vice President, Chief Marketing Officer since July 2020 and as Senior Vice President,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Officer from February 2020 to July 2020. Mr. D’Elia joined Domino’s in January 2018 as Senior Vice President, Chief Brand and Innovation Officer. Prior to Domino’s, Mr. D’Elia served as Chief Marketing Officer for Danone Dairy’s UBN business unit from July 2017 to January 2018, after joining Danone U.S. in 2010.</w:t>
      </w:r>
    </w:p>
    <w:p>
      <w:pPr>
        <w:spacing w:after="0" w:line="187"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b w:val="1"/>
          <w:bCs w:val="1"/>
          <w:i w:val="1"/>
          <w:iCs w:val="1"/>
          <w:color w:val="auto"/>
        </w:rPr>
        <w:t xml:space="preserve">Kelly E. Garcia </w:t>
      </w:r>
      <w:r>
        <w:rPr>
          <w:rFonts w:ascii="Arial" w:cs="Arial" w:eastAsia="Arial" w:hAnsi="Arial"/>
          <w:sz w:val="18"/>
          <w:szCs w:val="18"/>
          <w:color w:val="auto"/>
        </w:rPr>
        <w:t>has served as Domino’s Executive Vice President, Chief Technology Officer since October 2020. Prior to his current role, Mr. Garcia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Senior Vice President, Chief Technology Officer from April 2020 to October 2020. Mr. Garcia joined Domino’s in July 2012 as Vice President, eCommerce Development. Prior to Domino’s, Mr. Garcia was with R.L. Polk &amp; Co. from 2004 to 2012, most recently as Vice President of Business Intelligence and North American Operations.</w:t>
      </w:r>
    </w:p>
    <w:p>
      <w:pPr>
        <w:spacing w:after="0" w:line="18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b w:val="1"/>
          <w:bCs w:val="1"/>
          <w:i w:val="1"/>
          <w:iCs w:val="1"/>
          <w:color w:val="auto"/>
        </w:rPr>
        <w:t xml:space="preserve">Cynthia A. Headen </w:t>
      </w:r>
      <w:r>
        <w:rPr>
          <w:rFonts w:ascii="Arial" w:cs="Arial" w:eastAsia="Arial" w:hAnsi="Arial"/>
          <w:sz w:val="18"/>
          <w:szCs w:val="18"/>
          <w:color w:val="auto"/>
        </w:rPr>
        <w:t>has served as Domino’s Executive Vice President, Supply Chain Services since August 2020. Ms. Headen previously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Vice President, Global Procurement and Supply Chain Operations from January 2019 to August 2020, after joining Domino’s as Vice President of Procurement and Product Management in November 2015. Prior to Domino’s, Ms. Headen spent nearly 15 years with PepsiCo, where she was responsible for global procurement.</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b w:val="1"/>
          <w:bCs w:val="1"/>
          <w:i w:val="1"/>
          <w:iCs w:val="1"/>
          <w:color w:val="auto"/>
        </w:rPr>
        <w:t xml:space="preserve">Joseph H. Jordan </w:t>
      </w:r>
      <w:r>
        <w:rPr>
          <w:rFonts w:ascii="Arial" w:cs="Arial" w:eastAsia="Arial" w:hAnsi="Arial"/>
          <w:sz w:val="18"/>
          <w:szCs w:val="18"/>
          <w:color w:val="auto"/>
        </w:rPr>
        <w:t>has served as Domino’s Executive Vice President of International since April 2018. Prior to his current role, Mr. Jordan had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Vice President and Chief Marketing Officer since May 2015, after joining Domino’s as Vice President of Innovation in September 2011. Prior to joining Domino’s, Mr. Jordan served as Senior Director of Marketing at Pepsi-Cola North America for six years, held marketing roles at Philips Electronics and Unilever and was a consultant for Accenture.</w:t>
      </w:r>
    </w:p>
    <w:p>
      <w:pPr>
        <w:spacing w:after="0" w:line="187"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b w:val="1"/>
          <w:bCs w:val="1"/>
          <w:i w:val="1"/>
          <w:iCs w:val="1"/>
          <w:color w:val="auto"/>
        </w:rPr>
        <w:t xml:space="preserve">Timothy P. McIntyre </w:t>
      </w:r>
      <w:r>
        <w:rPr>
          <w:rFonts w:ascii="Arial" w:cs="Arial" w:eastAsia="Arial" w:hAnsi="Arial"/>
          <w:sz w:val="17"/>
          <w:szCs w:val="17"/>
          <w:color w:val="auto"/>
        </w:rPr>
        <w:t>has served as Domino’s Executive Vice President, Communications and Legislative Affairs since May 2016. Mr. McIntyre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Vice President of Communication from August 1997 to May 2016. Mr. McIntyre serves as Chair of the Domino’s Pizza Partners Foundation and as Chair of the American Pizza Community. He also serves on the Communications Committee of the Innovation Center for U.S. Dairy. Mr. McIntyre served on the Board of Food Gatherers from 2015 to December 2017. Mr. McIntyre joined Domino’s in 1985.</w:t>
      </w:r>
    </w:p>
    <w:p>
      <w:pPr>
        <w:spacing w:after="0" w:line="171"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b w:val="1"/>
          <w:bCs w:val="1"/>
          <w:i w:val="1"/>
          <w:iCs w:val="1"/>
          <w:color w:val="auto"/>
        </w:rPr>
        <w:t xml:space="preserve">Kevin S. Morris </w:t>
      </w:r>
      <w:r>
        <w:rPr>
          <w:rFonts w:ascii="Arial" w:cs="Arial" w:eastAsia="Arial" w:hAnsi="Arial"/>
          <w:sz w:val="16"/>
          <w:szCs w:val="16"/>
          <w:color w:val="auto"/>
        </w:rPr>
        <w:t>has served as Domino’s Executive Vice President, General Counsel since January 2017 and also as Corporate Secretary since October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Prior to joining Domino’s, Mr. Morris served at New York-based Equinox Holdings, Inc. and its various operating subsidiaries and affiliates from December 2012 to January 2017, most recently as Senior Vice President, General Counsel and Corporate Secretary. Mr. Morris operated his own private legal practice from July 2009 to November 2012. Prior to 2009, Mr. Morris served as Vice President and Associate General Counsel at Global Hyatt Corporation (the predecessor in interest to Hyatt Hotels Corporation) from 1999 to 2008. Prior to 1999, Mr. Morris served as a Senior International Attorney and Staff Director at McDonald’s Corporation after beginning his career as an attorney at Rudnick &amp; Wolfe LLP.</w:t>
      </w:r>
    </w:p>
    <w:p>
      <w:pPr>
        <w:spacing w:after="0" w:line="164"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b w:val="1"/>
          <w:bCs w:val="1"/>
          <w:i w:val="1"/>
          <w:iCs w:val="1"/>
          <w:color w:val="auto"/>
        </w:rPr>
        <w:t xml:space="preserve">Lisa V. Price </w:t>
      </w:r>
      <w:r>
        <w:rPr>
          <w:rFonts w:ascii="Arial" w:cs="Arial" w:eastAsia="Arial" w:hAnsi="Arial"/>
          <w:sz w:val="16"/>
          <w:szCs w:val="16"/>
          <w:color w:val="auto"/>
        </w:rPr>
        <w:t>has served as Domino’s Executive Vice President, Chief Human Resources Officer since September 2019. Prior to joining Domino’s,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Ms. Price served as Senior Vice President of Human Resources at Nordstrom from December 2015 to August 2019. Prior to her time at Nordstrom, she spent over 15 years at Starbucks Corporation in a variety of human resources roles, most recently as Vice President of Partner Resources.</w:t>
      </w:r>
    </w:p>
    <w:p>
      <w:pPr>
        <w:spacing w:after="0" w:line="149"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b w:val="1"/>
          <w:bCs w:val="1"/>
          <w:i w:val="1"/>
          <w:iCs w:val="1"/>
          <w:color w:val="auto"/>
        </w:rPr>
        <w:t xml:space="preserve">C. Andrew Ballard </w:t>
      </w:r>
      <w:r>
        <w:rPr>
          <w:rFonts w:ascii="Arial" w:cs="Arial" w:eastAsia="Arial" w:hAnsi="Arial"/>
          <w:sz w:val="17"/>
          <w:szCs w:val="17"/>
          <w:color w:val="auto"/>
        </w:rPr>
        <w:t>has served on Domino’s Board of Directors since July 2015. Mr. Ballard serves as the Chairperson of the Inclusion and Diversity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and is a member of the Compensation Committee of the Board of Directors. Mr. Ballard currently serves as the Chief Executive Officer and Co-Founder of Wiser Solutions, Inc., a technology and data company, a position he has held since December 2012. Mr. Ballard is also Founder of Figtree Partners, an investment firm focused on software and technology, and has served as its Managing Partner since November 2012. He was previously a Senior Advisor at the private equity firm Hellman &amp; Friedman LLC from 2012 to 2019, where he also served as Managing Director from 2006 to 2012 and as a Director from 2004 to 2006. Prior to joining Hellman &amp; Friedman in 2003, Mr. Ballard worked at Bain Capital, LLC in San Francisco and Boston, as well as Bain &amp; Company, Inc. from 1994 to 2002.</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86"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spacing w:after="0" w:line="311" w:lineRule="auto"/>
        <w:rPr>
          <w:sz w:val="20"/>
          <w:szCs w:val="20"/>
          <w:color w:val="auto"/>
        </w:rPr>
      </w:pPr>
      <w:r>
        <w:rPr>
          <w:rFonts w:ascii="Arial" w:cs="Arial" w:eastAsia="Arial" w:hAnsi="Arial"/>
          <w:sz w:val="16"/>
          <w:szCs w:val="16"/>
          <w:color w:val="auto"/>
        </w:rPr>
        <w:t>In addition to serving on Domino’s Board of Directors, Mr. Ballard is currently Chairman of Datacor, Inc. and Vice Chairman of Zignal Labs, and has held previous board roles at Activant Solutions Inc., Catalina Marketing Corporation, DoubleClick Inc., Getty Images, Inc., Internet Brands, Inc. and Vertafore, Inc. Mr. Ballard was the Chair of the Board of Trustees and Chair of the Investment Committee of the San Francisco Foundation.</w:t>
      </w:r>
    </w:p>
    <w:p>
      <w:pPr>
        <w:spacing w:after="0" w:line="149"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b w:val="1"/>
          <w:bCs w:val="1"/>
          <w:i w:val="1"/>
          <w:iCs w:val="1"/>
          <w:color w:val="auto"/>
        </w:rPr>
        <w:t xml:space="preserve">Andrew B. Balson </w:t>
      </w:r>
      <w:r>
        <w:rPr>
          <w:rFonts w:ascii="Arial" w:cs="Arial" w:eastAsia="Arial" w:hAnsi="Arial"/>
          <w:sz w:val="18"/>
          <w:szCs w:val="18"/>
          <w:color w:val="auto"/>
        </w:rPr>
        <w:t>has served on Domino’s Board of Directors since March 1999 and serves as the Chairperson of the Compensation Committee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Mr. Balson is currently the Managing Partner of Cove Hill Partners, L.P., a firm formed to make private equity investments. Previously, Mr. Balson was the Chief Executive Officer of Match Beyond, an innovative college completion program that helps low-income young adults attain college degrees and prepare for the workforce, a position he held from January 2015 to June 2016. Prior to becoming the Chief Executive Officer of Match Beyond, Mr. Balson was a Managing Director at Bain Capital, LLC, a global investment company, from 2001 to 2013. Mr. Balson became a Principal of Bain Capital in January 1998. Mr. Balson previously served on the Boards of Directors of Bloomin’ Brands, Inc., FleetCor Technologies, Inc., Dunkin’ Brands, Inc., Skylark Co., Ltd., BELLSYSTEM24, Inc., Burger King Corporation and Bright Horizons Family Solutions, Inc., as well as numerous private companies.</w:t>
      </w:r>
    </w:p>
    <w:p>
      <w:pPr>
        <w:spacing w:after="0" w:line="192"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b w:val="1"/>
          <w:bCs w:val="1"/>
          <w:i w:val="1"/>
          <w:iCs w:val="1"/>
          <w:color w:val="auto"/>
        </w:rPr>
        <w:t xml:space="preserve">Corie S. Barry </w:t>
      </w:r>
      <w:r>
        <w:rPr>
          <w:rFonts w:ascii="Arial" w:cs="Arial" w:eastAsia="Arial" w:hAnsi="Arial"/>
          <w:sz w:val="18"/>
          <w:szCs w:val="18"/>
          <w:color w:val="auto"/>
        </w:rPr>
        <w:t>has served on Domino’s Board of Directors since July 2018 and is a member of the Audit Committee and the Inclusion and Diversity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of the Board of Directors. Ms. Barry currently serves as Chief Executive Officer and as a member of the Board of Directors of Best Buy Co., Inc., a specialty retailer of consumer electronics, personal computers, entertainment software and appliances, roles held since June 2019. Prior to becoming CEO, Ms. Barry served as Best Buy’s Senior Executive Vice President and Chief Financial and Strategic Transformation Officer from June 2016 to June 2019, Chief Strategic Growth Officer from October 2015 to June 2016, Interim President of Geek Squad Services from March 2015 to May 2016, Senior Vice President of Domestic Finance from May 2013 to October 2015 and in a variety of financial and operational roles, both in the field and at the corporate campus, since joining Best Buy in 1999. Prior to Best Buy, Ms. Barry worked at Deloitte Touche Tohmatsu Limited from 1997 to 1999.</w:t>
      </w:r>
    </w:p>
    <w:p>
      <w:pPr>
        <w:spacing w:after="0" w:line="19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b w:val="1"/>
          <w:bCs w:val="1"/>
          <w:i w:val="1"/>
          <w:iCs w:val="1"/>
          <w:color w:val="auto"/>
        </w:rPr>
        <w:t xml:space="preserve">Diana F. Cantor </w:t>
      </w:r>
      <w:r>
        <w:rPr>
          <w:rFonts w:ascii="Arial" w:cs="Arial" w:eastAsia="Arial" w:hAnsi="Arial"/>
          <w:sz w:val="17"/>
          <w:szCs w:val="17"/>
          <w:color w:val="auto"/>
        </w:rPr>
        <w:t>has served on Domino’s Board of Directors since October 2005 and serves as the Chairperson of the Audit Committee of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Ms. Cantor is currently a Partner at Alternative Investment Management, LLC, a position she has held since January 2010, and is a past Chairman of the Virginia Retirement System, where she served as a Trustee and a member of the Audit and Compliance Committee from 2010 through 2020. Ms. Cantor was a Managing Director with New York Private Bank and Trust from January 2008 to the end of 2009. Ms. Cantor served as the founding Chief Executive Officer of the Virginia College Savings Plan, the state’s 529 college savings program, from 1996 to January 2008. Ms. Cantor served as Vice President of Richmond Resources, Ltd. from 1990 to 1996, and as Vice President of Goldman, Sachs &amp; Co. from 1985 to 1990. In addition to serving on Domino’s Board of Directors, Ms. Cantor serves on the Boards of Directors of Universal Corporation (Chairman of the Nominating and Corporate Governance Committee) and VICI Properties Inc. (Chairman of the Audit Committee), and she previously served on the Boards of Directors of Media General, Inc., Revlon, Inc., The Edelman Financial Group Inc., Vistage International, Inc., Knowledge Universe Education LLC, Edelman Financial Services, LLC and Service King Body and Paint LLC.</w:t>
      </w:r>
    </w:p>
    <w:p>
      <w:pPr>
        <w:spacing w:after="0" w:line="18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b w:val="1"/>
          <w:bCs w:val="1"/>
          <w:i w:val="1"/>
          <w:iCs w:val="1"/>
          <w:color w:val="auto"/>
        </w:rPr>
        <w:t xml:space="preserve">Richard L. Federico </w:t>
      </w:r>
      <w:r>
        <w:rPr>
          <w:rFonts w:ascii="Arial" w:cs="Arial" w:eastAsia="Arial" w:hAnsi="Arial"/>
          <w:sz w:val="17"/>
          <w:szCs w:val="17"/>
          <w:color w:val="auto"/>
        </w:rPr>
        <w:t>has served on Domino’s Board of Directors since February 2011 and is a member of the Compensation Committee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Nominating and Corporate Governance Committee of the Board of Directors. Mr. Federico served as Non-Executive Chairman of P.F. Chang’s China Bistro, Inc. based in Scottsdale, AZ, from February 2016 until its acquisition in March 2019. Mr. Federico previously served as Executive Chairman of P.F. Chang’s from March 2015 to February 2016 and as Chief Executive Officer or Co-Chief Executive Officer from September 1997 to March 2015. Mr. Federico joined P.F. Chang’s as President in 1996, when he also began his service on its Board of Directors. Mr. Federico started his career in the restaurant industry as a Manager at Steak &amp; Ale, and later at Orville Beans and Bennigan’s restaurants. He went on to develop Grady’s Goodtimes, serving as Co-Founder/Partner and Vice President of Operations until Brinker International, Inc. acquired Grady’s in 1989. Upon joining Brinker International, Mr. Federico served as Senior Vice President and concept head for Macaroni Grill before being promoted to President of the Italian Concept division. As President, he directed operations and development for Macaroni Grill and Spageddies. In addition to serving on Domino’s Board of Directors, Mr. Federico currently serves on the Boards of RPT Realty and Tastemaker Acquisition Corp. He also currently serves of the Boards of Directors of Prime Steak Concepts, True Food Kitchen and Boqueria, all privately-held restaurant concepts. Mr. Federico previously served as Chairman of the Board of Directors of Jamba, Inc. He is a Founding Director of Chances for Children.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86"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b w:val="1"/>
          <w:bCs w:val="1"/>
          <w:i w:val="1"/>
          <w:iCs w:val="1"/>
          <w:color w:val="auto"/>
        </w:rPr>
        <w:t xml:space="preserve">James A. Goldman </w:t>
      </w:r>
      <w:r>
        <w:rPr>
          <w:rFonts w:ascii="Arial" w:cs="Arial" w:eastAsia="Arial" w:hAnsi="Arial"/>
          <w:sz w:val="16"/>
          <w:szCs w:val="16"/>
          <w:color w:val="auto"/>
        </w:rPr>
        <w:t>has served on Domino’s Board of Directors since March 2010, serves as Chairperson of the Nominating and Corporate Governance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and serves on the Audit Committee of the Board of Directors. Mr. Goldman is currently a Senior Advisor at Eurazeo SE, a private equity firm listed on the Paris Stock Exchange, and serves on the Boards of Directors of several of its portfolio companies: Q Mixers, a leading premium carbonated mixer brand, Waterloo Sparkling Water Corp., a carbonated beverage company, and Dewey’s Bakery, a premium baked goods company. Mr. Goldman served as President and Chief Executive Officer and as a member of the Board of Directors of Godiva Chocolatier, Inc. from 2004 to 2014. Mr. Goldman was President of the Food and Beverage Division at Campbell Soup Company from 2001 to 2004 and served in various executive positions at Nabisco, Inc. from 1992 to 2000. Prior to his work at Nabisco, Mr. Goldman was a senior consulting associate at McKinsey &amp; Company, Inc. In addition to serving on Domino’s Board of Directors, Mr. Goldman serves on the Board of Directors of Abercrombie &amp; Fitch Co. where he is a member of the Compensation Committee and Nominating and Corporate Governance Committee. He is on the Executive Board of the International Tennis Hall of Fame in Newport, RI and the Advisory Board of FEED Projects in New York, NY. Mr. Goldman previously served on the Board of Directors of The Children’s Place, Inc. He also served on the Board of Trustees and Executive Committee of Save the Children in Fairfield, CT and the Board of Trustees at the YMCA Camps Becket and Chimney Corners in Becket, MA.</w:t>
      </w:r>
    </w:p>
    <w:p>
      <w:pPr>
        <w:spacing w:after="0" w:line="168"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b w:val="1"/>
          <w:bCs w:val="1"/>
          <w:i w:val="1"/>
          <w:iCs w:val="1"/>
          <w:color w:val="auto"/>
        </w:rPr>
        <w:t xml:space="preserve">Patricia E. Lopez </w:t>
      </w:r>
      <w:r>
        <w:rPr>
          <w:rFonts w:ascii="Arial" w:cs="Arial" w:eastAsia="Arial" w:hAnsi="Arial"/>
          <w:sz w:val="18"/>
          <w:szCs w:val="18"/>
          <w:color w:val="auto"/>
        </w:rPr>
        <w:t>has served on Domino’s Board of Directors since July 2018 and is a member of the Nominating and Corporate Governance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and the Inclusion and Diversity Committee of the Board of Directors. Ms. Lopez most recently served as Chief Executive Officer and as a member of the Board of Directors of High Ridge Brands Co. from July 2017 to March 2020. Ms. Lopez served as a Senior Vice President at Estée Lauder Companies Inc. from January 2015 to July 2016, a Senior Vice President at Avon Products, Inc. from December 2012 to November 2014 and previously held various positions at The Procter &amp; Gamble Co. for 25 years, most recently serving as a Vice President and General Manager overseeing its Eastern Europe business.</w:t>
      </w:r>
    </w:p>
    <w:p>
      <w:pPr>
        <w:spacing w:after="0" w:line="19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remaining information required by this item is incorporated by reference from Domino’s Pizza, Inc.’s definitive proxy statement, which will be filed within 120 days of January 3, 2021.</w:t>
      </w:r>
    </w:p>
    <w:p>
      <w:pPr>
        <w:spacing w:after="0" w:line="31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Information regarding executive compensation is incorporated by reference from Domino’s Pizza, Inc.’s definitive proxy statement, which will be filed within 120 days of January 3, 2021. However, no information set forth in the proxy statement regarding the Audit Committee Report shall be deemed incorporated by reference into this Form 10-K.</w:t>
      </w:r>
    </w:p>
    <w:p>
      <w:pPr>
        <w:spacing w:after="0" w:line="328"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color w:val="auto"/>
        </w:rPr>
        <w:t>Information regarding security ownership of certain beneficial owners and management and related stockholder matters is incorporated by reference from Domino’s Pizza, Inc.’s definitive proxy statement, which will be filed within 120 days of January 3, 2021.</w:t>
      </w:r>
    </w:p>
    <w:p>
      <w:pPr>
        <w:spacing w:after="0" w:line="291"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Information regarding certain relationships and related transactions is incorporated by reference from Domino’s Pizza, Inc.’s definitive proxy statement, which will be filed within 120 days of January 3, 2021.</w:t>
      </w:r>
    </w:p>
    <w:p>
      <w:pPr>
        <w:spacing w:after="0" w:line="31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Information regarding principal accountant fees and services is incorporated by reference from Domino’s Pizza, Inc.’s definitive proxy statement, which will be filed within 120 days of January 3, 2021.</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86"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IV</w:t>
      </w:r>
    </w:p>
    <w:p>
      <w:pPr>
        <w:spacing w:after="0" w:line="374"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35"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7"/>
          <w:szCs w:val="17"/>
          <w:color w:val="auto"/>
        </w:rPr>
        <w:t>(a)1.</w:t>
        <w:tab/>
        <w:t>Financial Statements: The following financial statements for Domino’s Pizza, Inc. and subsidiaries are included in Item 8, “Financial</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Statements and Supplementary Data”:</w:t>
      </w:r>
    </w:p>
    <w:p>
      <w:pPr>
        <w:spacing w:after="0" w:line="10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Consolidated Balance Sheets as of January 3, 2021 and December 29, 2019</w:t>
      </w:r>
    </w:p>
    <w:p>
      <w:pPr>
        <w:spacing w:after="0" w:line="9" w:lineRule="exact"/>
        <w:rPr>
          <w:sz w:val="20"/>
          <w:szCs w:val="20"/>
          <w:color w:val="auto"/>
        </w:rPr>
      </w:pPr>
    </w:p>
    <w:p>
      <w:pPr>
        <w:ind w:left="1540" w:right="320"/>
        <w:spacing w:after="0" w:line="250" w:lineRule="auto"/>
        <w:rPr>
          <w:sz w:val="20"/>
          <w:szCs w:val="20"/>
          <w:color w:val="auto"/>
        </w:rPr>
      </w:pPr>
      <w:r>
        <w:rPr>
          <w:rFonts w:ascii="Arial" w:cs="Arial" w:eastAsia="Arial" w:hAnsi="Arial"/>
          <w:sz w:val="18"/>
          <w:szCs w:val="18"/>
          <w:color w:val="auto"/>
        </w:rPr>
        <w:t>Consolidated Statements of Income for the Years Ended January 3, 2021, December 29, 2019 and December 30, 2018 Consolidated Statements of Comprehensive Income for the Years Ended January 3, 2021, December 29, 2019 and December 30, 2018</w:t>
      </w:r>
    </w:p>
    <w:p>
      <w:pPr>
        <w:spacing w:after="0" w:line="1" w:lineRule="exact"/>
        <w:rPr>
          <w:sz w:val="20"/>
          <w:szCs w:val="20"/>
          <w:color w:val="auto"/>
        </w:rPr>
      </w:pPr>
    </w:p>
    <w:p>
      <w:pPr>
        <w:ind w:left="1540" w:right="80"/>
        <w:spacing w:after="0" w:line="255" w:lineRule="auto"/>
        <w:rPr>
          <w:sz w:val="20"/>
          <w:szCs w:val="20"/>
          <w:color w:val="auto"/>
        </w:rPr>
      </w:pPr>
      <w:r>
        <w:rPr>
          <w:rFonts w:ascii="Arial" w:cs="Arial" w:eastAsia="Arial" w:hAnsi="Arial"/>
          <w:sz w:val="18"/>
          <w:szCs w:val="18"/>
          <w:color w:val="auto"/>
        </w:rPr>
        <w:t>Consolidated Statements of Stockholders’ Deficit for the Years Ended January 3, 2021, December 29, 2019 and December 30, 2018 Consolidated Statements of Cash Flows for the Years Ended January 3, 2021, December 29, 2019 and December 30, 2018 Notes to Consolidated Financial Statements</w:t>
      </w:r>
    </w:p>
    <w:p>
      <w:pPr>
        <w:spacing w:after="0" w:line="95" w:lineRule="exact"/>
        <w:rPr>
          <w:sz w:val="20"/>
          <w:szCs w:val="20"/>
          <w:color w:val="auto"/>
        </w:rPr>
      </w:pPr>
    </w:p>
    <w:p>
      <w:pPr>
        <w:ind w:left="1540" w:right="2800" w:hanging="992"/>
        <w:spacing w:after="0" w:line="375"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Statement Schedules: The following financial statement schedule is attached to this report. Schedule I – Condensed Financial Information of the Registrant</w:t>
      </w:r>
    </w:p>
    <w:p>
      <w:pPr>
        <w:spacing w:after="0" w:line="1" w:lineRule="exact"/>
        <w:rPr>
          <w:sz w:val="20"/>
          <w:szCs w:val="20"/>
          <w:color w:val="auto"/>
        </w:rPr>
      </w:pPr>
    </w:p>
    <w:p>
      <w:pPr>
        <w:ind w:left="1100" w:right="160"/>
        <w:spacing w:after="0" w:line="277" w:lineRule="auto"/>
        <w:rPr>
          <w:sz w:val="20"/>
          <w:szCs w:val="20"/>
          <w:color w:val="auto"/>
        </w:rPr>
      </w:pPr>
      <w:r>
        <w:rPr>
          <w:rFonts w:ascii="Arial" w:cs="Arial" w:eastAsia="Arial" w:hAnsi="Arial"/>
          <w:sz w:val="18"/>
          <w:szCs w:val="18"/>
          <w:color w:val="auto"/>
        </w:rPr>
        <w:t>All other schedules are omitted because they are not applicable, not required, or the information is included in the financial statements or the notes thereto.</w:t>
      </w:r>
    </w:p>
    <w:p>
      <w:pPr>
        <w:spacing w:after="0" w:line="76" w:lineRule="exact"/>
        <w:rPr>
          <w:sz w:val="20"/>
          <w:szCs w:val="20"/>
          <w:color w:val="auto"/>
        </w:rPr>
      </w:pPr>
    </w:p>
    <w:p>
      <w:pPr>
        <w:jc w:val="both"/>
        <w:ind w:left="1080" w:right="460" w:hanging="532"/>
        <w:spacing w:after="0" w:line="286"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Exhibits: Certain of the following Exhibits have been previously filed with the Securities and Exchange Commission pursuant to the requirements of the Securities Act of 1933 and the Securities Exchange Act of 1934. Such exhibits are identified by the parenthetical references following the listing of each such exhibit and are incorporated herein by reference.</w:t>
      </w:r>
    </w:p>
    <w:p>
      <w:pPr>
        <w:spacing w:after="0" w:line="17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color w:val="auto"/>
              </w:rPr>
              <w:t>Exhibit</w:t>
            </w: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4"/>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8"/>
              </w:rPr>
              <w:t>Number</w:t>
            </w: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w w:val="94"/>
              </w:rPr>
              <w:t>Description</w:t>
            </w:r>
          </w:p>
        </w:tc>
        <w:tc>
          <w:tcPr>
            <w:tcW w:w="4600" w:type="dxa"/>
            <w:vAlign w:val="bottom"/>
            <w:gridSpan w:val="14"/>
          </w:tcPr>
          <w:p>
            <w:pPr>
              <w:spacing w:after="0"/>
              <w:rPr>
                <w:sz w:val="15"/>
                <w:szCs w:val="15"/>
                <w:color w:val="auto"/>
              </w:rPr>
            </w:pPr>
          </w:p>
        </w:tc>
      </w:tr>
      <w:tr>
        <w:trPr>
          <w:trHeight w:val="270"/>
        </w:trPr>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23"/>
                <w:szCs w:val="23"/>
                <w:color w:val="auto"/>
              </w:rPr>
            </w:pPr>
          </w:p>
        </w:tc>
        <w:tc>
          <w:tcPr>
            <w:tcW w:w="9800" w:type="dxa"/>
            <w:vAlign w:val="bottom"/>
            <w:tcBorders>
              <w:bottom w:val="single" w:sz="8" w:color="0000EE"/>
            </w:tcBorders>
            <w:gridSpan w:val="21"/>
          </w:tcPr>
          <w:p>
            <w:pPr>
              <w:spacing w:after="0"/>
              <w:rPr>
                <w:rFonts w:ascii="Arial" w:cs="Arial" w:eastAsia="Arial" w:hAnsi="Arial"/>
                <w:sz w:val="18"/>
                <w:szCs w:val="18"/>
                <w:color w:val="0000EE"/>
                <w:w w:val="91"/>
              </w:rPr>
            </w:pPr>
            <w:hyperlink r:id="rId97">
              <w:r>
                <w:rPr>
                  <w:rFonts w:ascii="Arial" w:cs="Arial" w:eastAsia="Arial" w:hAnsi="Arial"/>
                  <w:sz w:val="18"/>
                  <w:szCs w:val="18"/>
                  <w:color w:val="0000EE"/>
                  <w:w w:val="91"/>
                </w:rPr>
                <w:t>Form of Second Restated Certificate of Incorporation of Domino’s Pizza, Inc. (Incorporated by reference to Exhibit 3.1 to the Domino’s</w:t>
              </w:r>
            </w:hyperlink>
          </w:p>
        </w:tc>
        <w:tc>
          <w:tcPr>
            <w:tcW w:w="100" w:type="dxa"/>
            <w:vAlign w:val="bottom"/>
            <w:gridSpan w:val="2"/>
          </w:tcPr>
          <w:p>
            <w:pPr>
              <w:spacing w:after="0"/>
              <w:rPr>
                <w:sz w:val="23"/>
                <w:szCs w:val="23"/>
                <w:color w:val="auto"/>
              </w:rPr>
            </w:pPr>
          </w:p>
        </w:tc>
      </w:tr>
      <w:tr>
        <w:trPr>
          <w:trHeight w:val="196"/>
        </w:trPr>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8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Pizza, Inc. registration statement on Form S-1 filed on April 13, 2004 (Reg. No. 333-114442) (the “S-1”)).</w:t>
              </w:r>
            </w:hyperlink>
          </w:p>
        </w:tc>
        <w:tc>
          <w:tcPr>
            <w:tcW w:w="2220" w:type="dxa"/>
            <w:vAlign w:val="bottom"/>
            <w:gridSpan w:val="12"/>
          </w:tcPr>
          <w:p>
            <w:pPr>
              <w:spacing w:after="0"/>
              <w:rPr>
                <w:sz w:val="17"/>
                <w:szCs w:val="17"/>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640" w:type="dxa"/>
            <w:vAlign w:val="bottom"/>
          </w:tcPr>
          <w:p>
            <w:pPr>
              <w:spacing w:after="0"/>
              <w:rPr>
                <w:sz w:val="24"/>
                <w:szCs w:val="24"/>
                <w:color w:val="auto"/>
              </w:rPr>
            </w:pPr>
          </w:p>
        </w:tc>
        <w:tc>
          <w:tcPr>
            <w:tcW w:w="9900" w:type="dxa"/>
            <w:vAlign w:val="bottom"/>
            <w:gridSpan w:val="23"/>
          </w:tcPr>
          <w:p>
            <w:pPr>
              <w:spacing w:after="0"/>
              <w:rPr>
                <w:rFonts w:ascii="Arial" w:cs="Arial" w:eastAsia="Arial" w:hAnsi="Arial"/>
                <w:sz w:val="18"/>
                <w:szCs w:val="18"/>
                <w:color w:val="0000EE"/>
                <w:w w:val="95"/>
              </w:rPr>
            </w:pPr>
            <w:hyperlink r:id="rId98">
              <w:r>
                <w:rPr>
                  <w:rFonts w:ascii="Arial" w:cs="Arial" w:eastAsia="Arial" w:hAnsi="Arial"/>
                  <w:sz w:val="18"/>
                  <w:szCs w:val="18"/>
                  <w:color w:val="0000EE"/>
                  <w:w w:val="95"/>
                </w:rPr>
                <w:t>Certificate of Amendment to the Second Restated Certificate of Incorporation of Domino’s Pizza, Inc. (Incorporated by reference to</w:t>
              </w:r>
            </w:hyperlink>
          </w:p>
        </w:tc>
      </w:tr>
      <w:tr>
        <w:trPr>
          <w:trHeight w:val="196"/>
        </w:trPr>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5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Exhibit 3.2 to the Form 10-Q for the quarter ended June 14, 2015).</w:t>
              </w:r>
            </w:hyperlink>
          </w:p>
        </w:tc>
        <w:tc>
          <w:tcPr>
            <w:tcW w:w="400" w:type="dxa"/>
            <w:vAlign w:val="bottom"/>
            <w:gridSpan w:val="7"/>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640" w:type="dxa"/>
            <w:vAlign w:val="bottom"/>
          </w:tcPr>
          <w:p>
            <w:pPr>
              <w:spacing w:after="0"/>
              <w:rPr>
                <w:sz w:val="24"/>
                <w:szCs w:val="24"/>
                <w:color w:val="auto"/>
              </w:rPr>
            </w:pPr>
          </w:p>
        </w:tc>
        <w:tc>
          <w:tcPr>
            <w:tcW w:w="9520" w:type="dxa"/>
            <w:vAlign w:val="bottom"/>
            <w:tcBorders>
              <w:bottom w:val="single" w:sz="8" w:color="0000EE"/>
            </w:tcBorders>
            <w:gridSpan w:val="17"/>
          </w:tcPr>
          <w:p>
            <w:pPr>
              <w:spacing w:after="0"/>
              <w:rPr>
                <w:rFonts w:ascii="Arial" w:cs="Arial" w:eastAsia="Arial" w:hAnsi="Arial"/>
                <w:sz w:val="18"/>
                <w:szCs w:val="18"/>
                <w:color w:val="0000EE"/>
                <w:w w:val="90"/>
              </w:rPr>
            </w:pPr>
            <w:hyperlink r:id="rId99">
              <w:r>
                <w:rPr>
                  <w:rFonts w:ascii="Arial" w:cs="Arial" w:eastAsia="Arial" w:hAnsi="Arial"/>
                  <w:sz w:val="18"/>
                  <w:szCs w:val="18"/>
                  <w:color w:val="0000EE"/>
                  <w:w w:val="90"/>
                </w:rPr>
                <w:t>Second Amended and Restated By-Laws of Domino’s Pizza, Inc. (Incorporated by reference to Exhibit 3.3 to the registrant’s annual</w:t>
              </w:r>
            </w:hyperlink>
          </w:p>
        </w:tc>
        <w:tc>
          <w:tcPr>
            <w:tcW w:w="380" w:type="dxa"/>
            <w:vAlign w:val="bottom"/>
            <w:gridSpan w:val="6"/>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900" w:type="dxa"/>
            <w:vAlign w:val="bottom"/>
            <w:gridSpan w:val="23"/>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report on Form 10-K for the year ended January 3, 2016).</w:t>
              </w:r>
            </w:hyperlink>
          </w:p>
        </w:tc>
      </w:tr>
      <w:tr>
        <w:trPr>
          <w:trHeight w:val="20"/>
        </w:trPr>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640" w:type="dxa"/>
            <w:vAlign w:val="bottom"/>
          </w:tcPr>
          <w:p>
            <w:pPr>
              <w:spacing w:after="0"/>
              <w:rPr>
                <w:sz w:val="24"/>
                <w:szCs w:val="24"/>
                <w:color w:val="auto"/>
              </w:rPr>
            </w:pPr>
          </w:p>
        </w:tc>
        <w:tc>
          <w:tcPr>
            <w:tcW w:w="9700" w:type="dxa"/>
            <w:vAlign w:val="bottom"/>
            <w:tcBorders>
              <w:bottom w:val="single" w:sz="8" w:color="0000EE"/>
            </w:tcBorders>
            <w:gridSpan w:val="19"/>
          </w:tcPr>
          <w:p>
            <w:pPr>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Description of Securities of the Registrant. (Incorporated by reference to Exhibit 4.1 to the registrant’s annual report on Form 10-K for</w:t>
              </w:r>
            </w:hyperlink>
          </w:p>
        </w:tc>
        <w:tc>
          <w:tcPr>
            <w:tcW w:w="200" w:type="dxa"/>
            <w:vAlign w:val="bottom"/>
            <w:gridSpan w:val="4"/>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9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the year ended December 29, 2019 (the “2019 10-K”)).</w:t>
              </w:r>
            </w:hyperlink>
          </w:p>
        </w:tc>
        <w:tc>
          <w:tcPr>
            <w:tcW w:w="5920" w:type="dxa"/>
            <w:vAlign w:val="bottom"/>
            <w:gridSpan w:val="19"/>
          </w:tcPr>
          <w:p>
            <w:pPr>
              <w:spacing w:after="0"/>
              <w:rPr>
                <w:sz w:val="17"/>
                <w:szCs w:val="17"/>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640" w:type="dxa"/>
            <w:vAlign w:val="bottom"/>
          </w:tcPr>
          <w:p>
            <w:pPr>
              <w:spacing w:after="0"/>
              <w:rPr>
                <w:sz w:val="24"/>
                <w:szCs w:val="24"/>
                <w:color w:val="auto"/>
              </w:rPr>
            </w:pPr>
          </w:p>
        </w:tc>
        <w:tc>
          <w:tcPr>
            <w:tcW w:w="9760" w:type="dxa"/>
            <w:vAlign w:val="bottom"/>
            <w:tcBorders>
              <w:bottom w:val="single" w:sz="8" w:color="0000EE"/>
            </w:tcBorders>
            <w:gridSpan w:val="20"/>
          </w:tcPr>
          <w:p>
            <w:pPr>
              <w:spacing w:after="0"/>
              <w:rPr>
                <w:rFonts w:ascii="Arial" w:cs="Arial" w:eastAsia="Arial" w:hAnsi="Arial"/>
                <w:sz w:val="18"/>
                <w:szCs w:val="18"/>
                <w:color w:val="0000EE"/>
                <w:w w:val="90"/>
              </w:rPr>
            </w:pPr>
            <w:hyperlink r:id="rId101">
              <w:r>
                <w:rPr>
                  <w:rFonts w:ascii="Arial" w:cs="Arial" w:eastAsia="Arial" w:hAnsi="Arial"/>
                  <w:sz w:val="18"/>
                  <w:szCs w:val="18"/>
                  <w:color w:val="0000EE"/>
                  <w:w w:val="90"/>
                </w:rPr>
                <w:t>Lease Agreement dated as of December 21, 1998 by and between Domino’s Farms Office Park Limited Partnership and Domino’s, Inc.</w:t>
              </w:r>
            </w:hyperlink>
          </w:p>
        </w:tc>
        <w:tc>
          <w:tcPr>
            <w:tcW w:w="140" w:type="dxa"/>
            <w:vAlign w:val="bottom"/>
            <w:gridSpan w:val="3"/>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(Incorporated by reference to Exhibit 10.3 to the Domino’s, Inc. registration statement on Form S-4 filed on March 22, 1999 (Reg.</w:t>
              </w:r>
            </w:hyperlink>
          </w:p>
        </w:tc>
        <w:tc>
          <w:tcPr>
            <w:tcW w:w="500" w:type="dxa"/>
            <w:vAlign w:val="bottom"/>
            <w:gridSpan w:val="8"/>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No. 333-74797)).</w:t>
              </w:r>
            </w:hyperlink>
          </w:p>
        </w:tc>
        <w:tc>
          <w:tcPr>
            <w:tcW w:w="8640" w:type="dxa"/>
            <w:vAlign w:val="bottom"/>
            <w:gridSpan w:val="21"/>
          </w:tcPr>
          <w:p>
            <w:pPr>
              <w:spacing w:after="0"/>
              <w:rPr>
                <w:sz w:val="17"/>
                <w:szCs w:val="17"/>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rPr>
              <w:t>10.2</w:t>
            </w:r>
          </w:p>
        </w:tc>
        <w:tc>
          <w:tcPr>
            <w:tcW w:w="640" w:type="dxa"/>
            <w:vAlign w:val="bottom"/>
          </w:tcPr>
          <w:p>
            <w:pPr>
              <w:spacing w:after="0"/>
              <w:rPr>
                <w:sz w:val="24"/>
                <w:szCs w:val="24"/>
                <w:color w:val="auto"/>
              </w:rPr>
            </w:pPr>
          </w:p>
        </w:tc>
        <w:tc>
          <w:tcPr>
            <w:tcW w:w="9260" w:type="dxa"/>
            <w:vAlign w:val="bottom"/>
            <w:tcBorders>
              <w:bottom w:val="single" w:sz="8" w:color="0000EE"/>
            </w:tcBorders>
            <w:gridSpan w:val="14"/>
          </w:tcPr>
          <w:p>
            <w:pPr>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Fourth Amendment to the Lease Agreement between Domino’s Farms Office Park, L.L.C. and Domino’s Pizza LLC, dated as of</w:t>
              </w:r>
            </w:hyperlink>
          </w:p>
        </w:tc>
        <w:tc>
          <w:tcPr>
            <w:tcW w:w="640" w:type="dxa"/>
            <w:vAlign w:val="bottom"/>
            <w:gridSpan w:val="9"/>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02">
              <w:r>
                <w:rPr>
                  <w:rFonts w:ascii="Arial" w:cs="Arial" w:eastAsia="Arial" w:hAnsi="Arial"/>
                  <w:sz w:val="18"/>
                  <w:szCs w:val="18"/>
                  <w:color w:val="0000EE"/>
                  <w:w w:val="90"/>
                </w:rPr>
                <w:t>August 28, 2012 (Incorporated by reference to Exhibit 10.2 to the registrant’s annual report on Form 10-K for the year ended</w:t>
              </w:r>
            </w:hyperlink>
          </w:p>
        </w:tc>
        <w:tc>
          <w:tcPr>
            <w:tcW w:w="900" w:type="dxa"/>
            <w:vAlign w:val="bottom"/>
            <w:gridSpan w:val="11"/>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900" w:type="dxa"/>
            <w:vAlign w:val="bottom"/>
            <w:gridSpan w:val="23"/>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December 30, 2012 (the “2012 10-K”)).</w:t>
              </w:r>
            </w:hyperlink>
          </w:p>
        </w:tc>
      </w:tr>
      <w:tr>
        <w:trPr>
          <w:trHeight w:val="20"/>
        </w:trPr>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rPr>
              <w:t>10.3</w:t>
            </w:r>
          </w:p>
        </w:tc>
        <w:tc>
          <w:tcPr>
            <w:tcW w:w="640" w:type="dxa"/>
            <w:vAlign w:val="bottom"/>
          </w:tcPr>
          <w:p>
            <w:pPr>
              <w:spacing w:after="0"/>
              <w:rPr>
                <w:sz w:val="24"/>
                <w:szCs w:val="24"/>
                <w:color w:val="auto"/>
              </w:rPr>
            </w:pPr>
          </w:p>
        </w:tc>
        <w:tc>
          <w:tcPr>
            <w:tcW w:w="9900" w:type="dxa"/>
            <w:vAlign w:val="bottom"/>
            <w:gridSpan w:val="23"/>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Fifth Amendment to a Lease Agreement between Domino’s Farms Office Park, L.L.C. and Domino’s Pizza LLC, dated as of February 1,</w:t>
              </w:r>
            </w:hyperlink>
          </w:p>
        </w:tc>
      </w:tr>
      <w:tr>
        <w:trPr>
          <w:trHeight w:val="196"/>
        </w:trPr>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0"/>
              </w:rPr>
            </w:pPr>
            <w:hyperlink r:id="rId103">
              <w:r>
                <w:rPr>
                  <w:rFonts w:ascii="Arial" w:cs="Arial" w:eastAsia="Arial" w:hAnsi="Arial"/>
                  <w:sz w:val="18"/>
                  <w:szCs w:val="18"/>
                  <w:color w:val="0000EE"/>
                  <w:w w:val="90"/>
                </w:rPr>
                <w:t>2015 (Incorporated by reference to Exhibit 10.3 to the registrant’s annual report on Form 10-K for the year ended January 1, 2017 (the</w:t>
              </w:r>
            </w:hyperlink>
          </w:p>
        </w:tc>
        <w:tc>
          <w:tcPr>
            <w:tcW w:w="180" w:type="dxa"/>
            <w:vAlign w:val="bottom"/>
            <w:tcBorders>
              <w:top w:val="single" w:sz="8" w:color="0000EE"/>
            </w:tcBorders>
            <w:gridSpan w:val="4"/>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900" w:type="dxa"/>
            <w:vAlign w:val="bottom"/>
            <w:gridSpan w:val="23"/>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“2016 10-K”)).</w:t>
              </w:r>
            </w:hyperlink>
          </w:p>
        </w:tc>
      </w:tr>
      <w:tr>
        <w:trPr>
          <w:trHeight w:val="20"/>
        </w:trPr>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720" w:type="dxa"/>
            <w:vAlign w:val="bottom"/>
            <w:gridSpan w:val="7"/>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680" w:type="dxa"/>
            <w:vAlign w:val="bottom"/>
            <w:gridSpan w:val="10"/>
          </w:tcPr>
          <w:p>
            <w:pPr>
              <w:spacing w:after="0" w:line="20" w:lineRule="exact"/>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rPr>
              <w:t>10.4</w:t>
            </w:r>
          </w:p>
        </w:tc>
        <w:tc>
          <w:tcPr>
            <w:tcW w:w="640" w:type="dxa"/>
            <w:vAlign w:val="bottom"/>
          </w:tcPr>
          <w:p>
            <w:pPr>
              <w:spacing w:after="0"/>
              <w:rPr>
                <w:sz w:val="24"/>
                <w:szCs w:val="24"/>
                <w:color w:val="auto"/>
              </w:rPr>
            </w:pPr>
          </w:p>
        </w:tc>
        <w:tc>
          <w:tcPr>
            <w:tcW w:w="9900" w:type="dxa"/>
            <w:vAlign w:val="bottom"/>
            <w:tcBorders>
              <w:bottom w:val="single" w:sz="8" w:color="0000EE"/>
            </w:tcBorders>
            <w:gridSpan w:val="23"/>
          </w:tcPr>
          <w:p>
            <w:pPr>
              <w:spacing w:after="0"/>
              <w:rPr>
                <w:rFonts w:ascii="Arial" w:cs="Arial" w:eastAsia="Arial" w:hAnsi="Arial"/>
                <w:sz w:val="18"/>
                <w:szCs w:val="18"/>
                <w:color w:val="0000EE"/>
                <w:w w:val="91"/>
              </w:rPr>
            </w:pPr>
            <w:hyperlink r:id="rId104">
              <w:r>
                <w:rPr>
                  <w:rFonts w:ascii="Arial" w:cs="Arial" w:eastAsia="Arial" w:hAnsi="Arial"/>
                  <w:sz w:val="18"/>
                  <w:szCs w:val="18"/>
                  <w:color w:val="0000EE"/>
                  <w:w w:val="91"/>
                </w:rPr>
                <w:t>Sixth Amendment to a Lease Agreement between Domino’s Farms Office Park, L.L.C. and Domino’s Pizza LLC, dated as of February 1,</w:t>
              </w:r>
            </w:hyperlink>
          </w:p>
        </w:tc>
      </w:tr>
      <w:tr>
        <w:trPr>
          <w:trHeight w:val="196"/>
        </w:trPr>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2015 (Incorporated by reference to Exhibit 10.4 to the 2016 10-K).</w:t>
              </w:r>
            </w:hyperlink>
          </w:p>
        </w:tc>
        <w:tc>
          <w:tcPr>
            <w:tcW w:w="5080" w:type="dxa"/>
            <w:vAlign w:val="bottom"/>
            <w:gridSpan w:val="15"/>
          </w:tcPr>
          <w:p>
            <w:pPr>
              <w:spacing w:after="0"/>
              <w:rPr>
                <w:sz w:val="17"/>
                <w:szCs w:val="17"/>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rPr>
              <w:t>10.5</w:t>
            </w:r>
          </w:p>
        </w:tc>
        <w:tc>
          <w:tcPr>
            <w:tcW w:w="640" w:type="dxa"/>
            <w:vAlign w:val="bottom"/>
          </w:tcPr>
          <w:p>
            <w:pPr>
              <w:spacing w:after="0"/>
              <w:rPr>
                <w:sz w:val="24"/>
                <w:szCs w:val="24"/>
                <w:color w:val="auto"/>
              </w:rPr>
            </w:pPr>
          </w:p>
        </w:tc>
        <w:tc>
          <w:tcPr>
            <w:tcW w:w="9220" w:type="dxa"/>
            <w:vAlign w:val="bottom"/>
            <w:tcBorders>
              <w:bottom w:val="single" w:sz="8" w:color="0000EE"/>
            </w:tcBorders>
            <w:gridSpan w:val="13"/>
          </w:tcPr>
          <w:p>
            <w:pPr>
              <w:spacing w:after="0"/>
              <w:rPr>
                <w:rFonts w:ascii="Arial" w:cs="Arial" w:eastAsia="Arial" w:hAnsi="Arial"/>
                <w:sz w:val="18"/>
                <w:szCs w:val="18"/>
                <w:color w:val="0000EE"/>
                <w:w w:val="90"/>
              </w:rPr>
            </w:pPr>
            <w:hyperlink r:id="rId105">
              <w:r>
                <w:rPr>
                  <w:rFonts w:ascii="Arial" w:cs="Arial" w:eastAsia="Arial" w:hAnsi="Arial"/>
                  <w:sz w:val="18"/>
                  <w:szCs w:val="18"/>
                  <w:color w:val="0000EE"/>
                  <w:w w:val="90"/>
                </w:rPr>
                <w:t>Seventh Amendment to a Lease Agreement between Domino’s Farms Office Park, L.L.C. and Domino’s Pizza LLC, dated as of</w:t>
              </w:r>
            </w:hyperlink>
          </w:p>
        </w:tc>
        <w:tc>
          <w:tcPr>
            <w:tcW w:w="680" w:type="dxa"/>
            <w:vAlign w:val="bottom"/>
            <w:gridSpan w:val="10"/>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5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April 19, 2016 (Incorporated by reference to Exhibit 10.5 to the 2016 10-K).</w:t>
              </w:r>
            </w:hyperlink>
          </w:p>
        </w:tc>
        <w:tc>
          <w:tcPr>
            <w:tcW w:w="4380" w:type="dxa"/>
            <w:vAlign w:val="bottom"/>
            <w:gridSpan w:val="13"/>
          </w:tcPr>
          <w:p>
            <w:pPr>
              <w:spacing w:after="0"/>
              <w:rPr>
                <w:sz w:val="17"/>
                <w:szCs w:val="17"/>
                <w:color w:val="auto"/>
              </w:rPr>
            </w:pPr>
          </w:p>
        </w:tc>
      </w:tr>
      <w:tr>
        <w:trPr>
          <w:trHeight w:val="385"/>
        </w:trPr>
        <w:tc>
          <w:tcPr>
            <w:tcW w:w="460" w:type="dxa"/>
            <w:vAlign w:val="bottom"/>
          </w:tcPr>
          <w:p>
            <w:pPr>
              <w:spacing w:after="0"/>
              <w:rPr>
                <w:sz w:val="24"/>
                <w:szCs w:val="24"/>
                <w:color w:val="auto"/>
              </w:rPr>
            </w:pPr>
          </w:p>
        </w:tc>
        <w:tc>
          <w:tcPr>
            <w:tcW w:w="5260" w:type="dxa"/>
            <w:vAlign w:val="bottom"/>
            <w:gridSpan w:val="7"/>
          </w:tcPr>
          <w:p>
            <w:pPr>
              <w:jc w:val="right"/>
              <w:ind w:right="120"/>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20"/>
          </w:cols>
          <w:pgMar w:left="320" w:top="486"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10.6</w:t>
            </w:r>
          </w:p>
        </w:tc>
        <w:tc>
          <w:tcPr>
            <w:tcW w:w="9120" w:type="dxa"/>
            <w:vAlign w:val="bottom"/>
            <w:tcBorders>
              <w:bottom w:val="single" w:sz="8" w:color="0000EE"/>
            </w:tcBorders>
            <w:gridSpan w:val="17"/>
          </w:tcPr>
          <w:p>
            <w:pPr>
              <w:spacing w:after="0"/>
              <w:rPr>
                <w:rFonts w:ascii="Arial" w:cs="Arial" w:eastAsia="Arial" w:hAnsi="Arial"/>
                <w:sz w:val="18"/>
                <w:szCs w:val="18"/>
                <w:color w:val="0000EE"/>
                <w:w w:val="91"/>
              </w:rPr>
            </w:pPr>
            <w:hyperlink r:id="rId107">
              <w:r>
                <w:rPr>
                  <w:rFonts w:ascii="Arial" w:cs="Arial" w:eastAsia="Arial" w:hAnsi="Arial"/>
                  <w:sz w:val="18"/>
                  <w:szCs w:val="18"/>
                  <w:color w:val="0000EE"/>
                  <w:w w:val="91"/>
                </w:rPr>
                <w:t>Eighth Amendment to a Lease Agreement between Domino’s Farms Office Park, L.L.C. and Domino’s Pizza LLC, dated as of</w:t>
              </w:r>
            </w:hyperlink>
          </w:p>
        </w:tc>
        <w:tc>
          <w:tcPr>
            <w:tcW w:w="760" w:type="dxa"/>
            <w:vAlign w:val="bottom"/>
            <w:gridSpan w:val="11"/>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8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November 4, 2016 (Incorporated by reference to Exhibit 10.6 to the 2016 10-K).</w:t>
              </w:r>
            </w:hyperlink>
          </w:p>
        </w:tc>
        <w:tc>
          <w:tcPr>
            <w:tcW w:w="4080" w:type="dxa"/>
            <w:vAlign w:val="bottom"/>
            <w:gridSpan w:val="16"/>
          </w:tcPr>
          <w:p>
            <w:pPr>
              <w:spacing w:after="0"/>
              <w:rPr>
                <w:sz w:val="17"/>
                <w:szCs w:val="17"/>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10.7</w:t>
            </w:r>
          </w:p>
        </w:tc>
        <w:tc>
          <w:tcPr>
            <w:tcW w:w="9060" w:type="dxa"/>
            <w:vAlign w:val="bottom"/>
            <w:tcBorders>
              <w:bottom w:val="single" w:sz="8" w:color="0000EE"/>
            </w:tcBorders>
            <w:gridSpan w:val="16"/>
          </w:tcPr>
          <w:p>
            <w:pPr>
              <w:spacing w:after="0"/>
              <w:rPr>
                <w:rFonts w:ascii="Arial" w:cs="Arial" w:eastAsia="Arial" w:hAnsi="Arial"/>
                <w:sz w:val="18"/>
                <w:szCs w:val="18"/>
                <w:color w:val="0000EE"/>
                <w:w w:val="91"/>
              </w:rPr>
            </w:pPr>
            <w:hyperlink r:id="rId108">
              <w:r>
                <w:rPr>
                  <w:rFonts w:ascii="Arial" w:cs="Arial" w:eastAsia="Arial" w:hAnsi="Arial"/>
                  <w:sz w:val="18"/>
                  <w:szCs w:val="18"/>
                  <w:color w:val="0000EE"/>
                  <w:w w:val="91"/>
                </w:rPr>
                <w:t>Ninth Amendment to a Lease Agreement between Domino’s Farms Office Park, L.L.C. and Domino’s Pizza LLC, dated as of</w:t>
              </w:r>
            </w:hyperlink>
          </w:p>
        </w:tc>
        <w:tc>
          <w:tcPr>
            <w:tcW w:w="820" w:type="dxa"/>
            <w:vAlign w:val="bottom"/>
            <w:gridSpan w:val="1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7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February 16, 2017 (Incorporated by reference to Exhibit 10.7 to the 2016 10-K).</w:t>
              </w:r>
            </w:hyperlink>
          </w:p>
        </w:tc>
        <w:tc>
          <w:tcPr>
            <w:tcW w:w="4100" w:type="dxa"/>
            <w:vAlign w:val="bottom"/>
            <w:gridSpan w:val="17"/>
          </w:tcPr>
          <w:p>
            <w:pPr>
              <w:spacing w:after="0"/>
              <w:rPr>
                <w:sz w:val="17"/>
                <w:szCs w:val="17"/>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10.8</w:t>
            </w:r>
          </w:p>
        </w:tc>
        <w:tc>
          <w:tcPr>
            <w:tcW w:w="9040" w:type="dxa"/>
            <w:vAlign w:val="bottom"/>
            <w:tcBorders>
              <w:bottom w:val="single" w:sz="8" w:color="0000EE"/>
            </w:tcBorders>
            <w:gridSpan w:val="15"/>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Tenth Amendment to a Lease Agreement between Domino’s Farms Office Park, L.L.C. and Domino’s Pizza LLC, dated as of</w:t>
              </w:r>
            </w:hyperlink>
          </w:p>
        </w:tc>
        <w:tc>
          <w:tcPr>
            <w:tcW w:w="840" w:type="dxa"/>
            <w:vAlign w:val="bottom"/>
            <w:gridSpan w:val="1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14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November 7, 2017 (Incorporated by reference to Exhibit 10.8 to the registrant’s annual report on Form 10-K for the year ended</w:t>
              </w:r>
            </w:hyperlink>
          </w:p>
        </w:tc>
        <w:tc>
          <w:tcPr>
            <w:tcW w:w="740" w:type="dxa"/>
            <w:vAlign w:val="bottom"/>
            <w:gridSpan w:val="10"/>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52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109">
              <w:r>
                <w:rPr>
                  <w:rFonts w:ascii="Arial" w:cs="Arial" w:eastAsia="Arial" w:hAnsi="Arial"/>
                  <w:sz w:val="18"/>
                  <w:szCs w:val="18"/>
                  <w:color w:val="0000EE"/>
                  <w:w w:val="88"/>
                </w:rPr>
                <w:t>December 31, 2017).</w:t>
              </w:r>
            </w:hyperlink>
          </w:p>
        </w:tc>
        <w:tc>
          <w:tcPr>
            <w:tcW w:w="8360" w:type="dxa"/>
            <w:vAlign w:val="bottom"/>
            <w:gridSpan w:val="27"/>
          </w:tcPr>
          <w:p>
            <w:pPr>
              <w:spacing w:after="0"/>
              <w:rPr>
                <w:sz w:val="17"/>
                <w:szCs w:val="17"/>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10.9</w:t>
            </w:r>
          </w:p>
        </w:tc>
        <w:tc>
          <w:tcPr>
            <w:tcW w:w="9880" w:type="dxa"/>
            <w:vAlign w:val="bottom"/>
            <w:tcBorders>
              <w:bottom w:val="single" w:sz="8" w:color="0000EE"/>
            </w:tcBorders>
            <w:gridSpan w:val="28"/>
          </w:tcPr>
          <w:p>
            <w:pPr>
              <w:spacing w:after="0"/>
              <w:rPr>
                <w:rFonts w:ascii="Arial" w:cs="Arial" w:eastAsia="Arial" w:hAnsi="Arial"/>
                <w:sz w:val="18"/>
                <w:szCs w:val="18"/>
                <w:color w:val="0000EE"/>
                <w:w w:val="90"/>
              </w:rPr>
            </w:pPr>
            <w:hyperlink r:id="rId110">
              <w:r>
                <w:rPr>
                  <w:rFonts w:ascii="Arial" w:cs="Arial" w:eastAsia="Arial" w:hAnsi="Arial"/>
                  <w:sz w:val="18"/>
                  <w:szCs w:val="18"/>
                  <w:color w:val="0000EE"/>
                  <w:w w:val="90"/>
                </w:rPr>
                <w:t>Eleventh Amendment to a Lease Agreement between Domino’s Farms Office Park, L.L.C. and Domino’s Pizza LLC, dated as of July 13,</w:t>
              </w:r>
            </w:hyperlink>
          </w:p>
        </w:tc>
      </w:tr>
      <w:tr>
        <w:trPr>
          <w:trHeight w:val="196"/>
        </w:trPr>
        <w:tc>
          <w:tcPr>
            <w:tcW w:w="1040" w:type="dxa"/>
            <w:vAlign w:val="bottom"/>
          </w:tcPr>
          <w:p>
            <w:pPr>
              <w:spacing w:after="0"/>
              <w:rPr>
                <w:sz w:val="17"/>
                <w:szCs w:val="17"/>
                <w:color w:val="auto"/>
              </w:rPr>
            </w:pPr>
          </w:p>
        </w:tc>
        <w:tc>
          <w:tcPr>
            <w:tcW w:w="952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2018 (Incorporated by reference to Exhibit 10.1 to the registrant’s quarterly report on Form 10-Q for the quarter ended September 9,</w:t>
              </w:r>
            </w:hyperlink>
          </w:p>
        </w:tc>
        <w:tc>
          <w:tcPr>
            <w:tcW w:w="36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6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2018 (the “September 2018 10-Q”)).</w:t>
              </w:r>
            </w:hyperlink>
          </w:p>
        </w:tc>
        <w:tc>
          <w:tcPr>
            <w:tcW w:w="7240" w:type="dxa"/>
            <w:vAlign w:val="bottom"/>
            <w:gridSpan w:val="24"/>
          </w:tcPr>
          <w:p>
            <w:pPr>
              <w:spacing w:after="0"/>
              <w:rPr>
                <w:sz w:val="17"/>
                <w:szCs w:val="17"/>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10.10</w:t>
            </w:r>
          </w:p>
        </w:tc>
        <w:tc>
          <w:tcPr>
            <w:tcW w:w="9880" w:type="dxa"/>
            <w:vAlign w:val="bottom"/>
            <w:gridSpan w:val="28"/>
          </w:tcPr>
          <w:p>
            <w:pPr>
              <w:spacing w:after="0"/>
              <w:rPr>
                <w:rFonts w:ascii="Arial" w:cs="Arial" w:eastAsia="Arial" w:hAnsi="Arial"/>
                <w:sz w:val="18"/>
                <w:szCs w:val="18"/>
                <w:color w:val="0000EE"/>
                <w:w w:val="92"/>
              </w:rPr>
            </w:pPr>
            <w:hyperlink r:id="rId111">
              <w:r>
                <w:rPr>
                  <w:rFonts w:ascii="Arial" w:cs="Arial" w:eastAsia="Arial" w:hAnsi="Arial"/>
                  <w:sz w:val="18"/>
                  <w:szCs w:val="18"/>
                  <w:color w:val="0000EE"/>
                  <w:w w:val="92"/>
                </w:rPr>
                <w:t>Twelfth Amendment to a Lease Agreement between Domino’s Farms Office Park, L.L.C. and Domino’s Pizza LLC, dated as of July 13,</w:t>
              </w:r>
            </w:hyperlink>
          </w:p>
        </w:tc>
      </w:tr>
      <w:tr>
        <w:trPr>
          <w:trHeight w:val="196"/>
        </w:trPr>
        <w:tc>
          <w:tcPr>
            <w:tcW w:w="1040" w:type="dxa"/>
            <w:vAlign w:val="bottom"/>
          </w:tcPr>
          <w:p>
            <w:pPr>
              <w:spacing w:after="0"/>
              <w:rPr>
                <w:sz w:val="17"/>
                <w:szCs w:val="17"/>
                <w:color w:val="auto"/>
              </w:rPr>
            </w:pPr>
          </w:p>
        </w:tc>
        <w:tc>
          <w:tcPr>
            <w:tcW w:w="98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2018 (Incorporated by reference to Exhibit 10.2 to the September 2018 10-Q).</w:t>
              </w:r>
            </w:hyperlink>
          </w:p>
        </w:tc>
        <w:tc>
          <w:tcPr>
            <w:tcW w:w="80" w:type="dxa"/>
            <w:vAlign w:val="bottom"/>
            <w:gridSpan w:val="2"/>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10.11</w:t>
            </w:r>
          </w:p>
        </w:tc>
        <w:tc>
          <w:tcPr>
            <w:tcW w:w="9880" w:type="dxa"/>
            <w:vAlign w:val="bottom"/>
            <w:gridSpan w:val="28"/>
          </w:tcPr>
          <w:p>
            <w:pPr>
              <w:spacing w:after="0"/>
              <w:rPr>
                <w:rFonts w:ascii="Arial" w:cs="Arial" w:eastAsia="Arial" w:hAnsi="Arial"/>
                <w:sz w:val="18"/>
                <w:szCs w:val="18"/>
                <w:color w:val="0000EE"/>
                <w:w w:val="95"/>
              </w:rPr>
            </w:pPr>
            <w:hyperlink r:id="rId112">
              <w:r>
                <w:rPr>
                  <w:rFonts w:ascii="Arial" w:cs="Arial" w:eastAsia="Arial" w:hAnsi="Arial"/>
                  <w:sz w:val="18"/>
                  <w:szCs w:val="18"/>
                  <w:color w:val="0000EE"/>
                  <w:w w:val="95"/>
                </w:rPr>
                <w:t>Thirteenth Amendment to a Lease Agreement between Domino’s Farms Office Park, L.L.C. and Domino’s Pizza LLC, dated as of</w:t>
              </w:r>
            </w:hyperlink>
          </w:p>
        </w:tc>
      </w:tr>
      <w:tr>
        <w:trPr>
          <w:trHeight w:val="20"/>
        </w:trPr>
        <w:tc>
          <w:tcPr>
            <w:tcW w:w="1040" w:type="dxa"/>
            <w:vAlign w:val="bottom"/>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0" w:type="dxa"/>
            <w:vAlign w:val="bottom"/>
            <w:gridSpan w:val="5"/>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82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112">
              <w:r>
                <w:rPr>
                  <w:rFonts w:ascii="Arial" w:cs="Arial" w:eastAsia="Arial" w:hAnsi="Arial"/>
                  <w:sz w:val="18"/>
                  <w:szCs w:val="18"/>
                  <w:color w:val="0000EE"/>
                  <w:w w:val="90"/>
                </w:rPr>
                <w:t>May 14, 2019 (Incorporated by reference to Exhibit 10.1 to the registrant’s quarterly report on Form 10-Q for the quarter ended June 16,</w:t>
              </w:r>
            </w:hyperlink>
          </w:p>
        </w:tc>
        <w:tc>
          <w:tcPr>
            <w:tcW w:w="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2019 (the “June 2019 10-Q”)).</w:t>
              </w:r>
            </w:hyperlink>
          </w:p>
        </w:tc>
        <w:tc>
          <w:tcPr>
            <w:tcW w:w="7680" w:type="dxa"/>
            <w:vAlign w:val="bottom"/>
            <w:gridSpan w:val="26"/>
          </w:tcPr>
          <w:p>
            <w:pPr>
              <w:spacing w:after="0"/>
              <w:rPr>
                <w:sz w:val="17"/>
                <w:szCs w:val="17"/>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10.12</w:t>
            </w:r>
          </w:p>
        </w:tc>
        <w:tc>
          <w:tcPr>
            <w:tcW w:w="9420" w:type="dxa"/>
            <w:vAlign w:val="bottom"/>
            <w:tcBorders>
              <w:bottom w:val="single" w:sz="8" w:color="0000EE"/>
            </w:tcBorders>
            <w:gridSpan w:val="21"/>
          </w:tcPr>
          <w:p>
            <w:pPr>
              <w:spacing w:after="0"/>
              <w:rPr>
                <w:rFonts w:ascii="Arial" w:cs="Arial" w:eastAsia="Arial" w:hAnsi="Arial"/>
                <w:sz w:val="18"/>
                <w:szCs w:val="18"/>
                <w:color w:val="0000EE"/>
                <w:w w:val="90"/>
              </w:rPr>
            </w:pPr>
            <w:hyperlink r:id="rId113">
              <w:r>
                <w:rPr>
                  <w:rFonts w:ascii="Arial" w:cs="Arial" w:eastAsia="Arial" w:hAnsi="Arial"/>
                  <w:sz w:val="18"/>
                  <w:szCs w:val="18"/>
                  <w:color w:val="0000EE"/>
                  <w:w w:val="90"/>
                </w:rPr>
                <w:t>Fourteenth Amendment to a Lease Agreement between Domino’s Farms Office Park, L.L.C. and Domino’s Pizza LLC, dated as of</w:t>
              </w:r>
            </w:hyperlink>
          </w:p>
        </w:tc>
        <w:tc>
          <w:tcPr>
            <w:tcW w:w="46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8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May 31, 2019 (Incorporated by reference to Exhibit 10.1 to the June 2019 10-Q).</w:t>
              </w:r>
            </w:hyperlink>
          </w:p>
        </w:tc>
        <w:tc>
          <w:tcPr>
            <w:tcW w:w="4040" w:type="dxa"/>
            <w:vAlign w:val="bottom"/>
            <w:gridSpan w:val="15"/>
          </w:tcPr>
          <w:p>
            <w:pPr>
              <w:spacing w:after="0"/>
              <w:rPr>
                <w:sz w:val="17"/>
                <w:szCs w:val="17"/>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10.13*</w:t>
            </w:r>
          </w:p>
        </w:tc>
        <w:tc>
          <w:tcPr>
            <w:tcW w:w="9880" w:type="dxa"/>
            <w:vAlign w:val="bottom"/>
            <w:gridSpan w:val="28"/>
          </w:tcPr>
          <w:p>
            <w:pPr>
              <w:spacing w:after="0"/>
              <w:rPr>
                <w:rFonts w:ascii="Arial" w:cs="Arial" w:eastAsia="Arial" w:hAnsi="Arial"/>
                <w:sz w:val="18"/>
                <w:szCs w:val="18"/>
                <w:color w:val="0000EE"/>
                <w:w w:val="92"/>
              </w:rPr>
            </w:pPr>
            <w:hyperlink r:id="rId114">
              <w:r>
                <w:rPr>
                  <w:rFonts w:ascii="Arial" w:cs="Arial" w:eastAsia="Arial" w:hAnsi="Arial"/>
                  <w:sz w:val="18"/>
                  <w:szCs w:val="18"/>
                  <w:color w:val="0000EE"/>
                  <w:w w:val="92"/>
                </w:rPr>
                <w:t>Domino’s Pizza, Inc. Deferred Compensation Plan adopted effective January 1, 2005 (Incorporated by reference to Exhibit 10.9 to the</w:t>
              </w:r>
            </w:hyperlink>
          </w:p>
        </w:tc>
      </w:tr>
      <w:tr>
        <w:trPr>
          <w:trHeight w:val="196"/>
        </w:trPr>
        <w:tc>
          <w:tcPr>
            <w:tcW w:w="1040" w:type="dxa"/>
            <w:vAlign w:val="bottom"/>
          </w:tcPr>
          <w:p>
            <w:pPr>
              <w:spacing w:after="0"/>
              <w:rPr>
                <w:sz w:val="17"/>
                <w:szCs w:val="17"/>
                <w:color w:val="auto"/>
              </w:rPr>
            </w:pPr>
          </w:p>
        </w:tc>
        <w:tc>
          <w:tcPr>
            <w:tcW w:w="55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registrant’s annual report on Form 10-K for the year ended January 1, 2006).</w:t>
              </w:r>
            </w:hyperlink>
          </w:p>
        </w:tc>
        <w:tc>
          <w:tcPr>
            <w:tcW w:w="4120" w:type="dxa"/>
            <w:vAlign w:val="bottom"/>
            <w:tcBorders>
              <w:top w:val="single" w:sz="8" w:color="0000EE"/>
            </w:tcBorders>
            <w:gridSpan w:val="17"/>
          </w:tcPr>
          <w:p>
            <w:pPr>
              <w:spacing w:after="0"/>
              <w:rPr>
                <w:sz w:val="17"/>
                <w:szCs w:val="17"/>
                <w:color w:val="auto"/>
              </w:rPr>
            </w:pPr>
          </w:p>
        </w:tc>
        <w:tc>
          <w:tcPr>
            <w:tcW w:w="240" w:type="dxa"/>
            <w:vAlign w:val="bottom"/>
            <w:gridSpan w:val="3"/>
          </w:tcPr>
          <w:p>
            <w:pPr>
              <w:spacing w:after="0"/>
              <w:rPr>
                <w:sz w:val="17"/>
                <w:szCs w:val="17"/>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10.14*</w:t>
            </w:r>
          </w:p>
        </w:tc>
        <w:tc>
          <w:tcPr>
            <w:tcW w:w="9620" w:type="dxa"/>
            <w:vAlign w:val="bottom"/>
            <w:tcBorders>
              <w:bottom w:val="single" w:sz="8" w:color="0000EE"/>
            </w:tcBorders>
            <w:gridSpan w:val="24"/>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First Amendment to the Domino’s Pizza Deferred Compensation Plan effective January 1, 2007 (Incorporated by reference to Exhibit</w:t>
              </w:r>
            </w:hyperlink>
          </w:p>
        </w:tc>
        <w:tc>
          <w:tcPr>
            <w:tcW w:w="26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6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9</w:t>
              </w:r>
              <w:r>
                <w:rPr>
                  <w:rFonts w:ascii="Arial" w:cs="Arial" w:eastAsia="Arial" w:hAnsi="Arial"/>
                  <w:sz w:val="18"/>
                  <w:szCs w:val="18"/>
                  <w:color w:val="0000EE"/>
                  <w:w w:val="90"/>
                </w:rPr>
                <w:t xml:space="preserve"> to the registrant’s annual report on Form 10-K for the year ended December 31, 2006).</w:t>
              </w:r>
            </w:hyperlink>
          </w:p>
        </w:tc>
        <w:tc>
          <w:tcPr>
            <w:tcW w:w="3280" w:type="dxa"/>
            <w:vAlign w:val="bottom"/>
            <w:gridSpan w:val="14"/>
          </w:tcPr>
          <w:p>
            <w:pPr>
              <w:spacing w:after="0"/>
              <w:rPr>
                <w:sz w:val="17"/>
                <w:szCs w:val="17"/>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10.15*</w:t>
            </w:r>
          </w:p>
        </w:tc>
        <w:tc>
          <w:tcPr>
            <w:tcW w:w="9380" w:type="dxa"/>
            <w:vAlign w:val="bottom"/>
            <w:tcBorders>
              <w:bottom w:val="single" w:sz="8" w:color="0000EE"/>
            </w:tcBorders>
            <w:gridSpan w:val="20"/>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Second Amendment to the Domino’s Pizza Deferred Compensation Plan effective February 8, 2013 (Incorporated by reference to</w:t>
              </w:r>
            </w:hyperlink>
          </w:p>
        </w:tc>
        <w:tc>
          <w:tcPr>
            <w:tcW w:w="500" w:type="dxa"/>
            <w:vAlign w:val="bottom"/>
            <w:gridSpan w:val="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880" w:type="dxa"/>
            <w:vAlign w:val="bottom"/>
            <w:gridSpan w:val="28"/>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Exhibit 10.5 to the 2012 10-K).</w:t>
              </w:r>
            </w:hyperlink>
          </w:p>
        </w:tc>
      </w:tr>
      <w:tr>
        <w:trPr>
          <w:trHeight w:val="20"/>
        </w:trPr>
        <w:tc>
          <w:tcPr>
            <w:tcW w:w="1040" w:type="dxa"/>
            <w:vAlign w:val="bottom"/>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46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10.16*</w:t>
            </w:r>
          </w:p>
        </w:tc>
        <w:tc>
          <w:tcPr>
            <w:tcW w:w="9880" w:type="dxa"/>
            <w:vAlign w:val="bottom"/>
            <w:gridSpan w:val="28"/>
          </w:tcPr>
          <w:p>
            <w:pPr>
              <w:spacing w:after="0"/>
              <w:rPr>
                <w:rFonts w:ascii="Arial" w:cs="Arial" w:eastAsia="Arial" w:hAnsi="Arial"/>
                <w:sz w:val="18"/>
                <w:szCs w:val="18"/>
                <w:color w:val="0000EE"/>
                <w:w w:val="92"/>
              </w:rPr>
            </w:pPr>
            <w:hyperlink r:id="rId117">
              <w:r>
                <w:rPr>
                  <w:rFonts w:ascii="Arial" w:cs="Arial" w:eastAsia="Arial" w:hAnsi="Arial"/>
                  <w:sz w:val="18"/>
                  <w:szCs w:val="18"/>
                  <w:color w:val="0000EE"/>
                  <w:w w:val="92"/>
                </w:rPr>
                <w:t>Amended Domino’s Pizza, Inc. 2004 Equity Incentive Plan (Incorporated by reference to Exhibit 10.1 to the registrant’s quarterly report</w:t>
              </w:r>
            </w:hyperlink>
          </w:p>
        </w:tc>
      </w:tr>
      <w:tr>
        <w:trPr>
          <w:trHeight w:val="196"/>
        </w:trPr>
        <w:tc>
          <w:tcPr>
            <w:tcW w:w="1040" w:type="dxa"/>
            <w:vAlign w:val="bottom"/>
          </w:tcPr>
          <w:p>
            <w:pPr>
              <w:spacing w:after="0"/>
              <w:rPr>
                <w:sz w:val="17"/>
                <w:szCs w:val="17"/>
                <w:color w:val="auto"/>
              </w:rPr>
            </w:pPr>
          </w:p>
        </w:tc>
        <w:tc>
          <w:tcPr>
            <w:tcW w:w="98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on Form 10-Q for the quarter ended March 22, 2009 (the “March 2009 10-Q”)).</w:t>
              </w:r>
            </w:hyperlink>
          </w:p>
        </w:tc>
        <w:tc>
          <w:tcPr>
            <w:tcW w:w="80" w:type="dxa"/>
            <w:vAlign w:val="bottom"/>
            <w:gridSpan w:val="2"/>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160" w:type="dxa"/>
            <w:vAlign w:val="bottom"/>
            <w:gridSpan w:val="5"/>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346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10.17*</w:t>
            </w:r>
          </w:p>
        </w:tc>
        <w:tc>
          <w:tcPr>
            <w:tcW w:w="9480" w:type="dxa"/>
            <w:vAlign w:val="bottom"/>
            <w:tcBorders>
              <w:bottom w:val="single" w:sz="8" w:color="0000EE"/>
            </w:tcBorders>
            <w:gridSpan w:val="22"/>
          </w:tcPr>
          <w:p>
            <w:pPr>
              <w:spacing w:after="0"/>
              <w:rPr>
                <w:rFonts w:ascii="Arial" w:cs="Arial" w:eastAsia="Arial" w:hAnsi="Arial"/>
                <w:sz w:val="18"/>
                <w:szCs w:val="18"/>
                <w:color w:val="0000EE"/>
                <w:w w:val="91"/>
              </w:rPr>
            </w:pPr>
            <w:hyperlink r:id="rId118">
              <w:r>
                <w:rPr>
                  <w:rFonts w:ascii="Arial" w:cs="Arial" w:eastAsia="Arial" w:hAnsi="Arial"/>
                  <w:sz w:val="18"/>
                  <w:szCs w:val="18"/>
                  <w:color w:val="0000EE"/>
                  <w:w w:val="91"/>
                </w:rPr>
                <w:t>Form of Employee Stock Option Agreement under the Amended Domino’s Pizza, Inc. 2004 Equity Incentive Plan (Incorporated by</w:t>
              </w:r>
            </w:hyperlink>
          </w:p>
        </w:tc>
        <w:tc>
          <w:tcPr>
            <w:tcW w:w="40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1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reference to Exhibit 10.8 to the 2012 10-K).</w:t>
              </w:r>
            </w:hyperlink>
          </w:p>
        </w:tc>
        <w:tc>
          <w:tcPr>
            <w:tcW w:w="6720" w:type="dxa"/>
            <w:vAlign w:val="bottom"/>
            <w:gridSpan w:val="23"/>
          </w:tcPr>
          <w:p>
            <w:pPr>
              <w:spacing w:after="0"/>
              <w:rPr>
                <w:sz w:val="17"/>
                <w:szCs w:val="17"/>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10.18*</w:t>
            </w:r>
          </w:p>
        </w:tc>
        <w:tc>
          <w:tcPr>
            <w:tcW w:w="9880" w:type="dxa"/>
            <w:vAlign w:val="bottom"/>
            <w:gridSpan w:val="28"/>
          </w:tcPr>
          <w:p>
            <w:pPr>
              <w:spacing w:after="0"/>
              <w:rPr>
                <w:rFonts w:ascii="Arial" w:cs="Arial" w:eastAsia="Arial" w:hAnsi="Arial"/>
                <w:sz w:val="18"/>
                <w:szCs w:val="18"/>
                <w:color w:val="0000EE"/>
                <w:w w:val="97"/>
              </w:rPr>
            </w:pPr>
            <w:hyperlink r:id="rId119">
              <w:r>
                <w:rPr>
                  <w:rFonts w:ascii="Arial" w:cs="Arial" w:eastAsia="Arial" w:hAnsi="Arial"/>
                  <w:sz w:val="18"/>
                  <w:szCs w:val="18"/>
                  <w:color w:val="0000EE"/>
                  <w:w w:val="97"/>
                </w:rPr>
                <w:t>Form of 2013 Special Employee Stock Option Agreement under the Amended Domino’s Pizza, Inc. 2004 Equity Incentive Plan</w:t>
              </w:r>
            </w:hyperlink>
          </w:p>
        </w:tc>
      </w:tr>
      <w:tr>
        <w:trPr>
          <w:trHeight w:val="196"/>
        </w:trPr>
        <w:tc>
          <w:tcPr>
            <w:tcW w:w="1040" w:type="dxa"/>
            <w:vAlign w:val="bottom"/>
          </w:tcPr>
          <w:p>
            <w:pPr>
              <w:spacing w:after="0"/>
              <w:rPr>
                <w:sz w:val="17"/>
                <w:szCs w:val="17"/>
                <w:color w:val="auto"/>
              </w:rPr>
            </w:pPr>
          </w:p>
        </w:tc>
        <w:tc>
          <w:tcPr>
            <w:tcW w:w="92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(Incorporated by reference to Exhibit 10.9 to the 2012 10-K).</w:t>
              </w:r>
            </w:hyperlink>
          </w:p>
        </w:tc>
        <w:tc>
          <w:tcPr>
            <w:tcW w:w="680" w:type="dxa"/>
            <w:vAlign w:val="bottom"/>
            <w:gridSpan w:val="9"/>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680" w:type="dxa"/>
            <w:vAlign w:val="bottom"/>
            <w:gridSpan w:val="6"/>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980" w:type="dxa"/>
            <w:vAlign w:val="bottom"/>
            <w:gridSpan w:val="13"/>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10.19*</w:t>
            </w:r>
          </w:p>
        </w:tc>
        <w:tc>
          <w:tcPr>
            <w:tcW w:w="9880" w:type="dxa"/>
            <w:vAlign w:val="bottom"/>
            <w:gridSpan w:val="28"/>
          </w:tcPr>
          <w:p>
            <w:pPr>
              <w:spacing w:after="0"/>
              <w:rPr>
                <w:rFonts w:ascii="Arial" w:cs="Arial" w:eastAsia="Arial" w:hAnsi="Arial"/>
                <w:sz w:val="18"/>
                <w:szCs w:val="18"/>
                <w:color w:val="0000EE"/>
                <w:w w:val="97"/>
              </w:rPr>
            </w:pPr>
            <w:hyperlink r:id="rId120">
              <w:r>
                <w:rPr>
                  <w:rFonts w:ascii="Arial" w:cs="Arial" w:eastAsia="Arial" w:hAnsi="Arial"/>
                  <w:sz w:val="18"/>
                  <w:szCs w:val="18"/>
                  <w:color w:val="0000EE"/>
                  <w:w w:val="97"/>
                </w:rPr>
                <w:t>Form of Director Stock Option Agreement under the Amended Domino’s Pizza, Inc. 2004 Equity Incentive Plan (Incorporated by</w:t>
              </w:r>
            </w:hyperlink>
          </w:p>
        </w:tc>
      </w:tr>
      <w:tr>
        <w:trPr>
          <w:trHeight w:val="196"/>
        </w:trPr>
        <w:tc>
          <w:tcPr>
            <w:tcW w:w="104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reference to Exhibit 10.3 to the March 2009 10-Q).</w:t>
              </w:r>
            </w:hyperlink>
          </w:p>
        </w:tc>
        <w:tc>
          <w:tcPr>
            <w:tcW w:w="5700" w:type="dxa"/>
            <w:vAlign w:val="bottom"/>
            <w:tcBorders>
              <w:top w:val="single" w:sz="8" w:color="0000EE"/>
            </w:tcBorders>
            <w:gridSpan w:val="14"/>
          </w:tcPr>
          <w:p>
            <w:pPr>
              <w:spacing w:after="0"/>
              <w:rPr>
                <w:sz w:val="17"/>
                <w:szCs w:val="17"/>
                <w:color w:val="auto"/>
              </w:rPr>
            </w:pPr>
          </w:p>
        </w:tc>
        <w:tc>
          <w:tcPr>
            <w:tcW w:w="500" w:type="dxa"/>
            <w:vAlign w:val="bottom"/>
            <w:gridSpan w:val="8"/>
          </w:tcPr>
          <w:p>
            <w:pPr>
              <w:spacing w:after="0"/>
              <w:rPr>
                <w:sz w:val="17"/>
                <w:szCs w:val="17"/>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8"/>
                <w:szCs w:val="18"/>
                <w:color w:val="auto"/>
              </w:rPr>
              <w:t>10.20*</w:t>
            </w:r>
          </w:p>
        </w:tc>
        <w:tc>
          <w:tcPr>
            <w:tcW w:w="9880" w:type="dxa"/>
            <w:vAlign w:val="bottom"/>
            <w:gridSpan w:val="28"/>
          </w:tcPr>
          <w:p>
            <w:pPr>
              <w:spacing w:after="0"/>
              <w:rPr>
                <w:rFonts w:ascii="Arial" w:cs="Arial" w:eastAsia="Arial" w:hAnsi="Arial"/>
                <w:sz w:val="18"/>
                <w:szCs w:val="18"/>
                <w:u w:val="single" w:color="auto"/>
                <w:color w:val="0000EE"/>
                <w:w w:val="95"/>
              </w:rPr>
            </w:pPr>
            <w:hyperlink r:id="rId121">
              <w:r>
                <w:rPr>
                  <w:rFonts w:ascii="Arial" w:cs="Arial" w:eastAsia="Arial" w:hAnsi="Arial"/>
                  <w:sz w:val="18"/>
                  <w:szCs w:val="18"/>
                  <w:u w:val="single" w:color="auto"/>
                  <w:color w:val="0000EE"/>
                  <w:w w:val="95"/>
                </w:rPr>
                <w:t>Form of Amendment to Existing Director Stock Option Grants (Incorporated by reference to Exhibit 10.5 to the March 2009 10-Q).</w:t>
              </w:r>
            </w:hyperlink>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10.21*</w:t>
            </w:r>
          </w:p>
        </w:tc>
        <w:tc>
          <w:tcPr>
            <w:tcW w:w="9880" w:type="dxa"/>
            <w:vAlign w:val="bottom"/>
            <w:gridSpan w:val="28"/>
          </w:tcPr>
          <w:p>
            <w:pPr>
              <w:spacing w:after="0"/>
              <w:rPr>
                <w:rFonts w:ascii="Arial" w:cs="Arial" w:eastAsia="Arial" w:hAnsi="Arial"/>
                <w:sz w:val="18"/>
                <w:szCs w:val="18"/>
                <w:u w:val="single" w:color="auto"/>
                <w:color w:val="0000EE"/>
              </w:rPr>
            </w:pPr>
            <w:hyperlink r:id="rId122">
              <w:r>
                <w:rPr>
                  <w:rFonts w:ascii="Arial" w:cs="Arial" w:eastAsia="Arial" w:hAnsi="Arial"/>
                  <w:sz w:val="18"/>
                  <w:szCs w:val="18"/>
                  <w:u w:val="single" w:color="auto"/>
                  <w:color w:val="0000EE"/>
                </w:rPr>
                <w:t>Form of Performance-Based Restricted Stock Agreement (Incorporated by reference to Exhibit 10.12 to the 2012 10-K).</w:t>
              </w:r>
            </w:hyperlink>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10.22*</w:t>
            </w:r>
          </w:p>
        </w:tc>
        <w:tc>
          <w:tcPr>
            <w:tcW w:w="9880" w:type="dxa"/>
            <w:vAlign w:val="bottom"/>
            <w:gridSpan w:val="28"/>
          </w:tcPr>
          <w:p>
            <w:pPr>
              <w:spacing w:after="0"/>
              <w:rPr>
                <w:rFonts w:ascii="Arial" w:cs="Arial" w:eastAsia="Arial" w:hAnsi="Arial"/>
                <w:sz w:val="18"/>
                <w:szCs w:val="18"/>
                <w:u w:val="single" w:color="auto"/>
                <w:color w:val="0000EE"/>
                <w:w w:val="92"/>
              </w:rPr>
            </w:pPr>
            <w:hyperlink r:id="rId123">
              <w:r>
                <w:rPr>
                  <w:rFonts w:ascii="Arial" w:cs="Arial" w:eastAsia="Arial" w:hAnsi="Arial"/>
                  <w:sz w:val="18"/>
                  <w:szCs w:val="18"/>
                  <w:u w:val="single" w:color="auto"/>
                  <w:color w:val="0000EE"/>
                  <w:w w:val="92"/>
                </w:rPr>
                <w:t>Form of 2013 Special Performance-Based Restricted Stock Agreement (Incorporated by reference to Exhibit 10.13 to the 2012 10-K).</w:t>
              </w:r>
            </w:hyperlink>
          </w:p>
        </w:tc>
      </w:tr>
      <w:tr>
        <w:trPr>
          <w:trHeight w:val="364"/>
        </w:trPr>
        <w:tc>
          <w:tcPr>
            <w:tcW w:w="1040" w:type="dxa"/>
            <w:vAlign w:val="bottom"/>
          </w:tcPr>
          <w:p>
            <w:pPr>
              <w:spacing w:after="0"/>
              <w:rPr>
                <w:sz w:val="24"/>
                <w:szCs w:val="24"/>
                <w:color w:val="auto"/>
              </w:rPr>
            </w:pPr>
          </w:p>
        </w:tc>
        <w:tc>
          <w:tcPr>
            <w:tcW w:w="5520" w:type="dxa"/>
            <w:vAlign w:val="bottom"/>
            <w:gridSpan w:val="8"/>
          </w:tcPr>
          <w:p>
            <w:pPr>
              <w:ind w:left="430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86"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0"/>
        <w:spacing w:after="0"/>
        <w:tabs>
          <w:tab w:leader="none" w:pos="1220" w:val="left"/>
        </w:tabs>
        <w:rPr>
          <w:rFonts w:ascii="Arial" w:cs="Arial" w:eastAsia="Arial" w:hAnsi="Arial"/>
          <w:sz w:val="16"/>
          <w:szCs w:val="16"/>
          <w:u w:val="single" w:color="auto"/>
          <w:color w:val="0000EE"/>
        </w:rPr>
      </w:pPr>
      <w:r>
        <w:rPr>
          <w:rFonts w:ascii="Arial" w:cs="Arial" w:eastAsia="Arial" w:hAnsi="Arial"/>
          <w:sz w:val="18"/>
          <w:szCs w:val="18"/>
          <w:color w:val="auto"/>
        </w:rPr>
        <w:t>10.23*</w:t>
      </w:r>
      <w:r>
        <w:rPr>
          <w:sz w:val="20"/>
          <w:szCs w:val="20"/>
          <w:color w:val="auto"/>
        </w:rPr>
        <w:tab/>
      </w:r>
      <w:hyperlink r:id="rId125">
        <w:r>
          <w:rPr>
            <w:rFonts w:ascii="Arial" w:cs="Arial" w:eastAsia="Arial" w:hAnsi="Arial"/>
            <w:sz w:val="16"/>
            <w:szCs w:val="16"/>
            <w:u w:val="single" w:color="auto"/>
            <w:color w:val="0000EE"/>
          </w:rPr>
          <w:t>Form of Performance-Based Restricted Stock Unit Award Agreement (Incorporated by reference to Exhibit 10.14 to the 2012 10-K).</w:t>
        </w:r>
      </w:hyperlink>
    </w:p>
    <w:p>
      <w:pPr>
        <w:spacing w:after="0" w:line="117" w:lineRule="exact"/>
        <w:rPr>
          <w:sz w:val="20"/>
          <w:szCs w:val="20"/>
          <w:color w:val="auto"/>
        </w:rPr>
      </w:pPr>
    </w:p>
    <w:p>
      <w:pPr>
        <w:ind w:left="200"/>
        <w:spacing w:after="0"/>
        <w:tabs>
          <w:tab w:leader="none" w:pos="1220" w:val="left"/>
        </w:tabs>
        <w:rPr>
          <w:rFonts w:ascii="Arial" w:cs="Arial" w:eastAsia="Arial" w:hAnsi="Arial"/>
          <w:sz w:val="16"/>
          <w:szCs w:val="16"/>
          <w:u w:val="single" w:color="auto"/>
          <w:color w:val="0000EE"/>
        </w:rPr>
      </w:pPr>
      <w:r>
        <w:rPr>
          <w:rFonts w:ascii="Arial" w:cs="Arial" w:eastAsia="Arial" w:hAnsi="Arial"/>
          <w:sz w:val="18"/>
          <w:szCs w:val="18"/>
          <w:color w:val="auto"/>
        </w:rPr>
        <w:t>10.24*</w:t>
      </w:r>
      <w:r>
        <w:rPr>
          <w:sz w:val="20"/>
          <w:szCs w:val="20"/>
          <w:color w:val="auto"/>
        </w:rPr>
        <w:tab/>
      </w:r>
      <w:hyperlink r:id="rId126">
        <w:r>
          <w:rPr>
            <w:rFonts w:ascii="Arial" w:cs="Arial" w:eastAsia="Arial" w:hAnsi="Arial"/>
            <w:sz w:val="16"/>
            <w:szCs w:val="16"/>
            <w:u w:val="single" w:color="auto"/>
            <w:color w:val="0000EE"/>
          </w:rPr>
          <w:t>Form of 2013 Special Performance-Based Restricted Stock Unit Award Agreement (Incorporated by reference to Exhibit 10.15 to the</w:t>
        </w:r>
      </w:hyperlink>
    </w:p>
    <w:p>
      <w:pPr>
        <w:spacing w:after="0" w:line="23" w:lineRule="exact"/>
        <w:rPr>
          <w:sz w:val="20"/>
          <w:szCs w:val="20"/>
          <w:color w:val="auto"/>
        </w:rPr>
      </w:pPr>
    </w:p>
    <w:p>
      <w:pPr>
        <w:ind w:left="1240"/>
        <w:spacing w:after="0"/>
        <w:rPr>
          <w:rFonts w:ascii="Arial" w:cs="Arial" w:eastAsia="Arial" w:hAnsi="Arial"/>
          <w:sz w:val="18"/>
          <w:szCs w:val="18"/>
          <w:u w:val="single" w:color="auto"/>
          <w:color w:val="0000EE"/>
        </w:rPr>
      </w:pPr>
      <w:hyperlink r:id="rId126">
        <w:r>
          <w:rPr>
            <w:rFonts w:ascii="Arial" w:cs="Arial" w:eastAsia="Arial" w:hAnsi="Arial"/>
            <w:sz w:val="18"/>
            <w:szCs w:val="18"/>
            <w:u w:val="single" w:color="auto"/>
            <w:color w:val="0000EE"/>
          </w:rPr>
          <w:t>2012 10-K).</w:t>
        </w:r>
      </w:hyperlink>
    </w:p>
    <w:p>
      <w:pPr>
        <w:spacing w:after="0" w:line="103" w:lineRule="exact"/>
        <w:rPr>
          <w:sz w:val="20"/>
          <w:szCs w:val="20"/>
          <w:color w:val="auto"/>
        </w:rPr>
      </w:pPr>
    </w:p>
    <w:p>
      <w:pPr>
        <w:ind w:left="1240" w:right="500" w:hanging="1029"/>
        <w:spacing w:after="0" w:line="277" w:lineRule="auto"/>
        <w:tabs>
          <w:tab w:leader="none" w:pos="122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127">
        <w:r>
          <w:rPr>
            <w:rFonts w:ascii="Arial" w:cs="Arial" w:eastAsia="Arial" w:hAnsi="Arial"/>
            <w:sz w:val="18"/>
            <w:szCs w:val="18"/>
            <w:u w:val="single" w:color="auto"/>
            <w:color w:val="0000EE"/>
          </w:rPr>
          <w:t>Form of Domino’s Pizza, Inc. 2004 Equity Incentive Plan Restricted Stock Agreement for Directors (Incorporated by reference to</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Exhibit 10.19 to the registrant’s annual report on Form 10-K for the year ended January 3, 2010).</w:t>
        </w:r>
      </w:hyperlink>
    </w:p>
    <w:p>
      <w:pPr>
        <w:spacing w:after="0" w:line="62" w:lineRule="exact"/>
        <w:rPr>
          <w:sz w:val="20"/>
          <w:szCs w:val="20"/>
          <w:color w:val="auto"/>
        </w:rPr>
      </w:pPr>
    </w:p>
    <w:p>
      <w:pPr>
        <w:ind w:left="1240" w:right="420" w:hanging="1029"/>
        <w:spacing w:after="0" w:line="277" w:lineRule="auto"/>
        <w:tabs>
          <w:tab w:leader="none" w:pos="1220" w:val="left"/>
        </w:tabs>
        <w:rPr>
          <w:rFonts w:ascii="Arial" w:cs="Arial" w:eastAsia="Arial" w:hAnsi="Arial"/>
          <w:sz w:val="18"/>
          <w:szCs w:val="18"/>
          <w:u w:val="single" w:color="auto"/>
          <w:color w:val="0000EE"/>
        </w:rPr>
      </w:pPr>
      <w:r>
        <w:rPr>
          <w:rFonts w:ascii="Arial" w:cs="Arial" w:eastAsia="Arial" w:hAnsi="Arial"/>
          <w:sz w:val="18"/>
          <w:szCs w:val="18"/>
          <w:color w:val="auto"/>
        </w:rPr>
        <w:t>10.26*</w:t>
      </w:r>
      <w:r>
        <w:rPr>
          <w:sz w:val="20"/>
          <w:szCs w:val="20"/>
          <w:color w:val="auto"/>
        </w:rPr>
        <w:tab/>
      </w:r>
      <w:hyperlink r:id="rId128">
        <w:r>
          <w:rPr>
            <w:rFonts w:ascii="Arial" w:cs="Arial" w:eastAsia="Arial" w:hAnsi="Arial"/>
            <w:sz w:val="18"/>
            <w:szCs w:val="18"/>
            <w:u w:val="single" w:color="auto"/>
            <w:color w:val="0000EE"/>
          </w:rPr>
          <w:t>Amended and Restated Domino’s Pizza Senior Executive Annual Incentive Plan (Incorporated by reference to Exhibit 10.20 to the</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registrant’s annual report on Form 10-K for the year ended January 2, 2011).</w:t>
        </w:r>
      </w:hyperlink>
    </w:p>
    <w:p>
      <w:pPr>
        <w:spacing w:after="0" w:line="62" w:lineRule="exact"/>
        <w:rPr>
          <w:sz w:val="20"/>
          <w:szCs w:val="20"/>
          <w:color w:val="auto"/>
        </w:rPr>
      </w:pPr>
    </w:p>
    <w:p>
      <w:pPr>
        <w:ind w:left="1240" w:right="40" w:hanging="1029"/>
        <w:spacing w:after="0" w:line="277" w:lineRule="auto"/>
        <w:tabs>
          <w:tab w:leader="none" w:pos="1220" w:val="left"/>
        </w:tabs>
        <w:rPr>
          <w:rFonts w:ascii="Arial" w:cs="Arial" w:eastAsia="Arial" w:hAnsi="Arial"/>
          <w:sz w:val="18"/>
          <w:szCs w:val="18"/>
          <w:u w:val="single" w:color="auto"/>
          <w:color w:val="0000EE"/>
        </w:rPr>
      </w:pPr>
      <w:r>
        <w:rPr>
          <w:rFonts w:ascii="Arial" w:cs="Arial" w:eastAsia="Arial" w:hAnsi="Arial"/>
          <w:sz w:val="18"/>
          <w:szCs w:val="18"/>
          <w:color w:val="auto"/>
        </w:rPr>
        <w:t>10.27*</w:t>
      </w:r>
      <w:r>
        <w:rPr>
          <w:sz w:val="20"/>
          <w:szCs w:val="20"/>
          <w:color w:val="auto"/>
        </w:rPr>
        <w:tab/>
      </w:r>
      <w:hyperlink r:id="rId129">
        <w:r>
          <w:rPr>
            <w:rFonts w:ascii="Arial" w:cs="Arial" w:eastAsia="Arial" w:hAnsi="Arial"/>
            <w:sz w:val="18"/>
            <w:szCs w:val="18"/>
            <w:u w:val="single" w:color="auto"/>
            <w:color w:val="0000EE"/>
          </w:rPr>
          <w:t>Amended and Restated Domino’s Pizza, Inc. Employee Stock Payroll Deduction Plan (Incorporated by reference to Exhibit 10.18 to the</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registrant’s annual report on Form 10-K for the year ended December 29, 2013).</w:t>
        </w:r>
      </w:hyperlink>
    </w:p>
    <w:p>
      <w:pPr>
        <w:spacing w:after="0" w:line="62" w:lineRule="exact"/>
        <w:rPr>
          <w:sz w:val="20"/>
          <w:szCs w:val="20"/>
          <w:color w:val="auto"/>
        </w:rPr>
      </w:pPr>
    </w:p>
    <w:p>
      <w:pPr>
        <w:ind w:left="200"/>
        <w:spacing w:after="0"/>
        <w:tabs>
          <w:tab w:leader="none" w:pos="1220" w:val="left"/>
        </w:tabs>
        <w:rPr>
          <w:rFonts w:ascii="Arial" w:cs="Arial" w:eastAsia="Arial" w:hAnsi="Arial"/>
          <w:sz w:val="16"/>
          <w:szCs w:val="16"/>
          <w:u w:val="single" w:color="auto"/>
          <w:color w:val="0000EE"/>
        </w:rPr>
      </w:pPr>
      <w:r>
        <w:rPr>
          <w:rFonts w:ascii="Arial" w:cs="Arial" w:eastAsia="Arial" w:hAnsi="Arial"/>
          <w:sz w:val="18"/>
          <w:szCs w:val="18"/>
          <w:color w:val="auto"/>
        </w:rPr>
        <w:t>10.28*</w:t>
      </w:r>
      <w:r>
        <w:rPr>
          <w:sz w:val="20"/>
          <w:szCs w:val="20"/>
          <w:color w:val="auto"/>
        </w:rPr>
        <w:tab/>
      </w:r>
      <w:hyperlink r:id="rId130">
        <w:r>
          <w:rPr>
            <w:rFonts w:ascii="Arial" w:cs="Arial" w:eastAsia="Arial" w:hAnsi="Arial"/>
            <w:sz w:val="16"/>
            <w:szCs w:val="16"/>
            <w:u w:val="single" w:color="auto"/>
            <w:color w:val="0000EE"/>
          </w:rPr>
          <w:t>First Amendment to the Amended and Restated Domino’s Pizza, Inc. Employee Stock Payroll Deduction Plan Dated as of January 1,</w:t>
        </w:r>
      </w:hyperlink>
    </w:p>
    <w:p>
      <w:pPr>
        <w:spacing w:after="0" w:line="23" w:lineRule="exact"/>
        <w:rPr>
          <w:sz w:val="20"/>
          <w:szCs w:val="20"/>
          <w:color w:val="auto"/>
        </w:rPr>
      </w:pPr>
    </w:p>
    <w:p>
      <w:pPr>
        <w:ind w:left="1240"/>
        <w:spacing w:after="0"/>
        <w:rPr>
          <w:rFonts w:ascii="Arial" w:cs="Arial" w:eastAsia="Arial" w:hAnsi="Arial"/>
          <w:sz w:val="16"/>
          <w:szCs w:val="16"/>
          <w:u w:val="single" w:color="auto"/>
          <w:color w:val="0000EE"/>
        </w:rPr>
      </w:pPr>
      <w:hyperlink r:id="rId130">
        <w:r>
          <w:rPr>
            <w:rFonts w:ascii="Arial" w:cs="Arial" w:eastAsia="Arial" w:hAnsi="Arial"/>
            <w:sz w:val="16"/>
            <w:szCs w:val="16"/>
            <w:u w:val="single" w:color="auto"/>
            <w:color w:val="0000EE"/>
          </w:rPr>
          <w:t>2019 (Incorporated by reference to Exhibit 10.1 to the registrant’s quarterly report on Form 10-Q for the quarter ended March 24, 2019).</w:t>
        </w:r>
      </w:hyperlink>
    </w:p>
    <w:p>
      <w:pPr>
        <w:spacing w:after="0" w:line="126" w:lineRule="exact"/>
        <w:rPr>
          <w:sz w:val="20"/>
          <w:szCs w:val="20"/>
          <w:color w:val="auto"/>
        </w:rPr>
      </w:pPr>
    </w:p>
    <w:p>
      <w:pPr>
        <w:ind w:left="200"/>
        <w:spacing w:after="0"/>
        <w:tabs>
          <w:tab w:leader="none" w:pos="1220" w:val="left"/>
        </w:tabs>
        <w:rPr>
          <w:rFonts w:ascii="Arial" w:cs="Arial" w:eastAsia="Arial" w:hAnsi="Arial"/>
          <w:sz w:val="16"/>
          <w:szCs w:val="16"/>
          <w:u w:val="single" w:color="auto"/>
          <w:color w:val="0000EE"/>
        </w:rPr>
      </w:pPr>
      <w:r>
        <w:rPr>
          <w:rFonts w:ascii="Arial" w:cs="Arial" w:eastAsia="Arial" w:hAnsi="Arial"/>
          <w:sz w:val="18"/>
          <w:szCs w:val="18"/>
          <w:color w:val="auto"/>
        </w:rPr>
        <w:t>10.29*</w:t>
      </w:r>
      <w:r>
        <w:rPr>
          <w:sz w:val="20"/>
          <w:szCs w:val="20"/>
          <w:color w:val="auto"/>
        </w:rPr>
        <w:tab/>
      </w:r>
      <w:hyperlink r:id="rId131">
        <w:r>
          <w:rPr>
            <w:rFonts w:ascii="Arial" w:cs="Arial" w:eastAsia="Arial" w:hAnsi="Arial"/>
            <w:sz w:val="16"/>
            <w:szCs w:val="16"/>
            <w:u w:val="single" w:color="auto"/>
            <w:color w:val="0000EE"/>
          </w:rPr>
          <w:t>Form of Domino’s Pizza, Inc. Dividend Reinvestment &amp; Direct Stock Purchase and Sale Plan (Incorporated by reference to Exhibit</w:t>
        </w:r>
      </w:hyperlink>
    </w:p>
    <w:p>
      <w:pPr>
        <w:spacing w:after="0" w:line="23" w:lineRule="exact"/>
        <w:rPr>
          <w:sz w:val="20"/>
          <w:szCs w:val="20"/>
          <w:color w:val="auto"/>
        </w:rPr>
      </w:pPr>
    </w:p>
    <w:p>
      <w:pPr>
        <w:ind w:left="1240"/>
        <w:spacing w:after="0"/>
        <w:rPr>
          <w:rFonts w:ascii="Arial" w:cs="Arial" w:eastAsia="Arial" w:hAnsi="Arial"/>
          <w:sz w:val="18"/>
          <w:szCs w:val="18"/>
          <w:u w:val="single" w:color="auto"/>
          <w:color w:val="0000EE"/>
        </w:rPr>
      </w:pPr>
      <w:hyperlink r:id="rId131">
        <w:r>
          <w:rPr>
            <w:rFonts w:ascii="Arial" w:cs="Arial" w:eastAsia="Arial" w:hAnsi="Arial"/>
            <w:sz w:val="18"/>
            <w:szCs w:val="18"/>
            <w:u w:val="single" w:color="auto"/>
            <w:color w:val="0000EE"/>
          </w:rPr>
          <w:t>10.32 to the S-1).</w:t>
        </w:r>
      </w:hyperlink>
    </w:p>
    <w:p>
      <w:pPr>
        <w:spacing w:after="0" w:line="103" w:lineRule="exact"/>
        <w:rPr>
          <w:sz w:val="20"/>
          <w:szCs w:val="20"/>
          <w:color w:val="auto"/>
        </w:rPr>
      </w:pPr>
    </w:p>
    <w:p>
      <w:pPr>
        <w:ind w:left="1240" w:right="20" w:hanging="1029"/>
        <w:spacing w:after="0" w:line="277" w:lineRule="auto"/>
        <w:tabs>
          <w:tab w:leader="none" w:pos="1220" w:val="left"/>
        </w:tabs>
        <w:rPr>
          <w:rFonts w:ascii="Arial" w:cs="Arial" w:eastAsia="Arial" w:hAnsi="Arial"/>
          <w:sz w:val="18"/>
          <w:szCs w:val="18"/>
          <w:u w:val="single" w:color="auto"/>
          <w:color w:val="0000EE"/>
        </w:rPr>
      </w:pPr>
      <w:r>
        <w:rPr>
          <w:rFonts w:ascii="Arial" w:cs="Arial" w:eastAsia="Arial" w:hAnsi="Arial"/>
          <w:sz w:val="18"/>
          <w:szCs w:val="18"/>
          <w:color w:val="auto"/>
        </w:rPr>
        <w:t>10.30*</w:t>
      </w:r>
      <w:r>
        <w:rPr>
          <w:sz w:val="20"/>
          <w:szCs w:val="20"/>
          <w:color w:val="auto"/>
        </w:rPr>
        <w:tab/>
      </w:r>
      <w:hyperlink r:id="rId132">
        <w:r>
          <w:rPr>
            <w:rFonts w:ascii="Arial" w:cs="Arial" w:eastAsia="Arial" w:hAnsi="Arial"/>
            <w:sz w:val="18"/>
            <w:szCs w:val="18"/>
            <w:u w:val="single" w:color="auto"/>
            <w:color w:val="0000EE"/>
          </w:rPr>
          <w:t>Form of 2018 Restricted Stock Agreement (Incorporated by reference to Exhibit 10.4 to the registrant’s current report on Form 8-K filed</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on January 11, 2018 (the “January 2018 8-K”)).</w:t>
        </w:r>
      </w:hyperlink>
    </w:p>
    <w:p>
      <w:pPr>
        <w:spacing w:after="0" w:line="62" w:lineRule="exact"/>
        <w:rPr>
          <w:sz w:val="20"/>
          <w:szCs w:val="20"/>
          <w:color w:val="auto"/>
        </w:rPr>
      </w:pPr>
    </w:p>
    <w:p>
      <w:pPr>
        <w:ind w:left="1240" w:right="40" w:hanging="1029"/>
        <w:spacing w:after="0" w:line="277" w:lineRule="auto"/>
        <w:tabs>
          <w:tab w:leader="none" w:pos="1220" w:val="left"/>
        </w:tabs>
        <w:rPr>
          <w:rFonts w:ascii="Arial" w:cs="Arial" w:eastAsia="Arial" w:hAnsi="Arial"/>
          <w:sz w:val="18"/>
          <w:szCs w:val="18"/>
          <w:u w:val="single" w:color="auto"/>
          <w:color w:val="0000EE"/>
        </w:rPr>
      </w:pPr>
      <w:r>
        <w:rPr>
          <w:rFonts w:ascii="Arial" w:cs="Arial" w:eastAsia="Arial" w:hAnsi="Arial"/>
          <w:sz w:val="18"/>
          <w:szCs w:val="18"/>
          <w:color w:val="auto"/>
        </w:rPr>
        <w:t>10.31*</w:t>
      </w:r>
      <w:r>
        <w:rPr>
          <w:sz w:val="20"/>
          <w:szCs w:val="20"/>
          <w:color w:val="auto"/>
        </w:rPr>
        <w:tab/>
      </w:r>
      <w:hyperlink r:id="rId133">
        <w:r>
          <w:rPr>
            <w:rFonts w:ascii="Arial" w:cs="Arial" w:eastAsia="Arial" w:hAnsi="Arial"/>
            <w:sz w:val="18"/>
            <w:szCs w:val="18"/>
            <w:u w:val="single" w:color="auto"/>
            <w:color w:val="0000EE"/>
          </w:rPr>
          <w:t>Employment Agreement dated as of August 28, 2015 between Domino’s Pizza LLC and Jeffrey Lawrence (Incorporated by reference to</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Exhibit 10.1 to the registrant’s quarterly report on Form 10-Q for the quarter ended September 6, 2015).</w:t>
        </w:r>
      </w:hyperlink>
    </w:p>
    <w:p>
      <w:pPr>
        <w:spacing w:after="0" w:line="62" w:lineRule="exact"/>
        <w:rPr>
          <w:sz w:val="20"/>
          <w:szCs w:val="20"/>
          <w:color w:val="auto"/>
        </w:rPr>
      </w:pPr>
    </w:p>
    <w:p>
      <w:pPr>
        <w:ind w:left="1240" w:right="60" w:hanging="1029"/>
        <w:spacing w:after="0" w:line="277" w:lineRule="auto"/>
        <w:tabs>
          <w:tab w:leader="none" w:pos="1220" w:val="left"/>
        </w:tabs>
        <w:rPr>
          <w:rFonts w:ascii="Arial" w:cs="Arial" w:eastAsia="Arial" w:hAnsi="Arial"/>
          <w:sz w:val="18"/>
          <w:szCs w:val="18"/>
          <w:u w:val="single" w:color="auto"/>
          <w:color w:val="0000EE"/>
        </w:rPr>
      </w:pPr>
      <w:r>
        <w:rPr>
          <w:rFonts w:ascii="Arial" w:cs="Arial" w:eastAsia="Arial" w:hAnsi="Arial"/>
          <w:sz w:val="18"/>
          <w:szCs w:val="18"/>
          <w:color w:val="auto"/>
        </w:rPr>
        <w:t>10.32*</w:t>
      </w:r>
      <w:r>
        <w:rPr>
          <w:sz w:val="20"/>
          <w:szCs w:val="20"/>
          <w:color w:val="auto"/>
        </w:rPr>
        <w:tab/>
      </w:r>
      <w:hyperlink r:id="rId134">
        <w:r>
          <w:rPr>
            <w:rFonts w:ascii="Arial" w:cs="Arial" w:eastAsia="Arial" w:hAnsi="Arial"/>
            <w:sz w:val="18"/>
            <w:szCs w:val="18"/>
            <w:u w:val="single" w:color="auto"/>
            <w:color w:val="0000EE"/>
          </w:rPr>
          <w:t>Employment Agreement dated as of September 2, 2008 between Domino’s Pizza LLC and Russell J. Weiner (Incorporated by reference</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to Exhibit 1.01 to the registrant’s current report on Form 8-K filed on September 4, 2008).</w:t>
        </w:r>
      </w:hyperlink>
    </w:p>
    <w:p>
      <w:pPr>
        <w:spacing w:after="0" w:line="62" w:lineRule="exact"/>
        <w:rPr>
          <w:sz w:val="20"/>
          <w:szCs w:val="20"/>
          <w:color w:val="auto"/>
        </w:rPr>
      </w:pPr>
    </w:p>
    <w:p>
      <w:pPr>
        <w:ind w:left="1240" w:right="700" w:hanging="1029"/>
        <w:spacing w:after="0" w:line="342" w:lineRule="auto"/>
        <w:tabs>
          <w:tab w:leader="none" w:pos="1220" w:val="left"/>
        </w:tabs>
        <w:rPr>
          <w:rFonts w:ascii="Arial" w:cs="Arial" w:eastAsia="Arial" w:hAnsi="Arial"/>
          <w:sz w:val="16"/>
          <w:szCs w:val="16"/>
          <w:u w:val="single" w:color="auto"/>
          <w:color w:val="0000EE"/>
        </w:rPr>
      </w:pPr>
      <w:r>
        <w:rPr>
          <w:rFonts w:ascii="Arial" w:cs="Arial" w:eastAsia="Arial" w:hAnsi="Arial"/>
          <w:sz w:val="18"/>
          <w:szCs w:val="18"/>
          <w:color w:val="auto"/>
        </w:rPr>
        <w:t>10.33*</w:t>
      </w:r>
      <w:r>
        <w:rPr>
          <w:sz w:val="20"/>
          <w:szCs w:val="20"/>
          <w:color w:val="auto"/>
        </w:rPr>
        <w:tab/>
      </w:r>
      <w:hyperlink r:id="rId135">
        <w:r>
          <w:rPr>
            <w:rFonts w:ascii="Arial" w:cs="Arial" w:eastAsia="Arial" w:hAnsi="Arial"/>
            <w:sz w:val="16"/>
            <w:szCs w:val="16"/>
            <w:u w:val="single" w:color="auto"/>
            <w:color w:val="0000EE"/>
          </w:rPr>
          <w:t>Amendment to the Employment agreement dated as of September 2, 2008 between Domino’s Pizza LLC and Russell J. Weiner</w:t>
        </w:r>
      </w:hyperlink>
      <w:r>
        <w:rPr>
          <w:rFonts w:ascii="Arial" w:cs="Arial" w:eastAsia="Arial" w:hAnsi="Arial"/>
          <w:sz w:val="16"/>
          <w:szCs w:val="16"/>
          <w:u w:val="single" w:color="auto"/>
          <w:color w:val="0000EE"/>
        </w:rPr>
        <w:t xml:space="preserve"> </w:t>
      </w:r>
      <w:hyperlink r:id="rId135">
        <w:r>
          <w:rPr>
            <w:rFonts w:ascii="Arial" w:cs="Arial" w:eastAsia="Arial" w:hAnsi="Arial"/>
            <w:sz w:val="16"/>
            <w:szCs w:val="16"/>
            <w:u w:val="single" w:color="auto"/>
            <w:color w:val="0000EE"/>
          </w:rPr>
          <w:t>(Incorporated by reference to Exhibit 10.4 to the registrant’s current report on Form 8-K filed on December 24, 2008).</w:t>
        </w:r>
      </w:hyperlink>
    </w:p>
    <w:p>
      <w:pPr>
        <w:spacing w:after="0" w:line="16" w:lineRule="exact"/>
        <w:rPr>
          <w:sz w:val="20"/>
          <w:szCs w:val="20"/>
          <w:color w:val="auto"/>
        </w:rPr>
      </w:pPr>
    </w:p>
    <w:p>
      <w:pPr>
        <w:ind w:left="1240" w:hanging="1029"/>
        <w:spacing w:after="0" w:line="308" w:lineRule="auto"/>
        <w:tabs>
          <w:tab w:leader="none" w:pos="1220" w:val="left"/>
        </w:tabs>
        <w:rPr>
          <w:rFonts w:ascii="Arial" w:cs="Arial" w:eastAsia="Arial" w:hAnsi="Arial"/>
          <w:sz w:val="17"/>
          <w:szCs w:val="17"/>
          <w:u w:val="single" w:color="auto"/>
          <w:color w:val="0000EE"/>
        </w:rPr>
      </w:pPr>
      <w:r>
        <w:rPr>
          <w:rFonts w:ascii="Arial" w:cs="Arial" w:eastAsia="Arial" w:hAnsi="Arial"/>
          <w:sz w:val="18"/>
          <w:szCs w:val="18"/>
          <w:color w:val="auto"/>
        </w:rPr>
        <w:t>10.34*</w:t>
      </w:r>
      <w:r>
        <w:rPr>
          <w:sz w:val="20"/>
          <w:szCs w:val="20"/>
          <w:color w:val="auto"/>
        </w:rPr>
        <w:tab/>
      </w:r>
      <w:hyperlink r:id="rId136">
        <w:r>
          <w:rPr>
            <w:rFonts w:ascii="Arial" w:cs="Arial" w:eastAsia="Arial" w:hAnsi="Arial"/>
            <w:sz w:val="17"/>
            <w:szCs w:val="17"/>
            <w:u w:val="single" w:color="auto"/>
            <w:color w:val="0000EE"/>
          </w:rPr>
          <w:t>Amendment to the Employment Agreement dated as of July 26, 2010 between Domino’s Pizza LLC and Russell J. Weiner (Incorporated</w:t>
        </w:r>
      </w:hyperlink>
      <w:r>
        <w:rPr>
          <w:rFonts w:ascii="Arial" w:cs="Arial" w:eastAsia="Arial" w:hAnsi="Arial"/>
          <w:sz w:val="17"/>
          <w:szCs w:val="17"/>
          <w:u w:val="single" w:color="auto"/>
          <w:color w:val="0000EE"/>
        </w:rPr>
        <w:t xml:space="preserve"> </w:t>
      </w:r>
      <w:hyperlink r:id="rId136">
        <w:r>
          <w:rPr>
            <w:rFonts w:ascii="Arial" w:cs="Arial" w:eastAsia="Arial" w:hAnsi="Arial"/>
            <w:sz w:val="17"/>
            <w:szCs w:val="17"/>
            <w:u w:val="single" w:color="auto"/>
            <w:color w:val="0000EE"/>
          </w:rPr>
          <w:t>by reference to Exhibit 10.3 to the registrant’s quarterly report on Form 10-Q for the quarter ended June 20, 2010).</w:t>
        </w:r>
      </w:hyperlink>
    </w:p>
    <w:p>
      <w:pPr>
        <w:spacing w:after="0" w:line="38" w:lineRule="exact"/>
        <w:rPr>
          <w:sz w:val="20"/>
          <w:szCs w:val="20"/>
          <w:color w:val="auto"/>
        </w:rPr>
      </w:pPr>
    </w:p>
    <w:p>
      <w:pPr>
        <w:ind w:left="1240" w:right="640" w:hanging="1029"/>
        <w:spacing w:after="0" w:line="277" w:lineRule="auto"/>
        <w:tabs>
          <w:tab w:leader="none" w:pos="1220" w:val="left"/>
        </w:tabs>
        <w:rPr>
          <w:rFonts w:ascii="Arial" w:cs="Arial" w:eastAsia="Arial" w:hAnsi="Arial"/>
          <w:sz w:val="18"/>
          <w:szCs w:val="18"/>
          <w:u w:val="single" w:color="auto"/>
          <w:color w:val="0000EE"/>
        </w:rPr>
      </w:pPr>
      <w:r>
        <w:rPr>
          <w:rFonts w:ascii="Arial" w:cs="Arial" w:eastAsia="Arial" w:hAnsi="Arial"/>
          <w:sz w:val="18"/>
          <w:szCs w:val="18"/>
          <w:color w:val="auto"/>
        </w:rPr>
        <w:t>10.35*</w:t>
      </w:r>
      <w:r>
        <w:rPr>
          <w:sz w:val="20"/>
          <w:szCs w:val="20"/>
          <w:color w:val="auto"/>
        </w:rPr>
        <w:tab/>
      </w:r>
      <w:hyperlink r:id="rId137">
        <w:r>
          <w:rPr>
            <w:rFonts w:ascii="Arial" w:cs="Arial" w:eastAsia="Arial" w:hAnsi="Arial"/>
            <w:sz w:val="18"/>
            <w:szCs w:val="18"/>
            <w:u w:val="single" w:color="auto"/>
            <w:color w:val="0000EE"/>
          </w:rPr>
          <w:t>Employment Agreement dated as of January 8, 2018 between Domino’s Pizza, Inc., Domino’s Pizza LLC and Russell J. Weiner</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(Incorporated by reference to Exhibit 10.2 to the January 2018 8-K).</w:t>
        </w:r>
      </w:hyperlink>
    </w:p>
    <w:p>
      <w:pPr>
        <w:spacing w:after="0" w:line="62" w:lineRule="exact"/>
        <w:rPr>
          <w:sz w:val="20"/>
          <w:szCs w:val="20"/>
          <w:color w:val="auto"/>
        </w:rPr>
      </w:pPr>
    </w:p>
    <w:p>
      <w:pPr>
        <w:ind w:left="200"/>
        <w:spacing w:after="0"/>
        <w:tabs>
          <w:tab w:leader="none" w:pos="1220" w:val="left"/>
        </w:tabs>
        <w:rPr>
          <w:rFonts w:ascii="Arial" w:cs="Arial" w:eastAsia="Arial" w:hAnsi="Arial"/>
          <w:sz w:val="16"/>
          <w:szCs w:val="16"/>
          <w:u w:val="single" w:color="auto"/>
          <w:color w:val="0000EE"/>
        </w:rPr>
      </w:pPr>
      <w:r>
        <w:rPr>
          <w:rFonts w:ascii="Arial" w:cs="Arial" w:eastAsia="Arial" w:hAnsi="Arial"/>
          <w:sz w:val="18"/>
          <w:szCs w:val="18"/>
          <w:color w:val="auto"/>
        </w:rPr>
        <w:t>10.36*</w:t>
      </w:r>
      <w:r>
        <w:rPr>
          <w:sz w:val="20"/>
          <w:szCs w:val="20"/>
          <w:color w:val="auto"/>
        </w:rPr>
        <w:tab/>
      </w:r>
      <w:hyperlink r:id="rId138">
        <w:r>
          <w:rPr>
            <w:rFonts w:ascii="Arial" w:cs="Arial" w:eastAsia="Arial" w:hAnsi="Arial"/>
            <w:sz w:val="16"/>
            <w:szCs w:val="16"/>
            <w:u w:val="single" w:color="auto"/>
            <w:color w:val="0000EE"/>
          </w:rPr>
          <w:t>Employment Agreement dated as of March 14, 2011 between Domino’s Pizza LLC and Richard E. Allison, Jr. (Incorporated by</w:t>
        </w:r>
      </w:hyperlink>
    </w:p>
    <w:p>
      <w:pPr>
        <w:spacing w:after="0" w:line="23" w:lineRule="exact"/>
        <w:rPr>
          <w:sz w:val="20"/>
          <w:szCs w:val="20"/>
          <w:color w:val="auto"/>
        </w:rPr>
      </w:pPr>
    </w:p>
    <w:p>
      <w:pPr>
        <w:ind w:left="1240"/>
        <w:spacing w:after="0"/>
        <w:rPr>
          <w:rFonts w:ascii="Arial" w:cs="Arial" w:eastAsia="Arial" w:hAnsi="Arial"/>
          <w:sz w:val="18"/>
          <w:szCs w:val="18"/>
          <w:u w:val="single" w:color="auto"/>
          <w:color w:val="0000EE"/>
        </w:rPr>
      </w:pPr>
      <w:hyperlink r:id="rId138">
        <w:r>
          <w:rPr>
            <w:rFonts w:ascii="Arial" w:cs="Arial" w:eastAsia="Arial" w:hAnsi="Arial"/>
            <w:sz w:val="18"/>
            <w:szCs w:val="18"/>
            <w:u w:val="single" w:color="auto"/>
            <w:color w:val="0000EE"/>
          </w:rPr>
          <w:t>reference to Exhibit 10.1 to the registrant’s quarterly report on Form 10-Q for the quarter ended March 27, 2011).</w:t>
        </w:r>
      </w:hyperlink>
    </w:p>
    <w:p>
      <w:pPr>
        <w:spacing w:after="0" w:line="103" w:lineRule="exact"/>
        <w:rPr>
          <w:sz w:val="20"/>
          <w:szCs w:val="20"/>
          <w:color w:val="auto"/>
        </w:rPr>
      </w:pPr>
    </w:p>
    <w:p>
      <w:pPr>
        <w:ind w:left="200"/>
        <w:spacing w:after="0"/>
        <w:tabs>
          <w:tab w:leader="none" w:pos="1220" w:val="left"/>
        </w:tabs>
        <w:rPr>
          <w:rFonts w:ascii="Arial" w:cs="Arial" w:eastAsia="Arial" w:hAnsi="Arial"/>
          <w:sz w:val="16"/>
          <w:szCs w:val="16"/>
          <w:u w:val="single" w:color="auto"/>
          <w:color w:val="0000EE"/>
        </w:rPr>
      </w:pPr>
      <w:r>
        <w:rPr>
          <w:rFonts w:ascii="Arial" w:cs="Arial" w:eastAsia="Arial" w:hAnsi="Arial"/>
          <w:sz w:val="18"/>
          <w:szCs w:val="18"/>
          <w:color w:val="auto"/>
        </w:rPr>
        <w:t>10.37*</w:t>
      </w:r>
      <w:r>
        <w:rPr>
          <w:sz w:val="20"/>
          <w:szCs w:val="20"/>
          <w:color w:val="auto"/>
        </w:rPr>
        <w:tab/>
      </w:r>
      <w:hyperlink r:id="rId139">
        <w:r>
          <w:rPr>
            <w:rFonts w:ascii="Arial" w:cs="Arial" w:eastAsia="Arial" w:hAnsi="Arial"/>
            <w:sz w:val="16"/>
            <w:szCs w:val="16"/>
            <w:u w:val="single" w:color="auto"/>
            <w:color w:val="0000EE"/>
          </w:rPr>
          <w:t>Employment Agreement dated as of January 8, 2018 between Domino’s Pizza, Inc., Domino’s Pizza LLC and Richard E. Allison, Jr.</w:t>
        </w:r>
      </w:hyperlink>
    </w:p>
    <w:p>
      <w:pPr>
        <w:spacing w:after="0" w:line="23" w:lineRule="exact"/>
        <w:rPr>
          <w:sz w:val="20"/>
          <w:szCs w:val="20"/>
          <w:color w:val="auto"/>
        </w:rPr>
      </w:pPr>
    </w:p>
    <w:p>
      <w:pPr>
        <w:ind w:left="1240"/>
        <w:spacing w:after="0"/>
        <w:rPr>
          <w:rFonts w:ascii="Arial" w:cs="Arial" w:eastAsia="Arial" w:hAnsi="Arial"/>
          <w:sz w:val="18"/>
          <w:szCs w:val="18"/>
          <w:u w:val="single" w:color="auto"/>
          <w:color w:val="0000EE"/>
        </w:rPr>
      </w:pPr>
      <w:hyperlink r:id="rId139">
        <w:r>
          <w:rPr>
            <w:rFonts w:ascii="Arial" w:cs="Arial" w:eastAsia="Arial" w:hAnsi="Arial"/>
            <w:sz w:val="18"/>
            <w:szCs w:val="18"/>
            <w:u w:val="single" w:color="auto"/>
            <w:color w:val="0000EE"/>
          </w:rPr>
          <w:t>(Incorporated by reference to Exhibit 10.1 to the January 2018 8-K).</w:t>
        </w:r>
      </w:hyperlink>
    </w:p>
    <w:p>
      <w:pPr>
        <w:spacing w:after="0" w:line="103" w:lineRule="exact"/>
        <w:rPr>
          <w:sz w:val="20"/>
          <w:szCs w:val="20"/>
          <w:color w:val="auto"/>
        </w:rPr>
      </w:pPr>
    </w:p>
    <w:p>
      <w:pPr>
        <w:ind w:left="1240" w:right="600" w:hanging="1029"/>
        <w:spacing w:after="0" w:line="277" w:lineRule="auto"/>
        <w:tabs>
          <w:tab w:leader="none" w:pos="1220" w:val="left"/>
        </w:tabs>
        <w:rPr>
          <w:rFonts w:ascii="Arial" w:cs="Arial" w:eastAsia="Arial" w:hAnsi="Arial"/>
          <w:sz w:val="18"/>
          <w:szCs w:val="18"/>
          <w:u w:val="single" w:color="auto"/>
          <w:color w:val="0000EE"/>
        </w:rPr>
      </w:pPr>
      <w:r>
        <w:rPr>
          <w:rFonts w:ascii="Arial" w:cs="Arial" w:eastAsia="Arial" w:hAnsi="Arial"/>
          <w:sz w:val="18"/>
          <w:szCs w:val="18"/>
          <w:color w:val="auto"/>
        </w:rPr>
        <w:t>10.38*</w:t>
      </w:r>
      <w:r>
        <w:rPr>
          <w:sz w:val="20"/>
          <w:szCs w:val="20"/>
          <w:color w:val="auto"/>
        </w:rPr>
        <w:tab/>
      </w:r>
      <w:hyperlink r:id="rId140">
        <w:r>
          <w:rPr>
            <w:rFonts w:ascii="Arial" w:cs="Arial" w:eastAsia="Arial" w:hAnsi="Arial"/>
            <w:sz w:val="18"/>
            <w:szCs w:val="18"/>
            <w:u w:val="single" w:color="auto"/>
            <w:color w:val="0000EE"/>
          </w:rPr>
          <w:t>Time Sharing Agreement dated as of January 8, 2018 between Domino’s Pizza LLC and Richard E. Allison, Jr. (Incorporated by</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reference to Exhibit 10.3 to the January 2018 8-K).</w:t>
        </w:r>
      </w:hyperlink>
    </w:p>
    <w:p>
      <w:pPr>
        <w:spacing w:after="0" w:line="62" w:lineRule="exact"/>
        <w:rPr>
          <w:sz w:val="20"/>
          <w:szCs w:val="20"/>
          <w:color w:val="auto"/>
        </w:rPr>
      </w:pPr>
    </w:p>
    <w:p>
      <w:pPr>
        <w:ind w:left="1240" w:right="220" w:hanging="1029"/>
        <w:spacing w:after="0" w:line="263" w:lineRule="auto"/>
        <w:tabs>
          <w:tab w:leader="none" w:pos="1220" w:val="left"/>
        </w:tabs>
        <w:rPr>
          <w:rFonts w:ascii="Arial" w:cs="Arial" w:eastAsia="Arial" w:hAnsi="Arial"/>
          <w:sz w:val="18"/>
          <w:szCs w:val="18"/>
          <w:u w:val="single" w:color="auto"/>
          <w:color w:val="0000EE"/>
        </w:rPr>
      </w:pPr>
      <w:r>
        <w:rPr>
          <w:rFonts w:ascii="Arial" w:cs="Arial" w:eastAsia="Arial" w:hAnsi="Arial"/>
          <w:sz w:val="18"/>
          <w:szCs w:val="18"/>
          <w:color w:val="auto"/>
        </w:rPr>
        <w:t>10.39*</w:t>
      </w:r>
      <w:r>
        <w:rPr>
          <w:sz w:val="20"/>
          <w:szCs w:val="20"/>
          <w:color w:val="auto"/>
        </w:rPr>
        <w:tab/>
      </w:r>
      <w:hyperlink r:id="rId141">
        <w:r>
          <w:rPr>
            <w:rFonts w:ascii="Arial" w:cs="Arial" w:eastAsia="Arial" w:hAnsi="Arial"/>
            <w:sz w:val="18"/>
            <w:szCs w:val="18"/>
            <w:u w:val="single" w:color="auto"/>
            <w:color w:val="0000EE"/>
          </w:rPr>
          <w:t>Addendum to Amended and Restated Employment Agreement dated as of June 22, 2018 between Domino’s Pizza LLC and David A.</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Brandon (Incorporated by reference to Exhibit 10.1 to the registrant’s quarterly report on Form 10-Q for the quarter ended June 17,</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2018).</w:t>
        </w:r>
      </w:hyperlink>
    </w:p>
    <w:p>
      <w:pPr>
        <w:spacing w:after="0" w:line="116" w:lineRule="exact"/>
        <w:rPr>
          <w:rFonts w:ascii="Arial" w:cs="Arial" w:eastAsia="Arial" w:hAnsi="Arial"/>
          <w:sz w:val="18"/>
          <w:szCs w:val="18"/>
          <w:u w:val="single" w:color="auto"/>
          <w:color w:val="0000EE"/>
        </w:rPr>
      </w:pPr>
    </w:p>
    <w:p>
      <w:pPr>
        <w:jc w:val="center"/>
        <w:ind w:right="-1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80"/>
          </w:cols>
          <w:pgMar w:left="320" w:top="486" w:right="4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10.40*</w:t>
            </w:r>
          </w:p>
        </w:tc>
        <w:tc>
          <w:tcPr>
            <w:tcW w:w="9880" w:type="dxa"/>
            <w:vAlign w:val="bottom"/>
            <w:gridSpan w:val="27"/>
          </w:tcPr>
          <w:p>
            <w:pPr>
              <w:spacing w:after="0"/>
              <w:rPr>
                <w:rFonts w:ascii="Arial" w:cs="Arial" w:eastAsia="Arial" w:hAnsi="Arial"/>
                <w:sz w:val="18"/>
                <w:szCs w:val="18"/>
                <w:color w:val="0000EE"/>
                <w:w w:val="91"/>
              </w:rPr>
            </w:pPr>
            <w:hyperlink r:id="rId143">
              <w:r>
                <w:rPr>
                  <w:rFonts w:ascii="Arial" w:cs="Arial" w:eastAsia="Arial" w:hAnsi="Arial"/>
                  <w:sz w:val="18"/>
                  <w:szCs w:val="18"/>
                  <w:color w:val="0000EE"/>
                  <w:w w:val="91"/>
                </w:rPr>
                <w:t>Addendum to Amended and Restated Employment Agreement dated as of December 29, 2018 between Domino’s Pizza LLC and David</w:t>
              </w:r>
            </w:hyperlink>
          </w:p>
        </w:tc>
      </w:tr>
      <w:tr>
        <w:trPr>
          <w:trHeight w:val="196"/>
        </w:trPr>
        <w:tc>
          <w:tcPr>
            <w:tcW w:w="1040" w:type="dxa"/>
            <w:vAlign w:val="bottom"/>
          </w:tcPr>
          <w:p>
            <w:pPr>
              <w:spacing w:after="0"/>
              <w:rPr>
                <w:sz w:val="17"/>
                <w:szCs w:val="17"/>
                <w:color w:val="auto"/>
              </w:rPr>
            </w:pPr>
          </w:p>
        </w:tc>
        <w:tc>
          <w:tcPr>
            <w:tcW w:w="980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A. Brandon (Incorporated by reference to Exhibit 10.39 to the registrant’s annual report on Form 10-K for the year ended December 30,</w:t>
              </w:r>
            </w:hyperlink>
          </w:p>
        </w:tc>
        <w:tc>
          <w:tcPr>
            <w:tcW w:w="8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9880" w:type="dxa"/>
            <w:vAlign w:val="bottom"/>
            <w:gridSpan w:val="27"/>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2018 (the “2018 10-K”)).</w:t>
              </w:r>
            </w:hyperlink>
          </w:p>
        </w:tc>
      </w:tr>
      <w:tr>
        <w:trPr>
          <w:trHeight w:val="20"/>
        </w:trPr>
        <w:tc>
          <w:tcPr>
            <w:tcW w:w="10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10.41*</w:t>
            </w:r>
          </w:p>
        </w:tc>
        <w:tc>
          <w:tcPr>
            <w:tcW w:w="9880" w:type="dxa"/>
            <w:vAlign w:val="bottom"/>
            <w:gridSpan w:val="27"/>
          </w:tcPr>
          <w:p>
            <w:pPr>
              <w:spacing w:after="0"/>
              <w:rPr>
                <w:rFonts w:ascii="Arial" w:cs="Arial" w:eastAsia="Arial" w:hAnsi="Arial"/>
                <w:sz w:val="18"/>
                <w:szCs w:val="18"/>
                <w:color w:val="0000EE"/>
                <w:w w:val="90"/>
              </w:rPr>
            </w:pPr>
            <w:hyperlink r:id="rId144">
              <w:r>
                <w:rPr>
                  <w:rFonts w:ascii="Arial" w:cs="Arial" w:eastAsia="Arial" w:hAnsi="Arial"/>
                  <w:sz w:val="18"/>
                  <w:szCs w:val="18"/>
                  <w:color w:val="0000EE"/>
                  <w:w w:val="90"/>
                </w:rPr>
                <w:t>Addendum to Amended and Restated Employment Agreement dated as of January 30, 2020 between Domino’s Pizza LLC and David A.</w:t>
              </w:r>
            </w:hyperlink>
          </w:p>
        </w:tc>
      </w:tr>
      <w:tr>
        <w:trPr>
          <w:trHeight w:val="196"/>
        </w:trPr>
        <w:tc>
          <w:tcPr>
            <w:tcW w:w="1040" w:type="dxa"/>
            <w:vAlign w:val="bottom"/>
          </w:tcPr>
          <w:p>
            <w:pPr>
              <w:spacing w:after="0"/>
              <w:rPr>
                <w:sz w:val="17"/>
                <w:szCs w:val="17"/>
                <w:color w:val="auto"/>
              </w:rPr>
            </w:pPr>
          </w:p>
        </w:tc>
        <w:tc>
          <w:tcPr>
            <w:tcW w:w="9840" w:type="dxa"/>
            <w:vAlign w:val="bottom"/>
            <w:tcBorders>
              <w:top w:val="single" w:sz="8" w:color="0000EE"/>
            </w:tcBorders>
            <w:gridSpan w:val="25"/>
          </w:tcPr>
          <w:p>
            <w:pPr>
              <w:spacing w:after="0" w:line="196" w:lineRule="exact"/>
              <w:rPr>
                <w:rFonts w:ascii="Arial" w:cs="Arial" w:eastAsia="Arial" w:hAnsi="Arial"/>
                <w:sz w:val="18"/>
                <w:szCs w:val="18"/>
                <w:color w:val="0000EE"/>
                <w:w w:val="93"/>
              </w:rPr>
            </w:pPr>
            <w:hyperlink r:id="rId144">
              <w:r>
                <w:rPr>
                  <w:rFonts w:ascii="Arial" w:cs="Arial" w:eastAsia="Arial" w:hAnsi="Arial"/>
                  <w:sz w:val="18"/>
                  <w:szCs w:val="18"/>
                  <w:color w:val="0000EE"/>
                  <w:w w:val="93"/>
                </w:rPr>
                <w:t>Brandon (Incorporated by reference to Exhibit 10.1 to the registrant’s quarterly report on Form 10-Q for the quarter ended March 22,</w:t>
              </w:r>
            </w:hyperlink>
          </w:p>
        </w:tc>
        <w:tc>
          <w:tcPr>
            <w:tcW w:w="4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44">
              <w:r>
                <w:rPr>
                  <w:rFonts w:ascii="Arial" w:cs="Arial" w:eastAsia="Arial" w:hAnsi="Arial"/>
                  <w:sz w:val="18"/>
                  <w:szCs w:val="18"/>
                  <w:color w:val="0000EE"/>
                  <w:w w:val="86"/>
                </w:rPr>
                <w:t>2020).</w:t>
              </w:r>
            </w:hyperlink>
          </w:p>
        </w:tc>
        <w:tc>
          <w:tcPr>
            <w:tcW w:w="16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36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10.42*</w:t>
            </w:r>
          </w:p>
        </w:tc>
        <w:tc>
          <w:tcPr>
            <w:tcW w:w="9880" w:type="dxa"/>
            <w:vAlign w:val="bottom"/>
            <w:tcBorders>
              <w:bottom w:val="single" w:sz="8" w:color="0000EE"/>
            </w:tcBorders>
            <w:gridSpan w:val="27"/>
          </w:tcPr>
          <w:p>
            <w:pPr>
              <w:spacing w:after="0"/>
              <w:rPr>
                <w:rFonts w:ascii="Arial" w:cs="Arial" w:eastAsia="Arial" w:hAnsi="Arial"/>
                <w:sz w:val="18"/>
                <w:szCs w:val="18"/>
                <w:color w:val="0000EE"/>
                <w:w w:val="90"/>
              </w:rPr>
            </w:pPr>
            <w:hyperlink r:id="rId145">
              <w:r>
                <w:rPr>
                  <w:rFonts w:ascii="Arial" w:cs="Arial" w:eastAsia="Arial" w:hAnsi="Arial"/>
                  <w:sz w:val="18"/>
                  <w:szCs w:val="18"/>
                  <w:color w:val="0000EE"/>
                  <w:w w:val="90"/>
                </w:rPr>
                <w:t>Employment Agreement dated as of February 11, 2012 between Domino’s Pizza LLC and J. Kevin Vasconi (Incorporated by reference to</w:t>
              </w:r>
            </w:hyperlink>
          </w:p>
        </w:tc>
      </w:tr>
      <w:tr>
        <w:trPr>
          <w:trHeight w:val="196"/>
        </w:trPr>
        <w:tc>
          <w:tcPr>
            <w:tcW w:w="1040" w:type="dxa"/>
            <w:vAlign w:val="bottom"/>
          </w:tcPr>
          <w:p>
            <w:pPr>
              <w:spacing w:after="0"/>
              <w:rPr>
                <w:sz w:val="17"/>
                <w:szCs w:val="17"/>
                <w:color w:val="auto"/>
              </w:rPr>
            </w:pPr>
          </w:p>
        </w:tc>
        <w:tc>
          <w:tcPr>
            <w:tcW w:w="238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r:id="rId145">
              <w:r>
                <w:rPr>
                  <w:rFonts w:ascii="Arial" w:cs="Arial" w:eastAsia="Arial" w:hAnsi="Arial"/>
                  <w:sz w:val="18"/>
                  <w:szCs w:val="18"/>
                  <w:color w:val="0000EE"/>
                  <w:w w:val="93"/>
                </w:rPr>
                <w:t>Exhibit 10.39 to the 2018 10-K).</w:t>
              </w:r>
            </w:hyperlink>
          </w:p>
        </w:tc>
        <w:tc>
          <w:tcPr>
            <w:tcW w:w="7500" w:type="dxa"/>
            <w:vAlign w:val="bottom"/>
            <w:gridSpan w:val="21"/>
          </w:tcPr>
          <w:p>
            <w:pPr>
              <w:spacing w:after="0"/>
              <w:rPr>
                <w:sz w:val="17"/>
                <w:szCs w:val="17"/>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8"/>
                <w:szCs w:val="18"/>
                <w:color w:val="auto"/>
              </w:rPr>
              <w:t>10.43*</w:t>
            </w:r>
          </w:p>
        </w:tc>
        <w:tc>
          <w:tcPr>
            <w:tcW w:w="9880" w:type="dxa"/>
            <w:vAlign w:val="bottom"/>
            <w:gridSpan w:val="27"/>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Separation Agreement dated as of October 2, 2020 between Domino’s Pizza LLC and J. Kevin Vasconi.</w:t>
              </w:r>
            </w:hyperlink>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10.44*</w:t>
            </w:r>
          </w:p>
        </w:tc>
        <w:tc>
          <w:tcPr>
            <w:tcW w:w="9560" w:type="dxa"/>
            <w:vAlign w:val="bottom"/>
            <w:tcBorders>
              <w:bottom w:val="single" w:sz="8" w:color="0000EE"/>
            </w:tcBorders>
            <w:gridSpan w:val="14"/>
          </w:tcPr>
          <w:p>
            <w:pPr>
              <w:spacing w:after="0"/>
              <w:rPr>
                <w:rFonts w:ascii="Arial" w:cs="Arial" w:eastAsia="Arial" w:hAnsi="Arial"/>
                <w:sz w:val="18"/>
                <w:szCs w:val="18"/>
                <w:color w:val="0000EE"/>
                <w:w w:val="90"/>
              </w:rPr>
            </w:pPr>
            <w:hyperlink r:id="rId146">
              <w:r>
                <w:rPr>
                  <w:rFonts w:ascii="Arial" w:cs="Arial" w:eastAsia="Arial" w:hAnsi="Arial"/>
                  <w:sz w:val="18"/>
                  <w:szCs w:val="18"/>
                  <w:color w:val="0000EE"/>
                  <w:w w:val="90"/>
                </w:rPr>
                <w:t>Employment Agreement dated as of April 9, 2018 between Domino’s Pizza LLC and Joseph H. Jordan (Incorporated by reference to</w:t>
              </w:r>
            </w:hyperlink>
          </w:p>
        </w:tc>
        <w:tc>
          <w:tcPr>
            <w:tcW w:w="320" w:type="dxa"/>
            <w:vAlign w:val="bottom"/>
            <w:gridSpan w:val="1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38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r:id="rId146">
              <w:r>
                <w:rPr>
                  <w:rFonts w:ascii="Arial" w:cs="Arial" w:eastAsia="Arial" w:hAnsi="Arial"/>
                  <w:sz w:val="18"/>
                  <w:szCs w:val="18"/>
                  <w:color w:val="0000EE"/>
                  <w:w w:val="93"/>
                </w:rPr>
                <w:t>Exhibit 10.39 to the 2018 10-K).</w:t>
              </w:r>
            </w:hyperlink>
          </w:p>
        </w:tc>
        <w:tc>
          <w:tcPr>
            <w:tcW w:w="7500" w:type="dxa"/>
            <w:vAlign w:val="bottom"/>
            <w:gridSpan w:val="21"/>
          </w:tcPr>
          <w:p>
            <w:pPr>
              <w:spacing w:after="0"/>
              <w:rPr>
                <w:sz w:val="17"/>
                <w:szCs w:val="17"/>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10.45*</w:t>
            </w:r>
          </w:p>
        </w:tc>
        <w:tc>
          <w:tcPr>
            <w:tcW w:w="9860" w:type="dxa"/>
            <w:vAlign w:val="bottom"/>
            <w:tcBorders>
              <w:bottom w:val="single" w:sz="8" w:color="0000EE"/>
            </w:tcBorders>
            <w:gridSpan w:val="26"/>
          </w:tcPr>
          <w:p>
            <w:pPr>
              <w:spacing w:after="0"/>
              <w:rPr>
                <w:rFonts w:ascii="Arial" w:cs="Arial" w:eastAsia="Arial" w:hAnsi="Arial"/>
                <w:sz w:val="18"/>
                <w:szCs w:val="18"/>
                <w:color w:val="0000EE"/>
                <w:w w:val="91"/>
              </w:rPr>
            </w:pPr>
            <w:hyperlink r:id="rId147">
              <w:r>
                <w:rPr>
                  <w:rFonts w:ascii="Arial" w:cs="Arial" w:eastAsia="Arial" w:hAnsi="Arial"/>
                  <w:sz w:val="18"/>
                  <w:szCs w:val="18"/>
                  <w:color w:val="0000EE"/>
                  <w:w w:val="91"/>
                </w:rPr>
                <w:t>Employment Agreement effective as of August 20, 2020 between Domino’s Pizza LLC and Stuart A. Levy (Incorporated by reference to</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74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Exhibit 10.1 to the registrant’s quarterly report on Form 10-Q for the quarter ended September 6, 2020).</w:t>
              </w:r>
            </w:hyperlink>
          </w:p>
        </w:tc>
        <w:tc>
          <w:tcPr>
            <w:tcW w:w="2400" w:type="dxa"/>
            <w:vAlign w:val="bottom"/>
            <w:gridSpan w:val="18"/>
          </w:tcPr>
          <w:p>
            <w:pPr>
              <w:spacing w:after="0"/>
              <w:rPr>
                <w:sz w:val="17"/>
                <w:szCs w:val="17"/>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10.46</w:t>
            </w:r>
          </w:p>
        </w:tc>
        <w:tc>
          <w:tcPr>
            <w:tcW w:w="9880" w:type="dxa"/>
            <w:vAlign w:val="bottom"/>
            <w:gridSpan w:val="27"/>
          </w:tcPr>
          <w:p>
            <w:pPr>
              <w:spacing w:after="0"/>
              <w:rPr>
                <w:rFonts w:ascii="Arial" w:cs="Arial" w:eastAsia="Arial" w:hAnsi="Arial"/>
                <w:sz w:val="18"/>
                <w:szCs w:val="18"/>
                <w:color w:val="0000EE"/>
                <w:w w:val="92"/>
              </w:rPr>
            </w:pPr>
            <w:hyperlink r:id="rId148">
              <w:r>
                <w:rPr>
                  <w:rFonts w:ascii="Arial" w:cs="Arial" w:eastAsia="Arial" w:hAnsi="Arial"/>
                  <w:sz w:val="18"/>
                  <w:szCs w:val="18"/>
                  <w:color w:val="0000EE"/>
                  <w:w w:val="92"/>
                </w:rPr>
                <w:t>Form of Indemnification Agreement between the Company and its officers and directors (Incorporated by reference to Exhibit 10.33 to</w:t>
              </w:r>
            </w:hyperlink>
          </w:p>
        </w:tc>
      </w:tr>
      <w:tr>
        <w:trPr>
          <w:trHeight w:val="196"/>
        </w:trPr>
        <w:tc>
          <w:tcPr>
            <w:tcW w:w="1040" w:type="dxa"/>
            <w:vAlign w:val="bottom"/>
          </w:tcPr>
          <w:p>
            <w:pPr>
              <w:spacing w:after="0"/>
              <w:rPr>
                <w:sz w:val="17"/>
                <w:szCs w:val="17"/>
                <w:color w:val="auto"/>
              </w:rPr>
            </w:pPr>
          </w:p>
        </w:tc>
        <w:tc>
          <w:tcPr>
            <w:tcW w:w="6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148">
              <w:r>
                <w:rPr>
                  <w:rFonts w:ascii="Arial" w:cs="Arial" w:eastAsia="Arial" w:hAnsi="Arial"/>
                  <w:sz w:val="18"/>
                  <w:szCs w:val="18"/>
                  <w:color w:val="0000EE"/>
                  <w:w w:val="86"/>
                </w:rPr>
                <w:t>the S-1).</w:t>
              </w:r>
            </w:hyperlink>
          </w:p>
        </w:tc>
        <w:tc>
          <w:tcPr>
            <w:tcW w:w="9100" w:type="dxa"/>
            <w:vAlign w:val="bottom"/>
            <w:tcBorders>
              <w:top w:val="single" w:sz="8" w:color="0000EE"/>
            </w:tcBorders>
            <w:gridSpan w:val="18"/>
          </w:tcPr>
          <w:p>
            <w:pPr>
              <w:spacing w:after="0"/>
              <w:rPr>
                <w:sz w:val="17"/>
                <w:szCs w:val="17"/>
                <w:color w:val="auto"/>
              </w:rPr>
            </w:pPr>
          </w:p>
        </w:tc>
        <w:tc>
          <w:tcPr>
            <w:tcW w:w="160" w:type="dxa"/>
            <w:vAlign w:val="bottom"/>
            <w:gridSpan w:val="7"/>
          </w:tcPr>
          <w:p>
            <w:pPr>
              <w:spacing w:after="0"/>
              <w:rPr>
                <w:sz w:val="17"/>
                <w:szCs w:val="17"/>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10.47</w:t>
            </w:r>
          </w:p>
        </w:tc>
        <w:tc>
          <w:tcPr>
            <w:tcW w:w="9700" w:type="dxa"/>
            <w:vAlign w:val="bottom"/>
            <w:tcBorders>
              <w:bottom w:val="single" w:sz="8" w:color="0000EE"/>
            </w:tcBorders>
            <w:gridSpan w:val="19"/>
          </w:tcPr>
          <w:p>
            <w:pPr>
              <w:spacing w:after="0"/>
              <w:rPr>
                <w:rFonts w:ascii="Arial" w:cs="Arial" w:eastAsia="Arial" w:hAnsi="Arial"/>
                <w:sz w:val="18"/>
                <w:szCs w:val="18"/>
                <w:color w:val="0000EE"/>
                <w:w w:val="90"/>
              </w:rPr>
            </w:pPr>
            <w:hyperlink r:id="rId149">
              <w:r>
                <w:rPr>
                  <w:rFonts w:ascii="Arial" w:cs="Arial" w:eastAsia="Arial" w:hAnsi="Arial"/>
                  <w:sz w:val="18"/>
                  <w:szCs w:val="18"/>
                  <w:color w:val="0000EE"/>
                  <w:w w:val="90"/>
                </w:rPr>
                <w:t>Amended and Restated Base Indenture dated March 15, 2012 among Domino’s Pizza Master Issuer LLC, Domino’s Pizza Distribution</w:t>
              </w:r>
            </w:hyperlink>
          </w:p>
        </w:tc>
        <w:tc>
          <w:tcPr>
            <w:tcW w:w="180" w:type="dxa"/>
            <w:vAlign w:val="bottom"/>
            <w:gridSpan w:val="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78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LLC, Domino’s IP Holder LLC and Domino’s SPV Canadian Holding Company Inc., each as Co-Issuer, and Citibank, N.A., as Trustee</w:t>
              </w:r>
            </w:hyperlink>
          </w:p>
        </w:tc>
        <w:tc>
          <w:tcPr>
            <w:tcW w:w="10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9880" w:type="dxa"/>
            <w:vAlign w:val="bottom"/>
            <w:gridSpan w:val="27"/>
          </w:tcPr>
          <w:p>
            <w:pPr>
              <w:spacing w:after="0" w:line="196" w:lineRule="exact"/>
              <w:rPr>
                <w:rFonts w:ascii="Arial" w:cs="Arial" w:eastAsia="Arial" w:hAnsi="Arial"/>
                <w:sz w:val="18"/>
                <w:szCs w:val="18"/>
                <w:color w:val="0000EE"/>
                <w:w w:val="93"/>
              </w:rPr>
            </w:pPr>
            <w:hyperlink r:id="rId149">
              <w:r>
                <w:rPr>
                  <w:rFonts w:ascii="Arial" w:cs="Arial" w:eastAsia="Arial" w:hAnsi="Arial"/>
                  <w:sz w:val="18"/>
                  <w:szCs w:val="18"/>
                  <w:color w:val="0000EE"/>
                  <w:w w:val="93"/>
                </w:rPr>
                <w:t>and Securities Intermediary (Incorporated by reference to Exhibit 4.1 to the registrant’s current report on Form 8-K filed on March 19,</w:t>
              </w:r>
            </w:hyperlink>
          </w:p>
        </w:tc>
      </w:tr>
      <w:tr>
        <w:trPr>
          <w:trHeight w:val="196"/>
        </w:trPr>
        <w:tc>
          <w:tcPr>
            <w:tcW w:w="1040" w:type="dxa"/>
            <w:vAlign w:val="bottom"/>
          </w:tcPr>
          <w:p>
            <w:pPr>
              <w:spacing w:after="0"/>
              <w:rPr>
                <w:sz w:val="17"/>
                <w:szCs w:val="17"/>
                <w:color w:val="auto"/>
              </w:rPr>
            </w:pPr>
          </w:p>
        </w:tc>
        <w:tc>
          <w:tcPr>
            <w:tcW w:w="96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2012 (the “March 2012 8-K”)).</w:t>
              </w:r>
            </w:hyperlink>
          </w:p>
        </w:tc>
        <w:tc>
          <w:tcPr>
            <w:tcW w:w="220" w:type="dxa"/>
            <w:vAlign w:val="bottom"/>
            <w:gridSpan w:val="9"/>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24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10.48</w:t>
            </w:r>
          </w:p>
        </w:tc>
        <w:tc>
          <w:tcPr>
            <w:tcW w:w="9880" w:type="dxa"/>
            <w:vAlign w:val="bottom"/>
            <w:tcBorders>
              <w:bottom w:val="single" w:sz="8" w:color="0000EE"/>
            </w:tcBorders>
            <w:gridSpan w:val="27"/>
          </w:tcPr>
          <w:p>
            <w:pPr>
              <w:spacing w:after="0"/>
              <w:rPr>
                <w:rFonts w:ascii="Arial" w:cs="Arial" w:eastAsia="Arial" w:hAnsi="Arial"/>
                <w:sz w:val="18"/>
                <w:szCs w:val="18"/>
                <w:color w:val="0000EE"/>
                <w:w w:val="89"/>
              </w:rPr>
            </w:pPr>
            <w:hyperlink r:id="rId150">
              <w:r>
                <w:rPr>
                  <w:rFonts w:ascii="Arial" w:cs="Arial" w:eastAsia="Arial" w:hAnsi="Arial"/>
                  <w:sz w:val="18"/>
                  <w:szCs w:val="18"/>
                  <w:color w:val="0000EE"/>
                  <w:w w:val="89"/>
                </w:rPr>
                <w:t>First Supplement dated as of September 16, 2013 to the Amended and Restated Base Indenture dated as of March 15, 2012 (Incorporated</w:t>
              </w:r>
            </w:hyperlink>
          </w:p>
        </w:tc>
      </w:tr>
      <w:tr>
        <w:trPr>
          <w:trHeight w:val="237"/>
        </w:trPr>
        <w:tc>
          <w:tcPr>
            <w:tcW w:w="1040" w:type="dxa"/>
            <w:vAlign w:val="bottom"/>
          </w:tcPr>
          <w:p>
            <w:pPr>
              <w:spacing w:after="0"/>
              <w:rPr>
                <w:sz w:val="20"/>
                <w:szCs w:val="20"/>
                <w:color w:val="auto"/>
              </w:rPr>
            </w:pPr>
          </w:p>
        </w:tc>
        <w:tc>
          <w:tcPr>
            <w:tcW w:w="9880" w:type="dxa"/>
            <w:vAlign w:val="bottom"/>
            <w:gridSpan w:val="27"/>
          </w:tcPr>
          <w:p>
            <w:pPr>
              <w:spacing w:after="0"/>
              <w:rPr>
                <w:rFonts w:ascii="Arial" w:cs="Arial" w:eastAsia="Arial" w:hAnsi="Arial"/>
                <w:sz w:val="18"/>
                <w:szCs w:val="18"/>
                <w:u w:val="single" w:color="auto"/>
                <w:color w:val="0000EE"/>
                <w:w w:val="99"/>
              </w:rPr>
            </w:pPr>
            <w:hyperlink r:id="rId150">
              <w:r>
                <w:rPr>
                  <w:rFonts w:ascii="Arial" w:cs="Arial" w:eastAsia="Arial" w:hAnsi="Arial"/>
                  <w:sz w:val="18"/>
                  <w:szCs w:val="18"/>
                  <w:u w:val="single" w:color="auto"/>
                  <w:color w:val="0000EE"/>
                  <w:w w:val="99"/>
                </w:rPr>
                <w:t>by reference to Exhibit 4.1 to the registrant’s current report on Form 8-K filed on October 22, 2015 (the “October 2015 8-K”)).</w:t>
              </w:r>
            </w:hyperlink>
          </w:p>
        </w:tc>
      </w:tr>
      <w:tr>
        <w:trPr>
          <w:trHeight w:val="284"/>
        </w:trPr>
        <w:tc>
          <w:tcPr>
            <w:tcW w:w="1040" w:type="dxa"/>
            <w:vAlign w:val="bottom"/>
          </w:tcPr>
          <w:p>
            <w:pPr>
              <w:spacing w:after="0"/>
              <w:rPr>
                <w:sz w:val="20"/>
                <w:szCs w:val="20"/>
                <w:color w:val="auto"/>
              </w:rPr>
            </w:pPr>
            <w:r>
              <w:rPr>
                <w:rFonts w:ascii="Arial" w:cs="Arial" w:eastAsia="Arial" w:hAnsi="Arial"/>
                <w:sz w:val="18"/>
                <w:szCs w:val="18"/>
                <w:color w:val="auto"/>
              </w:rPr>
              <w:t>10.49</w:t>
            </w:r>
          </w:p>
        </w:tc>
        <w:tc>
          <w:tcPr>
            <w:tcW w:w="9880" w:type="dxa"/>
            <w:vAlign w:val="bottom"/>
            <w:tcBorders>
              <w:bottom w:val="single" w:sz="8" w:color="0000EE"/>
            </w:tcBorders>
            <w:gridSpan w:val="27"/>
          </w:tcPr>
          <w:p>
            <w:pPr>
              <w:spacing w:after="0"/>
              <w:rPr>
                <w:rFonts w:ascii="Arial" w:cs="Arial" w:eastAsia="Arial" w:hAnsi="Arial"/>
                <w:sz w:val="18"/>
                <w:szCs w:val="18"/>
                <w:color w:val="0000EE"/>
                <w:w w:val="89"/>
              </w:rPr>
            </w:pPr>
            <w:hyperlink r:id="rId151">
              <w:r>
                <w:rPr>
                  <w:rFonts w:ascii="Arial" w:cs="Arial" w:eastAsia="Arial" w:hAnsi="Arial"/>
                  <w:sz w:val="18"/>
                  <w:szCs w:val="18"/>
                  <w:color w:val="0000EE"/>
                  <w:w w:val="89"/>
                </w:rPr>
                <w:t>Second Supplement dated as of October 21, 2015 to the Amended and Restated Base Indenture dated as of March 15, 2012 (Incorporated</w:t>
              </w:r>
            </w:hyperlink>
          </w:p>
        </w:tc>
      </w:tr>
      <w:tr>
        <w:trPr>
          <w:trHeight w:val="196"/>
        </w:trPr>
        <w:tc>
          <w:tcPr>
            <w:tcW w:w="1040" w:type="dxa"/>
            <w:vAlign w:val="bottom"/>
          </w:tcPr>
          <w:p>
            <w:pPr>
              <w:spacing w:after="0"/>
              <w:rPr>
                <w:sz w:val="17"/>
                <w:szCs w:val="17"/>
                <w:color w:val="auto"/>
              </w:rPr>
            </w:pPr>
          </w:p>
        </w:tc>
        <w:tc>
          <w:tcPr>
            <w:tcW w:w="9880" w:type="dxa"/>
            <w:vAlign w:val="bottom"/>
            <w:gridSpan w:val="27"/>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by reference to Exhibit 4.2 to the October 2015 8-K).</w:t>
              </w:r>
            </w:hyperlink>
          </w:p>
        </w:tc>
      </w:tr>
      <w:tr>
        <w:trPr>
          <w:trHeight w:val="20"/>
        </w:trPr>
        <w:tc>
          <w:tcPr>
            <w:tcW w:w="1040" w:type="dxa"/>
            <w:vAlign w:val="bottom"/>
          </w:tcPr>
          <w:p>
            <w:pPr>
              <w:spacing w:after="0" w:line="20" w:lineRule="exact"/>
              <w:rPr>
                <w:sz w:val="1"/>
                <w:szCs w:val="1"/>
                <w:color w:val="auto"/>
              </w:rPr>
            </w:pPr>
          </w:p>
        </w:tc>
        <w:tc>
          <w:tcPr>
            <w:tcW w:w="2360" w:type="dxa"/>
            <w:vAlign w:val="bottom"/>
            <w:gridSpan w:val="5"/>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10.50</w:t>
            </w:r>
          </w:p>
        </w:tc>
        <w:tc>
          <w:tcPr>
            <w:tcW w:w="9780" w:type="dxa"/>
            <w:vAlign w:val="bottom"/>
            <w:tcBorders>
              <w:bottom w:val="single" w:sz="8" w:color="0000EE"/>
            </w:tcBorders>
            <w:gridSpan w:val="23"/>
          </w:tcPr>
          <w:p>
            <w:pPr>
              <w:spacing w:after="0"/>
              <w:rPr>
                <w:rFonts w:ascii="Arial" w:cs="Arial" w:eastAsia="Arial" w:hAnsi="Arial"/>
                <w:sz w:val="18"/>
                <w:szCs w:val="18"/>
                <w:color w:val="0000EE"/>
                <w:w w:val="89"/>
              </w:rPr>
            </w:pPr>
            <w:hyperlink r:id="rId152">
              <w:r>
                <w:rPr>
                  <w:rFonts w:ascii="Arial" w:cs="Arial" w:eastAsia="Arial" w:hAnsi="Arial"/>
                  <w:sz w:val="18"/>
                  <w:szCs w:val="18"/>
                  <w:color w:val="0000EE"/>
                  <w:w w:val="89"/>
                </w:rPr>
                <w:t>Third Supplement dated as of October 21, 2015 to the Amended and Restated Base Indenture dated as of March 15, 2012 (Incorporated</w:t>
              </w:r>
            </w:hyperlink>
          </w:p>
        </w:tc>
        <w:tc>
          <w:tcPr>
            <w:tcW w:w="10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880" w:type="dxa"/>
            <w:vAlign w:val="bottom"/>
            <w:gridSpan w:val="27"/>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by reference to Exhibit 4.3 to the October 2015 8-K).</w:t>
              </w:r>
            </w:hyperlink>
          </w:p>
        </w:tc>
      </w:tr>
      <w:tr>
        <w:trPr>
          <w:trHeight w:val="20"/>
        </w:trPr>
        <w:tc>
          <w:tcPr>
            <w:tcW w:w="1040" w:type="dxa"/>
            <w:vAlign w:val="bottom"/>
          </w:tcPr>
          <w:p>
            <w:pPr>
              <w:spacing w:after="0" w:line="20" w:lineRule="exact"/>
              <w:rPr>
                <w:sz w:val="1"/>
                <w:szCs w:val="1"/>
                <w:color w:val="auto"/>
              </w:rPr>
            </w:pPr>
          </w:p>
        </w:tc>
        <w:tc>
          <w:tcPr>
            <w:tcW w:w="2360" w:type="dxa"/>
            <w:vAlign w:val="bottom"/>
            <w:gridSpan w:val="5"/>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10.51</w:t>
            </w:r>
          </w:p>
        </w:tc>
        <w:tc>
          <w:tcPr>
            <w:tcW w:w="9600" w:type="dxa"/>
            <w:vAlign w:val="bottom"/>
            <w:tcBorders>
              <w:bottom w:val="single" w:sz="8" w:color="0000EE"/>
            </w:tcBorders>
            <w:gridSpan w:val="16"/>
          </w:tcPr>
          <w:p>
            <w:pPr>
              <w:spacing w:after="0"/>
              <w:rPr>
                <w:rFonts w:ascii="Arial" w:cs="Arial" w:eastAsia="Arial" w:hAnsi="Arial"/>
                <w:sz w:val="18"/>
                <w:szCs w:val="18"/>
                <w:color w:val="0000EE"/>
                <w:w w:val="89"/>
              </w:rPr>
            </w:pPr>
            <w:hyperlink r:id="rId153">
              <w:r>
                <w:rPr>
                  <w:rFonts w:ascii="Arial" w:cs="Arial" w:eastAsia="Arial" w:hAnsi="Arial"/>
                  <w:sz w:val="18"/>
                  <w:szCs w:val="18"/>
                  <w:color w:val="0000EE"/>
                  <w:w w:val="89"/>
                </w:rPr>
                <w:t>Fourth Supplement dated as of July 24, 2017 to the Amended and Restated Base Indenture dated as of March 15, 2012 by and among</w:t>
              </w:r>
            </w:hyperlink>
          </w:p>
        </w:tc>
        <w:tc>
          <w:tcPr>
            <w:tcW w:w="280" w:type="dxa"/>
            <w:vAlign w:val="bottom"/>
            <w:gridSpan w:val="11"/>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76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53">
              <w:r>
                <w:rPr>
                  <w:rFonts w:ascii="Arial" w:cs="Arial" w:eastAsia="Arial" w:hAnsi="Arial"/>
                  <w:sz w:val="18"/>
                  <w:szCs w:val="18"/>
                  <w:color w:val="0000EE"/>
                  <w:w w:val="92"/>
                </w:rPr>
                <w:t>Domino’s Pizza Master Issuer LLC, Domino’s SPV Canadian Holding Company Inc., Domino’s Pizza Distribution LLC and Domino’s</w:t>
              </w:r>
            </w:hyperlink>
          </w:p>
        </w:tc>
        <w:tc>
          <w:tcPr>
            <w:tcW w:w="12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974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53">
              <w:r>
                <w:rPr>
                  <w:rFonts w:ascii="Arial" w:cs="Arial" w:eastAsia="Arial" w:hAnsi="Arial"/>
                  <w:sz w:val="18"/>
                  <w:szCs w:val="18"/>
                  <w:color w:val="0000EE"/>
                  <w:w w:val="90"/>
                </w:rPr>
                <w:t>IP Holder LLC, each as Co-Issuer, and Citibank, N.A., as Trustee and Securities Intermediary (Incorporated by reference to Exhibit 4.1</w:t>
              </w:r>
            </w:hyperlink>
          </w:p>
        </w:tc>
        <w:tc>
          <w:tcPr>
            <w:tcW w:w="14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74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53">
              <w:r>
                <w:rPr>
                  <w:rFonts w:ascii="Arial" w:cs="Arial" w:eastAsia="Arial" w:hAnsi="Arial"/>
                  <w:sz w:val="18"/>
                  <w:szCs w:val="18"/>
                  <w:color w:val="0000EE"/>
                  <w:w w:val="92"/>
                </w:rPr>
                <w:t>to the Domino’s Pizza, Inc. Current Report on Form 8-K, filed on July 25, 2017 (the “July 2017 8-K”)).</w:t>
              </w:r>
            </w:hyperlink>
          </w:p>
        </w:tc>
        <w:tc>
          <w:tcPr>
            <w:tcW w:w="2420" w:type="dxa"/>
            <w:vAlign w:val="bottom"/>
            <w:gridSpan w:val="19"/>
          </w:tcPr>
          <w:p>
            <w:pPr>
              <w:spacing w:after="0"/>
              <w:rPr>
                <w:sz w:val="17"/>
                <w:szCs w:val="17"/>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10.52</w:t>
            </w:r>
          </w:p>
        </w:tc>
        <w:tc>
          <w:tcPr>
            <w:tcW w:w="9400" w:type="dxa"/>
            <w:vAlign w:val="bottom"/>
            <w:tcBorders>
              <w:bottom w:val="single" w:sz="8" w:color="0000EE"/>
            </w:tcBorders>
            <w:gridSpan w:val="11"/>
          </w:tcPr>
          <w:p>
            <w:pPr>
              <w:spacing w:after="0"/>
              <w:rPr>
                <w:rFonts w:ascii="Arial" w:cs="Arial" w:eastAsia="Arial" w:hAnsi="Arial"/>
                <w:sz w:val="18"/>
                <w:szCs w:val="18"/>
                <w:color w:val="0000EE"/>
                <w:w w:val="89"/>
              </w:rPr>
            </w:pPr>
            <w:hyperlink r:id="rId154">
              <w:r>
                <w:rPr>
                  <w:rFonts w:ascii="Arial" w:cs="Arial" w:eastAsia="Arial" w:hAnsi="Arial"/>
                  <w:sz w:val="18"/>
                  <w:szCs w:val="18"/>
                  <w:color w:val="0000EE"/>
                  <w:w w:val="89"/>
                </w:rPr>
                <w:t>Fifth Supplement dated as of November 21, 2018 to the Amended and Restated Base Indenture dated as of March 15, 2012 by and</w:t>
              </w:r>
            </w:hyperlink>
          </w:p>
        </w:tc>
        <w:tc>
          <w:tcPr>
            <w:tcW w:w="480" w:type="dxa"/>
            <w:vAlign w:val="bottom"/>
            <w:gridSpan w:val="1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52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54">
              <w:r>
                <w:rPr>
                  <w:rFonts w:ascii="Arial" w:cs="Arial" w:eastAsia="Arial" w:hAnsi="Arial"/>
                  <w:sz w:val="18"/>
                  <w:szCs w:val="18"/>
                  <w:color w:val="0000EE"/>
                  <w:w w:val="92"/>
                </w:rPr>
                <w:t>among Domino’s Pizza Master Issuer LLC, Domino’s SPV Canadian Holding Company Inc., Domino’s Pizza Distribution LLC and</w:t>
              </w:r>
            </w:hyperlink>
          </w:p>
        </w:tc>
        <w:tc>
          <w:tcPr>
            <w:tcW w:w="360" w:type="dxa"/>
            <w:vAlign w:val="bottom"/>
            <w:gridSpan w:val="1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9880" w:type="dxa"/>
            <w:vAlign w:val="bottom"/>
            <w:gridSpan w:val="27"/>
          </w:tcPr>
          <w:p>
            <w:pPr>
              <w:spacing w:after="0" w:line="196" w:lineRule="exact"/>
              <w:rPr>
                <w:rFonts w:ascii="Arial" w:cs="Arial" w:eastAsia="Arial" w:hAnsi="Arial"/>
                <w:sz w:val="18"/>
                <w:szCs w:val="18"/>
                <w:color w:val="0000EE"/>
                <w:w w:val="92"/>
              </w:rPr>
            </w:pPr>
            <w:hyperlink r:id="rId154">
              <w:r>
                <w:rPr>
                  <w:rFonts w:ascii="Arial" w:cs="Arial" w:eastAsia="Arial" w:hAnsi="Arial"/>
                  <w:sz w:val="18"/>
                  <w:szCs w:val="18"/>
                  <w:color w:val="0000EE"/>
                  <w:w w:val="92"/>
                </w:rPr>
                <w:t>Domino’s IP Holder LLC, each as Co-Issuer, and Citibank, N.A., as Trustee and Securities Intermediary (Incorporated by reference to</w:t>
              </w:r>
            </w:hyperlink>
          </w:p>
        </w:tc>
      </w:tr>
      <w:tr>
        <w:trPr>
          <w:trHeight w:val="196"/>
        </w:trPr>
        <w:tc>
          <w:tcPr>
            <w:tcW w:w="104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54">
              <w:r>
                <w:rPr>
                  <w:rFonts w:ascii="Arial" w:cs="Arial" w:eastAsia="Arial" w:hAnsi="Arial"/>
                  <w:sz w:val="18"/>
                  <w:szCs w:val="18"/>
                  <w:color w:val="0000EE"/>
                  <w:w w:val="92"/>
                </w:rPr>
                <w:t>Exhibit 10.49 to the 2019 10-K).</w:t>
              </w:r>
            </w:hyperlink>
          </w:p>
        </w:tc>
        <w:tc>
          <w:tcPr>
            <w:tcW w:w="7280" w:type="dxa"/>
            <w:vAlign w:val="bottom"/>
            <w:tcBorders>
              <w:top w:val="single" w:sz="8" w:color="0000EE"/>
            </w:tcBorders>
            <w:gridSpan w:val="12"/>
          </w:tcPr>
          <w:p>
            <w:pPr>
              <w:spacing w:after="0"/>
              <w:rPr>
                <w:sz w:val="17"/>
                <w:szCs w:val="17"/>
                <w:color w:val="auto"/>
              </w:rPr>
            </w:pPr>
          </w:p>
        </w:tc>
        <w:tc>
          <w:tcPr>
            <w:tcW w:w="240" w:type="dxa"/>
            <w:vAlign w:val="bottom"/>
            <w:gridSpan w:val="10"/>
          </w:tcPr>
          <w:p>
            <w:pPr>
              <w:spacing w:after="0"/>
              <w:rPr>
                <w:sz w:val="17"/>
                <w:szCs w:val="17"/>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10.53</w:t>
            </w:r>
          </w:p>
        </w:tc>
        <w:tc>
          <w:tcPr>
            <w:tcW w:w="9480" w:type="dxa"/>
            <w:vAlign w:val="bottom"/>
            <w:tcBorders>
              <w:bottom w:val="single" w:sz="8" w:color="0000EE"/>
            </w:tcBorders>
            <w:gridSpan w:val="12"/>
          </w:tcPr>
          <w:p>
            <w:pPr>
              <w:spacing w:after="0"/>
              <w:rPr>
                <w:rFonts w:ascii="Arial" w:cs="Arial" w:eastAsia="Arial" w:hAnsi="Arial"/>
                <w:sz w:val="18"/>
                <w:szCs w:val="18"/>
                <w:color w:val="0000EE"/>
                <w:w w:val="89"/>
              </w:rPr>
            </w:pPr>
            <w:hyperlink r:id="rId155">
              <w:r>
                <w:rPr>
                  <w:rFonts w:ascii="Arial" w:cs="Arial" w:eastAsia="Arial" w:hAnsi="Arial"/>
                  <w:sz w:val="18"/>
                  <w:szCs w:val="18"/>
                  <w:color w:val="0000EE"/>
                  <w:w w:val="89"/>
                </w:rPr>
                <w:t>Series 2015-1 Supplement dated as of October 21, 2015 to the Amended and Restated Base Indenture dated March 15, 2012 among</w:t>
              </w:r>
            </w:hyperlink>
          </w:p>
        </w:tc>
        <w:tc>
          <w:tcPr>
            <w:tcW w:w="400" w:type="dxa"/>
            <w:vAlign w:val="bottom"/>
            <w:gridSpan w:val="1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880" w:type="dxa"/>
            <w:vAlign w:val="bottom"/>
            <w:gridSpan w:val="27"/>
          </w:tcPr>
          <w:p>
            <w:pPr>
              <w:spacing w:after="0" w:line="196" w:lineRule="exact"/>
              <w:rPr>
                <w:rFonts w:ascii="Arial" w:cs="Arial" w:eastAsia="Arial" w:hAnsi="Arial"/>
                <w:sz w:val="18"/>
                <w:szCs w:val="18"/>
                <w:color w:val="0000EE"/>
                <w:w w:val="93"/>
              </w:rPr>
            </w:pPr>
            <w:hyperlink r:id="rId155">
              <w:r>
                <w:rPr>
                  <w:rFonts w:ascii="Arial" w:cs="Arial" w:eastAsia="Arial" w:hAnsi="Arial"/>
                  <w:sz w:val="18"/>
                  <w:szCs w:val="18"/>
                  <w:color w:val="0000EE"/>
                  <w:w w:val="93"/>
                </w:rPr>
                <w:t>Domino’s Pizza Master Issuer LLC, Domino’s Pizza Distribution LLC, Domino’s IP Holder LLC and Domino’s SPV Canadian Holding</w:t>
              </w:r>
            </w:hyperlink>
          </w:p>
        </w:tc>
      </w:tr>
      <w:tr>
        <w:trPr>
          <w:trHeight w:val="196"/>
        </w:trPr>
        <w:tc>
          <w:tcPr>
            <w:tcW w:w="1040" w:type="dxa"/>
            <w:vAlign w:val="bottom"/>
          </w:tcPr>
          <w:p>
            <w:pPr>
              <w:spacing w:after="0"/>
              <w:rPr>
                <w:sz w:val="17"/>
                <w:szCs w:val="17"/>
                <w:color w:val="auto"/>
              </w:rPr>
            </w:pPr>
          </w:p>
        </w:tc>
        <w:tc>
          <w:tcPr>
            <w:tcW w:w="93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r:id="rId155">
              <w:r>
                <w:rPr>
                  <w:rFonts w:ascii="Arial" w:cs="Arial" w:eastAsia="Arial" w:hAnsi="Arial"/>
                  <w:sz w:val="18"/>
                  <w:szCs w:val="18"/>
                  <w:color w:val="0000EE"/>
                  <w:w w:val="89"/>
                </w:rPr>
                <w:t>Company Inc., each as a Co-Issuer of the Series 2015-1 3.484% Fixed Rate Senior Secured Notes, Class A-2-I, the Series 2015-1</w:t>
              </w:r>
            </w:hyperlink>
          </w:p>
        </w:tc>
        <w:tc>
          <w:tcPr>
            <w:tcW w:w="500" w:type="dxa"/>
            <w:vAlign w:val="bottom"/>
            <w:tcBorders>
              <w:top w:val="single" w:sz="8" w:color="0000EE"/>
            </w:tcBorders>
            <w:gridSpan w:val="14"/>
          </w:tcPr>
          <w:p>
            <w:pPr>
              <w:spacing w:after="0"/>
              <w:rPr>
                <w:sz w:val="17"/>
                <w:szCs w:val="17"/>
                <w:color w:val="auto"/>
              </w:rPr>
            </w:pPr>
          </w:p>
        </w:tc>
        <w:tc>
          <w:tcPr>
            <w:tcW w:w="80" w:type="dxa"/>
            <w:vAlign w:val="bottom"/>
            <w:gridSpan w:val="3"/>
          </w:tcPr>
          <w:p>
            <w:pPr>
              <w:spacing w:after="0"/>
              <w:rPr>
                <w:sz w:val="17"/>
                <w:szCs w:val="17"/>
                <w:color w:val="auto"/>
              </w:rPr>
            </w:pPr>
          </w:p>
        </w:tc>
      </w:tr>
      <w:tr>
        <w:trPr>
          <w:trHeight w:val="222"/>
        </w:trPr>
        <w:tc>
          <w:tcPr>
            <w:tcW w:w="1040" w:type="dxa"/>
            <w:vAlign w:val="bottom"/>
          </w:tcPr>
          <w:p>
            <w:pPr>
              <w:spacing w:after="0"/>
              <w:rPr>
                <w:sz w:val="19"/>
                <w:szCs w:val="19"/>
                <w:color w:val="auto"/>
              </w:rPr>
            </w:pPr>
          </w:p>
        </w:tc>
        <w:tc>
          <w:tcPr>
            <w:tcW w:w="9880" w:type="dxa"/>
            <w:vAlign w:val="bottom"/>
            <w:gridSpan w:val="27"/>
          </w:tcPr>
          <w:p>
            <w:pPr>
              <w:spacing w:after="0"/>
              <w:rPr>
                <w:rFonts w:ascii="Arial" w:cs="Arial" w:eastAsia="Arial" w:hAnsi="Arial"/>
                <w:sz w:val="18"/>
                <w:szCs w:val="18"/>
                <w:u w:val="single" w:color="auto"/>
                <w:color w:val="0000EE"/>
                <w:w w:val="91"/>
              </w:rPr>
            </w:pPr>
            <w:hyperlink r:id="rId155">
              <w:r>
                <w:rPr>
                  <w:rFonts w:ascii="Arial" w:cs="Arial" w:eastAsia="Arial" w:hAnsi="Arial"/>
                  <w:sz w:val="18"/>
                  <w:szCs w:val="18"/>
                  <w:u w:val="single" w:color="auto"/>
                  <w:color w:val="0000EE"/>
                  <w:w w:val="91"/>
                </w:rPr>
                <w:t>4.474% Fixed Rate Senior Secured Notes, Class A-2-II and the Series 2015-1 Variable Funding Senior Notes, Class A-1, and Citibank,</w:t>
              </w:r>
            </w:hyperlink>
          </w:p>
        </w:tc>
      </w:tr>
      <w:tr>
        <w:trPr>
          <w:trHeight w:val="230"/>
        </w:trPr>
        <w:tc>
          <w:tcPr>
            <w:tcW w:w="1040" w:type="dxa"/>
            <w:vAlign w:val="bottom"/>
          </w:tcPr>
          <w:p>
            <w:pPr>
              <w:spacing w:after="0"/>
              <w:rPr>
                <w:sz w:val="20"/>
                <w:szCs w:val="20"/>
                <w:color w:val="auto"/>
              </w:rPr>
            </w:pPr>
          </w:p>
        </w:tc>
        <w:tc>
          <w:tcPr>
            <w:tcW w:w="9880" w:type="dxa"/>
            <w:vAlign w:val="bottom"/>
            <w:gridSpan w:val="27"/>
          </w:tcPr>
          <w:p>
            <w:pPr>
              <w:spacing w:after="0"/>
              <w:rPr>
                <w:rFonts w:ascii="Arial" w:cs="Arial" w:eastAsia="Arial" w:hAnsi="Arial"/>
                <w:sz w:val="18"/>
                <w:szCs w:val="18"/>
                <w:u w:val="single" w:color="auto"/>
                <w:color w:val="0000EE"/>
                <w:w w:val="98"/>
              </w:rPr>
            </w:pPr>
            <w:hyperlink r:id="rId155">
              <w:r>
                <w:rPr>
                  <w:rFonts w:ascii="Arial" w:cs="Arial" w:eastAsia="Arial" w:hAnsi="Arial"/>
                  <w:sz w:val="18"/>
                  <w:szCs w:val="18"/>
                  <w:u w:val="single" w:color="auto"/>
                  <w:color w:val="0000EE"/>
                  <w:w w:val="98"/>
                </w:rPr>
                <w:t>N.A., as Trustee and Series 2015-1 Securities Intermediary (Incorporated by reference to Exhibit 4.4 to the October 2015 8-K).</w:t>
              </w:r>
            </w:hyperlink>
          </w:p>
        </w:tc>
      </w:tr>
      <w:tr>
        <w:trPr>
          <w:trHeight w:val="364"/>
        </w:trPr>
        <w:tc>
          <w:tcPr>
            <w:tcW w:w="1040" w:type="dxa"/>
            <w:vAlign w:val="bottom"/>
          </w:tcPr>
          <w:p>
            <w:pPr>
              <w:spacing w:after="0"/>
              <w:rPr>
                <w:sz w:val="24"/>
                <w:szCs w:val="24"/>
                <w:color w:val="auto"/>
              </w:rPr>
            </w:pPr>
          </w:p>
        </w:tc>
        <w:tc>
          <w:tcPr>
            <w:tcW w:w="7460" w:type="dxa"/>
            <w:vAlign w:val="bottom"/>
            <w:gridSpan w:val="8"/>
          </w:tcPr>
          <w:p>
            <w:pPr>
              <w:ind w:left="4300"/>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20"/>
          </w:cols>
          <w:pgMar w:left="320" w:top="486"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020" w:type="dxa"/>
            <w:vAlign w:val="bottom"/>
          </w:tcPr>
          <w:p>
            <w:pPr>
              <w:jc w:val="right"/>
              <w:ind w:right="510"/>
              <w:spacing w:after="0"/>
              <w:rPr>
                <w:sz w:val="20"/>
                <w:szCs w:val="20"/>
                <w:color w:val="auto"/>
              </w:rPr>
            </w:pPr>
            <w:r>
              <w:rPr>
                <w:rFonts w:ascii="Arial" w:cs="Arial" w:eastAsia="Arial" w:hAnsi="Arial"/>
                <w:sz w:val="18"/>
                <w:szCs w:val="18"/>
                <w:color w:val="auto"/>
                <w:w w:val="88"/>
              </w:rPr>
              <w:t>10.54</w:t>
            </w:r>
          </w:p>
        </w:tc>
        <w:tc>
          <w:tcPr>
            <w:tcW w:w="9320" w:type="dxa"/>
            <w:vAlign w:val="bottom"/>
            <w:tcBorders>
              <w:bottom w:val="single" w:sz="8" w:color="0000EE"/>
            </w:tcBorders>
            <w:gridSpan w:val="8"/>
          </w:tcPr>
          <w:p>
            <w:pPr>
              <w:spacing w:after="0"/>
              <w:rPr>
                <w:rFonts w:ascii="Arial" w:cs="Arial" w:eastAsia="Arial" w:hAnsi="Arial"/>
                <w:sz w:val="18"/>
                <w:szCs w:val="18"/>
                <w:color w:val="0000EE"/>
                <w:w w:val="90"/>
              </w:rPr>
            </w:pPr>
            <w:hyperlink r:id="rId157">
              <w:r>
                <w:rPr>
                  <w:rFonts w:ascii="Arial" w:cs="Arial" w:eastAsia="Arial" w:hAnsi="Arial"/>
                  <w:sz w:val="18"/>
                  <w:szCs w:val="18"/>
                  <w:color w:val="0000EE"/>
                  <w:w w:val="90"/>
                </w:rPr>
                <w:t>Series 2017-1 Supplement dated as of July 24, 2017 by and among Domino’s Pizza Master Issuer LLC, Domino’s SPV Canadian</w:t>
              </w:r>
            </w:hyperlink>
          </w:p>
        </w:tc>
        <w:tc>
          <w:tcPr>
            <w:tcW w:w="600" w:type="dxa"/>
            <w:vAlign w:val="bottom"/>
            <w:gridSpan w:val="17"/>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44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57">
              <w:r>
                <w:rPr>
                  <w:rFonts w:ascii="Arial" w:cs="Arial" w:eastAsia="Arial" w:hAnsi="Arial"/>
                  <w:sz w:val="18"/>
                  <w:szCs w:val="18"/>
                  <w:color w:val="0000EE"/>
                  <w:w w:val="92"/>
                </w:rPr>
                <w:t>Holding Company Inc., Domino’s Pizza Distribution LLC and Domino’s IP Holder LLC, each as Co-Issuer, and Citibank, N.A., as</w:t>
              </w:r>
            </w:hyperlink>
          </w:p>
        </w:tc>
        <w:tc>
          <w:tcPr>
            <w:tcW w:w="480" w:type="dxa"/>
            <w:vAlign w:val="bottom"/>
            <w:gridSpan w:val="14"/>
          </w:tcPr>
          <w:p>
            <w:pPr>
              <w:spacing w:after="0"/>
              <w:rPr>
                <w:sz w:val="17"/>
                <w:szCs w:val="17"/>
                <w:color w:val="auto"/>
              </w:rPr>
            </w:pPr>
          </w:p>
        </w:tc>
      </w:tr>
      <w:tr>
        <w:trPr>
          <w:trHeight w:val="237"/>
        </w:trPr>
        <w:tc>
          <w:tcPr>
            <w:tcW w:w="1020" w:type="dxa"/>
            <w:vAlign w:val="bottom"/>
          </w:tcPr>
          <w:p>
            <w:pPr>
              <w:spacing w:after="0"/>
              <w:rPr>
                <w:sz w:val="20"/>
                <w:szCs w:val="20"/>
                <w:color w:val="auto"/>
              </w:rPr>
            </w:pPr>
          </w:p>
        </w:tc>
        <w:tc>
          <w:tcPr>
            <w:tcW w:w="9920" w:type="dxa"/>
            <w:vAlign w:val="bottom"/>
            <w:gridSpan w:val="25"/>
          </w:tcPr>
          <w:p>
            <w:pPr>
              <w:spacing w:after="0"/>
              <w:rPr>
                <w:rFonts w:ascii="Arial" w:cs="Arial" w:eastAsia="Arial" w:hAnsi="Arial"/>
                <w:sz w:val="18"/>
                <w:szCs w:val="18"/>
                <w:color w:val="0000EE"/>
                <w:w w:val="93"/>
              </w:rPr>
            </w:pPr>
            <w:hyperlink r:id="rId157">
              <w:r>
                <w:rPr>
                  <w:rFonts w:ascii="Arial" w:cs="Arial" w:eastAsia="Arial" w:hAnsi="Arial"/>
                  <w:sz w:val="18"/>
                  <w:szCs w:val="18"/>
                  <w:u w:val="single" w:color="auto"/>
                  <w:color w:val="0000EE"/>
                  <w:w w:val="93"/>
                </w:rPr>
                <w:t>Trustee, Series 2017-1 Securities Intermediary and Calculation Agent (Incorporated by reference to Exhibit 4.2 to the July 2017 8-K)</w:t>
              </w:r>
              <w:r>
                <w:rPr>
                  <w:rFonts w:ascii="Arial" w:cs="Arial" w:eastAsia="Arial" w:hAnsi="Arial"/>
                  <w:sz w:val="18"/>
                  <w:szCs w:val="18"/>
                  <w:color w:val="0000EE"/>
                  <w:w w:val="93"/>
                </w:rPr>
                <w:t>.</w:t>
              </w:r>
            </w:hyperlink>
          </w:p>
        </w:tc>
      </w:tr>
      <w:tr>
        <w:trPr>
          <w:trHeight w:val="283"/>
        </w:trPr>
        <w:tc>
          <w:tcPr>
            <w:tcW w:w="1020" w:type="dxa"/>
            <w:vAlign w:val="bottom"/>
          </w:tcPr>
          <w:p>
            <w:pPr>
              <w:jc w:val="right"/>
              <w:ind w:right="510"/>
              <w:spacing w:after="0"/>
              <w:rPr>
                <w:sz w:val="20"/>
                <w:szCs w:val="20"/>
                <w:color w:val="auto"/>
              </w:rPr>
            </w:pPr>
            <w:r>
              <w:rPr>
                <w:rFonts w:ascii="Arial" w:cs="Arial" w:eastAsia="Arial" w:hAnsi="Arial"/>
                <w:sz w:val="18"/>
                <w:szCs w:val="18"/>
                <w:color w:val="auto"/>
                <w:w w:val="88"/>
              </w:rPr>
              <w:t>10.55</w:t>
            </w:r>
          </w:p>
        </w:tc>
        <w:tc>
          <w:tcPr>
            <w:tcW w:w="9420" w:type="dxa"/>
            <w:vAlign w:val="bottom"/>
            <w:tcBorders>
              <w:bottom w:val="single" w:sz="8" w:color="0000EE"/>
            </w:tcBorders>
            <w:gridSpan w:val="10"/>
          </w:tcPr>
          <w:p>
            <w:pPr>
              <w:spacing w:after="0"/>
              <w:rPr>
                <w:rFonts w:ascii="Arial" w:cs="Arial" w:eastAsia="Arial" w:hAnsi="Arial"/>
                <w:sz w:val="18"/>
                <w:szCs w:val="18"/>
                <w:color w:val="0000EE"/>
                <w:w w:val="91"/>
              </w:rPr>
            </w:pPr>
            <w:hyperlink r:id="rId158">
              <w:r>
                <w:rPr>
                  <w:rFonts w:ascii="Arial" w:cs="Arial" w:eastAsia="Arial" w:hAnsi="Arial"/>
                  <w:sz w:val="18"/>
                  <w:szCs w:val="18"/>
                  <w:color w:val="0000EE"/>
                  <w:w w:val="91"/>
                </w:rPr>
                <w:t>Supplemental Indenture, dated as of April 24, 2018, among Domino’s Pizza Master Issuer LLC, Domino’s SPV Canadian Holding</w:t>
              </w:r>
            </w:hyperlink>
          </w:p>
        </w:tc>
        <w:tc>
          <w:tcPr>
            <w:tcW w:w="500" w:type="dxa"/>
            <w:vAlign w:val="bottom"/>
            <w:gridSpan w:val="1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920" w:type="dxa"/>
            <w:vAlign w:val="bottom"/>
            <w:gridSpan w:val="25"/>
          </w:tcPr>
          <w:p>
            <w:pPr>
              <w:spacing w:after="0" w:line="196" w:lineRule="exact"/>
              <w:rPr>
                <w:rFonts w:ascii="Arial" w:cs="Arial" w:eastAsia="Arial" w:hAnsi="Arial"/>
                <w:sz w:val="18"/>
                <w:szCs w:val="18"/>
                <w:color w:val="0000EE"/>
                <w:w w:val="93"/>
              </w:rPr>
            </w:pPr>
            <w:hyperlink r:id="rId158">
              <w:r>
                <w:rPr>
                  <w:rFonts w:ascii="Arial" w:cs="Arial" w:eastAsia="Arial" w:hAnsi="Arial"/>
                  <w:sz w:val="18"/>
                  <w:szCs w:val="18"/>
                  <w:color w:val="0000EE"/>
                  <w:w w:val="93"/>
                </w:rPr>
                <w:t>Company Inc., Domino’s Pizza Distribution LLC and Domino’s IP Holder LLC, each as Co-Issuer of Series 2018-1 4.116% Fixed Rate</w:t>
              </w:r>
            </w:hyperlink>
          </w:p>
        </w:tc>
      </w:tr>
      <w:tr>
        <w:trPr>
          <w:trHeight w:val="196"/>
        </w:trPr>
        <w:tc>
          <w:tcPr>
            <w:tcW w:w="1020" w:type="dxa"/>
            <w:vAlign w:val="bottom"/>
          </w:tcPr>
          <w:p>
            <w:pPr>
              <w:spacing w:after="0"/>
              <w:rPr>
                <w:sz w:val="17"/>
                <w:szCs w:val="17"/>
                <w:color w:val="auto"/>
              </w:rPr>
            </w:pPr>
          </w:p>
        </w:tc>
        <w:tc>
          <w:tcPr>
            <w:tcW w:w="9760" w:type="dxa"/>
            <w:vAlign w:val="bottom"/>
            <w:tcBorders>
              <w:top w:val="single" w:sz="8" w:color="0000EE"/>
            </w:tcBorders>
            <w:gridSpan w:val="20"/>
          </w:tcPr>
          <w:p>
            <w:pPr>
              <w:spacing w:after="0" w:line="196" w:lineRule="exact"/>
              <w:rPr>
                <w:rFonts w:ascii="Arial" w:cs="Arial" w:eastAsia="Arial" w:hAnsi="Arial"/>
                <w:sz w:val="18"/>
                <w:szCs w:val="18"/>
                <w:color w:val="0000EE"/>
                <w:w w:val="92"/>
              </w:rPr>
            </w:pPr>
            <w:hyperlink r:id="rId158">
              <w:r>
                <w:rPr>
                  <w:rFonts w:ascii="Arial" w:cs="Arial" w:eastAsia="Arial" w:hAnsi="Arial"/>
                  <w:sz w:val="18"/>
                  <w:szCs w:val="18"/>
                  <w:color w:val="0000EE"/>
                  <w:w w:val="92"/>
                </w:rPr>
                <w:t>Senior Secured Notes, Class A-2-I and Series 2018-1 4.328% Fixed Rate Senior Secured Notes, Class A-2-II, and Citibank, N.A., as</w:t>
              </w:r>
            </w:hyperlink>
          </w:p>
        </w:tc>
        <w:tc>
          <w:tcPr>
            <w:tcW w:w="160" w:type="dxa"/>
            <w:vAlign w:val="bottom"/>
            <w:gridSpan w:val="5"/>
          </w:tcPr>
          <w:p>
            <w:pPr>
              <w:spacing w:after="0"/>
              <w:rPr>
                <w:sz w:val="17"/>
                <w:szCs w:val="17"/>
                <w:color w:val="auto"/>
              </w:rPr>
            </w:pPr>
          </w:p>
        </w:tc>
      </w:tr>
      <w:tr>
        <w:trPr>
          <w:trHeight w:val="222"/>
        </w:trPr>
        <w:tc>
          <w:tcPr>
            <w:tcW w:w="1020" w:type="dxa"/>
            <w:vAlign w:val="bottom"/>
          </w:tcPr>
          <w:p>
            <w:pPr>
              <w:spacing w:after="0"/>
              <w:rPr>
                <w:sz w:val="19"/>
                <w:szCs w:val="19"/>
                <w:color w:val="auto"/>
              </w:rPr>
            </w:pPr>
          </w:p>
        </w:tc>
        <w:tc>
          <w:tcPr>
            <w:tcW w:w="9520" w:type="dxa"/>
            <w:vAlign w:val="bottom"/>
            <w:tcBorders>
              <w:top w:val="single" w:sz="8" w:color="0000EE"/>
            </w:tcBorders>
            <w:gridSpan w:val="14"/>
          </w:tcPr>
          <w:p>
            <w:pPr>
              <w:spacing w:after="0"/>
              <w:rPr>
                <w:rFonts w:ascii="Arial" w:cs="Arial" w:eastAsia="Arial" w:hAnsi="Arial"/>
                <w:sz w:val="18"/>
                <w:szCs w:val="18"/>
                <w:u w:val="single" w:color="auto"/>
                <w:color w:val="0000EE"/>
                <w:w w:val="91"/>
              </w:rPr>
            </w:pPr>
            <w:hyperlink r:id="rId158">
              <w:r>
                <w:rPr>
                  <w:rFonts w:ascii="Arial" w:cs="Arial" w:eastAsia="Arial" w:hAnsi="Arial"/>
                  <w:sz w:val="18"/>
                  <w:szCs w:val="18"/>
                  <w:u w:val="single" w:color="auto"/>
                  <w:color w:val="0000EE"/>
                  <w:w w:val="91"/>
                </w:rPr>
                <w:t>Trustee and Securities Intermediary (Incorporated by reference to Exhibit 4.1 to the registrant’s current report on Form 8-K filed on</w:t>
              </w:r>
            </w:hyperlink>
          </w:p>
        </w:tc>
        <w:tc>
          <w:tcPr>
            <w:tcW w:w="400" w:type="dxa"/>
            <w:vAlign w:val="bottom"/>
            <w:gridSpan w:val="11"/>
          </w:tcPr>
          <w:p>
            <w:pPr>
              <w:spacing w:after="0"/>
              <w:rPr>
                <w:sz w:val="19"/>
                <w:szCs w:val="19"/>
                <w:color w:val="auto"/>
              </w:rPr>
            </w:pPr>
          </w:p>
        </w:tc>
      </w:tr>
      <w:tr>
        <w:trPr>
          <w:trHeight w:val="230"/>
        </w:trPr>
        <w:tc>
          <w:tcPr>
            <w:tcW w:w="1020" w:type="dxa"/>
            <w:vAlign w:val="bottom"/>
          </w:tcPr>
          <w:p>
            <w:pPr>
              <w:spacing w:after="0"/>
              <w:rPr>
                <w:sz w:val="20"/>
                <w:szCs w:val="20"/>
                <w:color w:val="auto"/>
              </w:rPr>
            </w:pPr>
          </w:p>
        </w:tc>
        <w:tc>
          <w:tcPr>
            <w:tcW w:w="9920" w:type="dxa"/>
            <w:vAlign w:val="bottom"/>
            <w:gridSpan w:val="25"/>
          </w:tcPr>
          <w:p>
            <w:pPr>
              <w:spacing w:after="0"/>
              <w:rPr>
                <w:rFonts w:ascii="Arial" w:cs="Arial" w:eastAsia="Arial" w:hAnsi="Arial"/>
                <w:sz w:val="18"/>
                <w:szCs w:val="18"/>
                <w:u w:val="single" w:color="auto"/>
                <w:color w:val="0000EE"/>
              </w:rPr>
            </w:pPr>
            <w:hyperlink r:id="rId158">
              <w:r>
                <w:rPr>
                  <w:rFonts w:ascii="Arial" w:cs="Arial" w:eastAsia="Arial" w:hAnsi="Arial"/>
                  <w:sz w:val="18"/>
                  <w:szCs w:val="18"/>
                  <w:u w:val="single" w:color="auto"/>
                  <w:color w:val="0000EE"/>
                </w:rPr>
                <w:t>April 25, 2018 (the “April 2018 8-K”)).</w:t>
              </w:r>
            </w:hyperlink>
          </w:p>
        </w:tc>
      </w:tr>
      <w:tr>
        <w:trPr>
          <w:trHeight w:val="283"/>
        </w:trPr>
        <w:tc>
          <w:tcPr>
            <w:tcW w:w="1020" w:type="dxa"/>
            <w:vAlign w:val="bottom"/>
          </w:tcPr>
          <w:p>
            <w:pPr>
              <w:jc w:val="right"/>
              <w:ind w:right="510"/>
              <w:spacing w:after="0"/>
              <w:rPr>
                <w:sz w:val="20"/>
                <w:szCs w:val="20"/>
                <w:color w:val="auto"/>
              </w:rPr>
            </w:pPr>
            <w:r>
              <w:rPr>
                <w:rFonts w:ascii="Arial" w:cs="Arial" w:eastAsia="Arial" w:hAnsi="Arial"/>
                <w:sz w:val="18"/>
                <w:szCs w:val="18"/>
                <w:color w:val="auto"/>
                <w:w w:val="88"/>
              </w:rPr>
              <w:t>10.56</w:t>
            </w:r>
          </w:p>
        </w:tc>
        <w:tc>
          <w:tcPr>
            <w:tcW w:w="9400" w:type="dxa"/>
            <w:vAlign w:val="bottom"/>
            <w:tcBorders>
              <w:bottom w:val="single" w:sz="8" w:color="0000EE"/>
            </w:tcBorders>
            <w:gridSpan w:val="9"/>
          </w:tcPr>
          <w:p>
            <w:pPr>
              <w:spacing w:after="0"/>
              <w:rPr>
                <w:rFonts w:ascii="Arial" w:cs="Arial" w:eastAsia="Arial" w:hAnsi="Arial"/>
                <w:sz w:val="18"/>
                <w:szCs w:val="18"/>
                <w:color w:val="0000EE"/>
                <w:w w:val="91"/>
              </w:rPr>
            </w:pPr>
            <w:hyperlink r:id="rId159">
              <w:r>
                <w:rPr>
                  <w:rFonts w:ascii="Arial" w:cs="Arial" w:eastAsia="Arial" w:hAnsi="Arial"/>
                  <w:sz w:val="18"/>
                  <w:szCs w:val="18"/>
                  <w:color w:val="0000EE"/>
                  <w:w w:val="91"/>
                </w:rPr>
                <w:t>Supplemental Indenture, dated November 19, 2019, among Domino’s Pizza Master Issuer LLC, Domino’s SPV Canadian Holding</w:t>
              </w:r>
            </w:hyperlink>
          </w:p>
        </w:tc>
        <w:tc>
          <w:tcPr>
            <w:tcW w:w="520" w:type="dxa"/>
            <w:vAlign w:val="bottom"/>
            <w:gridSpan w:val="16"/>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78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59">
              <w:r>
                <w:rPr>
                  <w:rFonts w:ascii="Arial" w:cs="Arial" w:eastAsia="Arial" w:hAnsi="Arial"/>
                  <w:sz w:val="18"/>
                  <w:szCs w:val="18"/>
                  <w:color w:val="0000EE"/>
                  <w:w w:val="91"/>
                </w:rPr>
                <w:t>Company Inc., Domino’s Pizza Distribution LLC and Domino’s IP Holder LLC, each as Co-Issuer of Series 2019-1 3.668% Fixed Rate</w:t>
              </w:r>
            </w:hyperlink>
          </w:p>
        </w:tc>
        <w:tc>
          <w:tcPr>
            <w:tcW w:w="140" w:type="dxa"/>
            <w:vAlign w:val="bottom"/>
            <w:gridSpan w:val="4"/>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86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59">
              <w:r>
                <w:rPr>
                  <w:rFonts w:ascii="Arial" w:cs="Arial" w:eastAsia="Arial" w:hAnsi="Arial"/>
                  <w:sz w:val="18"/>
                  <w:szCs w:val="18"/>
                  <w:color w:val="0000EE"/>
                  <w:w w:val="90"/>
                </w:rPr>
                <w:t>Senior Secured Notes, Class A-2, and Citibank, N.A., as Trustee and Securities Intermediary (Incorporated by reference to Exhibit 4.1 to</w:t>
              </w:r>
            </w:hyperlink>
          </w:p>
        </w:tc>
        <w:tc>
          <w:tcPr>
            <w:tcW w:w="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920" w:type="dxa"/>
            <w:vAlign w:val="bottom"/>
            <w:gridSpan w:val="25"/>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the registrant’s current report on Form 8-K filed on November 19, 2019 (the “November 2019 8-K”)).</w:t>
              </w:r>
            </w:hyperlink>
          </w:p>
        </w:tc>
      </w:tr>
      <w:tr>
        <w:trPr>
          <w:trHeight w:val="20"/>
        </w:trPr>
        <w:tc>
          <w:tcPr>
            <w:tcW w:w="102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020" w:type="dxa"/>
            <w:vAlign w:val="bottom"/>
          </w:tcPr>
          <w:p>
            <w:pPr>
              <w:jc w:val="right"/>
              <w:ind w:right="510"/>
              <w:spacing w:after="0"/>
              <w:rPr>
                <w:sz w:val="20"/>
                <w:szCs w:val="20"/>
                <w:color w:val="auto"/>
              </w:rPr>
            </w:pPr>
            <w:r>
              <w:rPr>
                <w:rFonts w:ascii="Arial" w:cs="Arial" w:eastAsia="Arial" w:hAnsi="Arial"/>
                <w:sz w:val="18"/>
                <w:szCs w:val="18"/>
                <w:color w:val="auto"/>
                <w:w w:val="88"/>
              </w:rPr>
              <w:t>10.57</w:t>
            </w:r>
          </w:p>
        </w:tc>
        <w:tc>
          <w:tcPr>
            <w:tcW w:w="9920" w:type="dxa"/>
            <w:vAlign w:val="bottom"/>
            <w:gridSpan w:val="25"/>
          </w:tcPr>
          <w:p>
            <w:pPr>
              <w:spacing w:after="0"/>
              <w:rPr>
                <w:rFonts w:ascii="Arial" w:cs="Arial" w:eastAsia="Arial" w:hAnsi="Arial"/>
                <w:sz w:val="18"/>
                <w:szCs w:val="18"/>
                <w:color w:val="0000EE"/>
                <w:w w:val="95"/>
              </w:rPr>
            </w:pPr>
            <w:hyperlink r:id="rId160">
              <w:r>
                <w:rPr>
                  <w:rFonts w:ascii="Arial" w:cs="Arial" w:eastAsia="Arial" w:hAnsi="Arial"/>
                  <w:sz w:val="18"/>
                  <w:szCs w:val="18"/>
                  <w:color w:val="0000EE"/>
                  <w:w w:val="95"/>
                </w:rPr>
                <w:t>Purchase Agreement dated as of October 14, 2015 among Domino’s Pizza Master Issuer LLC, Domino’s IP Holder LLC, Domino’s</w:t>
              </w:r>
            </w:hyperlink>
          </w:p>
        </w:tc>
      </w:tr>
      <w:tr>
        <w:trPr>
          <w:trHeight w:val="20"/>
        </w:trPr>
        <w:tc>
          <w:tcPr>
            <w:tcW w:w="102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4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6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60">
              <w:r>
                <w:rPr>
                  <w:rFonts w:ascii="Arial" w:cs="Arial" w:eastAsia="Arial" w:hAnsi="Arial"/>
                  <w:sz w:val="18"/>
                  <w:szCs w:val="18"/>
                  <w:color w:val="0000EE"/>
                  <w:w w:val="91"/>
                </w:rPr>
                <w:t>Pizza Distribution LLC and Domino’s SPV Canadian Holding Company Inc. for the Series 2015-1 3.484% Fixed Rate Senior Secured</w:t>
              </w:r>
            </w:hyperlink>
          </w:p>
        </w:tc>
        <w:tc>
          <w:tcPr>
            <w:tcW w:w="240" w:type="dxa"/>
            <w:vAlign w:val="bottom"/>
            <w:gridSpan w:val="6"/>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6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Notes, Class A-2-I and the Series 2015-1 4.474% Fixed Rate Senior Secured Notes, Class A-2-II (Incorporated by reference to Exhibit</w:t>
              </w:r>
            </w:hyperlink>
          </w:p>
        </w:tc>
        <w:tc>
          <w:tcPr>
            <w:tcW w:w="240" w:type="dxa"/>
            <w:vAlign w:val="bottom"/>
            <w:gridSpan w:val="6"/>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920" w:type="dxa"/>
            <w:vAlign w:val="bottom"/>
            <w:gridSpan w:val="25"/>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October 2015 8-K).</w:t>
              </w:r>
            </w:hyperlink>
          </w:p>
        </w:tc>
      </w:tr>
      <w:tr>
        <w:trPr>
          <w:trHeight w:val="20"/>
        </w:trPr>
        <w:tc>
          <w:tcPr>
            <w:tcW w:w="102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020" w:type="dxa"/>
            <w:vAlign w:val="bottom"/>
          </w:tcPr>
          <w:p>
            <w:pPr>
              <w:jc w:val="right"/>
              <w:ind w:right="510"/>
              <w:spacing w:after="0"/>
              <w:rPr>
                <w:sz w:val="20"/>
                <w:szCs w:val="20"/>
                <w:color w:val="auto"/>
              </w:rPr>
            </w:pPr>
            <w:r>
              <w:rPr>
                <w:rFonts w:ascii="Arial" w:cs="Arial" w:eastAsia="Arial" w:hAnsi="Arial"/>
                <w:sz w:val="18"/>
                <w:szCs w:val="18"/>
                <w:color w:val="auto"/>
                <w:w w:val="88"/>
              </w:rPr>
              <w:t>10.58</w:t>
            </w:r>
          </w:p>
        </w:tc>
        <w:tc>
          <w:tcPr>
            <w:tcW w:w="9780" w:type="dxa"/>
            <w:vAlign w:val="bottom"/>
            <w:tcBorders>
              <w:bottom w:val="single" w:sz="8" w:color="0000EE"/>
            </w:tcBorders>
            <w:gridSpan w:val="21"/>
          </w:tcPr>
          <w:p>
            <w:pPr>
              <w:spacing w:after="0"/>
              <w:rPr>
                <w:rFonts w:ascii="Arial" w:cs="Arial" w:eastAsia="Arial" w:hAnsi="Arial"/>
                <w:sz w:val="18"/>
                <w:szCs w:val="18"/>
                <w:color w:val="0000EE"/>
                <w:w w:val="90"/>
              </w:rPr>
            </w:pPr>
            <w:hyperlink r:id="rId161">
              <w:r>
                <w:rPr>
                  <w:rFonts w:ascii="Arial" w:cs="Arial" w:eastAsia="Arial" w:hAnsi="Arial"/>
                  <w:sz w:val="18"/>
                  <w:szCs w:val="18"/>
                  <w:color w:val="0000EE"/>
                  <w:w w:val="90"/>
                </w:rPr>
                <w:t>Purchase Agreement dated as of June 12, 2017 among Domino’s Pizza Master Issuer LLC, Domino’s SPV Canadian Holding Company</w:t>
              </w:r>
            </w:hyperlink>
          </w:p>
        </w:tc>
        <w:tc>
          <w:tcPr>
            <w:tcW w:w="140" w:type="dxa"/>
            <w:vAlign w:val="bottom"/>
            <w:gridSpan w:val="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50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61">
              <w:r>
                <w:rPr>
                  <w:rFonts w:ascii="Arial" w:cs="Arial" w:eastAsia="Arial" w:hAnsi="Arial"/>
                  <w:sz w:val="18"/>
                  <w:szCs w:val="18"/>
                  <w:color w:val="0000EE"/>
                  <w:w w:val="92"/>
                </w:rPr>
                <w:t>Inc., Domino’s Pizza Distribution LLC and Domino’s IP Holder LLC, each as Co-Issuer, Domino’s SPV Guarantor LLC, Domino’s</w:t>
              </w:r>
            </w:hyperlink>
          </w:p>
        </w:tc>
        <w:tc>
          <w:tcPr>
            <w:tcW w:w="420" w:type="dxa"/>
            <w:vAlign w:val="bottom"/>
            <w:gridSpan w:val="1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840" w:type="dxa"/>
            <w:vAlign w:val="bottom"/>
            <w:tcBorders>
              <w:bottom w:val="single" w:sz="8" w:color="0000EE"/>
            </w:tcBorders>
            <w:gridSpan w:val="23"/>
          </w:tcPr>
          <w:p>
            <w:pPr>
              <w:spacing w:after="0" w:line="196" w:lineRule="exact"/>
              <w:rPr>
                <w:rFonts w:ascii="Arial" w:cs="Arial" w:eastAsia="Arial" w:hAnsi="Arial"/>
                <w:sz w:val="18"/>
                <w:szCs w:val="18"/>
                <w:color w:val="0000EE"/>
                <w:w w:val="93"/>
              </w:rPr>
            </w:pPr>
            <w:hyperlink r:id="rId161">
              <w:r>
                <w:rPr>
                  <w:rFonts w:ascii="Arial" w:cs="Arial" w:eastAsia="Arial" w:hAnsi="Arial"/>
                  <w:sz w:val="18"/>
                  <w:szCs w:val="18"/>
                  <w:color w:val="0000EE"/>
                  <w:w w:val="93"/>
                </w:rPr>
                <w:t>Pizza Franchising LLC, Domino’s Pizza International Franchising Inc., Domino’s Pizza Canadian Distribution ULC, Domino’s RE LLC</w:t>
              </w:r>
            </w:hyperlink>
          </w:p>
        </w:tc>
        <w:tc>
          <w:tcPr>
            <w:tcW w:w="8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3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61">
              <w:r>
                <w:rPr>
                  <w:rFonts w:ascii="Arial" w:cs="Arial" w:eastAsia="Arial" w:hAnsi="Arial"/>
                  <w:sz w:val="18"/>
                  <w:szCs w:val="18"/>
                  <w:color w:val="0000EE"/>
                  <w:w w:val="90"/>
                </w:rPr>
                <w:t>and Domino’s EQ LLC, each as Guarantor, Domino’s Pizza LLC, as manager, Domino’s Pizza, Inc. and Domino’s Inc., as parent</w:t>
              </w:r>
            </w:hyperlink>
          </w:p>
        </w:tc>
        <w:tc>
          <w:tcPr>
            <w:tcW w:w="620" w:type="dxa"/>
            <w:vAlign w:val="bottom"/>
            <w:gridSpan w:val="18"/>
          </w:tcPr>
          <w:p>
            <w:pPr>
              <w:spacing w:after="0"/>
              <w:rPr>
                <w:sz w:val="17"/>
                <w:szCs w:val="17"/>
                <w:color w:val="auto"/>
              </w:rPr>
            </w:pPr>
          </w:p>
        </w:tc>
      </w:tr>
      <w:tr>
        <w:trPr>
          <w:trHeight w:val="222"/>
        </w:trPr>
        <w:tc>
          <w:tcPr>
            <w:tcW w:w="1020" w:type="dxa"/>
            <w:vAlign w:val="bottom"/>
          </w:tcPr>
          <w:p>
            <w:pPr>
              <w:spacing w:after="0"/>
              <w:rPr>
                <w:sz w:val="19"/>
                <w:szCs w:val="19"/>
                <w:color w:val="auto"/>
              </w:rPr>
            </w:pPr>
          </w:p>
        </w:tc>
        <w:tc>
          <w:tcPr>
            <w:tcW w:w="9920" w:type="dxa"/>
            <w:vAlign w:val="bottom"/>
            <w:gridSpan w:val="25"/>
          </w:tcPr>
          <w:p>
            <w:pPr>
              <w:spacing w:after="0"/>
              <w:rPr>
                <w:rFonts w:ascii="Arial" w:cs="Arial" w:eastAsia="Arial" w:hAnsi="Arial"/>
                <w:sz w:val="18"/>
                <w:szCs w:val="18"/>
                <w:u w:val="single" w:color="auto"/>
                <w:color w:val="0000EE"/>
                <w:w w:val="92"/>
              </w:rPr>
            </w:pPr>
            <w:hyperlink r:id="rId161">
              <w:r>
                <w:rPr>
                  <w:rFonts w:ascii="Arial" w:cs="Arial" w:eastAsia="Arial" w:hAnsi="Arial"/>
                  <w:sz w:val="18"/>
                  <w:szCs w:val="18"/>
                  <w:u w:val="single" w:color="auto"/>
                  <w:color w:val="0000EE"/>
                  <w:w w:val="92"/>
                </w:rPr>
                <w:t>companies, and Guggenheim Securities, LLC and Barclays Capital Inc., as initial purchasers (Incorporated by reference to Exhibit 10.1</w:t>
              </w:r>
            </w:hyperlink>
          </w:p>
        </w:tc>
      </w:tr>
      <w:tr>
        <w:trPr>
          <w:trHeight w:val="230"/>
        </w:trPr>
        <w:tc>
          <w:tcPr>
            <w:tcW w:w="1020" w:type="dxa"/>
            <w:vAlign w:val="bottom"/>
          </w:tcPr>
          <w:p>
            <w:pPr>
              <w:spacing w:after="0"/>
              <w:rPr>
                <w:sz w:val="20"/>
                <w:szCs w:val="20"/>
                <w:color w:val="auto"/>
              </w:rPr>
            </w:pPr>
          </w:p>
        </w:tc>
        <w:tc>
          <w:tcPr>
            <w:tcW w:w="9920" w:type="dxa"/>
            <w:vAlign w:val="bottom"/>
            <w:gridSpan w:val="25"/>
          </w:tcPr>
          <w:p>
            <w:pPr>
              <w:spacing w:after="0"/>
              <w:rPr>
                <w:rFonts w:ascii="Arial" w:cs="Arial" w:eastAsia="Arial" w:hAnsi="Arial"/>
                <w:sz w:val="18"/>
                <w:szCs w:val="18"/>
                <w:u w:val="single" w:color="auto"/>
                <w:color w:val="0000EE"/>
              </w:rPr>
            </w:pPr>
            <w:hyperlink r:id="rId161">
              <w:r>
                <w:rPr>
                  <w:rFonts w:ascii="Arial" w:cs="Arial" w:eastAsia="Arial" w:hAnsi="Arial"/>
                  <w:sz w:val="18"/>
                  <w:szCs w:val="18"/>
                  <w:u w:val="single" w:color="auto"/>
                  <w:color w:val="0000EE"/>
                </w:rPr>
                <w:t>to the Domino’s Pizza, Inc. Current Report on Form 8-K, filed on June 14, 2017).</w:t>
              </w:r>
            </w:hyperlink>
          </w:p>
        </w:tc>
      </w:tr>
      <w:tr>
        <w:trPr>
          <w:trHeight w:val="283"/>
        </w:trPr>
        <w:tc>
          <w:tcPr>
            <w:tcW w:w="1020" w:type="dxa"/>
            <w:vAlign w:val="bottom"/>
          </w:tcPr>
          <w:p>
            <w:pPr>
              <w:jc w:val="right"/>
              <w:ind w:right="510"/>
              <w:spacing w:after="0"/>
              <w:rPr>
                <w:sz w:val="20"/>
                <w:szCs w:val="20"/>
                <w:color w:val="auto"/>
              </w:rPr>
            </w:pPr>
            <w:r>
              <w:rPr>
                <w:rFonts w:ascii="Arial" w:cs="Arial" w:eastAsia="Arial" w:hAnsi="Arial"/>
                <w:sz w:val="18"/>
                <w:szCs w:val="18"/>
                <w:color w:val="auto"/>
                <w:w w:val="88"/>
              </w:rPr>
              <w:t>10.59</w:t>
            </w:r>
          </w:p>
        </w:tc>
        <w:tc>
          <w:tcPr>
            <w:tcW w:w="9320" w:type="dxa"/>
            <w:vAlign w:val="bottom"/>
            <w:tcBorders>
              <w:bottom w:val="single" w:sz="8" w:color="0000EE"/>
            </w:tcBorders>
            <w:gridSpan w:val="8"/>
          </w:tcPr>
          <w:p>
            <w:pPr>
              <w:spacing w:after="0"/>
              <w:rPr>
                <w:rFonts w:ascii="Arial" w:cs="Arial" w:eastAsia="Arial" w:hAnsi="Arial"/>
                <w:sz w:val="18"/>
                <w:szCs w:val="18"/>
                <w:color w:val="0000EE"/>
                <w:w w:val="91"/>
              </w:rPr>
            </w:pPr>
            <w:hyperlink r:id="rId162">
              <w:r>
                <w:rPr>
                  <w:rFonts w:ascii="Arial" w:cs="Arial" w:eastAsia="Arial" w:hAnsi="Arial"/>
                  <w:sz w:val="18"/>
                  <w:szCs w:val="18"/>
                  <w:color w:val="0000EE"/>
                  <w:w w:val="91"/>
                </w:rPr>
                <w:t>Purchase Agreement, dated April 18, 2018, by and among Domino’s Pizza Master Issuer LLC, Domino’s SPV Canadian Holding</w:t>
              </w:r>
            </w:hyperlink>
          </w:p>
        </w:tc>
        <w:tc>
          <w:tcPr>
            <w:tcW w:w="600" w:type="dxa"/>
            <w:vAlign w:val="bottom"/>
            <w:gridSpan w:val="17"/>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56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r:id="rId162">
              <w:r>
                <w:rPr>
                  <w:rFonts w:ascii="Arial" w:cs="Arial" w:eastAsia="Arial" w:hAnsi="Arial"/>
                  <w:sz w:val="18"/>
                  <w:szCs w:val="18"/>
                  <w:color w:val="0000EE"/>
                  <w:w w:val="93"/>
                </w:rPr>
                <w:t>Company Inc., Domino’s Pizza Distribution LLC, Domino’s IP Holder LLC, Domino’s Pizza, Inc., Domino’s Pizza LLC, Domino’s,</w:t>
              </w:r>
            </w:hyperlink>
          </w:p>
        </w:tc>
        <w:tc>
          <w:tcPr>
            <w:tcW w:w="360" w:type="dxa"/>
            <w:vAlign w:val="bottom"/>
            <w:gridSpan w:val="10"/>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92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62">
              <w:r>
                <w:rPr>
                  <w:rFonts w:ascii="Arial" w:cs="Arial" w:eastAsia="Arial" w:hAnsi="Arial"/>
                  <w:sz w:val="18"/>
                  <w:szCs w:val="18"/>
                  <w:color w:val="0000EE"/>
                  <w:w w:val="90"/>
                </w:rPr>
                <w:t>Inc., the guarantors party thereto and Guggenheim Securities, LLC, as representative of the initial purchasers named in Schedule I thereto</w:t>
              </w:r>
            </w:hyperlink>
          </w:p>
        </w:tc>
      </w:tr>
      <w:tr>
        <w:trPr>
          <w:trHeight w:val="196"/>
        </w:trPr>
        <w:tc>
          <w:tcPr>
            <w:tcW w:w="1020" w:type="dxa"/>
            <w:vAlign w:val="bottom"/>
          </w:tcPr>
          <w:p>
            <w:pPr>
              <w:spacing w:after="0"/>
              <w:rPr>
                <w:sz w:val="17"/>
                <w:szCs w:val="17"/>
                <w:color w:val="auto"/>
              </w:rPr>
            </w:pPr>
          </w:p>
        </w:tc>
        <w:tc>
          <w:tcPr>
            <w:tcW w:w="46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62">
              <w:r>
                <w:rPr>
                  <w:rFonts w:ascii="Arial" w:cs="Arial" w:eastAsia="Arial" w:hAnsi="Arial"/>
                  <w:sz w:val="18"/>
                  <w:szCs w:val="18"/>
                  <w:color w:val="0000EE"/>
                  <w:w w:val="92"/>
                </w:rPr>
                <w:t>(Incorporated by reference to Exhibit 1.1 to the April 2018 8-K).</w:t>
              </w:r>
            </w:hyperlink>
          </w:p>
        </w:tc>
        <w:tc>
          <w:tcPr>
            <w:tcW w:w="5260" w:type="dxa"/>
            <w:vAlign w:val="bottom"/>
            <w:gridSpan w:val="22"/>
          </w:tcPr>
          <w:p>
            <w:pPr>
              <w:spacing w:after="0"/>
              <w:rPr>
                <w:sz w:val="17"/>
                <w:szCs w:val="17"/>
                <w:color w:val="auto"/>
              </w:rPr>
            </w:pPr>
          </w:p>
        </w:tc>
      </w:tr>
      <w:tr>
        <w:trPr>
          <w:trHeight w:val="304"/>
        </w:trPr>
        <w:tc>
          <w:tcPr>
            <w:tcW w:w="1020" w:type="dxa"/>
            <w:vAlign w:val="bottom"/>
          </w:tcPr>
          <w:p>
            <w:pPr>
              <w:jc w:val="right"/>
              <w:ind w:right="510"/>
              <w:spacing w:after="0"/>
              <w:rPr>
                <w:sz w:val="20"/>
                <w:szCs w:val="20"/>
                <w:color w:val="auto"/>
              </w:rPr>
            </w:pPr>
            <w:r>
              <w:rPr>
                <w:rFonts w:ascii="Arial" w:cs="Arial" w:eastAsia="Arial" w:hAnsi="Arial"/>
                <w:sz w:val="18"/>
                <w:szCs w:val="18"/>
                <w:color w:val="auto"/>
                <w:w w:val="88"/>
              </w:rPr>
              <w:t>10.60</w:t>
            </w:r>
          </w:p>
        </w:tc>
        <w:tc>
          <w:tcPr>
            <w:tcW w:w="9820" w:type="dxa"/>
            <w:vAlign w:val="bottom"/>
            <w:tcBorders>
              <w:bottom w:val="single" w:sz="8" w:color="0000EE"/>
            </w:tcBorders>
            <w:gridSpan w:val="22"/>
          </w:tcPr>
          <w:p>
            <w:pPr>
              <w:spacing w:after="0"/>
              <w:rPr>
                <w:rFonts w:ascii="Arial" w:cs="Arial" w:eastAsia="Arial" w:hAnsi="Arial"/>
                <w:sz w:val="18"/>
                <w:szCs w:val="18"/>
                <w:color w:val="0000EE"/>
                <w:w w:val="90"/>
              </w:rPr>
            </w:pPr>
            <w:hyperlink r:id="rId163">
              <w:r>
                <w:rPr>
                  <w:rFonts w:ascii="Arial" w:cs="Arial" w:eastAsia="Arial" w:hAnsi="Arial"/>
                  <w:sz w:val="18"/>
                  <w:szCs w:val="18"/>
                  <w:color w:val="0000EE"/>
                  <w:w w:val="90"/>
                </w:rPr>
                <w:t>Purchase Agreement, dated November 6, 2019, among Domino’s Pizza Master Issuer LLC, Domino’s SPV Canadian Holding Company</w:t>
              </w:r>
            </w:hyperlink>
          </w:p>
        </w:tc>
        <w:tc>
          <w:tcPr>
            <w:tcW w:w="10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50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63">
              <w:r>
                <w:rPr>
                  <w:rFonts w:ascii="Arial" w:cs="Arial" w:eastAsia="Arial" w:hAnsi="Arial"/>
                  <w:sz w:val="18"/>
                  <w:szCs w:val="18"/>
                  <w:color w:val="0000EE"/>
                  <w:w w:val="92"/>
                </w:rPr>
                <w:t>Inc., Domino’s Pizza Distribution LLC and Domino’s IP Holder LLC, each as Co-Issuer, Domino’s SPV Guarantor LLC, Domino’s</w:t>
              </w:r>
            </w:hyperlink>
          </w:p>
        </w:tc>
        <w:tc>
          <w:tcPr>
            <w:tcW w:w="420" w:type="dxa"/>
            <w:vAlign w:val="bottom"/>
            <w:gridSpan w:val="1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840" w:type="dxa"/>
            <w:vAlign w:val="bottom"/>
            <w:tcBorders>
              <w:bottom w:val="single" w:sz="8" w:color="0000EE"/>
            </w:tcBorders>
            <w:gridSpan w:val="23"/>
          </w:tcPr>
          <w:p>
            <w:pPr>
              <w:spacing w:after="0" w:line="196" w:lineRule="exact"/>
              <w:rPr>
                <w:rFonts w:ascii="Arial" w:cs="Arial" w:eastAsia="Arial" w:hAnsi="Arial"/>
                <w:sz w:val="18"/>
                <w:szCs w:val="18"/>
                <w:color w:val="0000EE"/>
                <w:w w:val="93"/>
              </w:rPr>
            </w:pPr>
            <w:hyperlink r:id="rId163">
              <w:r>
                <w:rPr>
                  <w:rFonts w:ascii="Arial" w:cs="Arial" w:eastAsia="Arial" w:hAnsi="Arial"/>
                  <w:sz w:val="18"/>
                  <w:szCs w:val="18"/>
                  <w:color w:val="0000EE"/>
                  <w:w w:val="93"/>
                </w:rPr>
                <w:t>Pizza Franchising LLC, Domino’s Pizza International Franchising Inc., Domino’s Pizza Canadian Distribution ULC, Domino’s RE LLC</w:t>
              </w:r>
            </w:hyperlink>
          </w:p>
        </w:tc>
        <w:tc>
          <w:tcPr>
            <w:tcW w:w="8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6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63">
              <w:r>
                <w:rPr>
                  <w:rFonts w:ascii="Arial" w:cs="Arial" w:eastAsia="Arial" w:hAnsi="Arial"/>
                  <w:sz w:val="18"/>
                  <w:szCs w:val="18"/>
                  <w:color w:val="0000EE"/>
                  <w:w w:val="90"/>
                </w:rPr>
                <w:t>and Domino’s EQ LLC, each as Guarantor, Domino’s Pizza LLC, as manager, the Company and Domino’s Inc., as parent companies,</w:t>
              </w:r>
            </w:hyperlink>
          </w:p>
        </w:tc>
        <w:tc>
          <w:tcPr>
            <w:tcW w:w="300" w:type="dxa"/>
            <w:vAlign w:val="bottom"/>
            <w:gridSpan w:val="7"/>
          </w:tcPr>
          <w:p>
            <w:pPr>
              <w:spacing w:after="0"/>
              <w:rPr>
                <w:sz w:val="17"/>
                <w:szCs w:val="17"/>
                <w:color w:val="auto"/>
              </w:rPr>
            </w:pPr>
          </w:p>
        </w:tc>
      </w:tr>
      <w:tr>
        <w:trPr>
          <w:trHeight w:val="222"/>
        </w:trPr>
        <w:tc>
          <w:tcPr>
            <w:tcW w:w="1020" w:type="dxa"/>
            <w:vAlign w:val="bottom"/>
          </w:tcPr>
          <w:p>
            <w:pPr>
              <w:spacing w:after="0"/>
              <w:rPr>
                <w:sz w:val="19"/>
                <w:szCs w:val="19"/>
                <w:color w:val="auto"/>
              </w:rPr>
            </w:pPr>
          </w:p>
        </w:tc>
        <w:tc>
          <w:tcPr>
            <w:tcW w:w="9920" w:type="dxa"/>
            <w:vAlign w:val="bottom"/>
            <w:gridSpan w:val="25"/>
          </w:tcPr>
          <w:p>
            <w:pPr>
              <w:spacing w:after="0"/>
              <w:rPr>
                <w:rFonts w:ascii="Arial" w:cs="Arial" w:eastAsia="Arial" w:hAnsi="Arial"/>
                <w:sz w:val="18"/>
                <w:szCs w:val="18"/>
                <w:u w:val="single" w:color="auto"/>
                <w:color w:val="0000EE"/>
                <w:w w:val="96"/>
              </w:rPr>
            </w:pPr>
            <w:hyperlink r:id="rId163">
              <w:r>
                <w:rPr>
                  <w:rFonts w:ascii="Arial" w:cs="Arial" w:eastAsia="Arial" w:hAnsi="Arial"/>
                  <w:sz w:val="18"/>
                  <w:szCs w:val="18"/>
                  <w:u w:val="single" w:color="auto"/>
                  <w:color w:val="0000EE"/>
                  <w:w w:val="96"/>
                </w:rPr>
                <w:t>and Guggenheim Securities, LLC and Barclays Capital Inc., as initial purchasers (Incorporated by reference to Exhibit 99.1 to the</w:t>
              </w:r>
            </w:hyperlink>
          </w:p>
        </w:tc>
      </w:tr>
      <w:tr>
        <w:trPr>
          <w:trHeight w:val="230"/>
        </w:trPr>
        <w:tc>
          <w:tcPr>
            <w:tcW w:w="1020" w:type="dxa"/>
            <w:vAlign w:val="bottom"/>
          </w:tcPr>
          <w:p>
            <w:pPr>
              <w:spacing w:after="0"/>
              <w:rPr>
                <w:sz w:val="20"/>
                <w:szCs w:val="20"/>
                <w:color w:val="auto"/>
              </w:rPr>
            </w:pPr>
          </w:p>
        </w:tc>
        <w:tc>
          <w:tcPr>
            <w:tcW w:w="9920" w:type="dxa"/>
            <w:vAlign w:val="bottom"/>
            <w:gridSpan w:val="25"/>
          </w:tcPr>
          <w:p>
            <w:pPr>
              <w:spacing w:after="0"/>
              <w:rPr>
                <w:rFonts w:ascii="Arial" w:cs="Arial" w:eastAsia="Arial" w:hAnsi="Arial"/>
                <w:sz w:val="18"/>
                <w:szCs w:val="18"/>
                <w:u w:val="single" w:color="auto"/>
                <w:color w:val="0000EE"/>
              </w:rPr>
            </w:pPr>
            <w:hyperlink r:id="rId163">
              <w:r>
                <w:rPr>
                  <w:rFonts w:ascii="Arial" w:cs="Arial" w:eastAsia="Arial" w:hAnsi="Arial"/>
                  <w:sz w:val="18"/>
                  <w:szCs w:val="18"/>
                  <w:u w:val="single" w:color="auto"/>
                  <w:color w:val="0000EE"/>
                </w:rPr>
                <w:t>Domino’s Pizza, Inc. Current Report on Form 8-K, filed on November 7, 2019).</w:t>
              </w:r>
            </w:hyperlink>
          </w:p>
        </w:tc>
      </w:tr>
      <w:tr>
        <w:trPr>
          <w:trHeight w:val="283"/>
        </w:trPr>
        <w:tc>
          <w:tcPr>
            <w:tcW w:w="1020" w:type="dxa"/>
            <w:vAlign w:val="bottom"/>
          </w:tcPr>
          <w:p>
            <w:pPr>
              <w:jc w:val="right"/>
              <w:ind w:right="510"/>
              <w:spacing w:after="0"/>
              <w:rPr>
                <w:sz w:val="20"/>
                <w:szCs w:val="20"/>
                <w:color w:val="auto"/>
              </w:rPr>
            </w:pPr>
            <w:r>
              <w:rPr>
                <w:rFonts w:ascii="Arial" w:cs="Arial" w:eastAsia="Arial" w:hAnsi="Arial"/>
                <w:sz w:val="18"/>
                <w:szCs w:val="18"/>
                <w:color w:val="auto"/>
                <w:w w:val="88"/>
              </w:rPr>
              <w:t>10.61</w:t>
            </w:r>
          </w:p>
        </w:tc>
        <w:tc>
          <w:tcPr>
            <w:tcW w:w="9680" w:type="dxa"/>
            <w:vAlign w:val="bottom"/>
            <w:tcBorders>
              <w:bottom w:val="single" w:sz="8" w:color="0000EE"/>
            </w:tcBorders>
            <w:gridSpan w:val="19"/>
          </w:tcPr>
          <w:p>
            <w:pPr>
              <w:spacing w:after="0"/>
              <w:rPr>
                <w:rFonts w:ascii="Arial" w:cs="Arial" w:eastAsia="Arial" w:hAnsi="Arial"/>
                <w:sz w:val="18"/>
                <w:szCs w:val="18"/>
                <w:color w:val="0000EE"/>
                <w:w w:val="90"/>
              </w:rPr>
            </w:pPr>
            <w:hyperlink r:id="rId164">
              <w:r>
                <w:rPr>
                  <w:rFonts w:ascii="Arial" w:cs="Arial" w:eastAsia="Arial" w:hAnsi="Arial"/>
                  <w:sz w:val="18"/>
                  <w:szCs w:val="18"/>
                  <w:color w:val="0000EE"/>
                  <w:w w:val="90"/>
                </w:rPr>
                <w:t>Class A-1 Note Purchase Agreement, dated November 19, 2019, among Domino’s Pizza Master Issuer LLC, Domino’s SPV Canadian</w:t>
              </w:r>
            </w:hyperlink>
          </w:p>
        </w:tc>
        <w:tc>
          <w:tcPr>
            <w:tcW w:w="240" w:type="dxa"/>
            <w:vAlign w:val="bottom"/>
            <w:gridSpan w:val="6"/>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920" w:type="dxa"/>
            <w:vAlign w:val="bottom"/>
            <w:gridSpan w:val="25"/>
          </w:tcPr>
          <w:p>
            <w:pPr>
              <w:spacing w:after="0" w:line="196" w:lineRule="exact"/>
              <w:rPr>
                <w:rFonts w:ascii="Arial" w:cs="Arial" w:eastAsia="Arial" w:hAnsi="Arial"/>
                <w:sz w:val="18"/>
                <w:szCs w:val="18"/>
                <w:color w:val="0000EE"/>
                <w:w w:val="94"/>
              </w:rPr>
            </w:pPr>
            <w:hyperlink r:id="rId164">
              <w:r>
                <w:rPr>
                  <w:rFonts w:ascii="Arial" w:cs="Arial" w:eastAsia="Arial" w:hAnsi="Arial"/>
                  <w:sz w:val="18"/>
                  <w:szCs w:val="18"/>
                  <w:color w:val="0000EE"/>
                  <w:w w:val="94"/>
                </w:rPr>
                <w:t>Holding Company Inc., Domino’s Pizza Distribution LLC and Domino’s IP Holder LLC, each as Co-Issuer, Domino’s SPV Guarantor</w:t>
              </w:r>
            </w:hyperlink>
          </w:p>
        </w:tc>
      </w:tr>
      <w:tr>
        <w:trPr>
          <w:trHeight w:val="196"/>
        </w:trPr>
        <w:tc>
          <w:tcPr>
            <w:tcW w:w="1020" w:type="dxa"/>
            <w:vAlign w:val="bottom"/>
          </w:tcPr>
          <w:p>
            <w:pPr>
              <w:spacing w:after="0"/>
              <w:rPr>
                <w:sz w:val="17"/>
                <w:szCs w:val="17"/>
                <w:color w:val="auto"/>
              </w:rPr>
            </w:pPr>
          </w:p>
        </w:tc>
        <w:tc>
          <w:tcPr>
            <w:tcW w:w="96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r:id="rId164">
              <w:r>
                <w:rPr>
                  <w:rFonts w:ascii="Arial" w:cs="Arial" w:eastAsia="Arial" w:hAnsi="Arial"/>
                  <w:sz w:val="18"/>
                  <w:szCs w:val="18"/>
                  <w:color w:val="0000EE"/>
                  <w:w w:val="92"/>
                </w:rPr>
                <w:t>LLC, Domino’s Pizza Franchising LLC, Domino’s Pizza International Franchising Inc., Domino’s Pizza Canadian Distribution ULC,</w:t>
              </w:r>
            </w:hyperlink>
          </w:p>
        </w:tc>
        <w:tc>
          <w:tcPr>
            <w:tcW w:w="80" w:type="dxa"/>
            <w:vAlign w:val="bottom"/>
            <w:tcBorders>
              <w:top w:val="single" w:sz="8" w:color="0000EE"/>
            </w:tcBorders>
            <w:gridSpan w:val="2"/>
          </w:tcPr>
          <w:p>
            <w:pPr>
              <w:spacing w:after="0"/>
              <w:rPr>
                <w:sz w:val="17"/>
                <w:szCs w:val="17"/>
                <w:color w:val="auto"/>
              </w:rPr>
            </w:pPr>
          </w:p>
        </w:tc>
        <w:tc>
          <w:tcPr>
            <w:tcW w:w="240" w:type="dxa"/>
            <w:vAlign w:val="bottom"/>
            <w:gridSpan w:val="6"/>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58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Domino’s RE LLC and Domino’s EQ LLC, each as Guarantor, Domino’s Pizza LLC, as manager, certain conduit investors, financial</w:t>
              </w:r>
            </w:hyperlink>
          </w:p>
        </w:tc>
        <w:tc>
          <w:tcPr>
            <w:tcW w:w="340" w:type="dxa"/>
            <w:vAlign w:val="bottom"/>
            <w:gridSpan w:val="9"/>
          </w:tcPr>
          <w:p>
            <w:pPr>
              <w:spacing w:after="0"/>
              <w:rPr>
                <w:sz w:val="17"/>
                <w:szCs w:val="17"/>
                <w:color w:val="auto"/>
              </w:rPr>
            </w:pPr>
          </w:p>
        </w:tc>
      </w:tr>
      <w:tr>
        <w:trPr>
          <w:trHeight w:val="222"/>
        </w:trPr>
        <w:tc>
          <w:tcPr>
            <w:tcW w:w="1020" w:type="dxa"/>
            <w:vAlign w:val="bottom"/>
          </w:tcPr>
          <w:p>
            <w:pPr>
              <w:spacing w:after="0"/>
              <w:rPr>
                <w:sz w:val="19"/>
                <w:szCs w:val="19"/>
                <w:color w:val="auto"/>
              </w:rPr>
            </w:pPr>
          </w:p>
        </w:tc>
        <w:tc>
          <w:tcPr>
            <w:tcW w:w="9920" w:type="dxa"/>
            <w:vAlign w:val="bottom"/>
            <w:gridSpan w:val="25"/>
          </w:tcPr>
          <w:p>
            <w:pPr>
              <w:spacing w:after="0"/>
              <w:rPr>
                <w:rFonts w:ascii="Arial" w:cs="Arial" w:eastAsia="Arial" w:hAnsi="Arial"/>
                <w:sz w:val="18"/>
                <w:szCs w:val="18"/>
                <w:u w:val="single" w:color="auto"/>
                <w:color w:val="0000EE"/>
                <w:w w:val="91"/>
              </w:rPr>
            </w:pPr>
            <w:hyperlink r:id="rId164">
              <w:r>
                <w:rPr>
                  <w:rFonts w:ascii="Arial" w:cs="Arial" w:eastAsia="Arial" w:hAnsi="Arial"/>
                  <w:sz w:val="18"/>
                  <w:szCs w:val="18"/>
                  <w:u w:val="single" w:color="auto"/>
                  <w:color w:val="0000EE"/>
                  <w:w w:val="91"/>
                </w:rPr>
                <w:t>institutions and funding agents, and Coöperatieve Rabobank U.A., New York Branch, as provider of letters of credit, as swingline lender</w:t>
              </w:r>
            </w:hyperlink>
          </w:p>
        </w:tc>
      </w:tr>
      <w:tr>
        <w:trPr>
          <w:trHeight w:val="230"/>
        </w:trPr>
        <w:tc>
          <w:tcPr>
            <w:tcW w:w="1020" w:type="dxa"/>
            <w:vAlign w:val="bottom"/>
          </w:tcPr>
          <w:p>
            <w:pPr>
              <w:spacing w:after="0"/>
              <w:rPr>
                <w:sz w:val="20"/>
                <w:szCs w:val="20"/>
                <w:color w:val="auto"/>
              </w:rPr>
            </w:pPr>
          </w:p>
        </w:tc>
        <w:tc>
          <w:tcPr>
            <w:tcW w:w="9920" w:type="dxa"/>
            <w:vAlign w:val="bottom"/>
            <w:gridSpan w:val="25"/>
          </w:tcPr>
          <w:p>
            <w:pPr>
              <w:spacing w:after="0"/>
              <w:rPr>
                <w:rFonts w:ascii="Arial" w:cs="Arial" w:eastAsia="Arial" w:hAnsi="Arial"/>
                <w:sz w:val="18"/>
                <w:szCs w:val="18"/>
                <w:u w:val="single" w:color="auto"/>
                <w:color w:val="0000EE"/>
              </w:rPr>
            </w:pPr>
            <w:hyperlink r:id="rId164">
              <w:r>
                <w:rPr>
                  <w:rFonts w:ascii="Arial" w:cs="Arial" w:eastAsia="Arial" w:hAnsi="Arial"/>
                  <w:sz w:val="18"/>
                  <w:szCs w:val="18"/>
                  <w:u w:val="single" w:color="auto"/>
                  <w:color w:val="0000EE"/>
                </w:rPr>
                <w:t>and as administrative agent (Incorporated by reference to Exhibit 10.1 to the November 2019 8-K).</w:t>
              </w:r>
            </w:hyperlink>
          </w:p>
        </w:tc>
      </w:tr>
      <w:tr>
        <w:trPr>
          <w:trHeight w:val="283"/>
        </w:trPr>
        <w:tc>
          <w:tcPr>
            <w:tcW w:w="1020" w:type="dxa"/>
            <w:vAlign w:val="bottom"/>
          </w:tcPr>
          <w:p>
            <w:pPr>
              <w:jc w:val="right"/>
              <w:ind w:right="510"/>
              <w:spacing w:after="0"/>
              <w:rPr>
                <w:sz w:val="20"/>
                <w:szCs w:val="20"/>
                <w:color w:val="auto"/>
              </w:rPr>
            </w:pPr>
            <w:r>
              <w:rPr>
                <w:rFonts w:ascii="Arial" w:cs="Arial" w:eastAsia="Arial" w:hAnsi="Arial"/>
                <w:sz w:val="18"/>
                <w:szCs w:val="18"/>
                <w:color w:val="auto"/>
                <w:w w:val="88"/>
              </w:rPr>
              <w:t>10.62</w:t>
            </w:r>
          </w:p>
        </w:tc>
        <w:tc>
          <w:tcPr>
            <w:tcW w:w="9920" w:type="dxa"/>
            <w:vAlign w:val="bottom"/>
            <w:gridSpan w:val="25"/>
          </w:tcPr>
          <w:p>
            <w:pPr>
              <w:spacing w:after="0"/>
              <w:rPr>
                <w:rFonts w:ascii="Arial" w:cs="Arial" w:eastAsia="Arial" w:hAnsi="Arial"/>
                <w:sz w:val="18"/>
                <w:szCs w:val="18"/>
                <w:color w:val="0000EE"/>
                <w:w w:val="96"/>
              </w:rPr>
            </w:pPr>
            <w:hyperlink r:id="rId165">
              <w:r>
                <w:rPr>
                  <w:rFonts w:ascii="Arial" w:cs="Arial" w:eastAsia="Arial" w:hAnsi="Arial"/>
                  <w:sz w:val="18"/>
                  <w:szCs w:val="18"/>
                  <w:color w:val="0000EE"/>
                  <w:w w:val="96"/>
                </w:rPr>
                <w:t>Amended and Restated Guarantee and Collateral Agreement dated as of March 15, 2012 among Domino’s SPV Guarantor LLC,</w:t>
              </w:r>
            </w:hyperlink>
          </w:p>
        </w:tc>
      </w:tr>
      <w:tr>
        <w:trPr>
          <w:trHeight w:val="196"/>
        </w:trPr>
        <w:tc>
          <w:tcPr>
            <w:tcW w:w="1020" w:type="dxa"/>
            <w:vAlign w:val="bottom"/>
          </w:tcPr>
          <w:p>
            <w:pPr>
              <w:spacing w:after="0"/>
              <w:rPr>
                <w:sz w:val="17"/>
                <w:szCs w:val="17"/>
                <w:color w:val="auto"/>
              </w:rPr>
            </w:pPr>
          </w:p>
        </w:tc>
        <w:tc>
          <w:tcPr>
            <w:tcW w:w="9240" w:type="dxa"/>
            <w:vAlign w:val="bottom"/>
            <w:tcBorders>
              <w:top w:val="single" w:sz="8" w:color="0000EE"/>
            </w:tcBorders>
            <w:gridSpan w:val="6"/>
          </w:tcPr>
          <w:p>
            <w:pPr>
              <w:spacing w:after="0" w:line="196" w:lineRule="exact"/>
              <w:rPr>
                <w:rFonts w:ascii="Arial" w:cs="Arial" w:eastAsia="Arial" w:hAnsi="Arial"/>
                <w:sz w:val="18"/>
                <w:szCs w:val="18"/>
                <w:color w:val="0000EE"/>
                <w:w w:val="93"/>
              </w:rPr>
            </w:pPr>
            <w:hyperlink r:id="rId165">
              <w:r>
                <w:rPr>
                  <w:rFonts w:ascii="Arial" w:cs="Arial" w:eastAsia="Arial" w:hAnsi="Arial"/>
                  <w:sz w:val="18"/>
                  <w:szCs w:val="18"/>
                  <w:color w:val="0000EE"/>
                  <w:w w:val="93"/>
                </w:rPr>
                <w:t>Domino’s Pizza Franchising LLC, Domino’s Pizza International Franchising Inc., Domino’s Pizza Canadian Distribution ULC,</w:t>
              </w:r>
            </w:hyperlink>
          </w:p>
        </w:tc>
        <w:tc>
          <w:tcPr>
            <w:tcW w:w="680" w:type="dxa"/>
            <w:vAlign w:val="bottom"/>
            <w:gridSpan w:val="19"/>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6460" w:type="dxa"/>
            <w:vAlign w:val="bottom"/>
            <w:gridSpan w:val="3"/>
            <w:shd w:val="clear" w:color="auto" w:fill="0000EE"/>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400" w:type="dxa"/>
            <w:vAlign w:val="bottom"/>
            <w:gridSpan w:val="11"/>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920" w:type="dxa"/>
            <w:vAlign w:val="bottom"/>
            <w:gridSpan w:val="25"/>
          </w:tcPr>
          <w:p>
            <w:pPr>
              <w:spacing w:after="0" w:line="196" w:lineRule="exact"/>
              <w:rPr>
                <w:rFonts w:ascii="Arial" w:cs="Arial" w:eastAsia="Arial" w:hAnsi="Arial"/>
                <w:sz w:val="18"/>
                <w:szCs w:val="18"/>
                <w:color w:val="0000EE"/>
                <w:w w:val="95"/>
              </w:rPr>
            </w:pPr>
            <w:hyperlink r:id="rId165">
              <w:r>
                <w:rPr>
                  <w:rFonts w:ascii="Arial" w:cs="Arial" w:eastAsia="Arial" w:hAnsi="Arial"/>
                  <w:sz w:val="18"/>
                  <w:szCs w:val="18"/>
                  <w:color w:val="0000EE"/>
                  <w:w w:val="95"/>
                </w:rPr>
                <w:t>Domino’s RE LLC and Domino’s EQ LLC, each as a Guarantor, in favor of Citibank, N.A., as Trustee (Incorporated by reference to</w:t>
              </w:r>
            </w:hyperlink>
          </w:p>
        </w:tc>
      </w:tr>
      <w:tr>
        <w:trPr>
          <w:trHeight w:val="196"/>
        </w:trPr>
        <w:tc>
          <w:tcPr>
            <w:tcW w:w="102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165">
              <w:r>
                <w:rPr>
                  <w:rFonts w:ascii="Arial" w:cs="Arial" w:eastAsia="Arial" w:hAnsi="Arial"/>
                  <w:sz w:val="18"/>
                  <w:szCs w:val="18"/>
                  <w:color w:val="0000EE"/>
                  <w:w w:val="92"/>
                </w:rPr>
                <w:t>Exhibit 10.2 to the March 2012 8-K).</w:t>
              </w:r>
            </w:hyperlink>
          </w:p>
        </w:tc>
        <w:tc>
          <w:tcPr>
            <w:tcW w:w="6820" w:type="dxa"/>
            <w:vAlign w:val="bottom"/>
            <w:tcBorders>
              <w:top w:val="single" w:sz="8" w:color="0000EE"/>
            </w:tcBorders>
            <w:gridSpan w:val="12"/>
          </w:tcPr>
          <w:p>
            <w:pPr>
              <w:spacing w:after="0"/>
              <w:rPr>
                <w:sz w:val="17"/>
                <w:szCs w:val="17"/>
                <w:color w:val="auto"/>
              </w:rPr>
            </w:pPr>
          </w:p>
        </w:tc>
        <w:tc>
          <w:tcPr>
            <w:tcW w:w="400" w:type="dxa"/>
            <w:vAlign w:val="bottom"/>
            <w:gridSpan w:val="11"/>
          </w:tcPr>
          <w:p>
            <w:pPr>
              <w:spacing w:after="0"/>
              <w:rPr>
                <w:sz w:val="17"/>
                <w:szCs w:val="17"/>
                <w:color w:val="auto"/>
              </w:rPr>
            </w:pPr>
          </w:p>
        </w:tc>
      </w:tr>
      <w:tr>
        <w:trPr>
          <w:trHeight w:val="385"/>
        </w:trPr>
        <w:tc>
          <w:tcPr>
            <w:tcW w:w="1020" w:type="dxa"/>
            <w:vAlign w:val="bottom"/>
          </w:tcPr>
          <w:p>
            <w:pPr>
              <w:spacing w:after="0"/>
              <w:rPr>
                <w:sz w:val="24"/>
                <w:szCs w:val="24"/>
                <w:color w:val="auto"/>
              </w:rPr>
            </w:pPr>
          </w:p>
        </w:tc>
        <w:tc>
          <w:tcPr>
            <w:tcW w:w="4660" w:type="dxa"/>
            <w:vAlign w:val="bottom"/>
            <w:gridSpan w:val="3"/>
          </w:tcPr>
          <w:p>
            <w:pPr>
              <w:ind w:left="4320"/>
              <w:spacing w:after="0"/>
              <w:rPr>
                <w:sz w:val="20"/>
                <w:szCs w:val="20"/>
                <w:color w:val="auto"/>
              </w:rPr>
            </w:pPr>
            <w:r>
              <w:rPr>
                <w:rFonts w:ascii="Arial" w:cs="Arial" w:eastAsia="Arial" w:hAnsi="Arial"/>
                <w:sz w:val="18"/>
                <w:szCs w:val="18"/>
                <w:color w:val="auto"/>
              </w:rPr>
              <w:t>84</w:t>
            </w:r>
          </w:p>
        </w:tc>
        <w:tc>
          <w:tcPr>
            <w:tcW w:w="2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00" w:type="dxa"/>
            <w:vAlign w:val="bottom"/>
          </w:tcPr>
          <w:p>
            <w:pPr>
              <w:ind w:left="80"/>
              <w:spacing w:after="0"/>
              <w:rPr>
                <w:sz w:val="20"/>
                <w:szCs w:val="20"/>
                <w:color w:val="auto"/>
              </w:rPr>
            </w:pPr>
            <w:r>
              <w:rPr>
                <w:rFonts w:ascii="Arial" w:cs="Arial" w:eastAsia="Arial" w:hAnsi="Arial"/>
                <w:sz w:val="18"/>
                <w:szCs w:val="18"/>
                <w:color w:val="auto"/>
              </w:rPr>
              <w:t>10.63</w:t>
            </w:r>
          </w:p>
        </w:tc>
        <w:tc>
          <w:tcPr>
            <w:tcW w:w="9880" w:type="dxa"/>
            <w:vAlign w:val="bottom"/>
            <w:gridSpan w:val="21"/>
          </w:tcPr>
          <w:p>
            <w:pPr>
              <w:spacing w:after="0"/>
              <w:rPr>
                <w:rFonts w:ascii="Arial" w:cs="Arial" w:eastAsia="Arial" w:hAnsi="Arial"/>
                <w:sz w:val="18"/>
                <w:szCs w:val="18"/>
                <w:color w:val="0000EE"/>
                <w:w w:val="96"/>
              </w:rPr>
            </w:pPr>
            <w:hyperlink r:id="rId167">
              <w:r>
                <w:rPr>
                  <w:rFonts w:ascii="Arial" w:cs="Arial" w:eastAsia="Arial" w:hAnsi="Arial"/>
                  <w:sz w:val="18"/>
                  <w:szCs w:val="18"/>
                  <w:color w:val="0000EE"/>
                  <w:w w:val="96"/>
                </w:rPr>
                <w:t>Amended and Restated Management Agreement dated as of March 15, 2012 among Domino’s Pizza Master Issuer LLC, certain</w:t>
              </w:r>
            </w:hyperlink>
          </w:p>
        </w:tc>
      </w:tr>
      <w:tr>
        <w:trPr>
          <w:trHeight w:val="20"/>
        </w:trPr>
        <w:tc>
          <w:tcPr>
            <w:tcW w:w="110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3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subsidiaries of Domino’s Pizza Master Issuer LLC party thereto, Domino’s Pizza LLC, as Manager and in its individual capacity,</w:t>
              </w:r>
            </w:hyperlink>
          </w:p>
        </w:tc>
        <w:tc>
          <w:tcPr>
            <w:tcW w:w="560" w:type="dxa"/>
            <w:vAlign w:val="bottom"/>
            <w:gridSpan w:val="13"/>
          </w:tcPr>
          <w:p>
            <w:pPr>
              <w:spacing w:after="0"/>
              <w:rPr>
                <w:sz w:val="17"/>
                <w:szCs w:val="17"/>
                <w:color w:val="auto"/>
              </w:rPr>
            </w:pPr>
          </w:p>
        </w:tc>
      </w:tr>
      <w:tr>
        <w:trPr>
          <w:trHeight w:val="237"/>
        </w:trPr>
        <w:tc>
          <w:tcPr>
            <w:tcW w:w="1100" w:type="dxa"/>
            <w:vAlign w:val="bottom"/>
          </w:tcPr>
          <w:p>
            <w:pPr>
              <w:spacing w:after="0"/>
              <w:rPr>
                <w:sz w:val="20"/>
                <w:szCs w:val="20"/>
                <w:color w:val="auto"/>
              </w:rPr>
            </w:pPr>
          </w:p>
        </w:tc>
        <w:tc>
          <w:tcPr>
            <w:tcW w:w="9880" w:type="dxa"/>
            <w:vAlign w:val="bottom"/>
            <w:gridSpan w:val="21"/>
          </w:tcPr>
          <w:p>
            <w:pPr>
              <w:spacing w:after="0"/>
              <w:rPr>
                <w:rFonts w:ascii="Arial" w:cs="Arial" w:eastAsia="Arial" w:hAnsi="Arial"/>
                <w:sz w:val="18"/>
                <w:szCs w:val="18"/>
                <w:u w:val="single" w:color="auto"/>
                <w:color w:val="0000EE"/>
              </w:rPr>
            </w:pPr>
            <w:hyperlink r:id="rId167">
              <w:r>
                <w:rPr>
                  <w:rFonts w:ascii="Arial" w:cs="Arial" w:eastAsia="Arial" w:hAnsi="Arial"/>
                  <w:sz w:val="18"/>
                  <w:szCs w:val="18"/>
                  <w:u w:val="single" w:color="auto"/>
                  <w:color w:val="0000EE"/>
                </w:rPr>
                <w:t>Domino’s Pizza NS Co., and Citibank, N.A. as Trustee (Incorporated by reference to Exhibit 10.3 to the March 2012 8-K).</w:t>
              </w:r>
            </w:hyperlink>
          </w:p>
        </w:tc>
      </w:tr>
      <w:tr>
        <w:trPr>
          <w:trHeight w:val="283"/>
        </w:trPr>
        <w:tc>
          <w:tcPr>
            <w:tcW w:w="1100" w:type="dxa"/>
            <w:vAlign w:val="bottom"/>
          </w:tcPr>
          <w:p>
            <w:pPr>
              <w:ind w:left="80"/>
              <w:spacing w:after="0"/>
              <w:rPr>
                <w:sz w:val="20"/>
                <w:szCs w:val="20"/>
                <w:color w:val="auto"/>
              </w:rPr>
            </w:pPr>
            <w:r>
              <w:rPr>
                <w:rFonts w:ascii="Arial" w:cs="Arial" w:eastAsia="Arial" w:hAnsi="Arial"/>
                <w:sz w:val="18"/>
                <w:szCs w:val="18"/>
                <w:color w:val="auto"/>
              </w:rPr>
              <w:t>10.64</w:t>
            </w:r>
          </w:p>
        </w:tc>
        <w:tc>
          <w:tcPr>
            <w:tcW w:w="9880" w:type="dxa"/>
            <w:vAlign w:val="bottom"/>
            <w:gridSpan w:val="21"/>
          </w:tcPr>
          <w:p>
            <w:pPr>
              <w:spacing w:after="0"/>
              <w:rPr>
                <w:rFonts w:ascii="Arial" w:cs="Arial" w:eastAsia="Arial" w:hAnsi="Arial"/>
                <w:sz w:val="18"/>
                <w:szCs w:val="18"/>
                <w:color w:val="0000EE"/>
                <w:w w:val="93"/>
              </w:rPr>
            </w:pPr>
            <w:hyperlink r:id="rId168">
              <w:r>
                <w:rPr>
                  <w:rFonts w:ascii="Arial" w:cs="Arial" w:eastAsia="Arial" w:hAnsi="Arial"/>
                  <w:sz w:val="18"/>
                  <w:szCs w:val="18"/>
                  <w:color w:val="0000EE"/>
                  <w:w w:val="93"/>
                </w:rPr>
                <w:t>Amendment No. 1 dated as of October 21, 2015 to the Amended and Restated Management Agreement dated as of March 15, 2012</w:t>
              </w:r>
            </w:hyperlink>
          </w:p>
        </w:tc>
      </w:tr>
      <w:tr>
        <w:trPr>
          <w:trHeight w:val="20"/>
        </w:trPr>
        <w:tc>
          <w:tcPr>
            <w:tcW w:w="110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5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68">
              <w:r>
                <w:rPr>
                  <w:rFonts w:ascii="Arial" w:cs="Arial" w:eastAsia="Arial" w:hAnsi="Arial"/>
                  <w:sz w:val="18"/>
                  <w:szCs w:val="18"/>
                  <w:color w:val="0000EE"/>
                  <w:w w:val="91"/>
                </w:rPr>
                <w:t>among Domino’s Pizza Master Issuer LLC, certain subsidiaries of Domino’s Pizza Master Issuer LLC party thereto, Domino’s Pizza</w:t>
              </w:r>
            </w:hyperlink>
          </w:p>
        </w:tc>
        <w:tc>
          <w:tcPr>
            <w:tcW w:w="320" w:type="dxa"/>
            <w:vAlign w:val="bottom"/>
            <w:gridSpan w:val="8"/>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880" w:type="dxa"/>
            <w:vAlign w:val="bottom"/>
            <w:gridSpan w:val="21"/>
          </w:tcPr>
          <w:p>
            <w:pPr>
              <w:spacing w:after="0" w:line="196" w:lineRule="exact"/>
              <w:rPr>
                <w:rFonts w:ascii="Arial" w:cs="Arial" w:eastAsia="Arial" w:hAnsi="Arial"/>
                <w:sz w:val="18"/>
                <w:szCs w:val="18"/>
                <w:color w:val="0000EE"/>
                <w:w w:val="94"/>
              </w:rPr>
            </w:pPr>
            <w:hyperlink r:id="rId168">
              <w:r>
                <w:rPr>
                  <w:rFonts w:ascii="Arial" w:cs="Arial" w:eastAsia="Arial" w:hAnsi="Arial"/>
                  <w:sz w:val="18"/>
                  <w:szCs w:val="18"/>
                  <w:color w:val="0000EE"/>
                  <w:w w:val="94"/>
                </w:rPr>
                <w:t>LLC, as Manager and in its individual capacity, Domino’s Pizza NS Co., and Citibank, N.A. as Trustee (Incorporated by reference to</w:t>
              </w:r>
            </w:hyperlink>
          </w:p>
        </w:tc>
      </w:tr>
      <w:tr>
        <w:trPr>
          <w:trHeight w:val="196"/>
        </w:trPr>
        <w:tc>
          <w:tcPr>
            <w:tcW w:w="1100" w:type="dxa"/>
            <w:vAlign w:val="bottom"/>
          </w:tcPr>
          <w:p>
            <w:pPr>
              <w:spacing w:after="0"/>
              <w:rPr>
                <w:sz w:val="17"/>
                <w:szCs w:val="17"/>
                <w:color w:val="auto"/>
              </w:rPr>
            </w:pPr>
          </w:p>
        </w:tc>
        <w:tc>
          <w:tcPr>
            <w:tcW w:w="95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Exhibit 10.3 to the October 2015 8-K).</w:t>
              </w:r>
            </w:hyperlink>
          </w:p>
        </w:tc>
        <w:tc>
          <w:tcPr>
            <w:tcW w:w="320" w:type="dxa"/>
            <w:vAlign w:val="bottom"/>
            <w:gridSpan w:val="8"/>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00" w:type="dxa"/>
            <w:vAlign w:val="bottom"/>
          </w:tcPr>
          <w:p>
            <w:pPr>
              <w:ind w:left="80"/>
              <w:spacing w:after="0"/>
              <w:rPr>
                <w:sz w:val="20"/>
                <w:szCs w:val="20"/>
                <w:color w:val="auto"/>
              </w:rPr>
            </w:pPr>
            <w:r>
              <w:rPr>
                <w:rFonts w:ascii="Arial" w:cs="Arial" w:eastAsia="Arial" w:hAnsi="Arial"/>
                <w:sz w:val="18"/>
                <w:szCs w:val="18"/>
                <w:color w:val="auto"/>
              </w:rPr>
              <w:t>10.65</w:t>
            </w:r>
          </w:p>
        </w:tc>
        <w:tc>
          <w:tcPr>
            <w:tcW w:w="9720" w:type="dxa"/>
            <w:vAlign w:val="bottom"/>
            <w:tcBorders>
              <w:bottom w:val="single" w:sz="8" w:color="0000EE"/>
            </w:tcBorders>
            <w:gridSpan w:val="17"/>
          </w:tcPr>
          <w:p>
            <w:pPr>
              <w:spacing w:after="0"/>
              <w:rPr>
                <w:rFonts w:ascii="Arial" w:cs="Arial" w:eastAsia="Arial" w:hAnsi="Arial"/>
                <w:sz w:val="18"/>
                <w:szCs w:val="18"/>
                <w:color w:val="0000EE"/>
                <w:w w:val="89"/>
              </w:rPr>
            </w:pPr>
            <w:hyperlink r:id="rId169">
              <w:r>
                <w:rPr>
                  <w:rFonts w:ascii="Arial" w:cs="Arial" w:eastAsia="Arial" w:hAnsi="Arial"/>
                  <w:sz w:val="18"/>
                  <w:szCs w:val="18"/>
                  <w:color w:val="0000EE"/>
                  <w:w w:val="89"/>
                </w:rPr>
                <w:t>Amendment No. 2 dated as of July 24, 2017 to the Amended and Restated Management Agreement dated as of March 15, 2012 by and</w:t>
              </w:r>
            </w:hyperlink>
          </w:p>
        </w:tc>
        <w:tc>
          <w:tcPr>
            <w:tcW w:w="160" w:type="dxa"/>
            <w:vAlign w:val="bottom"/>
            <w:gridSpan w:val="4"/>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5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69">
              <w:r>
                <w:rPr>
                  <w:rFonts w:ascii="Arial" w:cs="Arial" w:eastAsia="Arial" w:hAnsi="Arial"/>
                  <w:sz w:val="18"/>
                  <w:szCs w:val="18"/>
                  <w:color w:val="0000EE"/>
                  <w:w w:val="91"/>
                </w:rPr>
                <w:t>among Domino’s Pizza Master Issuer LLC, certain subsidiaries of Domino’s Pizza Master Issuer LLC party thereto, Domino’s SPV</w:t>
              </w:r>
            </w:hyperlink>
          </w:p>
        </w:tc>
        <w:tc>
          <w:tcPr>
            <w:tcW w:w="380" w:type="dxa"/>
            <w:vAlign w:val="bottom"/>
            <w:gridSpan w:val="10"/>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86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69">
              <w:r>
                <w:rPr>
                  <w:rFonts w:ascii="Arial" w:cs="Arial" w:eastAsia="Arial" w:hAnsi="Arial"/>
                  <w:sz w:val="18"/>
                  <w:szCs w:val="18"/>
                  <w:color w:val="0000EE"/>
                  <w:w w:val="91"/>
                </w:rPr>
                <w:t>Guarantor LLC, Domino’s Pizza LLC, as manager and in its individual capacity, Domino’s Pizza NS Co., and Citibank, N.A., as Trustee</w:t>
              </w:r>
            </w:hyperlink>
          </w:p>
        </w:tc>
        <w:tc>
          <w:tcPr>
            <w:tcW w:w="2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880" w:type="dxa"/>
            <w:vAlign w:val="bottom"/>
            <w:gridSpan w:val="21"/>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(Incorporated by reference to Exhibit 10.1 to the July 2017 8-K)).</w:t>
              </w:r>
            </w:hyperlink>
          </w:p>
        </w:tc>
      </w:tr>
      <w:tr>
        <w:trPr>
          <w:trHeight w:val="20"/>
        </w:trPr>
        <w:tc>
          <w:tcPr>
            <w:tcW w:w="110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100" w:type="dxa"/>
            <w:vAlign w:val="bottom"/>
          </w:tcPr>
          <w:p>
            <w:pPr>
              <w:ind w:left="80"/>
              <w:spacing w:after="0"/>
              <w:rPr>
                <w:sz w:val="20"/>
                <w:szCs w:val="20"/>
                <w:color w:val="auto"/>
              </w:rPr>
            </w:pPr>
            <w:r>
              <w:rPr>
                <w:rFonts w:ascii="Arial" w:cs="Arial" w:eastAsia="Arial" w:hAnsi="Arial"/>
                <w:sz w:val="18"/>
                <w:szCs w:val="18"/>
                <w:color w:val="auto"/>
              </w:rPr>
              <w:t>10.66</w:t>
            </w:r>
          </w:p>
        </w:tc>
        <w:tc>
          <w:tcPr>
            <w:tcW w:w="9880" w:type="dxa"/>
            <w:vAlign w:val="bottom"/>
            <w:gridSpan w:val="21"/>
          </w:tcPr>
          <w:p>
            <w:pPr>
              <w:spacing w:after="0"/>
              <w:rPr>
                <w:rFonts w:ascii="Arial" w:cs="Arial" w:eastAsia="Arial" w:hAnsi="Arial"/>
                <w:sz w:val="18"/>
                <w:szCs w:val="18"/>
                <w:color w:val="0000EE"/>
                <w:w w:val="93"/>
              </w:rPr>
            </w:pPr>
            <w:hyperlink r:id="rId170">
              <w:r>
                <w:rPr>
                  <w:rFonts w:ascii="Arial" w:cs="Arial" w:eastAsia="Arial" w:hAnsi="Arial"/>
                  <w:sz w:val="18"/>
                  <w:szCs w:val="18"/>
                  <w:color w:val="0000EE"/>
                  <w:w w:val="93"/>
                </w:rPr>
                <w:t>Parent Company Support Agreement dated as of March 15, 2012 made by Domino’s Pizza, Inc. in favor of Citibank, N.A., as Trustee</w:t>
              </w:r>
            </w:hyperlink>
          </w:p>
        </w:tc>
      </w:tr>
      <w:tr>
        <w:trPr>
          <w:trHeight w:val="196"/>
        </w:trPr>
        <w:tc>
          <w:tcPr>
            <w:tcW w:w="1100" w:type="dxa"/>
            <w:vAlign w:val="bottom"/>
          </w:tcPr>
          <w:p>
            <w:pPr>
              <w:spacing w:after="0"/>
              <w:rPr>
                <w:sz w:val="17"/>
                <w:szCs w:val="17"/>
                <w:color w:val="auto"/>
              </w:rPr>
            </w:pPr>
          </w:p>
        </w:tc>
        <w:tc>
          <w:tcPr>
            <w:tcW w:w="96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(Incorporated by reference to Exhibit 10.4 to the October 2015 8-K).</w:t>
              </w:r>
            </w:hyperlink>
          </w:p>
        </w:tc>
        <w:tc>
          <w:tcPr>
            <w:tcW w:w="260" w:type="dxa"/>
            <w:vAlign w:val="bottom"/>
            <w:gridSpan w:val="6"/>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3080" w:type="dxa"/>
            <w:vAlign w:val="bottom"/>
            <w:gridSpan w:val="3"/>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100" w:type="dxa"/>
            <w:vAlign w:val="bottom"/>
          </w:tcPr>
          <w:p>
            <w:pPr>
              <w:ind w:left="80"/>
              <w:spacing w:after="0"/>
              <w:rPr>
                <w:sz w:val="20"/>
                <w:szCs w:val="20"/>
                <w:color w:val="auto"/>
              </w:rPr>
            </w:pPr>
            <w:r>
              <w:rPr>
                <w:rFonts w:ascii="Arial" w:cs="Arial" w:eastAsia="Arial" w:hAnsi="Arial"/>
                <w:sz w:val="18"/>
                <w:szCs w:val="18"/>
                <w:color w:val="auto"/>
              </w:rPr>
              <w:t>10.67</w:t>
            </w:r>
          </w:p>
        </w:tc>
        <w:tc>
          <w:tcPr>
            <w:tcW w:w="9300" w:type="dxa"/>
            <w:vAlign w:val="bottom"/>
            <w:tcBorders>
              <w:bottom w:val="single" w:sz="8" w:color="0000EE"/>
            </w:tcBorders>
            <w:gridSpan w:val="7"/>
          </w:tcPr>
          <w:p>
            <w:pPr>
              <w:spacing w:after="0"/>
              <w:rPr>
                <w:rFonts w:ascii="Arial" w:cs="Arial" w:eastAsia="Arial" w:hAnsi="Arial"/>
                <w:sz w:val="18"/>
                <w:szCs w:val="18"/>
                <w:color w:val="0000EE"/>
                <w:w w:val="89"/>
              </w:rPr>
            </w:pPr>
            <w:hyperlink r:id="rId171">
              <w:r>
                <w:rPr>
                  <w:rFonts w:ascii="Arial" w:cs="Arial" w:eastAsia="Arial" w:hAnsi="Arial"/>
                  <w:sz w:val="18"/>
                  <w:szCs w:val="18"/>
                  <w:color w:val="0000EE"/>
                  <w:w w:val="89"/>
                </w:rPr>
                <w:t>Amendment No. 1 dated as of October 21, 2015 to the Parent Company Support Agreement dated as of March 15, 2012 made by</w:t>
              </w:r>
            </w:hyperlink>
          </w:p>
        </w:tc>
        <w:tc>
          <w:tcPr>
            <w:tcW w:w="580" w:type="dxa"/>
            <w:vAlign w:val="bottom"/>
            <w:gridSpan w:val="14"/>
          </w:tcPr>
          <w:p>
            <w:pPr>
              <w:spacing w:after="0"/>
              <w:rPr>
                <w:sz w:val="24"/>
                <w:szCs w:val="24"/>
                <w:color w:val="auto"/>
              </w:rPr>
            </w:pPr>
          </w:p>
        </w:tc>
      </w:tr>
      <w:tr>
        <w:trPr>
          <w:trHeight w:val="237"/>
        </w:trPr>
        <w:tc>
          <w:tcPr>
            <w:tcW w:w="1100" w:type="dxa"/>
            <w:vAlign w:val="bottom"/>
          </w:tcPr>
          <w:p>
            <w:pPr>
              <w:spacing w:after="0"/>
              <w:rPr>
                <w:sz w:val="20"/>
                <w:szCs w:val="20"/>
                <w:color w:val="auto"/>
              </w:rPr>
            </w:pPr>
          </w:p>
        </w:tc>
        <w:tc>
          <w:tcPr>
            <w:tcW w:w="9880" w:type="dxa"/>
            <w:vAlign w:val="bottom"/>
            <w:gridSpan w:val="21"/>
          </w:tcPr>
          <w:p>
            <w:pPr>
              <w:spacing w:after="0"/>
              <w:rPr>
                <w:rFonts w:ascii="Arial" w:cs="Arial" w:eastAsia="Arial" w:hAnsi="Arial"/>
                <w:sz w:val="18"/>
                <w:szCs w:val="18"/>
                <w:u w:val="single" w:color="auto"/>
                <w:color w:val="0000EE"/>
                <w:w w:val="98"/>
              </w:rPr>
            </w:pPr>
            <w:hyperlink r:id="rId171">
              <w:r>
                <w:rPr>
                  <w:rFonts w:ascii="Arial" w:cs="Arial" w:eastAsia="Arial" w:hAnsi="Arial"/>
                  <w:sz w:val="18"/>
                  <w:szCs w:val="18"/>
                  <w:u w:val="single" w:color="auto"/>
                  <w:color w:val="0000EE"/>
                  <w:w w:val="98"/>
                </w:rPr>
                <w:t>Domino’s Pizza, Inc. in favor of Citibank, N.A., as Trustee (Incorporated by reference to Exhibit 10.5 to the October 2015 8-K).</w:t>
              </w:r>
            </w:hyperlink>
          </w:p>
        </w:tc>
      </w:tr>
      <w:tr>
        <w:trPr>
          <w:trHeight w:val="283"/>
        </w:trPr>
        <w:tc>
          <w:tcPr>
            <w:tcW w:w="1100" w:type="dxa"/>
            <w:vAlign w:val="bottom"/>
          </w:tcPr>
          <w:p>
            <w:pPr>
              <w:ind w:left="80"/>
              <w:spacing w:after="0"/>
              <w:rPr>
                <w:sz w:val="20"/>
                <w:szCs w:val="20"/>
                <w:color w:val="auto"/>
              </w:rPr>
            </w:pPr>
            <w:r>
              <w:rPr>
                <w:rFonts w:ascii="Arial" w:cs="Arial" w:eastAsia="Arial" w:hAnsi="Arial"/>
                <w:sz w:val="18"/>
                <w:szCs w:val="18"/>
                <w:color w:val="auto"/>
              </w:rPr>
              <w:t>10.68</w:t>
            </w:r>
          </w:p>
        </w:tc>
        <w:tc>
          <w:tcPr>
            <w:tcW w:w="9880" w:type="dxa"/>
            <w:vAlign w:val="bottom"/>
            <w:gridSpan w:val="21"/>
          </w:tcPr>
          <w:p>
            <w:pPr>
              <w:spacing w:after="0"/>
              <w:rPr>
                <w:rFonts w:ascii="Arial" w:cs="Arial" w:eastAsia="Arial" w:hAnsi="Arial"/>
                <w:sz w:val="18"/>
                <w:szCs w:val="18"/>
                <w:color w:val="0000EE"/>
                <w:w w:val="92"/>
              </w:rPr>
            </w:pPr>
            <w:hyperlink r:id="rId172">
              <w:r>
                <w:rPr>
                  <w:rFonts w:ascii="Arial" w:cs="Arial" w:eastAsia="Arial" w:hAnsi="Arial"/>
                  <w:sz w:val="18"/>
                  <w:szCs w:val="18"/>
                  <w:color w:val="0000EE"/>
                  <w:w w:val="92"/>
                </w:rPr>
                <w:t>Omnibus Amendment No. 1, dated December 15, 2017, among Domino’s Pizza Master Issuer LLC, Domino’s SPV Canadian Holding</w:t>
              </w:r>
            </w:hyperlink>
          </w:p>
        </w:tc>
      </w:tr>
      <w:tr>
        <w:trPr>
          <w:trHeight w:val="196"/>
        </w:trPr>
        <w:tc>
          <w:tcPr>
            <w:tcW w:w="1100" w:type="dxa"/>
            <w:vAlign w:val="bottom"/>
          </w:tcPr>
          <w:p>
            <w:pPr>
              <w:spacing w:after="0"/>
              <w:rPr>
                <w:sz w:val="17"/>
                <w:szCs w:val="17"/>
                <w:color w:val="auto"/>
              </w:rPr>
            </w:pPr>
          </w:p>
        </w:tc>
        <w:tc>
          <w:tcPr>
            <w:tcW w:w="9680" w:type="dxa"/>
            <w:vAlign w:val="bottom"/>
            <w:tcBorders>
              <w:top w:val="single" w:sz="8" w:color="0000EE"/>
            </w:tcBorders>
            <w:gridSpan w:val="16"/>
          </w:tcPr>
          <w:p>
            <w:pPr>
              <w:spacing w:after="0" w:line="196" w:lineRule="exact"/>
              <w:rPr>
                <w:rFonts w:ascii="Arial" w:cs="Arial" w:eastAsia="Arial" w:hAnsi="Arial"/>
                <w:sz w:val="18"/>
                <w:szCs w:val="18"/>
                <w:color w:val="0000EE"/>
                <w:w w:val="94"/>
              </w:rPr>
            </w:pPr>
            <w:hyperlink r:id="rId172">
              <w:r>
                <w:rPr>
                  <w:rFonts w:ascii="Arial" w:cs="Arial" w:eastAsia="Arial" w:hAnsi="Arial"/>
                  <w:sz w:val="18"/>
                  <w:szCs w:val="18"/>
                  <w:color w:val="0000EE"/>
                  <w:w w:val="94"/>
                </w:rPr>
                <w:t>Company Inc., Domino’s Pizza Distribution LLC and Domino’s IP Holder LLC, each as Co-Issuer, Domino’s SPV Guarantor LLC,</w:t>
              </w:r>
            </w:hyperlink>
          </w:p>
        </w:tc>
        <w:tc>
          <w:tcPr>
            <w:tcW w:w="200" w:type="dxa"/>
            <w:vAlign w:val="bottom"/>
            <w:gridSpan w:val="5"/>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480" w:type="dxa"/>
            <w:vAlign w:val="bottom"/>
            <w:tcBorders>
              <w:top w:val="single" w:sz="8" w:color="0000EE"/>
            </w:tcBorders>
            <w:gridSpan w:val="10"/>
          </w:tcPr>
          <w:p>
            <w:pPr>
              <w:spacing w:after="0" w:line="196" w:lineRule="exact"/>
              <w:rPr>
                <w:rFonts w:ascii="Arial" w:cs="Arial" w:eastAsia="Arial" w:hAnsi="Arial"/>
                <w:sz w:val="18"/>
                <w:szCs w:val="18"/>
                <w:color w:val="0000EE"/>
                <w:w w:val="95"/>
              </w:rPr>
            </w:pPr>
            <w:hyperlink r:id="rId172">
              <w:r>
                <w:rPr>
                  <w:rFonts w:ascii="Arial" w:cs="Arial" w:eastAsia="Arial" w:hAnsi="Arial"/>
                  <w:sz w:val="18"/>
                  <w:szCs w:val="18"/>
                  <w:color w:val="0000EE"/>
                  <w:w w:val="95"/>
                </w:rPr>
                <w:t>Domino’s Pizza Franchising LLC, Domino’s Pizza International Franchising Inc., Domino’s Pizza Canadian Distribution ULC,</w:t>
              </w:r>
            </w:hyperlink>
          </w:p>
        </w:tc>
        <w:tc>
          <w:tcPr>
            <w:tcW w:w="400" w:type="dxa"/>
            <w:vAlign w:val="bottom"/>
            <w:gridSpan w:val="11"/>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3940" w:type="dxa"/>
            <w:vAlign w:val="bottom"/>
            <w:gridSpan w:val="4"/>
            <w:shd w:val="clear" w:color="auto" w:fill="0000EE"/>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5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Domino’s RE LLC and Domino’s EQ LLC, each as Guarantor, Domino’s Pizza LLC, as manager, certain conduit investors, financial</w:t>
              </w:r>
            </w:hyperlink>
          </w:p>
        </w:tc>
        <w:tc>
          <w:tcPr>
            <w:tcW w:w="300" w:type="dxa"/>
            <w:vAlign w:val="bottom"/>
            <w:gridSpan w:val="7"/>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84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institutions and funding agents, and Coöperatieve Rabobank U.A., New York Branch, as provider of letters of credit, as swingline lender</w:t>
              </w:r>
            </w:hyperlink>
          </w:p>
        </w:tc>
        <w:tc>
          <w:tcPr>
            <w:tcW w:w="40" w:type="dxa"/>
            <w:vAlign w:val="bottom"/>
            <w:gridSpan w:val="2"/>
          </w:tcPr>
          <w:p>
            <w:pPr>
              <w:spacing w:after="0"/>
              <w:rPr>
                <w:sz w:val="17"/>
                <w:szCs w:val="17"/>
                <w:color w:val="auto"/>
              </w:rPr>
            </w:pPr>
          </w:p>
        </w:tc>
      </w:tr>
      <w:tr>
        <w:trPr>
          <w:trHeight w:val="222"/>
        </w:trPr>
        <w:tc>
          <w:tcPr>
            <w:tcW w:w="1100" w:type="dxa"/>
            <w:vAlign w:val="bottom"/>
          </w:tcPr>
          <w:p>
            <w:pPr>
              <w:spacing w:after="0"/>
              <w:rPr>
                <w:sz w:val="19"/>
                <w:szCs w:val="19"/>
                <w:color w:val="auto"/>
              </w:rPr>
            </w:pPr>
          </w:p>
        </w:tc>
        <w:tc>
          <w:tcPr>
            <w:tcW w:w="9880" w:type="dxa"/>
            <w:vAlign w:val="bottom"/>
            <w:gridSpan w:val="21"/>
          </w:tcPr>
          <w:p>
            <w:pPr>
              <w:spacing w:after="0"/>
              <w:rPr>
                <w:rFonts w:ascii="Arial" w:cs="Arial" w:eastAsia="Arial" w:hAnsi="Arial"/>
                <w:sz w:val="18"/>
                <w:szCs w:val="18"/>
                <w:u w:val="single" w:color="auto"/>
                <w:color w:val="0000EE"/>
                <w:w w:val="92"/>
              </w:rPr>
            </w:pPr>
            <w:hyperlink r:id="rId172">
              <w:r>
                <w:rPr>
                  <w:rFonts w:ascii="Arial" w:cs="Arial" w:eastAsia="Arial" w:hAnsi="Arial"/>
                  <w:sz w:val="18"/>
                  <w:szCs w:val="18"/>
                  <w:u w:val="single" w:color="auto"/>
                  <w:color w:val="0000EE"/>
                  <w:w w:val="92"/>
                </w:rPr>
                <w:t>and as administrative agent (Incorporated by reference to Exhibit 10.1 to the Domino’s Pizza, Inc. Current Report on Form 8-K, filed on</w:t>
              </w:r>
            </w:hyperlink>
          </w:p>
        </w:tc>
      </w:tr>
      <w:tr>
        <w:trPr>
          <w:trHeight w:val="230"/>
        </w:trPr>
        <w:tc>
          <w:tcPr>
            <w:tcW w:w="1100" w:type="dxa"/>
            <w:vAlign w:val="bottom"/>
          </w:tcPr>
          <w:p>
            <w:pPr>
              <w:spacing w:after="0"/>
              <w:rPr>
                <w:sz w:val="20"/>
                <w:szCs w:val="20"/>
                <w:color w:val="auto"/>
              </w:rPr>
            </w:pPr>
          </w:p>
        </w:tc>
        <w:tc>
          <w:tcPr>
            <w:tcW w:w="9880" w:type="dxa"/>
            <w:vAlign w:val="bottom"/>
            <w:gridSpan w:val="21"/>
          </w:tcPr>
          <w:p>
            <w:pPr>
              <w:spacing w:after="0"/>
              <w:rPr>
                <w:rFonts w:ascii="Arial" w:cs="Arial" w:eastAsia="Arial" w:hAnsi="Arial"/>
                <w:sz w:val="18"/>
                <w:szCs w:val="18"/>
                <w:u w:val="single" w:color="auto"/>
                <w:color w:val="0000EE"/>
              </w:rPr>
            </w:pPr>
            <w:hyperlink r:id="rId172">
              <w:r>
                <w:rPr>
                  <w:rFonts w:ascii="Arial" w:cs="Arial" w:eastAsia="Arial" w:hAnsi="Arial"/>
                  <w:sz w:val="18"/>
                  <w:szCs w:val="18"/>
                  <w:u w:val="single" w:color="auto"/>
                  <w:color w:val="0000EE"/>
                </w:rPr>
                <w:t>December 19, 2017).</w:t>
              </w:r>
            </w:hyperlink>
          </w:p>
        </w:tc>
      </w:tr>
      <w:tr>
        <w:trPr>
          <w:trHeight w:val="283"/>
        </w:trPr>
        <w:tc>
          <w:tcPr>
            <w:tcW w:w="1100" w:type="dxa"/>
            <w:vAlign w:val="bottom"/>
          </w:tcPr>
          <w:p>
            <w:pPr>
              <w:ind w:left="80"/>
              <w:spacing w:after="0"/>
              <w:rPr>
                <w:sz w:val="20"/>
                <w:szCs w:val="20"/>
                <w:color w:val="auto"/>
              </w:rPr>
            </w:pPr>
            <w:r>
              <w:rPr>
                <w:rFonts w:ascii="Arial" w:cs="Arial" w:eastAsia="Arial" w:hAnsi="Arial"/>
                <w:sz w:val="18"/>
                <w:szCs w:val="18"/>
                <w:color w:val="auto"/>
              </w:rPr>
              <w:t>10.69</w:t>
            </w:r>
          </w:p>
        </w:tc>
        <w:tc>
          <w:tcPr>
            <w:tcW w:w="9820" w:type="dxa"/>
            <w:vAlign w:val="bottom"/>
            <w:tcBorders>
              <w:bottom w:val="single" w:sz="8" w:color="0000EE"/>
            </w:tcBorders>
            <w:gridSpan w:val="18"/>
          </w:tcPr>
          <w:p>
            <w:pPr>
              <w:spacing w:after="0"/>
              <w:rPr>
                <w:rFonts w:ascii="Arial" w:cs="Arial" w:eastAsia="Arial" w:hAnsi="Arial"/>
                <w:sz w:val="18"/>
                <w:szCs w:val="18"/>
                <w:color w:val="0000EE"/>
                <w:w w:val="90"/>
              </w:rPr>
            </w:pPr>
            <w:hyperlink r:id="rId173">
              <w:r>
                <w:rPr>
                  <w:rFonts w:ascii="Arial" w:cs="Arial" w:eastAsia="Arial" w:hAnsi="Arial"/>
                  <w:sz w:val="18"/>
                  <w:szCs w:val="18"/>
                  <w:color w:val="0000EE"/>
                  <w:w w:val="90"/>
                </w:rPr>
                <w:t>Agreement dated as of January 6, 2009 between Domino’s Pizza, Inc., Blue Harbour Strategic Value Partners Master Fund, LP and Blue</w:t>
              </w:r>
            </w:hyperlink>
          </w:p>
        </w:tc>
        <w:tc>
          <w:tcPr>
            <w:tcW w:w="60" w:type="dxa"/>
            <w:vAlign w:val="bottom"/>
            <w:gridSpan w:val="3"/>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88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Harbour Institutional Partners Master Fund, L.P. (Incorporated by reference to Exhibit 10.1 to the registrant’s current report on Form 8-K</w:t>
              </w:r>
            </w:hyperlink>
          </w:p>
        </w:tc>
      </w:tr>
      <w:tr>
        <w:trPr>
          <w:trHeight w:val="196"/>
        </w:trPr>
        <w:tc>
          <w:tcPr>
            <w:tcW w:w="1100" w:type="dxa"/>
            <w:vAlign w:val="bottom"/>
          </w:tcPr>
          <w:p>
            <w:pPr>
              <w:spacing w:after="0"/>
              <w:rPr>
                <w:sz w:val="17"/>
                <w:szCs w:val="17"/>
                <w:color w:val="auto"/>
              </w:rPr>
            </w:pPr>
          </w:p>
        </w:tc>
        <w:tc>
          <w:tcPr>
            <w:tcW w:w="186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73">
              <w:r>
                <w:rPr>
                  <w:rFonts w:ascii="Arial" w:cs="Arial" w:eastAsia="Arial" w:hAnsi="Arial"/>
                  <w:sz w:val="18"/>
                  <w:szCs w:val="18"/>
                  <w:color w:val="0000EE"/>
                  <w:w w:val="90"/>
                </w:rPr>
                <w:t>filed on January 9, 2009).</w:t>
              </w:r>
            </w:hyperlink>
          </w:p>
        </w:tc>
        <w:tc>
          <w:tcPr>
            <w:tcW w:w="8020" w:type="dxa"/>
            <w:vAlign w:val="bottom"/>
            <w:gridSpan w:val="20"/>
          </w:tcPr>
          <w:p>
            <w:pPr>
              <w:spacing w:after="0"/>
              <w:rPr>
                <w:sz w:val="17"/>
                <w:szCs w:val="17"/>
                <w:color w:val="auto"/>
              </w:rPr>
            </w:pPr>
          </w:p>
        </w:tc>
      </w:tr>
      <w:tr>
        <w:trPr>
          <w:trHeight w:val="345"/>
        </w:trPr>
        <w:tc>
          <w:tcPr>
            <w:tcW w:w="1100" w:type="dxa"/>
            <w:vAlign w:val="bottom"/>
          </w:tcPr>
          <w:p>
            <w:pPr>
              <w:ind w:left="80"/>
              <w:spacing w:after="0"/>
              <w:rPr>
                <w:sz w:val="20"/>
                <w:szCs w:val="20"/>
                <w:color w:val="auto"/>
              </w:rPr>
            </w:pPr>
            <w:r>
              <w:rPr>
                <w:rFonts w:ascii="Arial" w:cs="Arial" w:eastAsia="Arial" w:hAnsi="Arial"/>
                <w:sz w:val="18"/>
                <w:szCs w:val="18"/>
                <w:color w:val="auto"/>
              </w:rPr>
              <w:t>10.70</w:t>
            </w:r>
          </w:p>
        </w:tc>
        <w:tc>
          <w:tcPr>
            <w:tcW w:w="9880" w:type="dxa"/>
            <w:vAlign w:val="bottom"/>
            <w:gridSpan w:val="21"/>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Board of Directors’ Compensation.</w:t>
              </w:r>
            </w:hyperlink>
          </w:p>
        </w:tc>
      </w:tr>
      <w:tr>
        <w:trPr>
          <w:trHeight w:val="324"/>
        </w:trPr>
        <w:tc>
          <w:tcPr>
            <w:tcW w:w="1100" w:type="dxa"/>
            <w:vAlign w:val="bottom"/>
          </w:tcPr>
          <w:p>
            <w:pPr>
              <w:ind w:left="80"/>
              <w:spacing w:after="0"/>
              <w:rPr>
                <w:sz w:val="20"/>
                <w:szCs w:val="20"/>
                <w:color w:val="auto"/>
              </w:rPr>
            </w:pPr>
            <w:r>
              <w:rPr>
                <w:rFonts w:ascii="Arial" w:cs="Arial" w:eastAsia="Arial" w:hAnsi="Arial"/>
                <w:sz w:val="18"/>
                <w:szCs w:val="18"/>
                <w:color w:val="auto"/>
              </w:rPr>
              <w:t>21.1</w:t>
            </w:r>
          </w:p>
        </w:tc>
        <w:tc>
          <w:tcPr>
            <w:tcW w:w="9880" w:type="dxa"/>
            <w:vAlign w:val="bottom"/>
            <w:gridSpan w:val="21"/>
          </w:tcPr>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Subsidiaries of Domino’s Pizza, Inc.</w:t>
              </w:r>
            </w:hyperlink>
          </w:p>
        </w:tc>
      </w:tr>
      <w:tr>
        <w:trPr>
          <w:trHeight w:val="324"/>
        </w:trPr>
        <w:tc>
          <w:tcPr>
            <w:tcW w:w="1100" w:type="dxa"/>
            <w:vAlign w:val="bottom"/>
          </w:tcPr>
          <w:p>
            <w:pPr>
              <w:ind w:left="80"/>
              <w:spacing w:after="0"/>
              <w:rPr>
                <w:sz w:val="20"/>
                <w:szCs w:val="20"/>
                <w:color w:val="auto"/>
              </w:rPr>
            </w:pPr>
            <w:r>
              <w:rPr>
                <w:rFonts w:ascii="Arial" w:cs="Arial" w:eastAsia="Arial" w:hAnsi="Arial"/>
                <w:sz w:val="18"/>
                <w:szCs w:val="18"/>
                <w:color w:val="auto"/>
              </w:rPr>
              <w:t>23.1</w:t>
            </w:r>
          </w:p>
        </w:tc>
        <w:tc>
          <w:tcPr>
            <w:tcW w:w="9880" w:type="dxa"/>
            <w:vAlign w:val="bottom"/>
            <w:gridSpan w:val="21"/>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Consent of PricewaterhouseCoopers LLP.</w:t>
              </w:r>
            </w:hyperlink>
          </w:p>
        </w:tc>
      </w:tr>
      <w:tr>
        <w:trPr>
          <w:trHeight w:val="324"/>
        </w:trPr>
        <w:tc>
          <w:tcPr>
            <w:tcW w:w="1100" w:type="dxa"/>
            <w:vAlign w:val="bottom"/>
          </w:tcPr>
          <w:p>
            <w:pPr>
              <w:ind w:left="80"/>
              <w:spacing w:after="0"/>
              <w:rPr>
                <w:sz w:val="20"/>
                <w:szCs w:val="20"/>
                <w:color w:val="auto"/>
              </w:rPr>
            </w:pPr>
            <w:r>
              <w:rPr>
                <w:rFonts w:ascii="Arial" w:cs="Arial" w:eastAsia="Arial" w:hAnsi="Arial"/>
                <w:sz w:val="18"/>
                <w:szCs w:val="18"/>
                <w:color w:val="auto"/>
              </w:rPr>
              <w:t>31.1</w:t>
            </w:r>
          </w:p>
        </w:tc>
        <w:tc>
          <w:tcPr>
            <w:tcW w:w="9880" w:type="dxa"/>
            <w:vAlign w:val="bottom"/>
            <w:gridSpan w:val="21"/>
          </w:tcPr>
          <w:p>
            <w:pPr>
              <w:spacing w:after="0"/>
              <w:rPr>
                <w:rFonts w:ascii="Arial" w:cs="Arial" w:eastAsia="Arial" w:hAnsi="Arial"/>
                <w:sz w:val="18"/>
                <w:szCs w:val="18"/>
                <w:u w:val="single" w:color="auto"/>
                <w:color w:val="0000EE"/>
                <w:w w:val="95"/>
              </w:rPr>
            </w:pPr>
            <w:hyperlink w:anchor="page105">
              <w:r>
                <w:rPr>
                  <w:rFonts w:ascii="Arial" w:cs="Arial" w:eastAsia="Arial" w:hAnsi="Arial"/>
                  <w:sz w:val="18"/>
                  <w:szCs w:val="18"/>
                  <w:u w:val="single" w:color="auto"/>
                  <w:color w:val="0000EE"/>
                  <w:w w:val="95"/>
                </w:rPr>
                <w:t>Certification of Chief Executive Officer pursuant to Section 302 of the Sarbanes-Oxley Act of 2002, relating to Domino’s Pizza, Inc.</w:t>
              </w:r>
            </w:hyperlink>
          </w:p>
        </w:tc>
      </w:tr>
      <w:tr>
        <w:trPr>
          <w:trHeight w:val="324"/>
        </w:trPr>
        <w:tc>
          <w:tcPr>
            <w:tcW w:w="1100" w:type="dxa"/>
            <w:vAlign w:val="bottom"/>
          </w:tcPr>
          <w:p>
            <w:pPr>
              <w:ind w:left="80"/>
              <w:spacing w:after="0"/>
              <w:rPr>
                <w:sz w:val="20"/>
                <w:szCs w:val="20"/>
                <w:color w:val="auto"/>
              </w:rPr>
            </w:pPr>
            <w:r>
              <w:rPr>
                <w:rFonts w:ascii="Arial" w:cs="Arial" w:eastAsia="Arial" w:hAnsi="Arial"/>
                <w:sz w:val="18"/>
                <w:szCs w:val="18"/>
                <w:color w:val="auto"/>
              </w:rPr>
              <w:t>31.2</w:t>
            </w:r>
          </w:p>
        </w:tc>
        <w:tc>
          <w:tcPr>
            <w:tcW w:w="9880" w:type="dxa"/>
            <w:vAlign w:val="bottom"/>
            <w:gridSpan w:val="21"/>
          </w:tcPr>
          <w:p>
            <w:pPr>
              <w:spacing w:after="0"/>
              <w:rPr>
                <w:rFonts w:ascii="Arial" w:cs="Arial" w:eastAsia="Arial" w:hAnsi="Arial"/>
                <w:sz w:val="18"/>
                <w:szCs w:val="18"/>
                <w:color w:val="0000EE"/>
                <w:w w:val="95"/>
              </w:rPr>
            </w:pPr>
            <w:hyperlink w:anchor="page106">
              <w:r>
                <w:rPr>
                  <w:rFonts w:ascii="Arial" w:cs="Arial" w:eastAsia="Arial" w:hAnsi="Arial"/>
                  <w:sz w:val="18"/>
                  <w:szCs w:val="18"/>
                  <w:u w:val="single" w:color="auto"/>
                  <w:color w:val="0000EE"/>
                  <w:w w:val="95"/>
                </w:rPr>
                <w:t>Certification of Chief Financial Officer pursuant to Section 302 of the Sarbanes-Oxley Act of 2002, relating to Domino’s Pizza, Inc</w:t>
              </w:r>
              <w:r>
                <w:rPr>
                  <w:rFonts w:ascii="Arial" w:cs="Arial" w:eastAsia="Arial" w:hAnsi="Arial"/>
                  <w:sz w:val="18"/>
                  <w:szCs w:val="18"/>
                  <w:color w:val="0000EE"/>
                  <w:w w:val="95"/>
                </w:rPr>
                <w:t>.</w:t>
              </w:r>
            </w:hyperlink>
          </w:p>
        </w:tc>
      </w:tr>
      <w:tr>
        <w:trPr>
          <w:trHeight w:val="283"/>
        </w:trPr>
        <w:tc>
          <w:tcPr>
            <w:tcW w:w="1100" w:type="dxa"/>
            <w:vAlign w:val="bottom"/>
          </w:tcPr>
          <w:p>
            <w:pPr>
              <w:ind w:left="80"/>
              <w:spacing w:after="0"/>
              <w:rPr>
                <w:sz w:val="20"/>
                <w:szCs w:val="20"/>
                <w:color w:val="auto"/>
              </w:rPr>
            </w:pPr>
            <w:r>
              <w:rPr>
                <w:rFonts w:ascii="Arial" w:cs="Arial" w:eastAsia="Arial" w:hAnsi="Arial"/>
                <w:sz w:val="18"/>
                <w:szCs w:val="18"/>
                <w:color w:val="auto"/>
              </w:rPr>
              <w:t>32.1</w:t>
            </w:r>
          </w:p>
        </w:tc>
        <w:tc>
          <w:tcPr>
            <w:tcW w:w="9880" w:type="dxa"/>
            <w:vAlign w:val="bottom"/>
            <w:gridSpan w:val="21"/>
          </w:tcPr>
          <w:p>
            <w:pPr>
              <w:spacing w:after="0"/>
              <w:rPr>
                <w:rFonts w:ascii="Arial" w:cs="Arial" w:eastAsia="Arial" w:hAnsi="Arial"/>
                <w:sz w:val="18"/>
                <w:szCs w:val="18"/>
                <w:color w:val="0000EE"/>
                <w:w w:val="93"/>
              </w:rPr>
            </w:pPr>
            <w:hyperlink w:anchor="page107">
              <w:r>
                <w:rPr>
                  <w:rFonts w:ascii="Arial" w:cs="Arial" w:eastAsia="Arial" w:hAnsi="Arial"/>
                  <w:sz w:val="18"/>
                  <w:szCs w:val="18"/>
                  <w:color w:val="0000EE"/>
                  <w:w w:val="93"/>
                </w:rPr>
                <w:t>Certification of Chief Executive Officer pursuant to Section 1350, Chapter 63 of Title 18, United States Code, as adopted pursuant to</w:t>
              </w:r>
            </w:hyperlink>
          </w:p>
        </w:tc>
      </w:tr>
      <w:tr>
        <w:trPr>
          <w:trHeight w:val="196"/>
        </w:trPr>
        <w:tc>
          <w:tcPr>
            <w:tcW w:w="1100" w:type="dxa"/>
            <w:vAlign w:val="bottom"/>
          </w:tcPr>
          <w:p>
            <w:pPr>
              <w:spacing w:after="0"/>
              <w:rPr>
                <w:sz w:val="17"/>
                <w:szCs w:val="17"/>
                <w:color w:val="auto"/>
              </w:rPr>
            </w:pPr>
          </w:p>
        </w:tc>
        <w:tc>
          <w:tcPr>
            <w:tcW w:w="58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w:anchor="page107">
              <w:r>
                <w:rPr>
                  <w:rFonts w:ascii="Arial" w:cs="Arial" w:eastAsia="Arial" w:hAnsi="Arial"/>
                  <w:sz w:val="18"/>
                  <w:szCs w:val="18"/>
                  <w:color w:val="0000EE"/>
                  <w:w w:val="91"/>
                </w:rPr>
                <w:t>Section 906 of the Sarbanes-Oxley Act of 2002, relating to Domino’s Pizza, Inc.</w:t>
              </w:r>
            </w:hyperlink>
          </w:p>
        </w:tc>
        <w:tc>
          <w:tcPr>
            <w:tcW w:w="3780" w:type="dxa"/>
            <w:vAlign w:val="bottom"/>
            <w:tcBorders>
              <w:top w:val="single" w:sz="8" w:color="0000EE"/>
            </w:tcBorders>
            <w:gridSpan w:val="9"/>
          </w:tcPr>
          <w:p>
            <w:pPr>
              <w:spacing w:after="0"/>
              <w:rPr>
                <w:sz w:val="17"/>
                <w:szCs w:val="17"/>
                <w:color w:val="auto"/>
              </w:rPr>
            </w:pPr>
          </w:p>
        </w:tc>
        <w:tc>
          <w:tcPr>
            <w:tcW w:w="300" w:type="dxa"/>
            <w:vAlign w:val="bottom"/>
            <w:gridSpan w:val="7"/>
          </w:tcPr>
          <w:p>
            <w:pPr>
              <w:spacing w:after="0"/>
              <w:rPr>
                <w:sz w:val="17"/>
                <w:szCs w:val="17"/>
                <w:color w:val="auto"/>
              </w:rPr>
            </w:pPr>
          </w:p>
        </w:tc>
      </w:tr>
      <w:tr>
        <w:trPr>
          <w:trHeight w:val="304"/>
        </w:trPr>
        <w:tc>
          <w:tcPr>
            <w:tcW w:w="1100" w:type="dxa"/>
            <w:vAlign w:val="bottom"/>
          </w:tcPr>
          <w:p>
            <w:pPr>
              <w:ind w:left="80"/>
              <w:spacing w:after="0"/>
              <w:rPr>
                <w:sz w:val="20"/>
                <w:szCs w:val="20"/>
                <w:color w:val="auto"/>
              </w:rPr>
            </w:pPr>
            <w:r>
              <w:rPr>
                <w:rFonts w:ascii="Arial" w:cs="Arial" w:eastAsia="Arial" w:hAnsi="Arial"/>
                <w:sz w:val="18"/>
                <w:szCs w:val="18"/>
                <w:color w:val="auto"/>
              </w:rPr>
              <w:t>32.2</w:t>
            </w:r>
          </w:p>
        </w:tc>
        <w:tc>
          <w:tcPr>
            <w:tcW w:w="954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108">
              <w:r>
                <w:rPr>
                  <w:rFonts w:ascii="Arial" w:cs="Arial" w:eastAsia="Arial" w:hAnsi="Arial"/>
                  <w:sz w:val="18"/>
                  <w:szCs w:val="18"/>
                  <w:color w:val="0000EE"/>
                  <w:w w:val="91"/>
                </w:rPr>
                <w:t>Certification of Chief Financial Officer pursuant to Section 1350, Chapter 63 of Title 18, United States Code, as adopted pursuant to</w:t>
              </w:r>
            </w:hyperlink>
          </w:p>
        </w:tc>
        <w:tc>
          <w:tcPr>
            <w:tcW w:w="340" w:type="dxa"/>
            <w:vAlign w:val="bottom"/>
            <w:gridSpan w:val="9"/>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58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08">
              <w:r>
                <w:rPr>
                  <w:rFonts w:ascii="Arial" w:cs="Arial" w:eastAsia="Arial" w:hAnsi="Arial"/>
                  <w:sz w:val="18"/>
                  <w:szCs w:val="18"/>
                  <w:color w:val="0000EE"/>
                  <w:w w:val="91"/>
                </w:rPr>
                <w:t>Section 906 of the Sarbanes-Oxley Act of 2002, relating to Domino’s Pizza, Inc.</w:t>
              </w:r>
            </w:hyperlink>
          </w:p>
        </w:tc>
        <w:tc>
          <w:tcPr>
            <w:tcW w:w="4080" w:type="dxa"/>
            <w:vAlign w:val="bottom"/>
            <w:gridSpan w:val="16"/>
          </w:tcPr>
          <w:p>
            <w:pPr>
              <w:spacing w:after="0"/>
              <w:rPr>
                <w:sz w:val="17"/>
                <w:szCs w:val="17"/>
                <w:color w:val="auto"/>
              </w:rPr>
            </w:pPr>
          </w:p>
        </w:tc>
      </w:tr>
      <w:tr>
        <w:trPr>
          <w:trHeight w:val="330"/>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9880" w:type="dxa"/>
            <w:vAlign w:val="bottom"/>
            <w:gridSpan w:val="21"/>
          </w:tcPr>
          <w:p>
            <w:pPr>
              <w:spacing w:after="0"/>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 are embedded</w:t>
            </w:r>
          </w:p>
        </w:tc>
      </w:tr>
      <w:tr>
        <w:trPr>
          <w:trHeight w:val="230"/>
        </w:trPr>
        <w:tc>
          <w:tcPr>
            <w:tcW w:w="1100" w:type="dxa"/>
            <w:vAlign w:val="bottom"/>
          </w:tcPr>
          <w:p>
            <w:pPr>
              <w:spacing w:after="0"/>
              <w:rPr>
                <w:sz w:val="20"/>
                <w:szCs w:val="20"/>
                <w:color w:val="auto"/>
              </w:rPr>
            </w:pPr>
          </w:p>
        </w:tc>
        <w:tc>
          <w:tcPr>
            <w:tcW w:w="9880" w:type="dxa"/>
            <w:vAlign w:val="bottom"/>
            <w:gridSpan w:val="21"/>
          </w:tcPr>
          <w:p>
            <w:pPr>
              <w:spacing w:after="0"/>
              <w:rPr>
                <w:sz w:val="20"/>
                <w:szCs w:val="20"/>
                <w:color w:val="auto"/>
              </w:rPr>
            </w:pPr>
            <w:r>
              <w:rPr>
                <w:rFonts w:ascii="Arial" w:cs="Arial" w:eastAsia="Arial" w:hAnsi="Arial"/>
                <w:sz w:val="18"/>
                <w:szCs w:val="18"/>
                <w:color w:val="auto"/>
              </w:rPr>
              <w:t>within the Inline XBRL document.</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9880" w:type="dxa"/>
            <w:vAlign w:val="bottom"/>
            <w:gridSpan w:val="21"/>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9880" w:type="dxa"/>
            <w:vAlign w:val="bottom"/>
            <w:gridSpan w:val="21"/>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65"/>
        </w:trPr>
        <w:tc>
          <w:tcPr>
            <w:tcW w:w="1100" w:type="dxa"/>
            <w:vAlign w:val="bottom"/>
          </w:tcPr>
          <w:p>
            <w:pPr>
              <w:spacing w:after="0"/>
              <w:rPr>
                <w:sz w:val="24"/>
                <w:szCs w:val="24"/>
                <w:color w:val="auto"/>
              </w:rPr>
            </w:pPr>
          </w:p>
        </w:tc>
        <w:tc>
          <w:tcPr>
            <w:tcW w:w="4720" w:type="dxa"/>
            <w:vAlign w:val="bottom"/>
            <w:gridSpan w:val="3"/>
          </w:tcPr>
          <w:p>
            <w:pPr>
              <w:ind w:left="4320"/>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00"/>
          </w:cols>
          <w:pgMar w:left="320" w:top="486"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74">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6780" w:type="dxa"/>
            <w:vAlign w:val="bottom"/>
          </w:tcPr>
          <w:p>
            <w:pPr>
              <w:ind w:left="24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6780" w:type="dxa"/>
            <w:vAlign w:val="bottom"/>
          </w:tcPr>
          <w:p>
            <w:pPr>
              <w:ind w:left="24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6780" w:type="dxa"/>
            <w:vAlign w:val="bottom"/>
          </w:tcPr>
          <w:p>
            <w:pPr>
              <w:ind w:left="24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6780" w:type="dxa"/>
            <w:vAlign w:val="bottom"/>
          </w:tcPr>
          <w:p>
            <w:pPr>
              <w:ind w:left="240"/>
              <w:spacing w:after="0"/>
              <w:rPr>
                <w:sz w:val="20"/>
                <w:szCs w:val="20"/>
                <w:color w:val="auto"/>
              </w:rPr>
            </w:pPr>
            <w:r>
              <w:rPr>
                <w:rFonts w:ascii="Arial" w:cs="Arial" w:eastAsia="Arial" w:hAnsi="Arial"/>
                <w:sz w:val="18"/>
                <w:szCs w:val="18"/>
                <w:color w:val="auto"/>
                <w:w w:val="91"/>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340" w:hanging="224"/>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management contract or compensatory plan or arrangement required to be filed as an exhibit to this report pursuant to Item 15(b) of Form 10-K.</w:t>
      </w:r>
    </w:p>
    <w:p>
      <w:pPr>
        <w:spacing w:after="0" w:line="180"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86</w:t>
      </w:r>
    </w:p>
    <w:p>
      <w:pPr>
        <w:sectPr>
          <w:pgSz w:w="11900" w:h="16838" w:orient="portrait"/>
          <w:cols w:equalWidth="0" w:num="1">
            <w:col w:w="10880"/>
          </w:cols>
          <w:pgMar w:left="320" w:top="486" w:right="6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7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SCHEDULE I – CONDENSED FINANCIAL INFORMATION OF THE REGISTRANT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Domino’s Pizza,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PARENT COMPANY CONDENSED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21"/>
              <w:spacing w:after="0"/>
              <w:rPr>
                <w:sz w:val="20"/>
                <w:szCs w:val="20"/>
                <w:color w:val="auto"/>
              </w:rPr>
            </w:pPr>
            <w:r>
              <w:rPr>
                <w:rFonts w:ascii="Arial" w:cs="Arial" w:eastAsia="Arial" w:hAnsi="Arial"/>
                <w:sz w:val="14"/>
                <w:szCs w:val="14"/>
                <w:b w:val="1"/>
                <w:bCs w:val="1"/>
                <w:color w:val="auto"/>
                <w:w w:val="95"/>
              </w:rPr>
              <w:t>January 3,</w:t>
            </w:r>
          </w:p>
        </w:tc>
        <w:tc>
          <w:tcPr>
            <w:tcW w:w="12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29,</w:t>
            </w:r>
          </w:p>
        </w:tc>
      </w:tr>
      <w:tr>
        <w:trPr>
          <w:trHeight w:val="171"/>
        </w:trPr>
        <w:tc>
          <w:tcPr>
            <w:tcW w:w="232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189"/>
        </w:trPr>
        <w:tc>
          <w:tcPr>
            <w:tcW w:w="232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center"/>
              <w:spacing w:after="0" w:line="156" w:lineRule="exact"/>
              <w:rPr>
                <w:sz w:val="20"/>
                <w:szCs w:val="20"/>
                <w:color w:val="auto"/>
              </w:rPr>
            </w:pPr>
            <w:r>
              <w:rPr>
                <w:rFonts w:ascii="Arial" w:cs="Arial" w:eastAsia="Arial" w:hAnsi="Arial"/>
                <w:sz w:val="18"/>
                <w:szCs w:val="18"/>
                <w:b w:val="1"/>
                <w:bCs w:val="1"/>
                <w:color w:val="auto"/>
                <w:w w:val="94"/>
              </w:rPr>
              <w:t>ASSETS</w:t>
            </w:r>
          </w:p>
        </w:tc>
        <w:tc>
          <w:tcPr>
            <w:tcW w:w="4180" w:type="dxa"/>
            <w:vAlign w:val="bottom"/>
            <w:tcBorders>
              <w:bottom w:val="single" w:sz="8" w:color="CCEEFF"/>
            </w:tcBorders>
            <w:gridSpan w:val="2"/>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r>
      <w:tr>
        <w:trPr>
          <w:trHeight w:val="216"/>
        </w:trPr>
        <w:tc>
          <w:tcPr>
            <w:tcW w:w="8820" w:type="dxa"/>
            <w:vAlign w:val="bottom"/>
            <w:gridSpan w:val="5"/>
          </w:tcPr>
          <w:p>
            <w:pPr>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w:t>
            </w:r>
          </w:p>
        </w:tc>
      </w:tr>
      <w:tr>
        <w:trPr>
          <w:trHeight w:val="223"/>
        </w:trPr>
        <w:tc>
          <w:tcPr>
            <w:tcW w:w="8820" w:type="dxa"/>
            <w:vAlign w:val="bottom"/>
            <w:gridSpan w:val="5"/>
          </w:tcPr>
          <w:p>
            <w:pPr>
              <w:ind w:left="72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r>
      <w:tr>
        <w:trPr>
          <w:trHeight w:val="20"/>
        </w:trPr>
        <w:tc>
          <w:tcPr>
            <w:tcW w:w="2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0"/>
        </w:trPr>
        <w:tc>
          <w:tcPr>
            <w:tcW w:w="2320" w:type="dxa"/>
            <w:vAlign w:val="bottom"/>
            <w:tcBorders>
              <w:bottom w:val="single" w:sz="8" w:color="CCEEFF"/>
            </w:tcBorders>
            <w:shd w:val="clear" w:color="auto" w:fill="CCEEFF"/>
          </w:tcPr>
          <w:p>
            <w:pPr>
              <w:spacing w:after="0"/>
              <w:rPr>
                <w:sz w:val="16"/>
                <w:szCs w:val="16"/>
                <w:color w:val="auto"/>
              </w:rPr>
            </w:pPr>
          </w:p>
        </w:tc>
        <w:tc>
          <w:tcPr>
            <w:tcW w:w="3960" w:type="dxa"/>
            <w:vAlign w:val="bottom"/>
            <w:tcBorders>
              <w:bottom w:val="single" w:sz="8" w:color="auto"/>
            </w:tcBorders>
            <w:gridSpan w:val="3"/>
            <w:shd w:val="clear" w:color="auto" w:fill="CCEEFF"/>
          </w:tcPr>
          <w:p>
            <w:pPr>
              <w:jc w:val="center"/>
              <w:spacing w:after="0" w:line="170" w:lineRule="exact"/>
              <w:rPr>
                <w:sz w:val="20"/>
                <w:szCs w:val="20"/>
                <w:color w:val="auto"/>
              </w:rPr>
            </w:pPr>
            <w:r>
              <w:rPr>
                <w:rFonts w:ascii="Arial" w:cs="Arial" w:eastAsia="Arial" w:hAnsi="Arial"/>
                <w:sz w:val="18"/>
                <w:szCs w:val="18"/>
                <w:b w:val="1"/>
                <w:bCs w:val="1"/>
                <w:color w:val="auto"/>
              </w:rPr>
              <w:t>LIABILITIES AND STOCKHOLDERS’ DEFICIT</w:t>
            </w:r>
          </w:p>
        </w:tc>
        <w:tc>
          <w:tcPr>
            <w:tcW w:w="2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r>
      <w:tr>
        <w:trPr>
          <w:trHeight w:val="216"/>
        </w:trPr>
        <w:tc>
          <w:tcPr>
            <w:tcW w:w="8820" w:type="dxa"/>
            <w:vAlign w:val="bottom"/>
            <w:gridSpan w:val="5"/>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Equity in net deficit of subsidiaries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4"/>
              </w:rPr>
              <w:t>3,300,405</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4"/>
              </w:rPr>
              <w:t>3,415,759</w:t>
            </w:r>
          </w:p>
        </w:tc>
      </w:tr>
      <w:tr>
        <w:trPr>
          <w:trHeight w:val="216"/>
        </w:trPr>
        <w:tc>
          <w:tcPr>
            <w:tcW w:w="8820" w:type="dxa"/>
            <w:vAlign w:val="bottom"/>
            <w:gridSpan w:val="5"/>
          </w:tcPr>
          <w:p>
            <w:pPr>
              <w:ind w:left="360"/>
              <w:spacing w:after="0"/>
              <w:rPr>
                <w:sz w:val="20"/>
                <w:szCs w:val="20"/>
                <w:color w:val="auto"/>
              </w:rPr>
            </w:pPr>
            <w:r>
              <w:rPr>
                <w:rFonts w:ascii="Arial" w:cs="Arial" w:eastAsia="Arial" w:hAnsi="Arial"/>
                <w:sz w:val="18"/>
                <w:szCs w:val="18"/>
                <w:color w:val="auto"/>
              </w:rPr>
              <w:t>Due to subsidiary</w:t>
            </w:r>
          </w:p>
        </w:tc>
        <w:tc>
          <w:tcPr>
            <w:tcW w:w="10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1"/>
              <w:spacing w:after="0"/>
              <w:rPr>
                <w:sz w:val="20"/>
                <w:szCs w:val="20"/>
                <w:color w:val="auto"/>
              </w:rPr>
            </w:pPr>
            <w:r>
              <w:rPr>
                <w:rFonts w:ascii="Arial" w:cs="Arial" w:eastAsia="Arial" w:hAnsi="Arial"/>
                <w:sz w:val="18"/>
                <w:szCs w:val="18"/>
                <w:color w:val="auto"/>
              </w:rPr>
              <w:t>6</w:t>
            </w:r>
          </w:p>
        </w:tc>
      </w:tr>
      <w:tr>
        <w:trPr>
          <w:trHeight w:val="27"/>
        </w:trPr>
        <w:tc>
          <w:tcPr>
            <w:tcW w:w="2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20" w:type="dxa"/>
            <w:vAlign w:val="bottom"/>
            <w:gridSpan w:val="5"/>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4"/>
              </w:rPr>
              <w:t>3,300,411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4"/>
              </w:rPr>
              <w:t>3,415,765</w:t>
            </w:r>
          </w:p>
        </w:tc>
      </w:tr>
      <w:tr>
        <w:trPr>
          <w:trHeight w:val="223"/>
        </w:trPr>
        <w:tc>
          <w:tcPr>
            <w:tcW w:w="8820" w:type="dxa"/>
            <w:vAlign w:val="bottom"/>
            <w:gridSpan w:val="5"/>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2"/>
        </w:trPr>
        <w:tc>
          <w:tcPr>
            <w:tcW w:w="8820" w:type="dxa"/>
            <w:vAlign w:val="bottom"/>
            <w:gridSpan w:val="5"/>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Common stock, par value $0.01 per share; 170,000,000 shares authorized; 38,868,350 in 2020 and 38,934,009 in</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820" w:type="dxa"/>
            <w:vAlign w:val="bottom"/>
            <w:gridSpan w:val="5"/>
            <w:shd w:val="clear" w:color="auto" w:fill="CCEEFF"/>
          </w:tcPr>
          <w:p>
            <w:pPr>
              <w:ind w:left="540"/>
              <w:spacing w:after="0"/>
              <w:rPr>
                <w:sz w:val="20"/>
                <w:szCs w:val="20"/>
                <w:color w:val="auto"/>
              </w:rPr>
            </w:pPr>
            <w:r>
              <w:rPr>
                <w:rFonts w:ascii="Arial" w:cs="Arial" w:eastAsia="Arial" w:hAnsi="Arial"/>
                <w:sz w:val="18"/>
                <w:szCs w:val="18"/>
                <w:color w:val="auto"/>
              </w:rPr>
              <w:t>2019 issued and outstanding</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389</w:t>
            </w:r>
          </w:p>
        </w:tc>
      </w:tr>
      <w:tr>
        <w:trPr>
          <w:trHeight w:val="216"/>
        </w:trPr>
        <w:tc>
          <w:tcPr>
            <w:tcW w:w="8820" w:type="dxa"/>
            <w:vAlign w:val="bottom"/>
            <w:gridSpan w:val="5"/>
          </w:tcPr>
          <w:p>
            <w:pPr>
              <w:ind w:left="360"/>
              <w:spacing w:after="0"/>
              <w:rPr>
                <w:sz w:val="20"/>
                <w:szCs w:val="20"/>
                <w:color w:val="auto"/>
              </w:rPr>
            </w:pPr>
            <w:r>
              <w:rPr>
                <w:rFonts w:ascii="Arial" w:cs="Arial" w:eastAsia="Arial" w:hAnsi="Arial"/>
                <w:sz w:val="18"/>
                <w:szCs w:val="18"/>
                <w:color w:val="auto"/>
              </w:rPr>
              <w:t>Preferred stock, par value $0.01 per share; 5,000,000 shares authorized, none issued</w:t>
            </w:r>
          </w:p>
        </w:tc>
        <w:tc>
          <w:tcPr>
            <w:tcW w:w="100" w:type="dxa"/>
            <w:vAlign w:val="bottom"/>
          </w:tcPr>
          <w:p>
            <w:pPr>
              <w:spacing w:after="0"/>
              <w:rPr>
                <w:sz w:val="18"/>
                <w:szCs w:val="18"/>
                <w:color w:val="auto"/>
              </w:rPr>
            </w:pPr>
          </w:p>
        </w:tc>
        <w:tc>
          <w:tcPr>
            <w:tcW w:w="9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5,122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243</w:t>
            </w:r>
          </w:p>
        </w:tc>
      </w:tr>
      <w:tr>
        <w:trPr>
          <w:trHeight w:val="216"/>
        </w:trPr>
        <w:tc>
          <w:tcPr>
            <w:tcW w:w="8820" w:type="dxa"/>
            <w:vAlign w:val="bottom"/>
            <w:gridSpan w:val="5"/>
          </w:tcPr>
          <w:p>
            <w:pPr>
              <w:ind w:left="360"/>
              <w:spacing w:after="0"/>
              <w:rPr>
                <w:sz w:val="20"/>
                <w:szCs w:val="20"/>
                <w:color w:val="auto"/>
              </w:rPr>
            </w:pPr>
            <w:r>
              <w:rPr>
                <w:rFonts w:ascii="Arial" w:cs="Arial" w:eastAsia="Arial" w:hAnsi="Arial"/>
                <w:sz w:val="18"/>
                <w:szCs w:val="18"/>
                <w:color w:val="auto"/>
              </w:rPr>
              <w:t>Retained deficit</w:t>
            </w:r>
          </w:p>
        </w:tc>
        <w:tc>
          <w:tcPr>
            <w:tcW w:w="10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w w:val="89"/>
              </w:rPr>
              <w:t>(3,303,492)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89"/>
              </w:rPr>
              <w:t>(3,412,649)</w:t>
            </w:r>
          </w:p>
        </w:tc>
      </w:tr>
      <w:tr>
        <w:trPr>
          <w:trHeight w:val="216"/>
        </w:trPr>
        <w:tc>
          <w:tcPr>
            <w:tcW w:w="882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(3,742)</w:t>
            </w:r>
          </w:p>
        </w:tc>
      </w:tr>
      <w:tr>
        <w:trPr>
          <w:trHeight w:val="230"/>
        </w:trPr>
        <w:tc>
          <w:tcPr>
            <w:tcW w:w="8820" w:type="dxa"/>
            <w:vAlign w:val="bottom"/>
            <w:gridSpan w:val="5"/>
          </w:tcPr>
          <w:p>
            <w:pPr>
              <w:ind w:left="720"/>
              <w:spacing w:after="0"/>
              <w:rPr>
                <w:sz w:val="20"/>
                <w:szCs w:val="20"/>
                <w:color w:val="auto"/>
              </w:rPr>
            </w:pPr>
            <w:r>
              <w:rPr>
                <w:rFonts w:ascii="Arial" w:cs="Arial" w:eastAsia="Arial" w:hAnsi="Arial"/>
                <w:sz w:val="18"/>
                <w:szCs w:val="18"/>
                <w:color w:val="auto"/>
              </w:rPr>
              <w:t>Total stockholders’ deficit</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(3,300,405</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(3,415,759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820" w:type="dxa"/>
            <w:vAlign w:val="bottom"/>
            <w:gridSpan w:val="5"/>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w:t>
            </w:r>
          </w:p>
        </w:tc>
      </w:tr>
      <w:tr>
        <w:trPr>
          <w:trHeight w:val="20"/>
        </w:trPr>
        <w:tc>
          <w:tcPr>
            <w:tcW w:w="2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Schedule I.</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320" w:top="486"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7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Domino’s Pizza,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PARENT COMPANY CONDENSED STATEMENTS OF INCOME AND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6"/>
              </w:rPr>
              <w:t>For the Years Ended</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0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January 3,</w:t>
            </w:r>
          </w:p>
        </w:tc>
        <w:tc>
          <w:tcPr>
            <w:tcW w:w="26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December 29,</w:t>
            </w:r>
          </w:p>
        </w:tc>
        <w:tc>
          <w:tcPr>
            <w:tcW w:w="84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0"/>
              </w:rPr>
              <w:t>December 30,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04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8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tcPr>
          <w:p>
            <w:pPr>
              <w:ind w:left="360"/>
              <w:spacing w:after="0"/>
              <w:rPr>
                <w:sz w:val="20"/>
                <w:szCs w:val="20"/>
                <w:color w:val="auto"/>
              </w:rPr>
            </w:pPr>
            <w:r>
              <w:rPr>
                <w:rFonts w:ascii="Arial" w:cs="Arial" w:eastAsia="Arial" w:hAnsi="Arial"/>
                <w:sz w:val="18"/>
                <w:szCs w:val="18"/>
                <w:color w:val="auto"/>
              </w:rPr>
              <w:t>Equity earnings in subsidiaries</w:t>
            </w:r>
          </w:p>
        </w:tc>
        <w:tc>
          <w:tcPr>
            <w:tcW w:w="1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491,296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400,709</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361,972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491,296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400,709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361,972</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491,296</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400,709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361,972</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COMPREHENSIVE INCOME</w:t>
            </w: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vMerge w:val="continue"/>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492,614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401,396</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359,924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360"/>
              <w:spacing w:after="0"/>
              <w:rPr>
                <w:sz w:val="20"/>
                <w:szCs w:val="20"/>
                <w:color w:val="auto"/>
              </w:rPr>
            </w:pPr>
            <w:r>
              <w:rPr>
                <w:rFonts w:ascii="Arial" w:cs="Arial" w:eastAsia="Arial" w:hAnsi="Arial"/>
                <w:sz w:val="18"/>
                <w:szCs w:val="18"/>
                <w:color w:val="auto"/>
              </w:rPr>
              <w:t>Common Stock – basic</w:t>
            </w:r>
          </w:p>
        </w:tc>
        <w:tc>
          <w:tcPr>
            <w:tcW w:w="1920" w:type="dxa"/>
            <w:vAlign w:val="bottom"/>
            <w:gridSpan w:val="2"/>
          </w:tcPr>
          <w:p>
            <w:pPr>
              <w:ind w:left="182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12.61</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9.83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 diluted</w:t>
            </w:r>
          </w:p>
        </w:tc>
        <w:tc>
          <w:tcPr>
            <w:tcW w:w="192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Schedule I.</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86"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7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Domino’s Pizza,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PARENT COMPANY CONDENSED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8"/>
              </w:rPr>
              <w:t>For the Years Ended</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59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80" w:type="dxa"/>
            <w:vAlign w:val="bottom"/>
            <w:gridSpan w:val="3"/>
          </w:tcPr>
          <w:p>
            <w:pPr>
              <w:jc w:val="right"/>
              <w:ind w:right="101"/>
              <w:spacing w:after="0" w:line="133" w:lineRule="exact"/>
              <w:rPr>
                <w:sz w:val="20"/>
                <w:szCs w:val="20"/>
                <w:color w:val="auto"/>
              </w:rPr>
            </w:pPr>
            <w:r>
              <w:rPr>
                <w:rFonts w:ascii="Arial" w:cs="Arial" w:eastAsia="Arial" w:hAnsi="Arial"/>
                <w:sz w:val="14"/>
                <w:szCs w:val="14"/>
                <w:b w:val="1"/>
                <w:bCs w:val="1"/>
                <w:color w:val="auto"/>
                <w:w w:val="98"/>
              </w:rPr>
              <w:t>January 3,</w:t>
            </w:r>
          </w:p>
        </w:tc>
        <w:tc>
          <w:tcPr>
            <w:tcW w:w="260" w:type="dxa"/>
            <w:vAlign w:val="bottom"/>
          </w:tcPr>
          <w:p>
            <w:pPr>
              <w:spacing w:after="0"/>
              <w:rPr>
                <w:sz w:val="11"/>
                <w:szCs w:val="11"/>
                <w:color w:val="auto"/>
              </w:rPr>
            </w:pPr>
          </w:p>
        </w:tc>
        <w:tc>
          <w:tcPr>
            <w:tcW w:w="124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December 29,</w:t>
            </w:r>
          </w:p>
        </w:tc>
        <w:tc>
          <w:tcPr>
            <w:tcW w:w="84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0"/>
              </w:rPr>
              <w:t>December 30,</w:t>
            </w:r>
          </w:p>
        </w:tc>
        <w:tc>
          <w:tcPr>
            <w:tcW w:w="120" w:type="dxa"/>
            <w:vAlign w:val="bottom"/>
          </w:tcPr>
          <w:p>
            <w:pPr>
              <w:spacing w:after="0"/>
              <w:rPr>
                <w:sz w:val="11"/>
                <w:szCs w:val="11"/>
                <w:color w:val="auto"/>
              </w:rPr>
            </w:pPr>
          </w:p>
        </w:tc>
      </w:tr>
      <w:tr>
        <w:trPr>
          <w:trHeight w:val="171"/>
        </w:trPr>
        <w:tc>
          <w:tcPr>
            <w:tcW w:w="598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5980" w:type="dxa"/>
            <w:vAlign w:val="bottom"/>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w w:val="95"/>
              </w:rPr>
              <w:t>402,348</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421,661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382,716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Dividends from subsidiaries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375,948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297,792</w:t>
            </w:r>
          </w:p>
        </w:tc>
      </w:tr>
      <w:tr>
        <w:trPr>
          <w:trHeight w:val="27"/>
        </w:trPr>
        <w:tc>
          <w:tcPr>
            <w:tcW w:w="59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investing activities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375,948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297,792</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of common stock dividends and equivalents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8"/>
              </w:rPr>
              <w:t>(121,925)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(105,715)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(92,166)</w:t>
            </w: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Purchases of common stock</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w w:val="88"/>
              </w:rPr>
              <w:t>(304,590)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(699,007)</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(591,212)</w:t>
            </w: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24,167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7,113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2,870</w:t>
            </w:r>
          </w:p>
        </w:tc>
      </w:tr>
      <w:tr>
        <w:trPr>
          <w:trHeight w:val="230"/>
        </w:trPr>
        <w:tc>
          <w:tcPr>
            <w:tcW w:w="5980" w:type="dxa"/>
            <w:vAlign w:val="bottom"/>
          </w:tcPr>
          <w:p>
            <w:pPr>
              <w:ind w:left="720"/>
              <w:spacing w:after="0"/>
              <w:rPr>
                <w:sz w:val="20"/>
                <w:szCs w:val="20"/>
                <w:color w:val="auto"/>
              </w:rPr>
            </w:pPr>
            <w:r>
              <w:rPr>
                <w:rFonts w:ascii="Arial" w:cs="Arial" w:eastAsia="Arial" w:hAnsi="Arial"/>
                <w:sz w:val="18"/>
                <w:szCs w:val="18"/>
                <w:color w:val="auto"/>
              </w:rPr>
              <w:t>Net cash used in financing activities</w:t>
            </w:r>
          </w:p>
        </w:tc>
        <w:tc>
          <w:tcPr>
            <w:tcW w:w="1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(402,348</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(797,609)</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(680,508)</w:t>
            </w:r>
          </w:p>
        </w:tc>
        <w:tc>
          <w:tcPr>
            <w:tcW w:w="120" w:type="dxa"/>
            <w:vAlign w:val="bottom"/>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CHANGE IN CASH</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r>
      <w:tr>
        <w:trPr>
          <w:trHeight w:val="27"/>
        </w:trPr>
        <w:tc>
          <w:tcPr>
            <w:tcW w:w="59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PERIOD</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r>
      <w:tr>
        <w:trPr>
          <w:trHeight w:val="20"/>
        </w:trPr>
        <w:tc>
          <w:tcPr>
            <w:tcW w:w="5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Schedule I.</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86"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Domino’s Pizza,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PARENT COMPANY FINANCIAL STATEMENTS</w:t>
      </w:r>
    </w:p>
    <w:p>
      <w:pPr>
        <w:spacing w:after="0" w:line="234" w:lineRule="exact"/>
        <w:rPr>
          <w:sz w:val="20"/>
          <w:szCs w:val="20"/>
          <w:color w:val="auto"/>
        </w:rPr>
      </w:pPr>
    </w:p>
    <w:p>
      <w:pPr>
        <w:ind w:left="540" w:hanging="424"/>
        <w:spacing w:after="0"/>
        <w:tabs>
          <w:tab w:leader="none" w:pos="5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 and Basis of Presentation</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Domino’s Pizza, Inc., on a stand-alone basis, (the “Parent Company”) has accounted for majority-owned subsidiaries using the equity method of accounting. The accompanying condensed financial statements of the Parent Company should be read in conjunction with the consolidated financial statements of Domino’s Pizza, Inc. and its subsidiaries (the “Company”) and the notes thereto included in Item 8 of this Form 10-K. These financial statements have been provided to comply with Rule 4-08(e) of Regulation S-X.</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use of estimates is inherent in the preparation of financial statements in accordance with generally accepted accounting principles. Actual results could differ from those estimates.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adopted the below new accounting pronouncements that impacted the Parent Company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Accounting Standards Update (“ASU”) 2016-13, Financial Instruments – Credit Losses (Topic 326)</w:t>
      </w:r>
    </w:p>
    <w:p>
      <w:pPr>
        <w:spacing w:after="0" w:line="117"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 xml:space="preserve">In June 2016, the Financial Accounting Standards Board (“FASB”) issued </w:t>
      </w:r>
      <w:r>
        <w:rPr>
          <w:rFonts w:ascii="Arial" w:cs="Arial" w:eastAsia="Arial" w:hAnsi="Arial"/>
          <w:sz w:val="17"/>
          <w:szCs w:val="17"/>
          <w:i w:val="1"/>
          <w:iCs w:val="1"/>
          <w:color w:val="auto"/>
        </w:rPr>
        <w:t>ASU 2016-13, Financial Instruments – 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 of Credit Losses on Financial Instruments </w:t>
      </w:r>
      <w:r>
        <w:rPr>
          <w:rFonts w:ascii="Arial" w:cs="Arial" w:eastAsia="Arial" w:hAnsi="Arial"/>
          <w:sz w:val="17"/>
          <w:szCs w:val="17"/>
          <w:color w:val="auto"/>
        </w:rPr>
        <w:t>(“ASC 326”). ASC 326 requires companies to measure credit losses utilizing a methodology</w:t>
      </w:r>
      <w:r>
        <w:rPr>
          <w:rFonts w:ascii="Arial" w:cs="Arial" w:eastAsia="Arial" w:hAnsi="Arial"/>
          <w:sz w:val="17"/>
          <w:szCs w:val="17"/>
          <w:i w:val="1"/>
          <w:iCs w:val="1"/>
          <w:color w:val="auto"/>
        </w:rPr>
        <w:t xml:space="preserve"> </w:t>
      </w:r>
      <w:r>
        <w:rPr>
          <w:rFonts w:ascii="Arial" w:cs="Arial" w:eastAsia="Arial" w:hAnsi="Arial"/>
          <w:sz w:val="17"/>
          <w:szCs w:val="17"/>
          <w:color w:val="auto"/>
        </w:rPr>
        <w:t>that reflects expected credit losses and requires a consideration of a broader range of reasonable and supportable information to inform credit loss estimates. On December 30, 2019, the Company adopted ASC 326 using the modified retrospective method.</w:t>
      </w:r>
    </w:p>
    <w:p>
      <w:pPr>
        <w:spacing w:after="0" w:line="17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Parent Company recorded a $1.1 million adjustment to equity in net deficit of subsidiaries and recorded a $1.1 million adjustment to retained deficit related to this new accounting standard in 2020. See Note 1 to the Company’s consolidated financial statements as filed in this Form 10-K for additional information related to the adoption of this new accounting standard.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ASU 2014-09, Revenue from Contracts with Customers (Topic 606)</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 xml:space="preserve">In May 2014, the Financial Accounting Standards Board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and has since issued various amendments which provide additional clarification and implementation guidance. This standard has been codified as ASC 606. This guidance outlines a single, comprehensive model for entities to use in accounting for revenue arising from contracts with customers and superseded most revenue recognition guidance issued by the FASB, including industry specific guidance. On January 1, 2018, the Company adopted ASC 606 using the modified retrospective method.</w:t>
      </w:r>
    </w:p>
    <w:p>
      <w:pPr>
        <w:spacing w:after="0" w:line="18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Parent Company recorded a $6.7 million adjustment to equity in net deficit of subsidiaries and recorded a $6.7 million adjustment to retained deficit related to this new accounting standard in 2018. See Note 1 to the Company’s consolidated financial statements as filed in this Form 10-K for additional information related to the adoption of this new accounting standard.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ASU 2018-02, Income Statement – Reporting Comprehensive Income (Topic 220)</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Income Statement – Reporting Comprehensive Income (Topic 220): Reclassification of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Tax Effects from Accumulated Other Comprehensive Income</w:t>
      </w:r>
      <w:r>
        <w:rPr>
          <w:rFonts w:ascii="Arial" w:cs="Arial" w:eastAsia="Arial" w:hAnsi="Arial"/>
          <w:sz w:val="18"/>
          <w:szCs w:val="18"/>
          <w:color w:val="auto"/>
        </w:rPr>
        <w:t>. The amendments in this updated standard allow a reclassification from accumulated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to retained earnings for stranded tax effects resulting from the Tax Cuts and Jobs Act of 2017. The Parent Company adopted this standard in 2018 and, as a result, recorded a $0.4 million reclassification from accumulated other comprehensive loss to the beginning balance of retained deficit in 2018.</w:t>
      </w:r>
    </w:p>
    <w:p>
      <w:pPr>
        <w:spacing w:after="0" w:line="332" w:lineRule="exact"/>
        <w:rPr>
          <w:sz w:val="20"/>
          <w:szCs w:val="20"/>
          <w:color w:val="auto"/>
        </w:rPr>
      </w:pPr>
    </w:p>
    <w:p>
      <w:pPr>
        <w:ind w:left="540" w:hanging="424"/>
        <w:spacing w:after="0"/>
        <w:tabs>
          <w:tab w:leader="none" w:pos="5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Disclosures of Cash Flow Information</w:t>
      </w:r>
    </w:p>
    <w:p>
      <w:pPr>
        <w:spacing w:after="0" w:line="121" w:lineRule="exact"/>
        <w:rPr>
          <w:sz w:val="20"/>
          <w:szCs w:val="20"/>
          <w:color w:val="auto"/>
        </w:rPr>
      </w:pPr>
    </w:p>
    <w:p>
      <w:pPr>
        <w:ind w:left="120" w:right="340" w:firstLine="440"/>
        <w:spacing w:after="0" w:line="257" w:lineRule="auto"/>
        <w:rPr>
          <w:sz w:val="20"/>
          <w:szCs w:val="20"/>
          <w:color w:val="auto"/>
        </w:rPr>
      </w:pPr>
      <w:r>
        <w:rPr>
          <w:rFonts w:ascii="Arial" w:cs="Arial" w:eastAsia="Arial" w:hAnsi="Arial"/>
          <w:sz w:val="18"/>
          <w:szCs w:val="18"/>
          <w:color w:val="auto"/>
        </w:rPr>
        <w:t>During 2020, 2019 and 2018, the Parent Company received dividends from its subsidiaries primarily consisting of amounts received to pay dividends and repurchase common stock in connection with the Company’s recapitalization transactions. See Note 4 to the Company’s consolidated financial statements as filed in this Form 10-K for a description of these recapitalization transactions. In 2019 and 2018, the amount of dividends received was in excess of current year equity in earnings from its subsidiaries, and thus a portion of these dividends was considered to be a return of Investment and is classified as a cash inflow from investing activities.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86"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8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r>
        <w:rPr>
          <w:rFonts w:ascii="Arial" w:cs="Arial" w:eastAsia="Arial" w:hAnsi="Arial"/>
          <w:sz w:val="18"/>
          <w:szCs w:val="18"/>
          <w:b w:val="1"/>
          <w:bCs w:val="1"/>
          <w:color w:val="auto"/>
        </w:rPr>
        <w:t>.</w:t>
      </w:r>
    </w:p>
    <w:p>
      <w:pPr>
        <w:spacing w:after="0" w:line="16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139"/>
          </w:cols>
          <w:pgMar w:left="320" w:top="486" w:right="1440"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8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DOMINO’S PIZZA,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Stuart A.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8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Stuart A. Levy</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Executive Vice President, Chief Financial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February 25, 2021</w:t>
      </w:r>
    </w:p>
    <w:p>
      <w:pPr>
        <w:spacing w:after="0" w:line="211"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registrants and in the capacities and on the dates indicated.</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E. Allison, Jr.</w:t>
            </w:r>
          </w:p>
        </w:tc>
        <w:tc>
          <w:tcPr>
            <w:tcW w:w="4560" w:type="dxa"/>
            <w:vAlign w:val="bottom"/>
          </w:tcPr>
          <w:p>
            <w:pPr>
              <w:spacing w:after="0"/>
              <w:rPr>
                <w:sz w:val="20"/>
                <w:szCs w:val="20"/>
                <w:color w:val="auto"/>
              </w:rPr>
            </w:pPr>
          </w:p>
        </w:tc>
      </w:tr>
      <w:tr>
        <w:trPr>
          <w:trHeight w:val="209"/>
        </w:trPr>
        <w:tc>
          <w:tcPr>
            <w:tcW w:w="5180" w:type="dxa"/>
            <w:vAlign w:val="bottom"/>
          </w:tcPr>
          <w:p>
            <w:pPr>
              <w:spacing w:after="0"/>
              <w:rPr>
                <w:sz w:val="20"/>
                <w:szCs w:val="20"/>
                <w:color w:val="auto"/>
              </w:rPr>
            </w:pPr>
            <w:r>
              <w:rPr>
                <w:rFonts w:ascii="Arial" w:cs="Arial" w:eastAsia="Arial" w:hAnsi="Arial"/>
                <w:sz w:val="18"/>
                <w:szCs w:val="18"/>
                <w:color w:val="auto"/>
              </w:rPr>
              <w:t>Richard E. Allison, Jr.</w:t>
            </w:r>
          </w:p>
        </w:tc>
        <w:tc>
          <w:tcPr>
            <w:tcW w:w="4560" w:type="dxa"/>
            <w:vAlign w:val="bottom"/>
          </w:tcPr>
          <w:p>
            <w:pPr>
              <w:ind w:left="980"/>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February 25, 2021</w:t>
            </w:r>
          </w:p>
        </w:tc>
        <w:tc>
          <w:tcPr>
            <w:tcW w:w="4560" w:type="dxa"/>
            <w:vAlign w:val="bottom"/>
          </w:tcPr>
          <w:p>
            <w:pPr>
              <w:ind w:left="980"/>
              <w:spacing w:after="0"/>
              <w:rPr>
                <w:sz w:val="20"/>
                <w:szCs w:val="20"/>
                <w:color w:val="auto"/>
              </w:rPr>
            </w:pPr>
            <w:r>
              <w:rPr>
                <w:rFonts w:ascii="Arial" w:cs="Arial" w:eastAsia="Arial" w:hAnsi="Arial"/>
                <w:sz w:val="18"/>
                <w:szCs w:val="18"/>
                <w:color w:val="auto"/>
              </w:rPr>
              <w:t>(Principal Executive Officer)</w:t>
            </w:r>
          </w:p>
        </w:tc>
      </w:tr>
      <w:tr>
        <w:trPr>
          <w:trHeight w:val="432"/>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A. Levy</w:t>
            </w:r>
          </w:p>
        </w:tc>
        <w:tc>
          <w:tcPr>
            <w:tcW w:w="4560" w:type="dxa"/>
            <w:vAlign w:val="bottom"/>
          </w:tcPr>
          <w:p>
            <w:pPr>
              <w:spacing w:after="0"/>
              <w:rPr>
                <w:sz w:val="24"/>
                <w:szCs w:val="24"/>
                <w:color w:val="auto"/>
              </w:rPr>
            </w:pPr>
          </w:p>
        </w:tc>
      </w:tr>
      <w:tr>
        <w:trPr>
          <w:trHeight w:val="209"/>
        </w:trPr>
        <w:tc>
          <w:tcPr>
            <w:tcW w:w="5180" w:type="dxa"/>
            <w:vAlign w:val="bottom"/>
          </w:tcPr>
          <w:p>
            <w:pPr>
              <w:spacing w:after="0"/>
              <w:rPr>
                <w:sz w:val="20"/>
                <w:szCs w:val="20"/>
                <w:color w:val="auto"/>
              </w:rPr>
            </w:pPr>
            <w:r>
              <w:rPr>
                <w:rFonts w:ascii="Arial" w:cs="Arial" w:eastAsia="Arial" w:hAnsi="Arial"/>
                <w:sz w:val="18"/>
                <w:szCs w:val="18"/>
                <w:color w:val="auto"/>
              </w:rPr>
              <w:t>Stuart A. Levy</w:t>
            </w:r>
          </w:p>
        </w:tc>
        <w:tc>
          <w:tcPr>
            <w:tcW w:w="4560" w:type="dxa"/>
            <w:vAlign w:val="bottom"/>
          </w:tcPr>
          <w:p>
            <w:pPr>
              <w:ind w:left="980"/>
              <w:spacing w:after="0"/>
              <w:rPr>
                <w:sz w:val="20"/>
                <w:szCs w:val="20"/>
                <w:color w:val="auto"/>
              </w:rPr>
            </w:pPr>
            <w:r>
              <w:rPr>
                <w:rFonts w:ascii="Arial" w:cs="Arial" w:eastAsia="Arial" w:hAnsi="Arial"/>
                <w:sz w:val="18"/>
                <w:szCs w:val="18"/>
                <w:color w:val="auto"/>
                <w:w w:val="92"/>
              </w:rPr>
              <w:t>Executive Vice President, Chief Financial Officer</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February 25, 2021</w:t>
            </w:r>
          </w:p>
        </w:tc>
        <w:tc>
          <w:tcPr>
            <w:tcW w:w="4560" w:type="dxa"/>
            <w:vAlign w:val="bottom"/>
          </w:tcPr>
          <w:p>
            <w:pPr>
              <w:ind w:left="980"/>
              <w:spacing w:after="0"/>
              <w:rPr>
                <w:sz w:val="20"/>
                <w:szCs w:val="20"/>
                <w:color w:val="auto"/>
              </w:rPr>
            </w:pPr>
            <w:r>
              <w:rPr>
                <w:rFonts w:ascii="Arial" w:cs="Arial" w:eastAsia="Arial" w:hAnsi="Arial"/>
                <w:sz w:val="18"/>
                <w:szCs w:val="18"/>
                <w:color w:val="auto"/>
              </w:rPr>
              <w:t>(Principal Financial Officer)</w:t>
            </w:r>
          </w:p>
        </w:tc>
      </w:tr>
      <w:tr>
        <w:trPr>
          <w:trHeight w:val="432"/>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Jessica L. Parrish</w:t>
            </w:r>
          </w:p>
        </w:tc>
        <w:tc>
          <w:tcPr>
            <w:tcW w:w="4560" w:type="dxa"/>
            <w:vAlign w:val="bottom"/>
          </w:tcPr>
          <w:p>
            <w:pPr>
              <w:spacing w:after="0"/>
              <w:rPr>
                <w:sz w:val="24"/>
                <w:szCs w:val="24"/>
                <w:color w:val="auto"/>
              </w:rPr>
            </w:pPr>
          </w:p>
        </w:tc>
      </w:tr>
      <w:tr>
        <w:trPr>
          <w:trHeight w:val="209"/>
        </w:trPr>
        <w:tc>
          <w:tcPr>
            <w:tcW w:w="5180" w:type="dxa"/>
            <w:vAlign w:val="bottom"/>
          </w:tcPr>
          <w:p>
            <w:pPr>
              <w:spacing w:after="0"/>
              <w:rPr>
                <w:sz w:val="20"/>
                <w:szCs w:val="20"/>
                <w:color w:val="auto"/>
              </w:rPr>
            </w:pPr>
            <w:r>
              <w:rPr>
                <w:rFonts w:ascii="Arial" w:cs="Arial" w:eastAsia="Arial" w:hAnsi="Arial"/>
                <w:sz w:val="18"/>
                <w:szCs w:val="18"/>
                <w:color w:val="auto"/>
              </w:rPr>
              <w:t>Jessica L. Parrish</w:t>
            </w:r>
          </w:p>
        </w:tc>
        <w:tc>
          <w:tcPr>
            <w:tcW w:w="4560" w:type="dxa"/>
            <w:vAlign w:val="bottom"/>
          </w:tcPr>
          <w:p>
            <w:pPr>
              <w:ind w:left="980"/>
              <w:spacing w:after="0"/>
              <w:rPr>
                <w:sz w:val="20"/>
                <w:szCs w:val="20"/>
                <w:color w:val="auto"/>
              </w:rPr>
            </w:pPr>
            <w:r>
              <w:rPr>
                <w:rFonts w:ascii="Arial" w:cs="Arial" w:eastAsia="Arial" w:hAnsi="Arial"/>
                <w:sz w:val="18"/>
                <w:szCs w:val="18"/>
                <w:color w:val="auto"/>
              </w:rPr>
              <w:t>Vice President, Corporate Controller</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February 25, 2021</w:t>
            </w:r>
          </w:p>
        </w:tc>
        <w:tc>
          <w:tcPr>
            <w:tcW w:w="4560" w:type="dxa"/>
            <w:vAlign w:val="bottom"/>
          </w:tcPr>
          <w:p>
            <w:pPr>
              <w:spacing w:after="0"/>
              <w:rPr>
                <w:sz w:val="20"/>
                <w:szCs w:val="20"/>
                <w:color w:val="auto"/>
              </w:rPr>
            </w:pPr>
          </w:p>
        </w:tc>
      </w:tr>
      <w:tr>
        <w:trPr>
          <w:trHeight w:val="432"/>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Brandon</w:t>
            </w:r>
          </w:p>
        </w:tc>
        <w:tc>
          <w:tcPr>
            <w:tcW w:w="4560" w:type="dxa"/>
            <w:vAlign w:val="bottom"/>
          </w:tcPr>
          <w:p>
            <w:pPr>
              <w:spacing w:after="0"/>
              <w:rPr>
                <w:sz w:val="24"/>
                <w:szCs w:val="24"/>
                <w:color w:val="auto"/>
              </w:rPr>
            </w:pPr>
          </w:p>
        </w:tc>
      </w:tr>
      <w:tr>
        <w:trPr>
          <w:trHeight w:val="209"/>
        </w:trPr>
        <w:tc>
          <w:tcPr>
            <w:tcW w:w="5180" w:type="dxa"/>
            <w:vAlign w:val="bottom"/>
          </w:tcPr>
          <w:p>
            <w:pPr>
              <w:spacing w:after="0"/>
              <w:rPr>
                <w:sz w:val="20"/>
                <w:szCs w:val="20"/>
                <w:color w:val="auto"/>
              </w:rPr>
            </w:pPr>
            <w:r>
              <w:rPr>
                <w:rFonts w:ascii="Arial" w:cs="Arial" w:eastAsia="Arial" w:hAnsi="Arial"/>
                <w:sz w:val="18"/>
                <w:szCs w:val="18"/>
                <w:color w:val="auto"/>
              </w:rPr>
              <w:t>David A. Brandon</w:t>
            </w:r>
          </w:p>
        </w:tc>
        <w:tc>
          <w:tcPr>
            <w:tcW w:w="4560" w:type="dxa"/>
            <w:vAlign w:val="bottom"/>
          </w:tcPr>
          <w:p>
            <w:pPr>
              <w:ind w:left="980"/>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February 25, 2021</w:t>
            </w:r>
          </w:p>
        </w:tc>
        <w:tc>
          <w:tcPr>
            <w:tcW w:w="4560" w:type="dxa"/>
            <w:vAlign w:val="bottom"/>
          </w:tcPr>
          <w:p>
            <w:pPr>
              <w:spacing w:after="0"/>
              <w:rPr>
                <w:sz w:val="20"/>
                <w:szCs w:val="20"/>
                <w:color w:val="auto"/>
              </w:rPr>
            </w:pPr>
          </w:p>
        </w:tc>
      </w:tr>
      <w:tr>
        <w:trPr>
          <w:trHeight w:val="432"/>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 Andrew Ballard</w:t>
            </w:r>
          </w:p>
        </w:tc>
        <w:tc>
          <w:tcPr>
            <w:tcW w:w="4560" w:type="dxa"/>
            <w:vAlign w:val="bottom"/>
          </w:tcPr>
          <w:p>
            <w:pPr>
              <w:spacing w:after="0"/>
              <w:rPr>
                <w:sz w:val="24"/>
                <w:szCs w:val="24"/>
                <w:color w:val="auto"/>
              </w:rPr>
            </w:pPr>
          </w:p>
        </w:tc>
      </w:tr>
      <w:tr>
        <w:trPr>
          <w:trHeight w:val="209"/>
        </w:trPr>
        <w:tc>
          <w:tcPr>
            <w:tcW w:w="5180" w:type="dxa"/>
            <w:vAlign w:val="bottom"/>
          </w:tcPr>
          <w:p>
            <w:pPr>
              <w:spacing w:after="0"/>
              <w:rPr>
                <w:sz w:val="20"/>
                <w:szCs w:val="20"/>
                <w:color w:val="auto"/>
              </w:rPr>
            </w:pPr>
            <w:r>
              <w:rPr>
                <w:rFonts w:ascii="Arial" w:cs="Arial" w:eastAsia="Arial" w:hAnsi="Arial"/>
                <w:sz w:val="18"/>
                <w:szCs w:val="18"/>
                <w:color w:val="auto"/>
              </w:rPr>
              <w:t>C. Andrew Ballard</w:t>
            </w:r>
          </w:p>
        </w:tc>
        <w:tc>
          <w:tcPr>
            <w:tcW w:w="4560" w:type="dxa"/>
            <w:vAlign w:val="bottom"/>
          </w:tcPr>
          <w:p>
            <w:pPr>
              <w:ind w:left="980"/>
              <w:spacing w:after="0"/>
              <w:rPr>
                <w:sz w:val="20"/>
                <w:szCs w:val="20"/>
                <w:color w:val="auto"/>
              </w:rPr>
            </w:pPr>
            <w:r>
              <w:rPr>
                <w:rFonts w:ascii="Arial" w:cs="Arial" w:eastAsia="Arial" w:hAnsi="Arial"/>
                <w:sz w:val="18"/>
                <w:szCs w:val="18"/>
                <w:color w:val="auto"/>
              </w:rPr>
              <w:t>Director</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February 25, 2021</w:t>
            </w:r>
          </w:p>
        </w:tc>
        <w:tc>
          <w:tcPr>
            <w:tcW w:w="4560" w:type="dxa"/>
            <w:vAlign w:val="bottom"/>
          </w:tcPr>
          <w:p>
            <w:pPr>
              <w:spacing w:after="0"/>
              <w:rPr>
                <w:sz w:val="20"/>
                <w:szCs w:val="20"/>
                <w:color w:val="auto"/>
              </w:rPr>
            </w:pPr>
          </w:p>
        </w:tc>
      </w:tr>
      <w:tr>
        <w:trPr>
          <w:trHeight w:val="432"/>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B. Balson</w:t>
            </w:r>
          </w:p>
        </w:tc>
        <w:tc>
          <w:tcPr>
            <w:tcW w:w="4560" w:type="dxa"/>
            <w:vAlign w:val="bottom"/>
          </w:tcPr>
          <w:p>
            <w:pPr>
              <w:spacing w:after="0"/>
              <w:rPr>
                <w:sz w:val="24"/>
                <w:szCs w:val="24"/>
                <w:color w:val="auto"/>
              </w:rPr>
            </w:pPr>
          </w:p>
        </w:tc>
      </w:tr>
      <w:tr>
        <w:trPr>
          <w:trHeight w:val="209"/>
        </w:trPr>
        <w:tc>
          <w:tcPr>
            <w:tcW w:w="5180" w:type="dxa"/>
            <w:vAlign w:val="bottom"/>
          </w:tcPr>
          <w:p>
            <w:pPr>
              <w:spacing w:after="0"/>
              <w:rPr>
                <w:sz w:val="20"/>
                <w:szCs w:val="20"/>
                <w:color w:val="auto"/>
              </w:rPr>
            </w:pPr>
            <w:r>
              <w:rPr>
                <w:rFonts w:ascii="Arial" w:cs="Arial" w:eastAsia="Arial" w:hAnsi="Arial"/>
                <w:sz w:val="18"/>
                <w:szCs w:val="18"/>
                <w:color w:val="auto"/>
              </w:rPr>
              <w:t>Andrew B. Balson</w:t>
            </w:r>
          </w:p>
        </w:tc>
        <w:tc>
          <w:tcPr>
            <w:tcW w:w="4560" w:type="dxa"/>
            <w:vAlign w:val="bottom"/>
          </w:tcPr>
          <w:p>
            <w:pPr>
              <w:ind w:left="980"/>
              <w:spacing w:after="0"/>
              <w:rPr>
                <w:sz w:val="20"/>
                <w:szCs w:val="20"/>
                <w:color w:val="auto"/>
              </w:rPr>
            </w:pPr>
            <w:r>
              <w:rPr>
                <w:rFonts w:ascii="Arial" w:cs="Arial" w:eastAsia="Arial" w:hAnsi="Arial"/>
                <w:sz w:val="18"/>
                <w:szCs w:val="18"/>
                <w:color w:val="auto"/>
              </w:rPr>
              <w:t>Director</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February 25, 2021</w:t>
            </w:r>
          </w:p>
        </w:tc>
        <w:tc>
          <w:tcPr>
            <w:tcW w:w="4560" w:type="dxa"/>
            <w:vAlign w:val="bottom"/>
          </w:tcPr>
          <w:p>
            <w:pPr>
              <w:spacing w:after="0"/>
              <w:rPr>
                <w:sz w:val="20"/>
                <w:szCs w:val="20"/>
                <w:color w:val="auto"/>
              </w:rPr>
            </w:pPr>
          </w:p>
        </w:tc>
      </w:tr>
      <w:tr>
        <w:trPr>
          <w:trHeight w:val="432"/>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Corie S. Barry</w:t>
            </w:r>
          </w:p>
        </w:tc>
        <w:tc>
          <w:tcPr>
            <w:tcW w:w="4560" w:type="dxa"/>
            <w:vAlign w:val="bottom"/>
          </w:tcPr>
          <w:p>
            <w:pPr>
              <w:spacing w:after="0"/>
              <w:rPr>
                <w:sz w:val="24"/>
                <w:szCs w:val="24"/>
                <w:color w:val="auto"/>
              </w:rPr>
            </w:pPr>
          </w:p>
        </w:tc>
      </w:tr>
      <w:tr>
        <w:trPr>
          <w:trHeight w:val="209"/>
        </w:trPr>
        <w:tc>
          <w:tcPr>
            <w:tcW w:w="5180" w:type="dxa"/>
            <w:vAlign w:val="bottom"/>
          </w:tcPr>
          <w:p>
            <w:pPr>
              <w:spacing w:after="0"/>
              <w:rPr>
                <w:sz w:val="20"/>
                <w:szCs w:val="20"/>
                <w:color w:val="auto"/>
              </w:rPr>
            </w:pPr>
            <w:r>
              <w:rPr>
                <w:rFonts w:ascii="Arial" w:cs="Arial" w:eastAsia="Arial" w:hAnsi="Arial"/>
                <w:sz w:val="18"/>
                <w:szCs w:val="18"/>
                <w:color w:val="auto"/>
              </w:rPr>
              <w:t>Corie S. Barry</w:t>
            </w:r>
          </w:p>
        </w:tc>
        <w:tc>
          <w:tcPr>
            <w:tcW w:w="4560" w:type="dxa"/>
            <w:vAlign w:val="bottom"/>
          </w:tcPr>
          <w:p>
            <w:pPr>
              <w:ind w:left="980"/>
              <w:spacing w:after="0"/>
              <w:rPr>
                <w:sz w:val="20"/>
                <w:szCs w:val="20"/>
                <w:color w:val="auto"/>
              </w:rPr>
            </w:pPr>
            <w:r>
              <w:rPr>
                <w:rFonts w:ascii="Arial" w:cs="Arial" w:eastAsia="Arial" w:hAnsi="Arial"/>
                <w:sz w:val="18"/>
                <w:szCs w:val="18"/>
                <w:color w:val="auto"/>
              </w:rPr>
              <w:t>Director</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February 25, 2021</w:t>
            </w:r>
          </w:p>
        </w:tc>
        <w:tc>
          <w:tcPr>
            <w:tcW w:w="4560" w:type="dxa"/>
            <w:vAlign w:val="bottom"/>
          </w:tcPr>
          <w:p>
            <w:pPr>
              <w:spacing w:after="0"/>
              <w:rPr>
                <w:sz w:val="20"/>
                <w:szCs w:val="20"/>
                <w:color w:val="auto"/>
              </w:rPr>
            </w:pPr>
          </w:p>
        </w:tc>
      </w:tr>
      <w:tr>
        <w:trPr>
          <w:trHeight w:val="432"/>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Diana F. Cantor</w:t>
            </w:r>
          </w:p>
        </w:tc>
        <w:tc>
          <w:tcPr>
            <w:tcW w:w="4560" w:type="dxa"/>
            <w:vAlign w:val="bottom"/>
          </w:tcPr>
          <w:p>
            <w:pPr>
              <w:spacing w:after="0"/>
              <w:rPr>
                <w:sz w:val="24"/>
                <w:szCs w:val="24"/>
                <w:color w:val="auto"/>
              </w:rPr>
            </w:pPr>
          </w:p>
        </w:tc>
      </w:tr>
      <w:tr>
        <w:trPr>
          <w:trHeight w:val="209"/>
        </w:trPr>
        <w:tc>
          <w:tcPr>
            <w:tcW w:w="5180" w:type="dxa"/>
            <w:vAlign w:val="bottom"/>
          </w:tcPr>
          <w:p>
            <w:pPr>
              <w:spacing w:after="0"/>
              <w:rPr>
                <w:sz w:val="20"/>
                <w:szCs w:val="20"/>
                <w:color w:val="auto"/>
              </w:rPr>
            </w:pPr>
            <w:r>
              <w:rPr>
                <w:rFonts w:ascii="Arial" w:cs="Arial" w:eastAsia="Arial" w:hAnsi="Arial"/>
                <w:sz w:val="18"/>
                <w:szCs w:val="18"/>
                <w:color w:val="auto"/>
              </w:rPr>
              <w:t>Diana F. Cantor</w:t>
            </w:r>
          </w:p>
        </w:tc>
        <w:tc>
          <w:tcPr>
            <w:tcW w:w="4560" w:type="dxa"/>
            <w:vAlign w:val="bottom"/>
          </w:tcPr>
          <w:p>
            <w:pPr>
              <w:ind w:left="980"/>
              <w:spacing w:after="0"/>
              <w:rPr>
                <w:sz w:val="20"/>
                <w:szCs w:val="20"/>
                <w:color w:val="auto"/>
              </w:rPr>
            </w:pPr>
            <w:r>
              <w:rPr>
                <w:rFonts w:ascii="Arial" w:cs="Arial" w:eastAsia="Arial" w:hAnsi="Arial"/>
                <w:sz w:val="18"/>
                <w:szCs w:val="18"/>
                <w:color w:val="auto"/>
              </w:rPr>
              <w:t>Director</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February 25, 2021</w:t>
            </w:r>
          </w:p>
        </w:tc>
        <w:tc>
          <w:tcPr>
            <w:tcW w:w="4560" w:type="dxa"/>
            <w:vAlign w:val="bottom"/>
          </w:tcPr>
          <w:p>
            <w:pPr>
              <w:spacing w:after="0"/>
              <w:rPr>
                <w:sz w:val="20"/>
                <w:szCs w:val="20"/>
                <w:color w:val="auto"/>
              </w:rPr>
            </w:pPr>
          </w:p>
        </w:tc>
      </w:tr>
      <w:tr>
        <w:trPr>
          <w:trHeight w:val="432"/>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L. Federico</w:t>
            </w:r>
          </w:p>
        </w:tc>
        <w:tc>
          <w:tcPr>
            <w:tcW w:w="4560" w:type="dxa"/>
            <w:vAlign w:val="bottom"/>
          </w:tcPr>
          <w:p>
            <w:pPr>
              <w:spacing w:after="0"/>
              <w:rPr>
                <w:sz w:val="24"/>
                <w:szCs w:val="24"/>
                <w:color w:val="auto"/>
              </w:rPr>
            </w:pPr>
          </w:p>
        </w:tc>
      </w:tr>
      <w:tr>
        <w:trPr>
          <w:trHeight w:val="209"/>
        </w:trPr>
        <w:tc>
          <w:tcPr>
            <w:tcW w:w="5180" w:type="dxa"/>
            <w:vAlign w:val="bottom"/>
          </w:tcPr>
          <w:p>
            <w:pPr>
              <w:spacing w:after="0"/>
              <w:rPr>
                <w:sz w:val="20"/>
                <w:szCs w:val="20"/>
                <w:color w:val="auto"/>
              </w:rPr>
            </w:pPr>
            <w:r>
              <w:rPr>
                <w:rFonts w:ascii="Arial" w:cs="Arial" w:eastAsia="Arial" w:hAnsi="Arial"/>
                <w:sz w:val="18"/>
                <w:szCs w:val="18"/>
                <w:color w:val="auto"/>
              </w:rPr>
              <w:t>Richard L. Federico</w:t>
            </w:r>
          </w:p>
        </w:tc>
        <w:tc>
          <w:tcPr>
            <w:tcW w:w="4560" w:type="dxa"/>
            <w:vAlign w:val="bottom"/>
          </w:tcPr>
          <w:p>
            <w:pPr>
              <w:ind w:left="980"/>
              <w:spacing w:after="0"/>
              <w:rPr>
                <w:sz w:val="20"/>
                <w:szCs w:val="20"/>
                <w:color w:val="auto"/>
              </w:rPr>
            </w:pPr>
            <w:r>
              <w:rPr>
                <w:rFonts w:ascii="Arial" w:cs="Arial" w:eastAsia="Arial" w:hAnsi="Arial"/>
                <w:sz w:val="18"/>
                <w:szCs w:val="18"/>
                <w:color w:val="auto"/>
              </w:rPr>
              <w:t>Director</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February 25, 2021</w:t>
            </w:r>
          </w:p>
        </w:tc>
        <w:tc>
          <w:tcPr>
            <w:tcW w:w="4560" w:type="dxa"/>
            <w:vAlign w:val="bottom"/>
          </w:tcPr>
          <w:p>
            <w:pPr>
              <w:spacing w:after="0"/>
              <w:rPr>
                <w:sz w:val="20"/>
                <w:szCs w:val="20"/>
                <w:color w:val="auto"/>
              </w:rPr>
            </w:pPr>
          </w:p>
        </w:tc>
      </w:tr>
      <w:tr>
        <w:trPr>
          <w:trHeight w:val="432"/>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A. Goldman</w:t>
            </w:r>
          </w:p>
        </w:tc>
        <w:tc>
          <w:tcPr>
            <w:tcW w:w="4560" w:type="dxa"/>
            <w:vAlign w:val="bottom"/>
          </w:tcPr>
          <w:p>
            <w:pPr>
              <w:spacing w:after="0"/>
              <w:rPr>
                <w:sz w:val="24"/>
                <w:szCs w:val="24"/>
                <w:color w:val="auto"/>
              </w:rPr>
            </w:pPr>
          </w:p>
        </w:tc>
      </w:tr>
      <w:tr>
        <w:trPr>
          <w:trHeight w:val="209"/>
        </w:trPr>
        <w:tc>
          <w:tcPr>
            <w:tcW w:w="5180" w:type="dxa"/>
            <w:vAlign w:val="bottom"/>
          </w:tcPr>
          <w:p>
            <w:pPr>
              <w:spacing w:after="0"/>
              <w:rPr>
                <w:sz w:val="20"/>
                <w:szCs w:val="20"/>
                <w:color w:val="auto"/>
              </w:rPr>
            </w:pPr>
            <w:r>
              <w:rPr>
                <w:rFonts w:ascii="Arial" w:cs="Arial" w:eastAsia="Arial" w:hAnsi="Arial"/>
                <w:sz w:val="18"/>
                <w:szCs w:val="18"/>
                <w:color w:val="auto"/>
              </w:rPr>
              <w:t>James A. Goldman</w:t>
            </w:r>
          </w:p>
        </w:tc>
        <w:tc>
          <w:tcPr>
            <w:tcW w:w="4560" w:type="dxa"/>
            <w:vAlign w:val="bottom"/>
          </w:tcPr>
          <w:p>
            <w:pPr>
              <w:ind w:left="980"/>
              <w:spacing w:after="0"/>
              <w:rPr>
                <w:sz w:val="20"/>
                <w:szCs w:val="20"/>
                <w:color w:val="auto"/>
              </w:rPr>
            </w:pPr>
            <w:r>
              <w:rPr>
                <w:rFonts w:ascii="Arial" w:cs="Arial" w:eastAsia="Arial" w:hAnsi="Arial"/>
                <w:sz w:val="18"/>
                <w:szCs w:val="18"/>
                <w:color w:val="auto"/>
              </w:rPr>
              <w:t>Director</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February 25, 2021</w:t>
            </w:r>
          </w:p>
        </w:tc>
        <w:tc>
          <w:tcPr>
            <w:tcW w:w="4560" w:type="dxa"/>
            <w:vAlign w:val="bottom"/>
          </w:tcPr>
          <w:p>
            <w:pPr>
              <w:spacing w:after="0"/>
              <w:rPr>
                <w:sz w:val="20"/>
                <w:szCs w:val="20"/>
                <w:color w:val="auto"/>
              </w:rPr>
            </w:pPr>
          </w:p>
        </w:tc>
      </w:tr>
      <w:tr>
        <w:trPr>
          <w:trHeight w:val="432"/>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Patricia E. Lopez</w:t>
            </w:r>
          </w:p>
        </w:tc>
        <w:tc>
          <w:tcPr>
            <w:tcW w:w="4560" w:type="dxa"/>
            <w:vAlign w:val="bottom"/>
          </w:tcPr>
          <w:p>
            <w:pPr>
              <w:spacing w:after="0"/>
              <w:rPr>
                <w:sz w:val="24"/>
                <w:szCs w:val="24"/>
                <w:color w:val="auto"/>
              </w:rPr>
            </w:pPr>
          </w:p>
        </w:tc>
      </w:tr>
      <w:tr>
        <w:trPr>
          <w:trHeight w:val="209"/>
        </w:trPr>
        <w:tc>
          <w:tcPr>
            <w:tcW w:w="5180" w:type="dxa"/>
            <w:vAlign w:val="bottom"/>
          </w:tcPr>
          <w:p>
            <w:pPr>
              <w:spacing w:after="0"/>
              <w:rPr>
                <w:sz w:val="20"/>
                <w:szCs w:val="20"/>
                <w:color w:val="auto"/>
              </w:rPr>
            </w:pPr>
            <w:r>
              <w:rPr>
                <w:rFonts w:ascii="Arial" w:cs="Arial" w:eastAsia="Arial" w:hAnsi="Arial"/>
                <w:sz w:val="18"/>
                <w:szCs w:val="18"/>
                <w:color w:val="auto"/>
              </w:rPr>
              <w:t>Patricia E. Lopez</w:t>
            </w:r>
          </w:p>
        </w:tc>
        <w:tc>
          <w:tcPr>
            <w:tcW w:w="4560" w:type="dxa"/>
            <w:vAlign w:val="bottom"/>
          </w:tcPr>
          <w:p>
            <w:pPr>
              <w:ind w:left="980"/>
              <w:spacing w:after="0"/>
              <w:rPr>
                <w:sz w:val="20"/>
                <w:szCs w:val="20"/>
                <w:color w:val="auto"/>
              </w:rPr>
            </w:pPr>
            <w:r>
              <w:rPr>
                <w:rFonts w:ascii="Arial" w:cs="Arial" w:eastAsia="Arial" w:hAnsi="Arial"/>
                <w:sz w:val="18"/>
                <w:szCs w:val="18"/>
                <w:color w:val="auto"/>
              </w:rPr>
              <w:t>Director</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February 25, 2021</w:t>
            </w:r>
          </w:p>
        </w:tc>
        <w:tc>
          <w:tcPr>
            <w:tcW w:w="4560" w:type="dxa"/>
            <w:vAlign w:val="bottom"/>
          </w:tcPr>
          <w:p>
            <w:pPr>
              <w:spacing w:after="0"/>
              <w:rPr>
                <w:sz w:val="20"/>
                <w:szCs w:val="20"/>
                <w:color w:val="auto"/>
              </w:rPr>
            </w:pPr>
          </w:p>
        </w:tc>
      </w:tr>
    </w:tbl>
    <w:p>
      <w:pPr>
        <w:spacing w:after="0" w:line="134" w:lineRule="exact"/>
        <w:rPr>
          <w:sz w:val="20"/>
          <w:szCs w:val="20"/>
          <w:color w:val="auto"/>
        </w:rPr>
      </w:pPr>
    </w:p>
    <w:p>
      <w:pPr>
        <w:sectPr>
          <w:pgSz w:w="11900" w:h="16838" w:orient="portrait"/>
          <w:cols w:equalWidth="0" w:num="1">
            <w:col w:w="11120"/>
          </w:cols>
          <w:pgMar w:left="320" w:top="486" w:right="459" w:bottom="1440" w:gutter="0" w:footer="0" w:header="0"/>
        </w:sectPr>
      </w:pPr>
    </w:p>
    <w:p>
      <w:pPr>
        <w:jc w:val="center"/>
        <w:ind w:right="-13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120"/>
          </w:cols>
          <w:pgMar w:left="320" w:top="486" w:right="459" w:bottom="1440" w:gutter="0" w:footer="0" w:header="0"/>
          <w:type w:val="continuous"/>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10.43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SEPARATION AGREEMENT AND GENERAL RELEASE</w:t>
      </w:r>
    </w:p>
    <w:p>
      <w:pPr>
        <w:spacing w:after="0" w:line="229"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This Separation Agreement and General Release (“Agreement”) is entered into between J. Kevin Vasconi (“Employee”) and Domino’s Pizza LLC (“Company”). Employee and the Company are “the parties” to this Agreement.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FACTS:</w:t>
      </w:r>
    </w:p>
    <w:p>
      <w:pPr>
        <w:spacing w:after="0" w:line="121" w:lineRule="exact"/>
        <w:rPr>
          <w:sz w:val="20"/>
          <w:szCs w:val="20"/>
          <w:color w:val="auto"/>
        </w:rPr>
      </w:pPr>
    </w:p>
    <w:p>
      <w:pPr>
        <w:ind w:right="960" w:firstLine="440"/>
        <w:spacing w:after="0" w:line="342" w:lineRule="auto"/>
        <w:rPr>
          <w:sz w:val="20"/>
          <w:szCs w:val="20"/>
          <w:color w:val="auto"/>
        </w:rPr>
      </w:pPr>
      <w:r>
        <w:rPr>
          <w:rFonts w:ascii="Arial" w:cs="Arial" w:eastAsia="Arial" w:hAnsi="Arial"/>
          <w:sz w:val="16"/>
          <w:szCs w:val="16"/>
          <w:color w:val="auto"/>
        </w:rPr>
        <w:t>Employee has been employed by the Company as its Executive Vice President, Chief Information Officer and previously executed an Employment Agreement with the Company dated February 11, 2012 in connection therewith (the “Employment Agreement”).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parties desire to document certain understandings regarding her/his retirement from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OBLIGATIONS:</w:t>
      </w:r>
    </w:p>
    <w:p>
      <w:pPr>
        <w:spacing w:after="0" w:line="12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In consideration of the mutual promises in this Agreement, and other good and valuable consideration, the parties agree to be legally bound by the following promises and acknowledgements:</w:t>
      </w:r>
    </w:p>
    <w:p>
      <w:pPr>
        <w:spacing w:after="0" w:line="170" w:lineRule="exact"/>
        <w:rPr>
          <w:sz w:val="20"/>
          <w:szCs w:val="20"/>
          <w:color w:val="auto"/>
        </w:rPr>
      </w:pPr>
    </w:p>
    <w:p>
      <w:pPr>
        <w:ind w:right="40" w:firstLine="436"/>
        <w:spacing w:after="0" w:line="263"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Separation Date</w:t>
      </w:r>
      <w:r>
        <w:rPr>
          <w:rFonts w:ascii="Arial" w:cs="Arial" w:eastAsia="Arial" w:hAnsi="Arial"/>
          <w:sz w:val="18"/>
          <w:szCs w:val="18"/>
          <w:color w:val="auto"/>
        </w:rPr>
        <w:t>: Employee’s voluntary resignation will become effective at 11:59 p.m. on October 2, 2020 (the “Separation Date”). As of Employee’s Separation Date, s/he will cease performing any work-related duties and her/his title and signing authority on behalf of the Company will be rescinded.</w:t>
      </w:r>
    </w:p>
    <w:p>
      <w:pPr>
        <w:spacing w:after="0" w:line="183" w:lineRule="exact"/>
        <w:rPr>
          <w:rFonts w:ascii="Arial" w:cs="Arial" w:eastAsia="Arial" w:hAnsi="Arial"/>
          <w:sz w:val="18"/>
          <w:szCs w:val="18"/>
          <w:color w:val="auto"/>
        </w:rPr>
      </w:pPr>
    </w:p>
    <w:p>
      <w:pPr>
        <w:ind w:right="40" w:firstLine="436"/>
        <w:spacing w:after="0" w:line="269" w:lineRule="auto"/>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Contractual Amendments</w:t>
      </w:r>
      <w:r>
        <w:rPr>
          <w:rFonts w:ascii="Arial" w:cs="Arial" w:eastAsia="Arial" w:hAnsi="Arial"/>
          <w:sz w:val="17"/>
          <w:szCs w:val="17"/>
          <w:color w:val="auto"/>
        </w:rPr>
        <w:t>: Provided that the Company meets or exceeds the threshold required for the payment of annual performance cash incentives for 2020 under its Senior Executive Annual Incentive Plan (the “AIP”), the Company agrees to pay Employee a lump sum payment (less lawfully required taxes, deductions, and withholdings) equal to a pro-rated portion (based on the number of days that s/he was employed by the Company in 2020) of the annual performance cash incentive that would have otherwise been payable to her/him for 2020 had s/he remained employed through the date of payment under the AIP, which shall be paid in 2021 if and when annual performance cash incentives are paid to then-current participants under the AIP. Additionally, if Employee elects continuation of health coverage pursuant to Section 601 through 608 of the Employee Retirement Income Security Act of 1974, as amended (“COBRA”), the Company shall also pay Employee on a monthly basis an amount equal to the monthly COBRA premiums payable by Employee for up to twelve months following the Separation Date, provided that such payment will cease upon Employee’s entitlement to other health insurance without charge. Finally, the Company agrees not to enforce Section 8.1(iii) of the Employment Agreement. Employee agrees to notify the Company if he/she becomes entitled to other health insurance without charge during the twelve-month period following the Separation Date.</w:t>
      </w:r>
    </w:p>
    <w:p>
      <w:pPr>
        <w:spacing w:after="0" w:line="182"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For her/his part, Employee acknowledges and agrees that s/he is not and will not be entitled to severance or any other payments or benefits of any kind under the Employment Agreement as a consequence of the conclusion of her/his employment relationship with the Company, provided, however, that for the avoidance of any doubt, nothing in this Agreement shall be construed to affect the rights and obligations of the Company or its affiliates, on the one hand, and the Employee, on the other, with respect to any outstanding, unvested equity awards and the plans and award agreements under which they were granted.</w:t>
      </w:r>
    </w:p>
    <w:p>
      <w:pPr>
        <w:spacing w:after="0" w:line="188" w:lineRule="exact"/>
        <w:rPr>
          <w:sz w:val="20"/>
          <w:szCs w:val="20"/>
          <w:color w:val="auto"/>
        </w:rPr>
      </w:pPr>
    </w:p>
    <w:p>
      <w:pPr>
        <w:ind w:right="40" w:firstLine="436"/>
        <w:spacing w:after="0" w:line="270" w:lineRule="auto"/>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Release of Claims</w:t>
      </w:r>
      <w:r>
        <w:rPr>
          <w:rFonts w:ascii="Arial" w:cs="Arial" w:eastAsia="Arial" w:hAnsi="Arial"/>
          <w:sz w:val="17"/>
          <w:szCs w:val="17"/>
          <w:color w:val="auto"/>
        </w:rPr>
        <w:t>: Employee acknowledges that the consideration in Paragraph 2 represents full and final payment of all claims by Employee against the Company, and is in excess of what Employee would otherwise be entitled by virtue of her/his employment. By signing this Agreement, Employee completely and forever releases the Company and any past, present, or future direct or indirect owners, shareholders, directors, officers, employees, attorneys, agents, insurers, partners, employee benefit plans, predecessors and successors in interest, beneficiaries, executors, administrators, personal representatives, heirs, parents, subsidiaries, successors, and assigns of the Company and any other persons, firms, corporations, or entities with which the Company has been, is now, or may hereafter be affiliated (collectively, the “Released Parties”), from any and all known or unknown claims, demands, grievances, or lawsuits arising out of or in any way relating to any event, matter, or occurrence existing or occurring before Employee signs this Agreement including, but not limited to, claims that involve or arise from the employment relationship between Employee and the Company, or the termination of that relationship.</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7</w:t>
      </w:r>
    </w:p>
    <w:p>
      <w:pPr>
        <w:sectPr>
          <w:pgSz w:w="11900" w:h="16838" w:orient="portrait"/>
          <w:cols w:equalWidth="0" w:num="1">
            <w:col w:w="11020"/>
          </w:cols>
          <w:pgMar w:left="440" w:top="121" w:right="439" w:bottom="1440" w:gutter="0" w:footer="0" w:header="0"/>
        </w:sectPr>
      </w:pPr>
    </w:p>
    <w:bookmarkStart w:id="95" w:name="page96"/>
    <w:bookmarkEnd w:id="95"/>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general release includes, but is not limited to, claims, demands, grievances, or lawsuits that arise under any of the following: Title VII of the Civil Rights Act of 1964; 42 U.S.C. § 1981; the Age Discrimination in Employment Act of 1967; the Pregnancy Discrimination Act; the Employee Retirement Income Security Act; the Americans with Disabilities Act; the Family and Medical Leave Act; the Equal Pay Act; the Genetic Information Non-Discrimination Act; the Worker Adjustment and Retraining Notification Act; the Sarbanes-Oxley Act; the Health Insurance Portability and Accountability Act; the Fair Credit Reporting Act; the False Claims Act; the Occupational Safety and Health Act; the Uniformed Services Employment and Reemployment Rights Act; any amendments to the foregoing laws; any other federal, state, local, or foreign constitution, statute, ordinance, or regulation; or any other theory of recovery including, but not limited to, claims of discrimination, harassment, or retaliation of any kind, wrongful discharge, breach of contract, breach of the covenant of good faith and fair dealing, unfair business practices, wage and hour claims of any kind, whether for non-payment, late payment, overtime, misclassification, rest breaks, meal periods, bonuses, reimbursements, deductions, and/or penalties, tort claims of any kind, whether for intentional or negligent infliction of emotional distress, personal injury, defamation, and/or invasion of privacy, and any other common law legal or equitable claims.</w:t>
      </w:r>
    </w:p>
    <w:p>
      <w:pPr>
        <w:spacing w:after="0" w:line="182"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This release includes any and all of Employee’s claims against the Released Parties that exist as of Employee’s execution of this Agreement, even if the facts and/or legal theories supporting those claims are unknown to Employee at this time. This release binds Employee as well as her/his marital community, heirs, and assigns. Excluded from this release are any claims or rights which cannot be waived by law, including Employee’s right to seek unemployment compensation benefits.</w:t>
      </w:r>
    </w:p>
    <w:p>
      <w:pPr>
        <w:spacing w:after="0" w:line="18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Within 21 days of the Separation Date, Employee will execute the Additional Release of Claims attached hereto as Attachment A and return it to the Company representative identified below:</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Domino’s Pizza LLC</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Attention: Kevin Morris, Executive Vice President, General Counsel and Corporate Secretary</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30 Frank Lloyd Wright Drive</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Ann Arbor, Michigan 48105</w:t>
      </w:r>
    </w:p>
    <w:p>
      <w:pPr>
        <w:spacing w:after="0" w:line="21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Employee understands and agrees that her/his right to receive and retain any of the payments otherwise payable pursuant to or described in this Agreement or any of the benefits that may be provided in respect of or related to his termination of employment to which he is not currently entitled is expressly conditioned upon the Additional Release of Claims becoming fully effective and Employee fulfilling her/his obligations under the Employment Agreement including, but not limited to, the post-employment obligations in sections 7 and 8 of that Agreement. If the Additional Release of Claims does not become fully effective in accordance with its terms or Employee fails to fulfill her/his obligations under the Employment Agreement, Employee shall not be entitled to any amounts set forth in Section 2 of this Agreement or any other benefits in respect of or related to his termination of employment to which he is not currently entitled.</w:t>
      </w:r>
    </w:p>
    <w:p>
      <w:pPr>
        <w:spacing w:after="0" w:line="191" w:lineRule="exact"/>
        <w:rPr>
          <w:sz w:val="20"/>
          <w:szCs w:val="20"/>
          <w:color w:val="auto"/>
        </w:rPr>
      </w:pPr>
    </w:p>
    <w:p>
      <w:pPr>
        <w:ind w:left="620" w:hanging="184"/>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Right to Participate in Governmental Agency Proceedings</w:t>
      </w:r>
      <w:r>
        <w:rPr>
          <w:rFonts w:ascii="Arial" w:cs="Arial" w:eastAsia="Arial" w:hAnsi="Arial"/>
          <w:sz w:val="17"/>
          <w:szCs w:val="17"/>
          <w:color w:val="auto"/>
        </w:rPr>
        <w:t xml:space="preserve">: </w:t>
      </w:r>
      <w:r>
        <w:rPr>
          <w:rFonts w:ascii="Arial" w:cs="Arial" w:eastAsia="Arial" w:hAnsi="Arial"/>
          <w:sz w:val="17"/>
          <w:szCs w:val="17"/>
          <w:b w:val="1"/>
          <w:bCs w:val="1"/>
          <w:color w:val="auto"/>
        </w:rPr>
        <w:t>NOTHING IN THIS AGREEMENT IS INTENDED TO LIMIT OR IMPAIR</w:t>
      </w:r>
    </w:p>
    <w:p>
      <w:pPr>
        <w:spacing w:after="0" w:line="38" w:lineRule="exact"/>
        <w:rPr>
          <w:rFonts w:ascii="Arial" w:cs="Arial" w:eastAsia="Arial" w:hAnsi="Arial"/>
          <w:sz w:val="17"/>
          <w:szCs w:val="17"/>
          <w:color w:val="auto"/>
        </w:rPr>
      </w:pPr>
    </w:p>
    <w:p>
      <w:pPr>
        <w:spacing w:after="0" w:line="268" w:lineRule="auto"/>
        <w:rPr>
          <w:rFonts w:ascii="Arial" w:cs="Arial" w:eastAsia="Arial" w:hAnsi="Arial"/>
          <w:sz w:val="17"/>
          <w:szCs w:val="17"/>
          <w:color w:val="auto"/>
        </w:rPr>
      </w:pPr>
      <w:r>
        <w:rPr>
          <w:rFonts w:ascii="Arial" w:cs="Arial" w:eastAsia="Arial" w:hAnsi="Arial"/>
          <w:sz w:val="17"/>
          <w:szCs w:val="17"/>
          <w:b w:val="1"/>
          <w:bCs w:val="1"/>
          <w:color w:val="auto"/>
        </w:rPr>
        <w:t xml:space="preserve">IN ANY WAY EMPLOYEE’S RIGHT TO FILE A CHARGE OR COMPLAINT WITH ANY GOVERNMENTAL AGENCY INCLUDING, BUT NOT LIMITED TO, THE U.S. SECURITIES AND EXCHANGE COMMISSION (“SEC”), NATIONAL LABOR RELATIONS BOARD (“NLRB”), U.S. EQUAL EMPLOYMENT OPPORTUNITY COMMISSION (“EEOC”), OR COMPARABLE STATE AND LOCAL AGENCIES, OR EMPLOYEE’S RIGHT TO PARTICIPATE IN ANY INVESTIGATION CONDUCTED BY ANY GOVERNMENTAL AGENCY AND TO RECOVER ANY APPROPRIATE RELIEF IN ANY SUCH ACTION. </w:t>
      </w:r>
      <w:r>
        <w:rPr>
          <w:rFonts w:ascii="Arial" w:cs="Arial" w:eastAsia="Arial" w:hAnsi="Arial"/>
          <w:sz w:val="17"/>
          <w:szCs w:val="17"/>
          <w:color w:val="auto"/>
        </w:rPr>
        <w:t>However, the parties agree that appropriate relief may</w:t>
      </w:r>
      <w:r>
        <w:rPr>
          <w:rFonts w:ascii="Arial" w:cs="Arial" w:eastAsia="Arial" w:hAnsi="Arial"/>
          <w:sz w:val="17"/>
          <w:szCs w:val="17"/>
          <w:b w:val="1"/>
          <w:bCs w:val="1"/>
          <w:color w:val="auto"/>
        </w:rPr>
        <w:t xml:space="preserve"> </w:t>
      </w:r>
      <w:r>
        <w:rPr>
          <w:rFonts w:ascii="Arial" w:cs="Arial" w:eastAsia="Arial" w:hAnsi="Arial"/>
          <w:sz w:val="17"/>
          <w:szCs w:val="17"/>
          <w:color w:val="auto"/>
        </w:rPr>
        <w:t>not include remedies that personally benefit Employee and which s/he has released and waived under this Agreement, including all legal relief, equitable relief, statutory relief, reinstatement, back pay, front pay, and all other damages, benefits, remedies, or relief to which Employee may be entitled as a result of the filing or prosecution of any such charge or complaint against the Released Parties by Employee, or any resulting civil proceeding or lawsuit brought on behalf of Employee and which arises out of any matters that are released or waived by or under this Agreement. Employee expressly assigns to the Company any such remedies that personally benefit her/him. This Agreement shall not preclude Employee from</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7</w:t>
      </w:r>
    </w:p>
    <w:p>
      <w:pPr>
        <w:sectPr>
          <w:pgSz w:w="11900" w:h="16838" w:orient="portrait"/>
          <w:cols w:equalWidth="0" w:num="1">
            <w:col w:w="11000"/>
          </w:cols>
          <w:pgMar w:left="440" w:top="274" w:right="459" w:bottom="1440" w:gutter="0" w:footer="0" w:header="0"/>
        </w:sectPr>
      </w:pPr>
    </w:p>
    <w:bookmarkStart w:id="96" w:name="page97"/>
    <w:bookmarkEnd w:id="96"/>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bringing a charge or complaint to challenge the validity or enforceability of this Agreement under the Age Discrimination in Employment Act of 1967, as amended by the Older Workers Benefit Protection Act. </w:t>
      </w:r>
      <w:r>
        <w:rPr>
          <w:rFonts w:ascii="Arial" w:cs="Arial" w:eastAsia="Arial" w:hAnsi="Arial"/>
          <w:sz w:val="17"/>
          <w:szCs w:val="17"/>
          <w:b w:val="1"/>
          <w:bCs w:val="1"/>
          <w:color w:val="auto"/>
        </w:rPr>
        <w:t>NOTHING IN THIS AGREEMENT PROHIBITS EMPLOYEE’S ACCEPTANCE OF</w:t>
      </w:r>
      <w:r>
        <w:rPr>
          <w:rFonts w:ascii="Arial" w:cs="Arial" w:eastAsia="Arial" w:hAnsi="Arial"/>
          <w:sz w:val="17"/>
          <w:szCs w:val="17"/>
          <w:color w:val="auto"/>
        </w:rPr>
        <w:t xml:space="preserve"> </w:t>
      </w:r>
      <w:r>
        <w:rPr>
          <w:rFonts w:ascii="Arial" w:cs="Arial" w:eastAsia="Arial" w:hAnsi="Arial"/>
          <w:sz w:val="17"/>
          <w:szCs w:val="17"/>
          <w:b w:val="1"/>
          <w:bCs w:val="1"/>
          <w:color w:val="auto"/>
        </w:rPr>
        <w:t>A WHISTLEBLOWER AWARD FROM THE SEC PURSUANT TO SECTION 21F OF THE FEDERAL SECURITIES EXCHANGE ACT.</w:t>
      </w:r>
    </w:p>
    <w:p>
      <w:pPr>
        <w:spacing w:after="0" w:line="165" w:lineRule="exact"/>
        <w:rPr>
          <w:sz w:val="20"/>
          <w:szCs w:val="20"/>
          <w:color w:val="auto"/>
        </w:rPr>
      </w:pPr>
    </w:p>
    <w:p>
      <w:pPr>
        <w:ind w:right="60" w:firstLine="436"/>
        <w:spacing w:after="0" w:line="259" w:lineRule="auto"/>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Ownership of Rights and Claims</w:t>
      </w:r>
      <w:r>
        <w:rPr>
          <w:rFonts w:ascii="Arial" w:cs="Arial" w:eastAsia="Arial" w:hAnsi="Arial"/>
          <w:sz w:val="18"/>
          <w:szCs w:val="18"/>
          <w:color w:val="auto"/>
        </w:rPr>
        <w:t>: Employee represents and warrants that: (a) no other person or entity has any interest in the claims, obligations, or damages referred to in this Agreement; (b) s/he has the sole right and exclusive authority to execute this Agreement and receive the consideration set forth herein; and (c) s/he has not sold, assigned, transferred, conveyed, or otherwise disposed of the right to pursue any claims referred to in this Agreement or damages associated with any such claims.</w:t>
      </w:r>
    </w:p>
    <w:p>
      <w:pPr>
        <w:spacing w:after="0" w:line="186" w:lineRule="exact"/>
        <w:rPr>
          <w:rFonts w:ascii="Arial" w:cs="Arial" w:eastAsia="Arial" w:hAnsi="Arial"/>
          <w:sz w:val="18"/>
          <w:szCs w:val="18"/>
          <w:color w:val="auto"/>
        </w:rPr>
      </w:pPr>
    </w:p>
    <w:p>
      <w:pPr>
        <w:ind w:right="80" w:firstLine="436"/>
        <w:spacing w:after="0" w:line="259" w:lineRule="auto"/>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Beneficiaries</w:t>
      </w:r>
      <w:r>
        <w:rPr>
          <w:rFonts w:ascii="Arial" w:cs="Arial" w:eastAsia="Arial" w:hAnsi="Arial"/>
          <w:sz w:val="18"/>
          <w:szCs w:val="18"/>
          <w:color w:val="auto"/>
        </w:rPr>
        <w:t>: The parties agree that the rights and benefits to the Company created by this Agreement are intended to apply to any past, present, or future owners, shareholders, directors, officers, employees, attorneys, agents, partners, predecessors and successors in interest, beneficiaries, executors, administrators, personal representatives, heirs, successors, and assigns of the Company and any other persons, firms, corporations, or entities with which the Company has been, is now, or may hereafter be affiliated.</w:t>
      </w:r>
    </w:p>
    <w:p>
      <w:pPr>
        <w:spacing w:after="0" w:line="186" w:lineRule="exact"/>
        <w:rPr>
          <w:rFonts w:ascii="Arial" w:cs="Arial" w:eastAsia="Arial" w:hAnsi="Arial"/>
          <w:sz w:val="18"/>
          <w:szCs w:val="18"/>
          <w:color w:val="auto"/>
        </w:rPr>
      </w:pPr>
    </w:p>
    <w:p>
      <w:pPr>
        <w:ind w:right="120" w:firstLine="436"/>
        <w:spacing w:after="0" w:line="275" w:lineRule="auto"/>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Acknowledgements Concerning Compensation/Leave/On-the-Job Injury</w:t>
      </w:r>
      <w:r>
        <w:rPr>
          <w:rFonts w:ascii="Arial" w:cs="Arial" w:eastAsia="Arial" w:hAnsi="Arial"/>
          <w:sz w:val="17"/>
          <w:szCs w:val="17"/>
          <w:color w:val="auto"/>
        </w:rPr>
        <w:t>: Employee acknowledges and agrees that the consideration in Paragraph 2 shall constitute the total amount owed by the Company to Employee and that s/he has: (a) been paid by the Company for all hours s/he has worked for the Company through the date hereof; (b) received any leave (paid or unpaid) and accommodations to which s/he was entitled through the date hereof; and (c) not suffered any on-the-job injury or occupational illness while working for the Company for which s/he has not already filed a claim. Employee confirms that s/he has no pending legal proceeding(s) against any of the Released Parties.</w:t>
      </w:r>
    </w:p>
    <w:p>
      <w:pPr>
        <w:spacing w:after="0" w:line="176" w:lineRule="exact"/>
        <w:rPr>
          <w:rFonts w:ascii="Arial" w:cs="Arial" w:eastAsia="Arial" w:hAnsi="Arial"/>
          <w:sz w:val="17"/>
          <w:szCs w:val="17"/>
          <w:color w:val="auto"/>
        </w:rPr>
      </w:pPr>
    </w:p>
    <w:p>
      <w:pPr>
        <w:ind w:right="60" w:firstLine="436"/>
        <w:spacing w:after="0" w:line="257" w:lineRule="auto"/>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Confirmation</w:t>
      </w:r>
      <w:r>
        <w:rPr>
          <w:rFonts w:ascii="Arial" w:cs="Arial" w:eastAsia="Arial" w:hAnsi="Arial"/>
          <w:sz w:val="18"/>
          <w:szCs w:val="18"/>
          <w:color w:val="auto"/>
        </w:rPr>
        <w:t>: Employee is not aware, to the best of her/his knowledge, of any conduct on Employee’s part or on the part of another past or present employee of the Company that violated the law or otherwise exposed the Company to any liability, whether criminal or civil, whether to any government, individual, or other entity. Further, Employee acknowledges that s/he is not aware of any material violations by the Company and/or its employees, officers, directors, and agents of any constitution, statute, ordinance, regulation, or other rules that have not been addressed by the Company through appropriate compliance and/or corrective action.</w:t>
      </w:r>
    </w:p>
    <w:p>
      <w:pPr>
        <w:spacing w:after="0" w:line="187" w:lineRule="exact"/>
        <w:rPr>
          <w:rFonts w:ascii="Arial" w:cs="Arial" w:eastAsia="Arial" w:hAnsi="Arial"/>
          <w:sz w:val="18"/>
          <w:szCs w:val="18"/>
          <w:color w:val="auto"/>
        </w:rPr>
      </w:pPr>
    </w:p>
    <w:p>
      <w:pPr>
        <w:ind w:firstLine="436"/>
        <w:spacing w:after="0" w:line="285" w:lineRule="auto"/>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Non-Disclosure of Agreement</w:t>
      </w:r>
      <w:r>
        <w:rPr>
          <w:rFonts w:ascii="Arial" w:cs="Arial" w:eastAsia="Arial" w:hAnsi="Arial"/>
          <w:sz w:val="16"/>
          <w:szCs w:val="16"/>
          <w:color w:val="auto"/>
        </w:rPr>
        <w:t xml:space="preserve">: Employee agrees that s/he has and will hold in strict confidence the negotiations resulting in, contents, and terms of this Agreement, except: (a) as required by law; (b) to secure advice from a legal or tax advisor; (c) to her/his spouse; or (d) in a legal action to enforce the terms of this Agreement. Employee further agrees that s/he has and will use every effort to prevent disclosure of the negotiations resulting in, contents, and terms of this Agreement by any of the persons referred to in (b) and (c) of this Paragraph. Employee agrees that the contents of this Paragraph are material terms of the Agreement. </w:t>
      </w:r>
      <w:r>
        <w:rPr>
          <w:rFonts w:ascii="Arial" w:cs="Arial" w:eastAsia="Arial" w:hAnsi="Arial"/>
          <w:sz w:val="16"/>
          <w:szCs w:val="16"/>
          <w:b w:val="1"/>
          <w:bCs w:val="1"/>
          <w:color w:val="auto"/>
        </w:rPr>
        <w:t>NOTHING IN THIS PARAGRAPH IS INTENDED TO LIMIT OR IMPAIR IN ANY WAY</w:t>
      </w:r>
    </w:p>
    <w:p>
      <w:pPr>
        <w:spacing w:after="0" w:line="1" w:lineRule="exact"/>
        <w:rPr>
          <w:rFonts w:ascii="Arial" w:cs="Arial" w:eastAsia="Arial" w:hAnsi="Arial"/>
          <w:sz w:val="16"/>
          <w:szCs w:val="16"/>
          <w:color w:val="auto"/>
        </w:rPr>
      </w:pPr>
    </w:p>
    <w:p>
      <w:pPr>
        <w:ind w:right="260"/>
        <w:spacing w:after="0" w:line="260" w:lineRule="auto"/>
        <w:rPr>
          <w:rFonts w:ascii="Arial" w:cs="Arial" w:eastAsia="Arial" w:hAnsi="Arial"/>
          <w:sz w:val="16"/>
          <w:szCs w:val="16"/>
          <w:color w:val="auto"/>
        </w:rPr>
      </w:pPr>
      <w:r>
        <w:rPr>
          <w:rFonts w:ascii="Arial" w:cs="Arial" w:eastAsia="Arial" w:hAnsi="Arial"/>
          <w:sz w:val="18"/>
          <w:szCs w:val="18"/>
          <w:b w:val="1"/>
          <w:bCs w:val="1"/>
          <w:color w:val="auto"/>
        </w:rPr>
        <w:t>EMPLOYEE’S RIGHT TO PROVIDE INFORMATION TO ANY GOVERNMENTAL AGENCY INCLUDING, BUT NOT LIMITED TO, THE SEC, NLRB, EEOC, OR COMPARABLE STATE AND LOCAL AGENCIES.</w:t>
      </w:r>
    </w:p>
    <w:p>
      <w:pPr>
        <w:spacing w:after="0" w:line="185" w:lineRule="exact"/>
        <w:rPr>
          <w:rFonts w:ascii="Arial" w:cs="Arial" w:eastAsia="Arial" w:hAnsi="Arial"/>
          <w:sz w:val="16"/>
          <w:szCs w:val="16"/>
          <w:color w:val="auto"/>
        </w:rPr>
      </w:pPr>
    </w:p>
    <w:p>
      <w:pPr>
        <w:ind w:right="160" w:firstLine="436"/>
        <w:spacing w:after="0" w:line="284" w:lineRule="auto"/>
        <w:tabs>
          <w:tab w:leader="none" w:pos="71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Employee agrees that s/he has not and will not publicly make comments or statements that are disparaging of the Released Parties, Domino’s franchisees, or the Domino’s brand. A disparaging comment or statement is any communication, oral or written (including any online, social media, or digital communications), which may cause or tend to cause the recipient of the communication to question the business condition, reputation, integrity, competence, fairness, or good character of the person or entity to whom the communication relates. Employee further agrees that s/he has not and will not communicate with, give interviews, and/or provide statements to any member of the press or media including, without limitation, any print, broadcast, or electronic media, concerning any aspect of Employee’s relationship or experiences with the Company or of the Company’s business. This Paragraph shall not apply to communications required by law or that are otherwise privileged as a matter of law.</w:t>
      </w:r>
    </w:p>
    <w:p>
      <w:pPr>
        <w:spacing w:after="0" w:line="2" w:lineRule="exact"/>
        <w:rPr>
          <w:rFonts w:ascii="Arial" w:cs="Arial" w:eastAsia="Arial" w:hAnsi="Arial"/>
          <w:sz w:val="16"/>
          <w:szCs w:val="16"/>
          <w:color w:val="auto"/>
        </w:rPr>
      </w:pPr>
    </w:p>
    <w:p>
      <w:pPr>
        <w:ind w:right="460"/>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NOTHING IN THIS PARAGRAPH IS INTENDED TO INTERFERE WITH OR RESTRICT EMPLOYEE’S ABILITY TO COMMUNICATE WITH ANY GOVERNMENTAL AGENCY INCLUDING ANY WITH WHICH A CHARGE OR COMPLAINT HAS BEEN FILED.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7</w:t>
      </w:r>
    </w:p>
    <w:p>
      <w:pPr>
        <w:sectPr>
          <w:pgSz w:w="11900" w:h="16838" w:orient="portrait"/>
          <w:cols w:equalWidth="0" w:num="1">
            <w:col w:w="11000"/>
          </w:cols>
          <w:pgMar w:left="440" w:top="274" w:right="459" w:bottom="1440" w:gutter="0" w:footer="0" w:header="0"/>
        </w:sectPr>
      </w:pPr>
    </w:p>
    <w:bookmarkStart w:id="97" w:name="page98"/>
    <w:bookmarkEnd w:id="97"/>
    <w:p>
      <w:pPr>
        <w:ind w:firstLine="436"/>
        <w:spacing w:after="0" w:line="259" w:lineRule="auto"/>
        <w:tabs>
          <w:tab w:leader="none" w:pos="703"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Violation of the Agreement</w:t>
      </w:r>
      <w:r>
        <w:rPr>
          <w:rFonts w:ascii="Arial" w:cs="Arial" w:eastAsia="Arial" w:hAnsi="Arial"/>
          <w:sz w:val="18"/>
          <w:szCs w:val="18"/>
          <w:color w:val="auto"/>
        </w:rPr>
        <w:t>: Employee understands that any violation or breach of a material term of this Agreement by her/him shall give rise to a claim against her/him by the Company and/or the Released Parties for a refund of the consideration paid pursuant to this Agreement and shall forever release and discharge these entities from the performance of any obligations arising from this Agreement but shall not release Employee from performance of her/his obligations under this Agreement.</w:t>
      </w:r>
    </w:p>
    <w:p>
      <w:pPr>
        <w:spacing w:after="0" w:line="186" w:lineRule="exact"/>
        <w:rPr>
          <w:rFonts w:ascii="Arial" w:cs="Arial" w:eastAsia="Arial" w:hAnsi="Arial"/>
          <w:sz w:val="18"/>
          <w:szCs w:val="18"/>
          <w:color w:val="auto"/>
        </w:rPr>
      </w:pPr>
    </w:p>
    <w:p>
      <w:pPr>
        <w:ind w:right="120" w:firstLine="436"/>
        <w:spacing w:after="0" w:line="259" w:lineRule="auto"/>
        <w:tabs>
          <w:tab w:leader="none" w:pos="710"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Assistance and Cooperation</w:t>
      </w:r>
      <w:r>
        <w:rPr>
          <w:rFonts w:ascii="Arial" w:cs="Arial" w:eastAsia="Arial" w:hAnsi="Arial"/>
          <w:sz w:val="18"/>
          <w:szCs w:val="18"/>
          <w:color w:val="auto"/>
        </w:rPr>
        <w:t>: Upon request by the Company, Employee agrees to personally provide reasonable assistance and cooperation to the Company in activities related to any past, present, or future lawsuits or claims, matters related to the transition, or other matters involving the Company. The Company will reimburse Employee for any reasonable out-of-pocket costs and expenses incurred in connection with providing such assistance and cooperation.</w:t>
      </w:r>
    </w:p>
    <w:p>
      <w:pPr>
        <w:spacing w:after="0" w:line="186" w:lineRule="exact"/>
        <w:rPr>
          <w:rFonts w:ascii="Arial" w:cs="Arial" w:eastAsia="Arial" w:hAnsi="Arial"/>
          <w:sz w:val="18"/>
          <w:szCs w:val="18"/>
          <w:color w:val="auto"/>
        </w:rPr>
      </w:pPr>
    </w:p>
    <w:p>
      <w:pPr>
        <w:ind w:right="160" w:firstLine="436"/>
        <w:spacing w:after="0" w:line="272" w:lineRule="auto"/>
        <w:tabs>
          <w:tab w:leader="none" w:pos="710"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No External Representations or Agreements</w:t>
      </w:r>
      <w:r>
        <w:rPr>
          <w:rFonts w:ascii="Arial" w:cs="Arial" w:eastAsia="Arial" w:hAnsi="Arial"/>
          <w:sz w:val="17"/>
          <w:szCs w:val="17"/>
          <w:color w:val="auto"/>
        </w:rPr>
        <w:t>: With the exception of the Employment Agreement that Employee previously executed with the Company, this Agreement constitutes the sole and entire agreement between the parties regarding the subject matter addressed herein, and supersedes any and all understandings and agreements that may have been reached earlier on this subject matter. Employee understands and agrees that her/his obligations under the Employment Agreement including, but not limited to, the post-employment obligations in sections 7 and 8 of that Agreement, remain in effect except as specifically modified herein. There are no understandings, representations, or agreements other than those set forth in this Agreement and the Employment Agreement. No provision of this Agreement shall be amended, waived, or modified except in writing signed by the parties that specifically refers to this Agreement.</w:t>
      </w:r>
    </w:p>
    <w:p>
      <w:pPr>
        <w:spacing w:after="0" w:line="177" w:lineRule="exact"/>
        <w:rPr>
          <w:rFonts w:ascii="Arial" w:cs="Arial" w:eastAsia="Arial" w:hAnsi="Arial"/>
          <w:sz w:val="17"/>
          <w:szCs w:val="17"/>
          <w:color w:val="auto"/>
        </w:rPr>
      </w:pPr>
    </w:p>
    <w:p>
      <w:pPr>
        <w:ind w:right="60" w:firstLine="436"/>
        <w:spacing w:after="0" w:line="277" w:lineRule="auto"/>
        <w:tabs>
          <w:tab w:leader="none" w:pos="710"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governed in all respects, whether as to validity, construction, capacity, performance, or otherwise, by the laws of the State of Michigan, without regard to choice of law principles, and except as preempted by federal law.</w:t>
      </w:r>
    </w:p>
    <w:p>
      <w:pPr>
        <w:spacing w:after="0" w:line="170" w:lineRule="exact"/>
        <w:rPr>
          <w:rFonts w:ascii="Arial" w:cs="Arial" w:eastAsia="Arial" w:hAnsi="Arial"/>
          <w:sz w:val="18"/>
          <w:szCs w:val="18"/>
          <w:color w:val="auto"/>
        </w:rPr>
      </w:pPr>
    </w:p>
    <w:p>
      <w:pPr>
        <w:jc w:val="both"/>
        <w:ind w:right="160" w:firstLine="436"/>
        <w:spacing w:after="0" w:line="263" w:lineRule="auto"/>
        <w:tabs>
          <w:tab w:leader="none" w:pos="710"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Limited Admissibility of the Agreement</w:t>
      </w:r>
      <w:r>
        <w:rPr>
          <w:rFonts w:ascii="Arial" w:cs="Arial" w:eastAsia="Arial" w:hAnsi="Arial"/>
          <w:sz w:val="18"/>
          <w:szCs w:val="18"/>
          <w:color w:val="auto"/>
        </w:rPr>
        <w:t>: The parties agree that this Agreement may not be introduced in any proceeding, except to establish conclusively the settlement and release of the claims it encompasses or to otherwise ensure rights created by this Agreement. This Agreement is not to be interpreted as an admission of any liability or other obligation to Employee.</w:t>
      </w:r>
    </w:p>
    <w:p>
      <w:pPr>
        <w:spacing w:after="0" w:line="183" w:lineRule="exact"/>
        <w:rPr>
          <w:rFonts w:ascii="Arial" w:cs="Arial" w:eastAsia="Arial" w:hAnsi="Arial"/>
          <w:sz w:val="18"/>
          <w:szCs w:val="18"/>
          <w:color w:val="auto"/>
        </w:rPr>
      </w:pPr>
    </w:p>
    <w:p>
      <w:pPr>
        <w:ind w:right="440" w:firstLine="436"/>
        <w:spacing w:after="0" w:line="263" w:lineRule="auto"/>
        <w:tabs>
          <w:tab w:leader="none" w:pos="710"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by a court, arbitrator, or other adjudicative body of competent jurisdiction to be invalid, void, or unenforceable for whatever reason, the remaining provisions of this Agreement shall nevertheless continue in full force and effect without being impaired in any manner whatsoever.</w:t>
      </w:r>
    </w:p>
    <w:p>
      <w:pPr>
        <w:spacing w:after="0" w:line="183" w:lineRule="exact"/>
        <w:rPr>
          <w:rFonts w:ascii="Arial" w:cs="Arial" w:eastAsia="Arial" w:hAnsi="Arial"/>
          <w:sz w:val="18"/>
          <w:szCs w:val="18"/>
          <w:color w:val="auto"/>
        </w:rPr>
      </w:pPr>
    </w:p>
    <w:p>
      <w:pPr>
        <w:ind w:right="700" w:firstLine="436"/>
        <w:spacing w:after="0" w:line="277" w:lineRule="auto"/>
        <w:tabs>
          <w:tab w:leader="none" w:pos="710"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Attorneys’ Fees and Costs</w:t>
      </w:r>
      <w:r>
        <w:rPr>
          <w:rFonts w:ascii="Arial" w:cs="Arial" w:eastAsia="Arial" w:hAnsi="Arial"/>
          <w:sz w:val="18"/>
          <w:szCs w:val="18"/>
          <w:color w:val="auto"/>
        </w:rPr>
        <w:t>: In any proceeding or action to enforce this Agreement or to recover damages arising out of its breach, the prevailing party shall be awarded its reasonable attorneys’ fees and costs.</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Employee Acknowledgements</w:t>
      </w:r>
      <w:r>
        <w:rPr>
          <w:rFonts w:ascii="Arial" w:cs="Arial" w:eastAsia="Arial" w:hAnsi="Arial"/>
          <w:sz w:val="16"/>
          <w:szCs w:val="16"/>
          <w:color w:val="auto"/>
        </w:rPr>
        <w:t>: Employee, by her/his execution of this Agreement, acknowledges and agrees that the following statements are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true:</w:t>
      </w:r>
    </w:p>
    <w:p>
      <w:pPr>
        <w:spacing w:after="0" w:line="116" w:lineRule="exact"/>
        <w:rPr>
          <w:rFonts w:ascii="Arial" w:cs="Arial" w:eastAsia="Arial" w:hAnsi="Arial"/>
          <w:sz w:val="16"/>
          <w:szCs w:val="16"/>
          <w:color w:val="auto"/>
        </w:rPr>
      </w:pPr>
    </w:p>
    <w:p>
      <w:pPr>
        <w:ind w:left="960" w:hanging="532"/>
        <w:spacing w:after="0"/>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S/he has carefully read this entire Agreement and has had any and all questions regarding its meaning answered to her/his satisfaction;</w:t>
      </w:r>
    </w:p>
    <w:p>
      <w:pPr>
        <w:spacing w:after="0" w:line="153" w:lineRule="exact"/>
        <w:rPr>
          <w:rFonts w:ascii="Arial" w:cs="Arial" w:eastAsia="Arial" w:hAnsi="Arial"/>
          <w:sz w:val="16"/>
          <w:szCs w:val="16"/>
          <w:color w:val="auto"/>
        </w:rPr>
      </w:pPr>
    </w:p>
    <w:p>
      <w:pPr>
        <w:ind w:left="960" w:hanging="532"/>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Agreement is written in language that s/he understands;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S/he is hereby advised to seek independent legal advice and/or counsel of her/his own choosing prior to the execution of this Agreement;</w:t>
      </w:r>
    </w:p>
    <w:p>
      <w:pPr>
        <w:spacing w:after="0" w:line="153" w:lineRule="exact"/>
        <w:rPr>
          <w:rFonts w:ascii="Arial" w:cs="Arial" w:eastAsia="Arial" w:hAnsi="Arial"/>
          <w:sz w:val="16"/>
          <w:szCs w:val="16"/>
          <w:color w:val="auto"/>
        </w:rPr>
      </w:pPr>
    </w:p>
    <w:p>
      <w:pPr>
        <w:ind w:left="960" w:right="20" w:hanging="532"/>
        <w:spacing w:after="0" w:line="277"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S/he fully understands that this Agreement is a waiver of any and all claims, known and unknown, that s/he may have against the Released Parties;</w:t>
      </w:r>
    </w:p>
    <w:p>
      <w:pPr>
        <w:spacing w:after="0" w:line="75" w:lineRule="exact"/>
        <w:rPr>
          <w:rFonts w:ascii="Arial" w:cs="Arial" w:eastAsia="Arial" w:hAnsi="Arial"/>
          <w:sz w:val="18"/>
          <w:szCs w:val="18"/>
          <w:color w:val="auto"/>
        </w:rPr>
      </w:pPr>
    </w:p>
    <w:p>
      <w:pPr>
        <w:ind w:left="960" w:right="520" w:hanging="532"/>
        <w:spacing w:after="0" w:line="277"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S/he willingly waives any and all claims in exchange for the promises of the Company in this Agreement, which s/he acknowledges constitute valuable consideration that s/he is not otherwise entitled to receive;</w:t>
      </w:r>
    </w:p>
    <w:p>
      <w:pPr>
        <w:spacing w:after="0" w:line="75" w:lineRule="exact"/>
        <w:rPr>
          <w:rFonts w:ascii="Arial" w:cs="Arial" w:eastAsia="Arial" w:hAnsi="Arial"/>
          <w:sz w:val="18"/>
          <w:szCs w:val="18"/>
          <w:color w:val="auto"/>
        </w:rPr>
      </w:pPr>
    </w:p>
    <w:p>
      <w:pPr>
        <w:ind w:left="960" w:right="40" w:hanging="532"/>
        <w:spacing w:after="0" w:line="277"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S/he enters into this Agreement knowingly and voluntarily and is under no coercion or duress whatsoever in considering or agreeing to the provisions of this Agreement;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 of 7</w:t>
      </w:r>
    </w:p>
    <w:p>
      <w:pPr>
        <w:sectPr>
          <w:pgSz w:w="11900" w:h="16838" w:orient="portrait"/>
          <w:cols w:equalWidth="0" w:num="1">
            <w:col w:w="10980"/>
          </w:cols>
          <w:pgMar w:left="440" w:top="274" w:right="479" w:bottom="1440" w:gutter="0" w:footer="0" w:header="0"/>
        </w:sectPr>
      </w:pPr>
    </w:p>
    <w:bookmarkStart w:id="98" w:name="page99"/>
    <w:bookmarkEnd w:id="98"/>
    <w:p>
      <w:pPr>
        <w:ind w:left="960" w:hanging="532"/>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S/he understands that this Agreement is a contract and that either party may enforce it.</w:t>
      </w:r>
    </w:p>
    <w:p>
      <w:pPr>
        <w:spacing w:after="0" w:line="225" w:lineRule="exact"/>
        <w:rPr>
          <w:rFonts w:ascii="Arial" w:cs="Arial" w:eastAsia="Arial" w:hAnsi="Arial"/>
          <w:sz w:val="18"/>
          <w:szCs w:val="18"/>
          <w:color w:val="auto"/>
        </w:rPr>
      </w:pPr>
    </w:p>
    <w:p>
      <w:pPr>
        <w:ind w:right="160" w:firstLine="436"/>
        <w:spacing w:after="0" w:line="271" w:lineRule="auto"/>
        <w:tabs>
          <w:tab w:leader="none" w:pos="710"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Periods for Considering and Revoking the Agreement</w:t>
      </w:r>
      <w:r>
        <w:rPr>
          <w:rFonts w:ascii="Arial" w:cs="Arial" w:eastAsia="Arial" w:hAnsi="Arial"/>
          <w:sz w:val="17"/>
          <w:szCs w:val="17"/>
          <w:color w:val="auto"/>
        </w:rPr>
        <w:t>: Employee acknowledges that s/he has been given at least 21 days to consider this Agreement. Employee agrees that, if s/he signs and returns this Agreement to the Company representative identified below before the end of the above 21-day period, her/his signature is intended to waive her/his right to consider the Agreement for 21 days. This proposed Agreement shall be deemed withdrawn if Employee fails to sign and return it to the Company representative identified below within 21 days of her/his receipt of the Agreement. The parties agree that Employee may revoke this Agreement at any time within 7 days after signing the Agreement by written notice delivered by certified mail to the Company representative identified below. The parties acknowledge and agree that this Agreement will become effective and enforceable once Employee signs and returns it to the Company representative identified below within 21 days of her/his receipt of the Agreement and following the expiration without exercise of the 7-day revocation period.</w:t>
      </w:r>
    </w:p>
    <w:p>
      <w:pPr>
        <w:spacing w:after="0" w:line="7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Domino’s Pizza LLC</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Attention: Kevin Morris, Executive Vice President, General Counsel and Corporate Secretary</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30 Frank Lloyd Wright Drive</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Ann Arbor, Michigan 48105</w:t>
      </w:r>
    </w:p>
    <w:p>
      <w:pPr>
        <w:spacing w:after="0" w:line="211" w:lineRule="exact"/>
        <w:rPr>
          <w:sz w:val="20"/>
          <w:szCs w:val="20"/>
          <w:color w:val="auto"/>
        </w:rPr>
      </w:pPr>
    </w:p>
    <w:p>
      <w:pPr>
        <w:ind w:right="140" w:firstLine="436"/>
        <w:spacing w:after="0" w:line="296" w:lineRule="auto"/>
        <w:tabs>
          <w:tab w:leader="none" w:pos="71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Approval/Enforcement/Copies</w:t>
      </w:r>
      <w:r>
        <w:rPr>
          <w:rFonts w:ascii="Arial" w:cs="Arial" w:eastAsia="Arial" w:hAnsi="Arial"/>
          <w:sz w:val="16"/>
          <w:szCs w:val="16"/>
          <w:color w:val="auto"/>
        </w:rPr>
        <w:t>: Employee agrees to cooperate with the Company in seeking and obtaining approval of this Agreement from any governmental agency, court, arbitrator, or other adjudicative body. This Agreement shall be deemed drafted equally by the parties. The language of all parts of this Agreement shall be construed as a whole, according to its fair meaning, and any presumption or other principle that the language herein is to be construed against any party shall not apply. This Agreement may be executed in counterparts or by electronic means such as facsimile or electronic portable document format (pdf), and copies of the Agreement shall be considered as enforceable as if they were the original.</w:t>
      </w:r>
    </w:p>
    <w:p>
      <w:pPr>
        <w:spacing w:after="0" w:line="161" w:lineRule="exact"/>
        <w:rPr>
          <w:rFonts w:ascii="Arial" w:cs="Arial" w:eastAsia="Arial" w:hAnsi="Arial"/>
          <w:sz w:val="16"/>
          <w:szCs w:val="16"/>
          <w:color w:val="auto"/>
        </w:rPr>
      </w:pPr>
    </w:p>
    <w:p>
      <w:pPr>
        <w:ind w:left="700" w:hanging="264"/>
        <w:spacing w:after="0"/>
        <w:tabs>
          <w:tab w:leader="none" w:pos="70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Headings Irrelevant</w:t>
      </w:r>
      <w:r>
        <w:rPr>
          <w:rFonts w:ascii="Arial" w:cs="Arial" w:eastAsia="Arial" w:hAnsi="Arial"/>
          <w:sz w:val="16"/>
          <w:szCs w:val="16"/>
          <w:color w:val="auto"/>
        </w:rPr>
        <w:t>: The headings in this Agreement are intended as a convenience to the reader and are not intended to convey any legal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meaning.</w:t>
      </w:r>
    </w:p>
    <w:p>
      <w:pPr>
        <w:spacing w:after="0" w:line="20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EMPLOYEE ACKNOWLEDGES THAT S/HE HAS CAREFULLY READ THIS ENTIRE AGREEMENT CAREFULLY. EMPLOYEE IS HEREBY ADVISED BY THE COMPANY TO CONSULT AN ATTORNEY PRIOR TO EXECUTING THIS AGREEMENT, AND FULLY UNDERSTANDS THAT BY SIGNING BELOW, S/HE IS GIVING UP CERTAIN RIGHTS WHICH S/HE MAY HAVE TO SUE OR ASSERT A CLAIM AGAINST ANY OF THE RELEASED PARTIES AS DESCRIBED HEREIN AND THE OTHER PROVISIONS HEREOF. EMPLOYEE ACKNOWLEDGES THAT S/HE HAS NOT BEEN FORCED OR PRESSURED IN ANY MANNER WHATSOEVER TO SIGN THIS AGREEMENT AND S/HE AGREES TO ALL OF ITS TERMS VOLUNTARILY.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DOMINO’S PIZZA LLC</w:t>
            </w: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Employee:</w:t>
            </w:r>
          </w:p>
        </w:tc>
        <w:tc>
          <w:tcPr>
            <w:tcW w:w="2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Kevin Vasconi</w:t>
            </w:r>
          </w:p>
        </w:tc>
        <w:tc>
          <w:tcPr>
            <w:tcW w:w="1620" w:type="dxa"/>
            <w:vAlign w:val="bottom"/>
            <w:tcBorders>
              <w:bottom w:val="single" w:sz="8" w:color="auto"/>
            </w:tcBorders>
          </w:tcPr>
          <w:p>
            <w:pPr>
              <w:spacing w:after="0"/>
              <w:rPr>
                <w:sz w:val="20"/>
                <w:szCs w:val="20"/>
                <w:color w:val="auto"/>
              </w:rPr>
            </w:pPr>
          </w:p>
        </w:tc>
        <w:tc>
          <w:tcPr>
            <w:tcW w:w="1120" w:type="dxa"/>
            <w:vAlign w:val="bottom"/>
          </w:tcPr>
          <w:p>
            <w:pPr>
              <w:ind w:left="70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Richard E. Allison, Jr.</w:t>
            </w:r>
          </w:p>
        </w:tc>
      </w:tr>
      <w:tr>
        <w:trPr>
          <w:trHeight w:val="216"/>
        </w:trPr>
        <w:tc>
          <w:tcPr>
            <w:tcW w:w="880" w:type="dxa"/>
            <w:vAlign w:val="bottom"/>
          </w:tcPr>
          <w:p>
            <w:pPr>
              <w:spacing w:after="0" w:line="203" w:lineRule="exact"/>
              <w:rPr>
                <w:sz w:val="20"/>
                <w:szCs w:val="20"/>
                <w:color w:val="auto"/>
              </w:rPr>
            </w:pPr>
            <w:r>
              <w:rPr>
                <w:rFonts w:ascii="Arial" w:cs="Arial" w:eastAsia="Arial" w:hAnsi="Arial"/>
                <w:sz w:val="18"/>
                <w:szCs w:val="18"/>
                <w:color w:val="auto"/>
              </w:rPr>
              <w:t>Date:</w:t>
            </w:r>
          </w:p>
        </w:tc>
        <w:tc>
          <w:tcPr>
            <w:tcW w:w="2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September 21, 2020</w:t>
            </w:r>
          </w:p>
        </w:tc>
        <w:tc>
          <w:tcPr>
            <w:tcW w:w="1620" w:type="dxa"/>
            <w:vAlign w:val="bottom"/>
            <w:tcBorders>
              <w:bottom w:val="single" w:sz="8" w:color="auto"/>
            </w:tcBorders>
          </w:tcPr>
          <w:p>
            <w:pPr>
              <w:spacing w:after="0"/>
              <w:rPr>
                <w:sz w:val="18"/>
                <w:szCs w:val="18"/>
                <w:color w:val="auto"/>
              </w:rPr>
            </w:pPr>
          </w:p>
        </w:tc>
        <w:tc>
          <w:tcPr>
            <w:tcW w:w="1120" w:type="dxa"/>
            <w:vAlign w:val="bottom"/>
          </w:tcPr>
          <w:p>
            <w:pPr>
              <w:ind w:left="700"/>
              <w:spacing w:after="0" w:line="203" w:lineRule="exact"/>
              <w:rPr>
                <w:sz w:val="20"/>
                <w:szCs w:val="20"/>
                <w:color w:val="auto"/>
              </w:rPr>
            </w:pPr>
            <w:r>
              <w:rPr>
                <w:rFonts w:ascii="Arial" w:cs="Arial" w:eastAsia="Arial" w:hAnsi="Arial"/>
                <w:sz w:val="18"/>
                <w:szCs w:val="18"/>
                <w:color w:val="auto"/>
              </w:rPr>
              <w:t>Its:</w:t>
            </w:r>
          </w:p>
        </w:tc>
        <w:tc>
          <w:tcPr>
            <w:tcW w:w="4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Chief Executive Officer</w:t>
            </w:r>
          </w:p>
        </w:tc>
      </w:tr>
      <w:tr>
        <w:trPr>
          <w:trHeight w:val="209"/>
        </w:trPr>
        <w:tc>
          <w:tcPr>
            <w:tcW w:w="8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ind w:left="700"/>
              <w:spacing w:after="0"/>
              <w:rPr>
                <w:sz w:val="20"/>
                <w:szCs w:val="20"/>
                <w:color w:val="auto"/>
              </w:rPr>
            </w:pPr>
            <w:r>
              <w:rPr>
                <w:rFonts w:ascii="Arial" w:cs="Arial" w:eastAsia="Arial" w:hAnsi="Arial"/>
                <w:sz w:val="18"/>
                <w:szCs w:val="18"/>
                <w:color w:val="auto"/>
                <w:w w:val="92"/>
              </w:rPr>
              <w:t>Date:</w:t>
            </w:r>
          </w:p>
        </w:tc>
        <w:tc>
          <w:tcPr>
            <w:tcW w:w="4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September 21, 2020</w:t>
            </w:r>
          </w:p>
        </w:tc>
      </w:tr>
      <w:tr>
        <w:trPr>
          <w:trHeight w:val="358"/>
        </w:trPr>
        <w:tc>
          <w:tcPr>
            <w:tcW w:w="8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740" w:type="dxa"/>
            <w:vAlign w:val="bottom"/>
            <w:gridSpan w:val="2"/>
          </w:tcPr>
          <w:p>
            <w:pPr>
              <w:ind w:left="1340"/>
              <w:spacing w:after="0"/>
              <w:rPr>
                <w:sz w:val="20"/>
                <w:szCs w:val="20"/>
                <w:color w:val="auto"/>
              </w:rPr>
            </w:pPr>
            <w:r>
              <w:rPr>
                <w:rFonts w:ascii="Arial" w:cs="Arial" w:eastAsia="Arial" w:hAnsi="Arial"/>
                <w:sz w:val="18"/>
                <w:szCs w:val="18"/>
                <w:color w:val="auto"/>
              </w:rPr>
              <w:t>Page 5 of 7</w:t>
            </w:r>
          </w:p>
        </w:tc>
        <w:tc>
          <w:tcPr>
            <w:tcW w:w="452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ATTACHMENT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Additional Release of Claims (“Additional Release”)</w:t>
      </w:r>
    </w:p>
    <w:p>
      <w:pPr>
        <w:spacing w:after="0" w:line="229"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As explained in Paragraph 3 of the Separation Agreement and General Release (“Agreement”), this Additional Release is for Employee to release and waive any and all claims that may have arisen since the Effective Date of the Agreement. This Additional Release is intended to supplement, but not to replace, the Agreement.</w:t>
      </w:r>
    </w:p>
    <w:p>
      <w:pPr>
        <w:spacing w:after="0" w:line="184"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u w:val="single" w:color="auto"/>
          <w:color w:val="auto"/>
        </w:rPr>
        <w:t>Release of Claims</w:t>
      </w:r>
      <w:r>
        <w:rPr>
          <w:rFonts w:ascii="Arial" w:cs="Arial" w:eastAsia="Arial" w:hAnsi="Arial"/>
          <w:sz w:val="17"/>
          <w:szCs w:val="17"/>
          <w:color w:val="auto"/>
        </w:rPr>
        <w:t>: Employee acknowledges that the consideration in Paragraph 2 of the Agreement represents full and final payment of all claims by Employee against the Company, and is in excess of what Employee would otherwise be entitled by virtue of her/his employment. By signing this Additional Release, Employee completely and forever releases the Company, and any past, present, or future direct or indirect owners, shareholders, directors, officers, employees, attorneys, agents, insurers, partners, employee benefit plans, predecessors and successors in interest, beneficiaries, executors, administrators, personal representatives, heirs, successors, and assigns of the Company and any other persons, firms, corporations, or entities with which the Company has been, is now, or may hereafter be affiliated (collectively, the “Released Parties”), from any and all known or unknown claims, demands, grievances, or lawsuits arising out of or in any way relating to any event, matter, or occurrence existing or occurring before Employee signs this Additional Release, including, but not limited to, claims that involve or arise from the employment relationship between Employee and the Company, or the termination of that relationship.</w:t>
      </w:r>
    </w:p>
    <w:p>
      <w:pPr>
        <w:spacing w:after="0" w:line="18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This general release includes, but is not limited to, claims, demands, grievances, or lawsuits that arise under any of the following: Title VII of the Civil Rights Act of 1964; 42 U.S.C. § 1981; the Age Discrimination in Employment Act of 1967; the Pregnancy Discrimination Act; the Employee Retirement Income Security Act; the Americans with Disabilities Act; the Family and Medical Leave Act; the Equal Pay Act; the Genetic Information Non-Discrimination Act; the Worker Adjustment and Retraining Notification Act; the Sarbanes-Oxley Act; the Health Insurance Portability and Accountability Act; the Fair Credit Reporting Act; the False Claims Act; the Occupational Safety and Health Act; the Uniformed Services Employment and Reemployment Rights Act; any amendments to the foregoing laws; any other federal, state, local, or foreign constitution, statute, ordinance, or regulation; or any other theory of recovery including, but not limited to, claims of discrimination, harassment, or retaliation of any kind, wrongful discharge, breach of contract, breach of the covenant of good faith and fair dealing, unfair business practices, wage and hour claims of any kind, whether for non-payment, late payment, overtime, misclassification, rest breaks, meal periods, bonuses, reimbursements, deductions, and/or penalties, tort claims of any kind, whether for intentional or negligent infliction of emotional distress, personal injury, defamation, and/or invasion of privacy, and any other common law legal or equitable claims.</w:t>
      </w:r>
    </w:p>
    <w:p>
      <w:pPr>
        <w:spacing w:after="0" w:line="182"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This release includes any and all claims between Employee and the Company that exist as of Employee’s execution of this Additional Release, even if the facts and/or legal theories supporting those claims are unknown to Employee at this time. This release binds Employee as well as her/his marital community, heirs, and assigns. Excluded from this release are any claims or rights which cannot be waived by law, including Employee’s right to seek unemployment compensation benefits.</w:t>
      </w:r>
    </w:p>
    <w:p>
      <w:pPr>
        <w:spacing w:after="0" w:line="187"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u w:val="single" w:color="auto"/>
          <w:color w:val="auto"/>
        </w:rPr>
        <w:t>Acknowledgements Concerning Compensation/Leave/On-the-Job Injury</w:t>
      </w:r>
      <w:r>
        <w:rPr>
          <w:rFonts w:ascii="Arial" w:cs="Arial" w:eastAsia="Arial" w:hAnsi="Arial"/>
          <w:sz w:val="16"/>
          <w:szCs w:val="16"/>
          <w:color w:val="auto"/>
        </w:rPr>
        <w:t>: Employee acknowledges and agrees that the consideration in Paragraph 2 shall constitute the total amount owed by the Company to Employee and that s/he has: (a) been paid by the Company for all hours s/he has worked for the Company; (b) received all amounts due from the Company through the Separation Date including, but not limited to, compensation, wages, payments, bonuses, benefits, pay in lieu of notice, salary continuation or severance, reimbursements, or any other remuneration of whatever kind arising from or relating to the employment relationship with the Company, or the termination of that relationship, except for the payments and benefits expressly provided for under this Agreement; (c) received any leave (paid or unpaid) and accommodations to which s/he was entitled through the Separation Date; and (d) not suffered any on-the-job injury or occupational illness while working for the Company for which s/he has not already filed a claim. Employee confirms that s/he has no pending legal proceeding(s) against any of the Released Parties.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7</w:t>
      </w:r>
    </w:p>
    <w:p>
      <w:pPr>
        <w:sectPr>
          <w:pgSz w:w="11900" w:h="16838" w:orient="portrait"/>
          <w:cols w:equalWidth="0" w:num="1">
            <w:col w:w="11000"/>
          </w:cols>
          <w:pgMar w:left="440" w:top="270" w:right="459" w:bottom="1440" w:gutter="0" w:footer="0" w:header="0"/>
        </w:sectPr>
      </w:pPr>
    </w:p>
    <w:bookmarkStart w:id="100" w:name="page101"/>
    <w:bookmarkEnd w:id="100"/>
    <w:p>
      <w:pPr>
        <w:ind w:left="440"/>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Employee Avowals</w:t>
      </w:r>
      <w:r>
        <w:rPr>
          <w:rFonts w:ascii="Arial" w:cs="Arial" w:eastAsia="Arial" w:hAnsi="Arial"/>
          <w:sz w:val="16"/>
          <w:szCs w:val="16"/>
          <w:color w:val="auto"/>
        </w:rPr>
        <w:t>: Employee, by her/his execution of this Additional Release, acknowledges and agrees that the following statements are true:</w:t>
      </w:r>
    </w:p>
    <w:p>
      <w:pPr>
        <w:spacing w:after="0" w:line="154" w:lineRule="exact"/>
        <w:rPr>
          <w:sz w:val="20"/>
          <w:szCs w:val="20"/>
          <w:color w:val="auto"/>
        </w:rPr>
      </w:pPr>
    </w:p>
    <w:p>
      <w:pPr>
        <w:ind w:left="960" w:right="700" w:hanging="532"/>
        <w:spacing w:after="0" w:line="277"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S/he has carefully read this entire Additional Release and has had any and all questions regarding its meaning answered to her/his satisfaction;</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Additional Release is written in language that s/he understands;</w:t>
      </w:r>
    </w:p>
    <w:p>
      <w:pPr>
        <w:spacing w:after="0" w:line="130" w:lineRule="exact"/>
        <w:rPr>
          <w:rFonts w:ascii="Arial" w:cs="Arial" w:eastAsia="Arial" w:hAnsi="Arial"/>
          <w:sz w:val="18"/>
          <w:szCs w:val="18"/>
          <w:color w:val="auto"/>
        </w:rPr>
      </w:pPr>
    </w:p>
    <w:p>
      <w:pPr>
        <w:ind w:left="960" w:right="260" w:hanging="532"/>
        <w:spacing w:after="0" w:line="277"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S/he is hereby advised to seek independent legal advice and/or counsel of her/his own choosing prior to the execution of this Additional Release;</w:t>
      </w:r>
    </w:p>
    <w:p>
      <w:pPr>
        <w:spacing w:after="0" w:line="75" w:lineRule="exact"/>
        <w:rPr>
          <w:rFonts w:ascii="Arial" w:cs="Arial" w:eastAsia="Arial" w:hAnsi="Arial"/>
          <w:sz w:val="18"/>
          <w:szCs w:val="18"/>
          <w:color w:val="auto"/>
        </w:rPr>
      </w:pPr>
    </w:p>
    <w:p>
      <w:pPr>
        <w:ind w:left="960" w:right="160" w:hanging="532"/>
        <w:spacing w:after="0" w:line="277"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S/he fully understands that this Additional Release is a waiver of any and all claims, known and unknown, that s/he may have against the Released Parties;</w:t>
      </w:r>
    </w:p>
    <w:p>
      <w:pPr>
        <w:spacing w:after="0" w:line="75" w:lineRule="exact"/>
        <w:rPr>
          <w:rFonts w:ascii="Arial" w:cs="Arial" w:eastAsia="Arial" w:hAnsi="Arial"/>
          <w:sz w:val="18"/>
          <w:szCs w:val="18"/>
          <w:color w:val="auto"/>
        </w:rPr>
      </w:pPr>
    </w:p>
    <w:p>
      <w:pPr>
        <w:ind w:left="960" w:right="580" w:hanging="532"/>
        <w:spacing w:after="0" w:line="277"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S/he willingly waives any and all claims in exchange for the promises of the Company in the Agreement, which s/he acknowledges constitute valuable consideration that s/he is not otherwise entitled to receive;</w:t>
      </w:r>
    </w:p>
    <w:p>
      <w:pPr>
        <w:spacing w:after="0" w:line="75" w:lineRule="exact"/>
        <w:rPr>
          <w:rFonts w:ascii="Arial" w:cs="Arial" w:eastAsia="Arial" w:hAnsi="Arial"/>
          <w:sz w:val="18"/>
          <w:szCs w:val="18"/>
          <w:color w:val="auto"/>
        </w:rPr>
      </w:pPr>
    </w:p>
    <w:p>
      <w:pPr>
        <w:ind w:left="960" w:right="600" w:hanging="532"/>
        <w:spacing w:after="0" w:line="277"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S/he enters into this Additional Release knowingly and voluntarily and is under no coercion or duress whatsoever in considering or agreeing to the provisions of this Additional Release; and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S/he understands that this Additional Release is a contract and that either party may enforce it.</w:t>
      </w:r>
    </w:p>
    <w:p>
      <w:pPr>
        <w:spacing w:after="0" w:line="225"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u w:val="single" w:color="auto"/>
          <w:color w:val="auto"/>
        </w:rPr>
        <w:t>Periods for Considering and Revoking the Additional Release</w:t>
      </w:r>
      <w:r>
        <w:rPr>
          <w:rFonts w:ascii="Arial" w:cs="Arial" w:eastAsia="Arial" w:hAnsi="Arial"/>
          <w:sz w:val="16"/>
          <w:szCs w:val="16"/>
          <w:color w:val="auto"/>
        </w:rPr>
        <w:t>: Employee acknowledges that s/he has been given at least 21 days to consider this Additional Release. Employee agrees that, if s/he signs and returns this Additional Release to the Company representative identified below before the end of the above 21-day period, her/his signature is intended to waive her/his right to consider the Additional Release for 21 days. This proposed Additional Release shall be deemed withdrawn if Employee fails to sign and return it to the Company representative identified below within 21 days of her/his receipt of the Additional Release. The parties agree that Employee may revoke this Additional Release at any time within 7 days after signing the Additional Release by written notice delivered by certified mail to the Company representative identified below. The parties acknowledge and agree that this Additional Release will become effective and enforceable once Employee signs and returns it to the Company representative identified below within 21 days of her/his receipt of the Additional Release and following the expiration without exercise of the 7-day revocation period.</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Domino’s Pizza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Kevin Morris, Executive Vice President, General Counsel and Corporate Secretary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30 Frank Lloyd Wright Drive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Ann Arbor, Michigan 48105</w:t>
      </w:r>
    </w:p>
    <w:p>
      <w:pPr>
        <w:spacing w:after="0" w:line="2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EMPLOYEE ACKNOWLEDGES THAT S/HE HAS CAREFULLY READ THIS ADDITIONAL RELEASE CAREFULLY. EMPLOYEE IS HEREBY ADVISED BY THE COMPANY TO CONSULT AN ATTORNEY PRIOR TO EXECUTING THIS ADDITIONAL RELEASE, AND FULLY UNDERSTANDS THAT BY SIGNING BELOW, S/HE IS GIVING UP CERTAIN RIGHTS WHICH S/HE MAY HAVE TO SUE OR ASSERT A CLAIM AGAINST ANY OF THE RELEASED PARTIES AS DESCRIBED HEREIN AND THE OTHER PROVISIONS HEREOF. EMPLOYEE ACKNOWLEDGES THAT S/HE HAS NOT BEEN FORCED OR PRESSURED IN ANY MANNER WHATSOEVER TO SIGN THIS ADDITIONAL RELEASE AND S/HE AGREES TO ALL OF ITS TERMS VOLUNTARILY.</w:t>
      </w:r>
    </w:p>
    <w:p>
      <w:pPr>
        <w:spacing w:after="0" w:line="21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DOMINO’S PIZZA LLC</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Employee:</w:t>
            </w:r>
          </w:p>
        </w:tc>
        <w:tc>
          <w:tcPr>
            <w:tcW w:w="4500" w:type="dxa"/>
            <w:vAlign w:val="bottom"/>
          </w:tcPr>
          <w:p>
            <w:pPr>
              <w:spacing w:after="0"/>
              <w:rPr>
                <w:sz w:val="20"/>
                <w:szCs w:val="20"/>
                <w:color w:val="auto"/>
              </w:rPr>
            </w:pPr>
          </w:p>
        </w:tc>
        <w:tc>
          <w:tcPr>
            <w:tcW w:w="1080" w:type="dxa"/>
            <w:vAlign w:val="bottom"/>
          </w:tcPr>
          <w:p>
            <w:pPr>
              <w:ind w:left="70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53"/>
        </w:trPr>
        <w:tc>
          <w:tcPr>
            <w:tcW w:w="88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4500" w:type="dxa"/>
            <w:vAlign w:val="bottom"/>
            <w:tcBorders>
              <w:bottom w:val="single" w:sz="8" w:color="auto"/>
            </w:tcBorders>
          </w:tcPr>
          <w:p>
            <w:pPr>
              <w:spacing w:after="0"/>
              <w:rPr>
                <w:sz w:val="4"/>
                <w:szCs w:val="4"/>
                <w:color w:val="auto"/>
              </w:rPr>
            </w:pPr>
          </w:p>
        </w:tc>
        <w:tc>
          <w:tcPr>
            <w:tcW w:w="1080" w:type="dxa"/>
            <w:vAlign w:val="bottom"/>
            <w:vMerge w:val="restart"/>
          </w:tcPr>
          <w:p>
            <w:pPr>
              <w:ind w:left="700"/>
              <w:spacing w:after="0"/>
              <w:rPr>
                <w:sz w:val="20"/>
                <w:szCs w:val="20"/>
                <w:color w:val="auto"/>
              </w:rPr>
            </w:pPr>
            <w:r>
              <w:rPr>
                <w:rFonts w:ascii="Arial" w:cs="Arial" w:eastAsia="Arial" w:hAnsi="Arial"/>
                <w:sz w:val="18"/>
                <w:szCs w:val="18"/>
                <w:color w:val="auto"/>
              </w:rPr>
              <w:t>Its:</w:t>
            </w:r>
          </w:p>
        </w:tc>
        <w:tc>
          <w:tcPr>
            <w:tcW w:w="0" w:type="dxa"/>
            <w:vAlign w:val="bottom"/>
          </w:tcPr>
          <w:p>
            <w:pPr>
              <w:spacing w:after="0"/>
              <w:rPr>
                <w:sz w:val="1"/>
                <w:szCs w:val="1"/>
                <w:color w:val="auto"/>
              </w:rPr>
            </w:pPr>
          </w:p>
        </w:tc>
      </w:tr>
      <w:tr>
        <w:trPr>
          <w:trHeight w:val="196"/>
        </w:trPr>
        <w:tc>
          <w:tcPr>
            <w:tcW w:w="880" w:type="dxa"/>
            <w:vAlign w:val="bottom"/>
            <w:vMerge w:val="continue"/>
          </w:tcPr>
          <w:p>
            <w:pPr>
              <w:spacing w:after="0"/>
              <w:rPr>
                <w:sz w:val="17"/>
                <w:szCs w:val="17"/>
                <w:color w:val="auto"/>
              </w:rPr>
            </w:pPr>
          </w:p>
        </w:tc>
        <w:tc>
          <w:tcPr>
            <w:tcW w:w="45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4500" w:type="dxa"/>
            <w:vAlign w:val="bottom"/>
            <w:tcBorders>
              <w:bottom w:val="single" w:sz="8" w:color="auto"/>
            </w:tcBorders>
          </w:tcPr>
          <w:p>
            <w:pPr>
              <w:spacing w:after="0"/>
              <w:rPr>
                <w:sz w:val="7"/>
                <w:szCs w:val="7"/>
                <w:color w:val="auto"/>
              </w:rPr>
            </w:pPr>
          </w:p>
        </w:tc>
        <w:tc>
          <w:tcPr>
            <w:tcW w:w="1080" w:type="dxa"/>
            <w:vAlign w:val="bottom"/>
            <w:vMerge w:val="restart"/>
          </w:tcPr>
          <w:p>
            <w:pPr>
              <w:ind w:left="700"/>
              <w:spacing w:after="0"/>
              <w:rPr>
                <w:sz w:val="20"/>
                <w:szCs w:val="20"/>
                <w:color w:val="auto"/>
              </w:rPr>
            </w:pPr>
            <w:r>
              <w:rPr>
                <w:rFonts w:ascii="Arial" w:cs="Arial" w:eastAsia="Arial" w:hAnsi="Arial"/>
                <w:sz w:val="18"/>
                <w:szCs w:val="18"/>
                <w:color w:val="auto"/>
                <w:w w:val="83"/>
              </w:rPr>
              <w:t>Date:</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880" w:type="dxa"/>
            <w:vAlign w:val="bottom"/>
          </w:tcPr>
          <w:p>
            <w:pPr>
              <w:spacing w:after="0"/>
              <w:rPr>
                <w:sz w:val="24"/>
                <w:szCs w:val="24"/>
                <w:color w:val="auto"/>
              </w:rPr>
            </w:pPr>
          </w:p>
        </w:tc>
        <w:tc>
          <w:tcPr>
            <w:tcW w:w="5580" w:type="dxa"/>
            <w:vAlign w:val="bottom"/>
            <w:gridSpan w:val="2"/>
          </w:tcPr>
          <w:p>
            <w:pPr>
              <w:ind w:left="4220"/>
              <w:spacing w:after="0"/>
              <w:rPr>
                <w:sz w:val="20"/>
                <w:szCs w:val="20"/>
                <w:color w:val="auto"/>
              </w:rPr>
            </w:pPr>
            <w:r>
              <w:rPr>
                <w:rFonts w:ascii="Arial" w:cs="Arial" w:eastAsia="Arial" w:hAnsi="Arial"/>
                <w:sz w:val="18"/>
                <w:szCs w:val="18"/>
                <w:color w:val="auto"/>
              </w:rPr>
              <w:t>Page 7 of 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4129405</wp:posOffset>
            </wp:positionH>
            <wp:positionV relativeFrom="paragraph">
              <wp:posOffset>-239395</wp:posOffset>
            </wp:positionV>
            <wp:extent cx="28632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9">
                      <a:extLst>
                        <a:ext uri="{28A0092B-C50C-407E-A947-70E740481C1C}"/>
                      </a:extLst>
                    </a:blip>
                    <a:srcRect/>
                    <a:stretch>
                      <a:fillRect/>
                    </a:stretch>
                  </pic:blipFill>
                  <pic:spPr bwMode="auto">
                    <a:xfrm>
                      <a:off x="0" y="0"/>
                      <a:ext cx="2863215" cy="8890"/>
                    </a:xfrm>
                    <a:prstGeom prst="rect">
                      <a:avLst/>
                    </a:prstGeom>
                    <a:noFill/>
                  </pic:spPr>
                </pic:pic>
              </a:graphicData>
            </a:graphic>
          </wp:anchor>
        </w:drawing>
        <w:drawing>
          <wp:anchor simplePos="0" relativeHeight="251657728" behindDoc="1" locked="0" layoutInCell="0" allowOverlap="1">
            <wp:simplePos x="0" y="0"/>
            <wp:positionH relativeFrom="column">
              <wp:posOffset>4129405</wp:posOffset>
            </wp:positionH>
            <wp:positionV relativeFrom="paragraph">
              <wp:posOffset>-427990</wp:posOffset>
            </wp:positionV>
            <wp:extent cx="28632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90">
                      <a:extLst>
                        <a:ext uri="{28A0092B-C50C-407E-A947-70E740481C1C}"/>
                      </a:extLst>
                    </a:blip>
                    <a:srcRect/>
                    <a:stretch>
                      <a:fillRect/>
                    </a:stretch>
                  </pic:blipFill>
                  <pic:spPr bwMode="auto">
                    <a:xfrm>
                      <a:off x="0" y="0"/>
                      <a:ext cx="2863215" cy="8255"/>
                    </a:xfrm>
                    <a:prstGeom prst="rect">
                      <a:avLst/>
                    </a:prstGeom>
                    <a:noFill/>
                  </pic:spPr>
                </pic:pic>
              </a:graphicData>
            </a:graphic>
          </wp:anchor>
        </w:drawing>
        <w:drawing>
          <wp:anchor simplePos="0" relativeHeight="251657728" behindDoc="1" locked="0" layoutInCell="0" allowOverlap="1">
            <wp:simplePos x="0" y="0"/>
            <wp:positionH relativeFrom="column">
              <wp:posOffset>4129405</wp:posOffset>
            </wp:positionH>
            <wp:positionV relativeFrom="paragraph">
              <wp:posOffset>-616585</wp:posOffset>
            </wp:positionV>
            <wp:extent cx="28632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91">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ectPr>
          <w:pgSz w:w="11900" w:h="16838" w:orient="portrait"/>
          <w:cols w:equalWidth="0" w:num="1">
            <w:col w:w="11000"/>
          </w:cols>
          <w:pgMar w:left="440" w:top="274" w:right="45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color w:val="auto"/>
        </w:rPr>
        <w:t>Exhibit 10.70</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Domino’s Pizza,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Director Compensation Schedule</w:t>
      </w:r>
    </w:p>
    <w:p>
      <w:pPr>
        <w:spacing w:after="0" w:line="21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following table sets forth the current compensation received by independent directors of Domino’s Pizza, Inc. for service on the Board of Directors, Audit Committee, Compensation Committee, Nominating &amp; Corporate Governance Committee and Inclusion &amp; Diversity Committee:</w:t>
      </w:r>
    </w:p>
    <w:p>
      <w:pPr>
        <w:spacing w:after="0" w:line="165" w:lineRule="exact"/>
        <w:rPr>
          <w:sz w:val="20"/>
          <w:szCs w:val="20"/>
          <w:color w:val="auto"/>
        </w:rPr>
      </w:pPr>
    </w:p>
    <w:tbl>
      <w:tblPr>
        <w:tblLayout w:type="fixed"/>
        <w:tblInd w:w="1320" w:type="dxa"/>
        <w:tblCellMar>
          <w:top w:w="0" w:type="dxa"/>
          <w:left w:w="0" w:type="dxa"/>
          <w:bottom w:w="0" w:type="dxa"/>
          <w:right w:w="0" w:type="dxa"/>
        </w:tblCellMar>
      </w:tblPr>
      <w:tr>
        <w:trPr>
          <w:trHeight w:val="185"/>
        </w:trPr>
        <w:tc>
          <w:tcPr>
            <w:tcW w:w="7300" w:type="dxa"/>
            <w:vAlign w:val="bottom"/>
            <w:tcBorders>
              <w:bottom w:val="single" w:sz="8" w:color="auto"/>
            </w:tcBorders>
          </w:tcPr>
          <w:p>
            <w:pPr>
              <w:ind w:left="3120"/>
              <w:spacing w:after="0"/>
              <w:rPr>
                <w:sz w:val="20"/>
                <w:szCs w:val="20"/>
                <w:color w:val="auto"/>
              </w:rPr>
            </w:pPr>
            <w:r>
              <w:rPr>
                <w:rFonts w:ascii="Arial" w:cs="Arial" w:eastAsia="Arial" w:hAnsi="Arial"/>
                <w:sz w:val="14"/>
                <w:szCs w:val="14"/>
                <w:b w:val="1"/>
                <w:bCs w:val="1"/>
                <w:color w:val="auto"/>
              </w:rPr>
              <w:t>Director Compensation Summary</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55"/>
        </w:trPr>
        <w:tc>
          <w:tcPr>
            <w:tcW w:w="7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Annual Retainer</w:t>
            </w:r>
          </w:p>
        </w:tc>
        <w:tc>
          <w:tcPr>
            <w:tcW w:w="3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13"/>
              <w:spacing w:after="0" w:line="155" w:lineRule="exact"/>
              <w:rPr>
                <w:sz w:val="20"/>
                <w:szCs w:val="20"/>
                <w:color w:val="auto"/>
              </w:rPr>
            </w:pPr>
            <w:r>
              <w:rPr>
                <w:rFonts w:ascii="Arial" w:cs="Arial" w:eastAsia="Arial" w:hAnsi="Arial"/>
                <w:sz w:val="14"/>
                <w:szCs w:val="14"/>
                <w:b w:val="1"/>
                <w:bCs w:val="1"/>
                <w:color w:val="auto"/>
                <w:w w:val="94"/>
              </w:rPr>
              <w:t>Amount</w:t>
            </w:r>
          </w:p>
        </w:tc>
        <w:tc>
          <w:tcPr>
            <w:tcW w:w="40" w:type="dxa"/>
            <w:vAlign w:val="bottom"/>
            <w:tcBorders>
              <w:bottom w:val="single" w:sz="8" w:color="CCEEFF"/>
            </w:tcBorders>
          </w:tcPr>
          <w:p>
            <w:pPr>
              <w:spacing w:after="0"/>
              <w:rPr>
                <w:sz w:val="13"/>
                <w:szCs w:val="13"/>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Board of Directors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4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Audit Committee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Chairperson</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30,000</w:t>
            </w: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Member</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15,000</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Chairperson</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20,000</w:t>
            </w: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Member</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Nominating &amp; Corporate Governance Committee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Chairperson</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15,000</w:t>
            </w: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Member</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Inclusion &amp; Diversity Committee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Chairperson</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15,000</w:t>
            </w: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Member</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w:t>
            </w:r>
          </w:p>
        </w:tc>
      </w:tr>
      <w:tr>
        <w:trPr>
          <w:trHeight w:val="378"/>
        </w:trPr>
        <w:tc>
          <w:tcPr>
            <w:tcW w:w="7300" w:type="dxa"/>
            <w:vAlign w:val="bottom"/>
          </w:tcPr>
          <w:p>
            <w:pPr>
              <w:spacing w:after="0"/>
              <w:rPr>
                <w:sz w:val="20"/>
                <w:szCs w:val="20"/>
                <w:color w:val="auto"/>
              </w:rPr>
            </w:pPr>
            <w:r>
              <w:rPr>
                <w:rFonts w:ascii="Arial" w:cs="Arial" w:eastAsia="Arial" w:hAnsi="Arial"/>
                <w:sz w:val="14"/>
                <w:szCs w:val="14"/>
                <w:b w:val="1"/>
                <w:bCs w:val="1"/>
                <w:color w:val="auto"/>
              </w:rPr>
              <w:t>Annual Equity Award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7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Target grant date fair value</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160,000</w:t>
            </w:r>
          </w:p>
        </w:tc>
        <w:tc>
          <w:tcPr>
            <w:tcW w:w="40" w:type="dxa"/>
            <w:vAlign w:val="bottom"/>
            <w:tcBorders>
              <w:top w:val="single" w:sz="8" w:color="CCEEFF"/>
            </w:tcBorders>
            <w:shd w:val="clear" w:color="auto" w:fill="CCEEFF"/>
          </w:tcPr>
          <w:p>
            <w:pPr>
              <w:spacing w:after="0"/>
              <w:rPr>
                <w:sz w:val="18"/>
                <w:szCs w:val="18"/>
                <w:color w:val="auto"/>
              </w:rPr>
            </w:pPr>
          </w:p>
        </w:tc>
      </w:tr>
    </w:tbl>
    <w:p>
      <w:pPr>
        <w:sectPr>
          <w:pgSz w:w="11900" w:h="16838" w:orient="portrait"/>
          <w:cols w:equalWidth="0" w:num="1">
            <w:col w:w="11020"/>
          </w:cols>
          <w:pgMar w:left="440" w:top="125" w:right="4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1200" w:type="dxa"/>
        <w:tblCellMar>
          <w:top w:w="0" w:type="dxa"/>
          <w:left w:w="0" w:type="dxa"/>
          <w:bottom w:w="0" w:type="dxa"/>
          <w:right w:w="0" w:type="dxa"/>
        </w:tblCellMar>
      </w:tblPr>
      <w:tr>
        <w:trPr>
          <w:trHeight w:val="234"/>
        </w:trPr>
        <w:tc>
          <w:tcPr>
            <w:tcW w:w="5820" w:type="dxa"/>
            <w:vAlign w:val="bottom"/>
          </w:tcPr>
          <w:p>
            <w:pPr>
              <w:ind w:left="880"/>
              <w:spacing w:after="0"/>
              <w:rPr>
                <w:sz w:val="20"/>
                <w:szCs w:val="20"/>
                <w:color w:val="auto"/>
              </w:rPr>
            </w:pPr>
            <w:r>
              <w:rPr>
                <w:rFonts w:ascii="Arial" w:cs="Arial" w:eastAsia="Arial" w:hAnsi="Arial"/>
                <w:sz w:val="18"/>
                <w:szCs w:val="18"/>
                <w:b w:val="1"/>
                <w:bCs w:val="1"/>
                <w:color w:val="auto"/>
              </w:rPr>
              <w:t>SIGNIFICANT SUBSIDIARIES OF DOMINO’S PIZZA, INC.</w:t>
            </w:r>
          </w:p>
        </w:tc>
        <w:tc>
          <w:tcPr>
            <w:tcW w:w="780" w:type="dxa"/>
            <w:vAlign w:val="bottom"/>
          </w:tcPr>
          <w:p>
            <w:pPr>
              <w:spacing w:after="0"/>
              <w:rPr>
                <w:sz w:val="20"/>
                <w:szCs w:val="20"/>
                <w:color w:val="auto"/>
              </w:rPr>
            </w:pPr>
          </w:p>
        </w:tc>
      </w:tr>
      <w:tr>
        <w:trPr>
          <w:trHeight w:val="445"/>
        </w:trPr>
        <w:tc>
          <w:tcPr>
            <w:tcW w:w="5820" w:type="dxa"/>
            <w:vAlign w:val="bottom"/>
          </w:tcPr>
          <w:p>
            <w:pPr>
              <w:spacing w:after="0"/>
              <w:rPr>
                <w:sz w:val="20"/>
                <w:szCs w:val="20"/>
                <w:color w:val="auto"/>
              </w:rPr>
            </w:pPr>
            <w:r>
              <w:rPr>
                <w:rFonts w:ascii="Arial" w:cs="Arial" w:eastAsia="Arial" w:hAnsi="Arial"/>
                <w:sz w:val="18"/>
                <w:szCs w:val="18"/>
                <w:color w:val="auto"/>
              </w:rPr>
              <w:t>Domino’s Pizza LLC</w:t>
            </w:r>
          </w:p>
        </w:tc>
        <w:tc>
          <w:tcPr>
            <w:tcW w:w="780" w:type="dxa"/>
            <w:vAlign w:val="bottom"/>
          </w:tcPr>
          <w:p>
            <w:pPr>
              <w:ind w:left="100"/>
              <w:spacing w:after="0"/>
              <w:rPr>
                <w:sz w:val="20"/>
                <w:szCs w:val="20"/>
                <w:color w:val="auto"/>
              </w:rPr>
            </w:pPr>
            <w:r>
              <w:rPr>
                <w:rFonts w:ascii="Arial" w:cs="Arial" w:eastAsia="Arial" w:hAnsi="Arial"/>
                <w:sz w:val="18"/>
                <w:szCs w:val="18"/>
                <w:color w:val="auto"/>
                <w:w w:val="91"/>
              </w:rPr>
              <w:t>Michigan</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Domino’s IP Holder LLC</w:t>
            </w:r>
          </w:p>
        </w:tc>
        <w:tc>
          <w:tcPr>
            <w:tcW w:w="780" w:type="dxa"/>
            <w:vAlign w:val="bottom"/>
          </w:tcPr>
          <w:p>
            <w:pPr>
              <w:ind w:left="100"/>
              <w:spacing w:after="0"/>
              <w:rPr>
                <w:sz w:val="20"/>
                <w:szCs w:val="20"/>
                <w:color w:val="auto"/>
              </w:rPr>
            </w:pPr>
            <w:r>
              <w:rPr>
                <w:rFonts w:ascii="Arial" w:cs="Arial" w:eastAsia="Arial" w:hAnsi="Arial"/>
                <w:sz w:val="18"/>
                <w:szCs w:val="18"/>
                <w:color w:val="auto"/>
                <w:w w:val="86"/>
              </w:rPr>
              <w:t>Delaware</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Domino’s National Advertising Fund Inc.</w:t>
            </w:r>
          </w:p>
        </w:tc>
        <w:tc>
          <w:tcPr>
            <w:tcW w:w="780" w:type="dxa"/>
            <w:vAlign w:val="bottom"/>
          </w:tcPr>
          <w:p>
            <w:pPr>
              <w:ind w:left="100"/>
              <w:spacing w:after="0"/>
              <w:rPr>
                <w:sz w:val="20"/>
                <w:szCs w:val="20"/>
                <w:color w:val="auto"/>
              </w:rPr>
            </w:pPr>
            <w:r>
              <w:rPr>
                <w:rFonts w:ascii="Arial" w:cs="Arial" w:eastAsia="Arial" w:hAnsi="Arial"/>
                <w:sz w:val="18"/>
                <w:szCs w:val="18"/>
                <w:color w:val="auto"/>
                <w:w w:val="91"/>
              </w:rPr>
              <w:t>Michigan</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Domino’s Pizza Master Issuer LLC</w:t>
            </w:r>
          </w:p>
        </w:tc>
        <w:tc>
          <w:tcPr>
            <w:tcW w:w="780" w:type="dxa"/>
            <w:vAlign w:val="bottom"/>
          </w:tcPr>
          <w:p>
            <w:pPr>
              <w:ind w:left="100"/>
              <w:spacing w:after="0"/>
              <w:rPr>
                <w:sz w:val="20"/>
                <w:szCs w:val="20"/>
                <w:color w:val="auto"/>
              </w:rPr>
            </w:pPr>
            <w:r>
              <w:rPr>
                <w:rFonts w:ascii="Arial" w:cs="Arial" w:eastAsia="Arial" w:hAnsi="Arial"/>
                <w:sz w:val="18"/>
                <w:szCs w:val="18"/>
                <w:color w:val="auto"/>
                <w:w w:val="86"/>
              </w:rPr>
              <w:t>Delaware</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Domino’s Pizza Distribution LLC</w:t>
            </w:r>
          </w:p>
        </w:tc>
        <w:tc>
          <w:tcPr>
            <w:tcW w:w="780" w:type="dxa"/>
            <w:vAlign w:val="bottom"/>
          </w:tcPr>
          <w:p>
            <w:pPr>
              <w:ind w:left="100"/>
              <w:spacing w:after="0"/>
              <w:rPr>
                <w:sz w:val="20"/>
                <w:szCs w:val="20"/>
                <w:color w:val="auto"/>
              </w:rPr>
            </w:pPr>
            <w:r>
              <w:rPr>
                <w:rFonts w:ascii="Arial" w:cs="Arial" w:eastAsia="Arial" w:hAnsi="Arial"/>
                <w:sz w:val="18"/>
                <w:szCs w:val="18"/>
                <w:color w:val="auto"/>
                <w:w w:val="86"/>
              </w:rPr>
              <w:t>Delaware</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Domino’s Pizza Franchising LLC</w:t>
            </w:r>
          </w:p>
        </w:tc>
        <w:tc>
          <w:tcPr>
            <w:tcW w:w="780" w:type="dxa"/>
            <w:vAlign w:val="bottom"/>
          </w:tcPr>
          <w:p>
            <w:pPr>
              <w:ind w:left="100"/>
              <w:spacing w:after="0"/>
              <w:rPr>
                <w:sz w:val="20"/>
                <w:szCs w:val="20"/>
                <w:color w:val="auto"/>
              </w:rPr>
            </w:pPr>
            <w:r>
              <w:rPr>
                <w:rFonts w:ascii="Arial" w:cs="Arial" w:eastAsia="Arial" w:hAnsi="Arial"/>
                <w:sz w:val="18"/>
                <w:szCs w:val="18"/>
                <w:color w:val="auto"/>
                <w:w w:val="86"/>
              </w:rPr>
              <w:t>Delaware</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Domino’s Pizza International Franchising Inc.</w:t>
            </w:r>
          </w:p>
        </w:tc>
        <w:tc>
          <w:tcPr>
            <w:tcW w:w="780" w:type="dxa"/>
            <w:vAlign w:val="bottom"/>
          </w:tcPr>
          <w:p>
            <w:pPr>
              <w:ind w:left="100"/>
              <w:spacing w:after="0"/>
              <w:rPr>
                <w:sz w:val="20"/>
                <w:szCs w:val="20"/>
                <w:color w:val="auto"/>
              </w:rPr>
            </w:pPr>
            <w:r>
              <w:rPr>
                <w:rFonts w:ascii="Arial" w:cs="Arial" w:eastAsia="Arial" w:hAnsi="Arial"/>
                <w:sz w:val="18"/>
                <w:szCs w:val="18"/>
                <w:color w:val="auto"/>
                <w:w w:val="86"/>
              </w:rPr>
              <w:t>Delaware</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Domino’s Pizza RE LLC</w:t>
            </w:r>
          </w:p>
        </w:tc>
        <w:tc>
          <w:tcPr>
            <w:tcW w:w="780" w:type="dxa"/>
            <w:vAlign w:val="bottom"/>
          </w:tcPr>
          <w:p>
            <w:pPr>
              <w:ind w:left="100"/>
              <w:spacing w:after="0"/>
              <w:rPr>
                <w:sz w:val="20"/>
                <w:szCs w:val="20"/>
                <w:color w:val="auto"/>
              </w:rPr>
            </w:pPr>
            <w:r>
              <w:rPr>
                <w:rFonts w:ascii="Arial" w:cs="Arial" w:eastAsia="Arial" w:hAnsi="Arial"/>
                <w:sz w:val="18"/>
                <w:szCs w:val="18"/>
                <w:color w:val="auto"/>
                <w:w w:val="86"/>
              </w:rPr>
              <w:t>Delaware</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Domino’s Pizza EQ LLC</w:t>
            </w:r>
          </w:p>
        </w:tc>
        <w:tc>
          <w:tcPr>
            <w:tcW w:w="780" w:type="dxa"/>
            <w:vAlign w:val="bottom"/>
          </w:tcPr>
          <w:p>
            <w:pPr>
              <w:ind w:left="100"/>
              <w:spacing w:after="0"/>
              <w:rPr>
                <w:sz w:val="20"/>
                <w:szCs w:val="20"/>
                <w:color w:val="auto"/>
              </w:rPr>
            </w:pPr>
            <w:r>
              <w:rPr>
                <w:rFonts w:ascii="Arial" w:cs="Arial" w:eastAsia="Arial" w:hAnsi="Arial"/>
                <w:sz w:val="18"/>
                <w:szCs w:val="18"/>
                <w:color w:val="auto"/>
                <w:w w:val="86"/>
              </w:rPr>
              <w:t>Delaware</w:t>
            </w:r>
          </w:p>
        </w:tc>
      </w:tr>
    </w:tbl>
    <w:p>
      <w:pPr>
        <w:sectPr>
          <w:pgSz w:w="11900" w:h="16838" w:orient="portrait"/>
          <w:cols w:equalWidth="0" w:num="1">
            <w:col w:w="10020"/>
          </w:cols>
          <w:pgMar w:left="1440" w:top="121" w:right="4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540"/>
        <w:spacing w:after="0" w:line="311" w:lineRule="auto"/>
        <w:rPr>
          <w:sz w:val="20"/>
          <w:szCs w:val="20"/>
          <w:color w:val="auto"/>
        </w:rPr>
      </w:pPr>
      <w:r>
        <w:rPr>
          <w:rFonts w:ascii="Arial" w:cs="Arial" w:eastAsia="Arial" w:hAnsi="Arial"/>
          <w:sz w:val="16"/>
          <w:szCs w:val="16"/>
          <w:color w:val="auto"/>
        </w:rPr>
        <w:t>We hereby consent to the incorporation by reference in the Registration Statements on Form S-8 (Nos. 333-118486, 333-121830, 333-121923, 333-161971, 333-161972, and 333-174542) of Domino’s Pizza, Inc. of our report dated February 25, 2021 relating to the financial statements and financial statement schedule and the effectiveness of internal control over financial reporting, which appear in this Form 10-K.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ectPr>
          <w:pgSz w:w="11900" w:h="16838" w:orient="portrait"/>
          <w:cols w:equalWidth="0" w:num="1">
            <w:col w:w="11020"/>
          </w:cols>
          <w:pgMar w:left="440" w:top="125" w:right="4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37"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OF CHIEF EXECUTIVE OFFICER, DOMINO’S PIZZA, INC.</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Richard E. Allison, Jr., certify that:</w:t>
      </w:r>
    </w:p>
    <w:p>
      <w:pPr>
        <w:spacing w:after="0" w:line="131" w:lineRule="exact"/>
        <w:rPr>
          <w:sz w:val="20"/>
          <w:szCs w:val="20"/>
          <w:color w:val="auto"/>
        </w:rPr>
      </w:pPr>
    </w:p>
    <w:p>
      <w:pPr>
        <w:ind w:left="540" w:hanging="532"/>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Domino’s Pizza, Inc.;</w:t>
      </w:r>
    </w:p>
    <w:p>
      <w:pPr>
        <w:spacing w:after="0" w:line="130" w:lineRule="exact"/>
        <w:rPr>
          <w:rFonts w:ascii="Arial" w:cs="Arial" w:eastAsia="Arial" w:hAnsi="Arial"/>
          <w:sz w:val="18"/>
          <w:szCs w:val="18"/>
          <w:color w:val="auto"/>
        </w:rPr>
      </w:pPr>
    </w:p>
    <w:p>
      <w:pPr>
        <w:ind w:left="540" w:right="60" w:hanging="532"/>
        <w:spacing w:after="0" w:line="263"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540" w:right="340" w:hanging="532"/>
        <w:spacing w:after="0" w:line="342" w:lineRule="auto"/>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540" w:right="140" w:hanging="532"/>
        <w:spacing w:after="0" w:line="291" w:lineRule="auto"/>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w:t>
      </w:r>
    </w:p>
    <w:p>
      <w:pPr>
        <w:ind w:left="54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rFonts w:ascii="Arial" w:cs="Arial" w:eastAsia="Arial" w:hAnsi="Arial"/>
          <w:sz w:val="16"/>
          <w:szCs w:val="16"/>
          <w:color w:val="auto"/>
        </w:rPr>
      </w:pPr>
    </w:p>
    <w:p>
      <w:pPr>
        <w:ind w:left="1000" w:right="20" w:hanging="439"/>
        <w:spacing w:after="0" w:line="286" w:lineRule="auto"/>
        <w:tabs>
          <w:tab w:leader="none" w:pos="10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000" w:hanging="439"/>
        <w:spacing w:after="0" w:line="263" w:lineRule="auto"/>
        <w:tabs>
          <w:tab w:leader="none" w:pos="10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ind w:left="1000" w:right="180" w:hanging="439"/>
        <w:spacing w:after="0" w:line="263" w:lineRule="auto"/>
        <w:tabs>
          <w:tab w:leader="none" w:pos="10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000" w:right="280" w:hanging="439"/>
        <w:spacing w:after="0" w:line="286" w:lineRule="auto"/>
        <w:tabs>
          <w:tab w:leader="none" w:pos="10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540" w:right="520" w:hanging="532"/>
        <w:spacing w:after="0" w:line="263"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89" w:lineRule="exact"/>
        <w:rPr>
          <w:rFonts w:ascii="Arial" w:cs="Arial" w:eastAsia="Arial" w:hAnsi="Arial"/>
          <w:sz w:val="18"/>
          <w:szCs w:val="18"/>
          <w:color w:val="auto"/>
        </w:rPr>
      </w:pPr>
    </w:p>
    <w:p>
      <w:pPr>
        <w:ind w:left="1000" w:right="120" w:hanging="439"/>
        <w:spacing w:after="0" w:line="342" w:lineRule="auto"/>
        <w:tabs>
          <w:tab w:leader="none" w:pos="10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000" w:right="400" w:hanging="439"/>
        <w:spacing w:after="0" w:line="277" w:lineRule="auto"/>
        <w:tabs>
          <w:tab w:leader="none" w:pos="10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180" w:type="dxa"/>
            <w:vAlign w:val="bottom"/>
            <w:gridSpan w:val="3"/>
          </w:tcPr>
          <w:p>
            <w:pPr>
              <w:spacing w:after="0"/>
              <w:rPr>
                <w:sz w:val="20"/>
                <w:szCs w:val="20"/>
                <w:color w:val="auto"/>
              </w:rPr>
            </w:pPr>
            <w:r>
              <w:rPr>
                <w:rFonts w:ascii="Arial" w:cs="Arial" w:eastAsia="Arial" w:hAnsi="Arial"/>
                <w:sz w:val="18"/>
                <w:szCs w:val="18"/>
                <w:color w:val="auto"/>
              </w:rPr>
              <w:t>February 25, 2021</w:t>
            </w:r>
          </w:p>
        </w:tc>
        <w:tc>
          <w:tcPr>
            <w:tcW w:w="4740" w:type="dxa"/>
            <w:vAlign w:val="bottom"/>
          </w:tcPr>
          <w:p>
            <w:pPr>
              <w:ind w:left="100"/>
              <w:spacing w:after="0"/>
              <w:rPr>
                <w:sz w:val="20"/>
                <w:szCs w:val="20"/>
                <w:color w:val="auto"/>
              </w:rPr>
            </w:pPr>
            <w:r>
              <w:rPr>
                <w:rFonts w:ascii="Arial" w:cs="Arial" w:eastAsia="Arial" w:hAnsi="Arial"/>
                <w:sz w:val="18"/>
                <w:szCs w:val="18"/>
                <w:color w:val="auto"/>
              </w:rPr>
              <w:t>/s/ Richard E. Allison, Jr.</w:t>
            </w:r>
          </w:p>
        </w:tc>
      </w:tr>
      <w:tr>
        <w:trPr>
          <w:trHeight w:val="195"/>
        </w:trPr>
        <w:tc>
          <w:tcPr>
            <w:tcW w:w="20" w:type="dxa"/>
            <w:vAlign w:val="bottom"/>
          </w:tcPr>
          <w:p>
            <w:pPr>
              <w:spacing w:after="0"/>
              <w:rPr>
                <w:sz w:val="16"/>
                <w:szCs w:val="16"/>
                <w:color w:val="auto"/>
              </w:rPr>
            </w:pPr>
          </w:p>
        </w:tc>
        <w:tc>
          <w:tcPr>
            <w:tcW w:w="4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Date</w:t>
            </w:r>
          </w:p>
        </w:tc>
        <w:tc>
          <w:tcPr>
            <w:tcW w:w="520" w:type="dxa"/>
            <w:vAlign w:val="bottom"/>
          </w:tcPr>
          <w:p>
            <w:pPr>
              <w:spacing w:after="0"/>
              <w:rPr>
                <w:sz w:val="16"/>
                <w:szCs w:val="16"/>
                <w:color w:val="auto"/>
              </w:rPr>
            </w:pPr>
          </w:p>
        </w:tc>
        <w:tc>
          <w:tcPr>
            <w:tcW w:w="47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Richard E. Allison, Jr.</w:t>
            </w:r>
          </w:p>
        </w:tc>
      </w:tr>
      <w:tr>
        <w:trPr>
          <w:trHeight w:val="230"/>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7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600"/>
          </w:cols>
          <w:pgMar w:left="860" w:top="125" w:right="4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37"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CERTIFICATION OF CHIEF FINANCIAL OFFICER, DOMINO’S PIZZA, INC.</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Stuart A. Levy, certify that:</w:t>
      </w:r>
    </w:p>
    <w:p>
      <w:pPr>
        <w:spacing w:after="0" w:line="131" w:lineRule="exact"/>
        <w:rPr>
          <w:sz w:val="20"/>
          <w:szCs w:val="20"/>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Domino’s Pizza, Inc.;</w:t>
      </w:r>
    </w:p>
    <w:p>
      <w:pPr>
        <w:spacing w:after="0" w:line="130" w:lineRule="exact"/>
        <w:rPr>
          <w:rFonts w:ascii="Arial" w:cs="Arial" w:eastAsia="Arial" w:hAnsi="Arial"/>
          <w:sz w:val="18"/>
          <w:szCs w:val="18"/>
          <w:color w:val="auto"/>
        </w:rPr>
      </w:pPr>
    </w:p>
    <w:p>
      <w:pPr>
        <w:ind w:left="540" w:right="60" w:hanging="532"/>
        <w:spacing w:after="0" w:line="263"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540" w:right="340" w:hanging="532"/>
        <w:spacing w:after="0" w:line="342" w:lineRule="auto"/>
        <w:tabs>
          <w:tab w:leader="none" w:pos="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540" w:right="140" w:hanging="532"/>
        <w:spacing w:after="0" w:line="291" w:lineRule="auto"/>
        <w:tabs>
          <w:tab w:leader="none" w:pos="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w:t>
      </w:r>
    </w:p>
    <w:p>
      <w:pPr>
        <w:ind w:left="54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rFonts w:ascii="Arial" w:cs="Arial" w:eastAsia="Arial" w:hAnsi="Arial"/>
          <w:sz w:val="16"/>
          <w:szCs w:val="16"/>
          <w:color w:val="auto"/>
        </w:rPr>
      </w:pPr>
    </w:p>
    <w:p>
      <w:pPr>
        <w:ind w:left="1000" w:right="20" w:hanging="439"/>
        <w:spacing w:after="0" w:line="286" w:lineRule="auto"/>
        <w:tabs>
          <w:tab w:leader="none" w:pos="100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000" w:hanging="439"/>
        <w:spacing w:after="0" w:line="263" w:lineRule="auto"/>
        <w:tabs>
          <w:tab w:leader="none" w:pos="10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ind w:left="1000" w:right="180" w:hanging="439"/>
        <w:spacing w:after="0" w:line="263" w:lineRule="auto"/>
        <w:tabs>
          <w:tab w:leader="none" w:pos="10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000" w:right="280" w:hanging="439"/>
        <w:spacing w:after="0" w:line="286" w:lineRule="auto"/>
        <w:tabs>
          <w:tab w:leader="none" w:pos="100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540" w:right="520" w:hanging="532"/>
        <w:spacing w:after="0" w:line="263"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89" w:lineRule="exact"/>
        <w:rPr>
          <w:rFonts w:ascii="Arial" w:cs="Arial" w:eastAsia="Arial" w:hAnsi="Arial"/>
          <w:sz w:val="18"/>
          <w:szCs w:val="18"/>
          <w:color w:val="auto"/>
        </w:rPr>
      </w:pPr>
    </w:p>
    <w:p>
      <w:pPr>
        <w:ind w:left="1000" w:right="120" w:hanging="439"/>
        <w:spacing w:after="0" w:line="342" w:lineRule="auto"/>
        <w:tabs>
          <w:tab w:leader="none" w:pos="10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000" w:right="400" w:hanging="439"/>
        <w:spacing w:after="0" w:line="277" w:lineRule="auto"/>
        <w:tabs>
          <w:tab w:leader="none" w:pos="10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237"/>
        </w:trPr>
        <w:tc>
          <w:tcPr>
            <w:tcW w:w="5180" w:type="dxa"/>
            <w:vAlign w:val="bottom"/>
            <w:gridSpan w:val="3"/>
          </w:tcPr>
          <w:p>
            <w:pPr>
              <w:spacing w:after="0"/>
              <w:rPr>
                <w:sz w:val="20"/>
                <w:szCs w:val="20"/>
                <w:color w:val="auto"/>
              </w:rPr>
            </w:pPr>
            <w:r>
              <w:rPr>
                <w:rFonts w:ascii="Arial" w:cs="Arial" w:eastAsia="Arial" w:hAnsi="Arial"/>
                <w:sz w:val="18"/>
                <w:szCs w:val="18"/>
                <w:color w:val="auto"/>
              </w:rPr>
              <w:t>February 25, 2021</w:t>
            </w:r>
          </w:p>
        </w:tc>
        <w:tc>
          <w:tcPr>
            <w:tcW w:w="4740" w:type="dxa"/>
            <w:vAlign w:val="bottom"/>
          </w:tcPr>
          <w:p>
            <w:pPr>
              <w:ind w:left="100"/>
              <w:spacing w:after="0"/>
              <w:rPr>
                <w:sz w:val="20"/>
                <w:szCs w:val="20"/>
                <w:color w:val="auto"/>
              </w:rPr>
            </w:pPr>
            <w:r>
              <w:rPr>
                <w:rFonts w:ascii="Arial" w:cs="Arial" w:eastAsia="Arial" w:hAnsi="Arial"/>
                <w:sz w:val="18"/>
                <w:szCs w:val="18"/>
                <w:color w:val="auto"/>
              </w:rPr>
              <w:t>/s/ Stuart A. Levy</w:t>
            </w:r>
          </w:p>
        </w:tc>
      </w:tr>
      <w:tr>
        <w:trPr>
          <w:trHeight w:val="215"/>
        </w:trPr>
        <w:tc>
          <w:tcPr>
            <w:tcW w:w="20" w:type="dxa"/>
            <w:vAlign w:val="bottom"/>
          </w:tcPr>
          <w:p>
            <w:pPr>
              <w:spacing w:after="0"/>
              <w:rPr>
                <w:sz w:val="18"/>
                <w:szCs w:val="18"/>
                <w:color w:val="auto"/>
              </w:rPr>
            </w:pPr>
          </w:p>
        </w:tc>
        <w:tc>
          <w:tcPr>
            <w:tcW w:w="4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520" w:type="dxa"/>
            <w:vAlign w:val="bottom"/>
          </w:tcPr>
          <w:p>
            <w:pPr>
              <w:spacing w:after="0"/>
              <w:rPr>
                <w:sz w:val="18"/>
                <w:szCs w:val="18"/>
                <w:color w:val="auto"/>
              </w:rPr>
            </w:pPr>
          </w:p>
        </w:tc>
        <w:tc>
          <w:tcPr>
            <w:tcW w:w="47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Stuart A. Levy</w:t>
            </w:r>
          </w:p>
        </w:tc>
      </w:tr>
      <w:tr>
        <w:trPr>
          <w:trHeight w:val="230"/>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7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0600"/>
          </w:cols>
          <w:pgMar w:left="860" w:top="125" w:right="4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 connection with the Annual Report of Domino’s Pizza, Inc. (the “Company”) on Form 10-K for the period ended January 3, 2021, as filed with the Securities and Exchange Commission on the date hereof (the “Report”), I, Richard E. Allison, Jr., Chief Executive Officer of the Company, certify, pursuant to 18 U.S.C. § 1350, adopted pursuant to §906 of the Sarbanes-Oxley Act of 2002, that based on my knowledge:</w:t>
      </w:r>
    </w:p>
    <w:p>
      <w:pPr>
        <w:spacing w:after="0" w:line="71" w:lineRule="exact"/>
        <w:rPr>
          <w:sz w:val="20"/>
          <w:szCs w:val="20"/>
          <w:color w:val="auto"/>
        </w:rPr>
      </w:pPr>
    </w:p>
    <w:p>
      <w:pPr>
        <w:ind w:left="960" w:hanging="532"/>
        <w:spacing w:after="0"/>
        <w:tabs>
          <w:tab w:leader="none" w:pos="9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42" w:lineRule="exact"/>
        <w:rPr>
          <w:rFonts w:ascii="Arial" w:cs="Arial" w:eastAsia="Arial" w:hAnsi="Arial"/>
          <w:sz w:val="17"/>
          <w:szCs w:val="17"/>
          <w:color w:val="auto"/>
        </w:rPr>
      </w:pPr>
    </w:p>
    <w:p>
      <w:pPr>
        <w:ind w:left="960" w:right="440" w:hanging="532"/>
        <w:spacing w:after="0" w:line="27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Richard E. Allison,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9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Richard E. Allison, Jr.</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Dated:</w:t>
        <w:tab/>
        <w:t>February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14605</wp:posOffset>
            </wp:positionV>
            <wp:extent cx="31546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93">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19" w:lineRule="exact"/>
        <w:rPr>
          <w:sz w:val="20"/>
          <w:szCs w:val="20"/>
          <w:color w:val="auto"/>
        </w:rPr>
      </w:pPr>
    </w:p>
    <w:p>
      <w:pPr>
        <w:ind w:right="440"/>
        <w:spacing w:after="0" w:line="311"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ectPr>
          <w:pgSz w:w="11900" w:h="16838" w:orient="portrait"/>
          <w:cols w:equalWidth="0" w:num="1">
            <w:col w:w="11020"/>
          </w:cols>
          <w:pgMar w:left="440" w:top="125" w:right="4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connection with the Annual Report of Domino’s Pizza, Inc. (the “Company”) on Form 10-K for the period ended January 3, 2021, as filed with the Securities and Exchange Commission on the date hereof (the “Report”), I, Stuart A. Levy, Chief Financial Officer of the Company, certify, pursuant to 18 U.S.C. § 1350, adopted pursuant to §906 of the Sarbanes-Oxley Act of 2002, that based on my knowledge:</w:t>
      </w:r>
    </w:p>
    <w:p>
      <w:pPr>
        <w:spacing w:after="0" w:line="71" w:lineRule="exact"/>
        <w:rPr>
          <w:sz w:val="20"/>
          <w:szCs w:val="20"/>
          <w:color w:val="auto"/>
        </w:rPr>
      </w:pPr>
    </w:p>
    <w:p>
      <w:pPr>
        <w:ind w:left="960" w:hanging="532"/>
        <w:spacing w:after="0"/>
        <w:tabs>
          <w:tab w:leader="none" w:pos="9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42" w:lineRule="exact"/>
        <w:rPr>
          <w:rFonts w:ascii="Arial" w:cs="Arial" w:eastAsia="Arial" w:hAnsi="Arial"/>
          <w:sz w:val="17"/>
          <w:szCs w:val="17"/>
          <w:color w:val="auto"/>
        </w:rPr>
      </w:pPr>
    </w:p>
    <w:p>
      <w:pPr>
        <w:ind w:left="960" w:right="440" w:hanging="532"/>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Stuart A. Levy</w:t>
      </w:r>
    </w:p>
    <w:p>
      <w:pPr>
        <w:spacing w:after="0" w:line="3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Stuart A.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-130175</wp:posOffset>
            </wp:positionV>
            <wp:extent cx="31457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9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Dated:</w:t>
        <w:tab/>
        <w:t>February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14605</wp:posOffset>
            </wp:positionV>
            <wp:extent cx="31546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5">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19" w:lineRule="exact"/>
        <w:rPr>
          <w:sz w:val="20"/>
          <w:szCs w:val="20"/>
          <w:color w:val="auto"/>
        </w:rPr>
      </w:pPr>
    </w:p>
    <w:p>
      <w:pPr>
        <w:ind w:right="440"/>
        <w:spacing w:after="0" w:line="311"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sectPr>
      <w:pgSz w:w="11900" w:h="16838" w:orient="portrait"/>
      <w:cols w:equalWidth="0" w:num="1">
        <w:col w:w="11020"/>
      </w:cols>
      <w:pgMar w:left="44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1)"/>
      <w:numFmt w:val="lowerRoman"/>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decimal"/>
      <w:start w:val="2"/>
    </w:lvl>
  </w:abstractNum>
  <w:abstractNum w:abstractNumId="20">
    <w:nsid w:val="7C3DBD3D"/>
    <w:multiLevelType w:val="hybridMultilevel"/>
    <w:lvl w:ilvl="0">
      <w:lvlJc w:val="left"/>
      <w:lvlText w:val="(%1)"/>
      <w:numFmt w:val="decimal"/>
      <w:start w:val="3"/>
    </w:lvl>
  </w:abstractNum>
  <w:abstractNum w:abstractNumId="21">
    <w:nsid w:val="737B8DDC"/>
    <w:multiLevelType w:val="hybridMultilevel"/>
    <w:lvl w:ilvl="0">
      <w:lvlJc w:val="left"/>
      <w:lvlText w:val="(%1)"/>
      <w:numFmt w:val="decimal"/>
      <w:start w:val="4"/>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2"/>
    </w:lvl>
  </w:abstractNum>
  <w:abstractNum w:abstractNumId="24">
    <w:nsid w:val="4516DDE9"/>
    <w:multiLevelType w:val="hybridMultilevel"/>
    <w:lvl w:ilvl="0">
      <w:lvlJc w:val="left"/>
      <w:lvlText w:val="%1."/>
      <w:numFmt w:val="decimal"/>
      <w:start w:val="3"/>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2"/>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3"/>
    </w:lvl>
  </w:abstractNum>
  <w:abstractNum w:abstractNumId="30">
    <w:nsid w:val="5072367"/>
    <w:multiLevelType w:val="hybridMultilevel"/>
    <w:lvl w:ilvl="0">
      <w:lvlJc w:val="left"/>
      <w:lvlText w:val="%1."/>
      <w:numFmt w:val="decimal"/>
      <w:start w:val="4"/>
    </w:lvl>
  </w:abstractNum>
  <w:abstractNum w:abstractNumId="31">
    <w:nsid w:val="3804823E"/>
    <w:multiLevelType w:val="hybridMultilevel"/>
    <w:lvl w:ilvl="0">
      <w:lvlJc w:val="left"/>
      <w:lvlText w:val="%1."/>
      <w:numFmt w:val="decimal"/>
      <w:start w:val="5"/>
    </w:lvl>
  </w:abstractNum>
  <w:abstractNum w:abstractNumId="32">
    <w:nsid w:val="77465F01"/>
    <w:multiLevelType w:val="hybridMultilevel"/>
    <w:lvl w:ilvl="0">
      <w:lvlJc w:val="left"/>
      <w:lvlText w:val="%1"/>
      <w:numFmt w:val="lowerLetter"/>
      <w:start w:val="1"/>
    </w:lvl>
    <w:lvl w:ilvl="1">
      <w:lvlJc w:val="left"/>
      <w:lvlText w:val="%2."/>
      <w:numFmt w:val="decimal"/>
      <w:start w:val="11"/>
    </w:lvl>
  </w:abstractNum>
  <w:abstractNum w:abstractNumId="33">
    <w:nsid w:val="7724C67E"/>
    <w:multiLevelType w:val="hybridMultilevel"/>
    <w:lvl w:ilvl="0">
      <w:lvlJc w:val="left"/>
      <w:lvlText w:val="(%1)"/>
      <w:numFmt w:val="lowerLetter"/>
      <w:start w:val="1"/>
    </w:lvl>
    <w:lvl w:ilvl="1">
      <w:lvlJc w:val="left"/>
      <w:lvlText w:val="%2"/>
      <w:numFmt w:val="decimal"/>
      <w:start w:val="1"/>
    </w:lvl>
  </w:abstractNum>
  <w:abstractNum w:abstractNumId="34">
    <w:nsid w:val="5C482A97"/>
    <w:multiLevelType w:val="hybridMultilevel"/>
    <w:lvl w:ilvl="0">
      <w:lvlJc w:val="left"/>
      <w:lvlText w:val="(%1)"/>
      <w:numFmt w:val="lowerLetter"/>
      <w:start w:val="7"/>
    </w:lvl>
    <w:lvl w:ilvl="1">
      <w:lvlJc w:val="left"/>
      <w:lvlText w:val="%2."/>
      <w:numFmt w:val="decimal"/>
      <w:start w:val="19"/>
    </w:lvl>
  </w:abstractNum>
  <w:abstractNum w:abstractNumId="35">
    <w:nsid w:val="2463B9EA"/>
    <w:multiLevelType w:val="hybridMultilevel"/>
    <w:lvl w:ilvl="0">
      <w:lvlJc w:val="left"/>
      <w:lvlText w:val="%1."/>
      <w:numFmt w:val="decimal"/>
      <w:start w:val="20"/>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06" Type="http://schemas.openxmlformats.org/officeDocument/2006/relationships/image" Target="media/image90.png"/><Relationship Id="rId124" Type="http://schemas.openxmlformats.org/officeDocument/2006/relationships/image" Target="media/image91.png"/><Relationship Id="rId142" Type="http://schemas.openxmlformats.org/officeDocument/2006/relationships/image" Target="media/image92.png"/><Relationship Id="rId156" Type="http://schemas.openxmlformats.org/officeDocument/2006/relationships/image" Target="media/image93.png"/><Relationship Id="rId166" Type="http://schemas.openxmlformats.org/officeDocument/2006/relationships/image" Target="media/image94.png"/><Relationship Id="rId174" Type="http://schemas.openxmlformats.org/officeDocument/2006/relationships/image" Target="media/image95.png"/><Relationship Id="rId175" Type="http://schemas.openxmlformats.org/officeDocument/2006/relationships/image" Target="media/image96.png"/><Relationship Id="rId176" Type="http://schemas.openxmlformats.org/officeDocument/2006/relationships/image" Target="media/image97.png"/><Relationship Id="rId177" Type="http://schemas.openxmlformats.org/officeDocument/2006/relationships/image" Target="media/image98.png"/><Relationship Id="rId178" Type="http://schemas.openxmlformats.org/officeDocument/2006/relationships/image" Target="media/image99.png"/><Relationship Id="rId179" Type="http://schemas.openxmlformats.org/officeDocument/2006/relationships/image" Target="media/image100.png"/><Relationship Id="rId180" Type="http://schemas.openxmlformats.org/officeDocument/2006/relationships/image" Target="media/image101.png"/><Relationship Id="rId181" Type="http://schemas.openxmlformats.org/officeDocument/2006/relationships/image" Target="media/image102.png"/><Relationship Id="rId182" Type="http://schemas.openxmlformats.org/officeDocument/2006/relationships/image" Target="media/image103.png"/><Relationship Id="rId183" Type="http://schemas.openxmlformats.org/officeDocument/2006/relationships/image" Target="media/image104.png"/><Relationship Id="rId184" Type="http://schemas.openxmlformats.org/officeDocument/2006/relationships/image" Target="media/image105.png"/><Relationship Id="rId185" Type="http://schemas.openxmlformats.org/officeDocument/2006/relationships/image" Target="media/image106.png"/><Relationship Id="rId186" Type="http://schemas.openxmlformats.org/officeDocument/2006/relationships/image" Target="media/image107.png"/><Relationship Id="rId187" Type="http://schemas.openxmlformats.org/officeDocument/2006/relationships/image" Target="media/image108.png"/><Relationship Id="rId188" Type="http://schemas.openxmlformats.org/officeDocument/2006/relationships/image" Target="media/image109.png"/><Relationship Id="rId189" Type="http://schemas.openxmlformats.org/officeDocument/2006/relationships/image" Target="media/image110.png"/><Relationship Id="rId190" Type="http://schemas.openxmlformats.org/officeDocument/2006/relationships/image" Target="media/image111.png"/><Relationship Id="rId191" Type="http://schemas.openxmlformats.org/officeDocument/2006/relationships/image" Target="media/image112.png"/><Relationship Id="rId192" Type="http://schemas.openxmlformats.org/officeDocument/2006/relationships/image" Target="media/image113.png"/><Relationship Id="rId193" Type="http://schemas.openxmlformats.org/officeDocument/2006/relationships/image" Target="media/image114.png"/><Relationship Id="rId194" Type="http://schemas.openxmlformats.org/officeDocument/2006/relationships/image" Target="media/image115.png"/><Relationship Id="rId195" Type="http://schemas.openxmlformats.org/officeDocument/2006/relationships/image" Target="media/image116.png"/><Relationship Id="rId97" Type="http://schemas.openxmlformats.org/officeDocument/2006/relationships/hyperlink" Target="http://www.sec.gov/Archives/edgar/data/1286681/000119312504091718/dex31.htm" TargetMode="External"/><Relationship Id="rId98" Type="http://schemas.openxmlformats.org/officeDocument/2006/relationships/hyperlink" Target="http://www.sec.gov/Archives/edgar/data/1286681/000156459015005457/dpz-ex32_20150614137.htm" TargetMode="External"/><Relationship Id="rId99" Type="http://schemas.openxmlformats.org/officeDocument/2006/relationships/hyperlink" Target="http://www.sec.gov/Archives/edgar/data/1286681/000119312516476935/d128680dex33.htm" TargetMode="External"/><Relationship Id="rId100" Type="http://schemas.openxmlformats.org/officeDocument/2006/relationships/hyperlink" Target="http://www.sec.gov/Archives/edgar/data/1286681/000119312520042675/d796357dex41.htm" TargetMode="External"/><Relationship Id="rId101" Type="http://schemas.openxmlformats.org/officeDocument/2006/relationships/hyperlink" Target="http://www.sec.gov/Archives/edgar/data/1079458/0000927016-99-001033.txt" TargetMode="External"/><Relationship Id="rId102" Type="http://schemas.openxmlformats.org/officeDocument/2006/relationships/hyperlink" Target="http://www.sec.gov/Archives/edgar/data/1286681/000119312513081957/d466015dex102.htm" TargetMode="External"/><Relationship Id="rId103" Type="http://schemas.openxmlformats.org/officeDocument/2006/relationships/hyperlink" Target="http://www.sec.gov/Archives/edgar/data/1286681/000119312517060262/d350071dex103.htm" TargetMode="External"/><Relationship Id="rId104" Type="http://schemas.openxmlformats.org/officeDocument/2006/relationships/hyperlink" Target="http://www.sec.gov/Archives/edgar/data/1286681/000119312517060262/d350071dex104.htm" TargetMode="External"/><Relationship Id="rId105" Type="http://schemas.openxmlformats.org/officeDocument/2006/relationships/hyperlink" Target="http://www.sec.gov/Archives/edgar/data/1286681/000119312517060262/d350071dex105.htm" TargetMode="External"/><Relationship Id="rId107" Type="http://schemas.openxmlformats.org/officeDocument/2006/relationships/hyperlink" Target="http://www.sec.gov/Archives/edgar/data/1286681/000119312517060262/d350071dex106.htm" TargetMode="External"/><Relationship Id="rId108" Type="http://schemas.openxmlformats.org/officeDocument/2006/relationships/hyperlink" Target="http://www.sec.gov/Archives/edgar/data/1286681/000119312517060262/d350071dex107.htm" TargetMode="External"/><Relationship Id="rId109" Type="http://schemas.openxmlformats.org/officeDocument/2006/relationships/hyperlink" Target="http://www.sec.gov/Archives/edgar/data/1286681/000119312518049576/d531906dex108.htm" TargetMode="External"/><Relationship Id="rId110" Type="http://schemas.openxmlformats.org/officeDocument/2006/relationships/hyperlink" Target="http://www.sec.gov/Archives/edgar/data/1286681/000119312518299738/d632190dex101.htm" TargetMode="External"/><Relationship Id="rId111" Type="http://schemas.openxmlformats.org/officeDocument/2006/relationships/hyperlink" Target="http://www.sec.gov/Archives/edgar/data/1286681/000119312518299738/d632190dex102.htm" TargetMode="External"/><Relationship Id="rId112" Type="http://schemas.openxmlformats.org/officeDocument/2006/relationships/hyperlink" Target="http://www.sec.gov/Archives/edgar/data/1286681/000119312519194379/d774471dex101.htm" TargetMode="External"/><Relationship Id="rId113" Type="http://schemas.openxmlformats.org/officeDocument/2006/relationships/hyperlink" Target="http://www.sec.gov/Archives/edgar/data/1286681/000119312519194379/d774471dex102.htm" TargetMode="External"/><Relationship Id="rId114" Type="http://schemas.openxmlformats.org/officeDocument/2006/relationships/hyperlink" Target="http://www.sec.gov/Archives/edgar/data/1079458/000119312506045179/dex109.htm" TargetMode="External"/><Relationship Id="rId115" Type="http://schemas.openxmlformats.org/officeDocument/2006/relationships/hyperlink" Target="http://www.sec.gov/Archives/edgar/data/1079458/000119312507037666/dex109.htm" TargetMode="External"/><Relationship Id="rId116" Type="http://schemas.openxmlformats.org/officeDocument/2006/relationships/hyperlink" Target="http://www.sec.gov/Archives/edgar/data/1286681/000119312513081957/d466015dex105.htm" TargetMode="External"/><Relationship Id="rId117" Type="http://schemas.openxmlformats.org/officeDocument/2006/relationships/hyperlink" Target="http://www.sec.gov/Archives/edgar/data/1286681/000119312509093037/dex101.htm" TargetMode="External"/><Relationship Id="rId118" Type="http://schemas.openxmlformats.org/officeDocument/2006/relationships/hyperlink" Target="http://www.sec.gov/Archives/edgar/data/1286681/000119312513081957/d466015dex108.htm" TargetMode="External"/><Relationship Id="rId119" Type="http://schemas.openxmlformats.org/officeDocument/2006/relationships/hyperlink" Target="http://www.sec.gov/Archives/edgar/data/1286681/000119312513081957/d466015dex109.htm" TargetMode="External"/><Relationship Id="rId120" Type="http://schemas.openxmlformats.org/officeDocument/2006/relationships/hyperlink" Target="http://www.sec.gov/Archives/edgar/data/1286681/000119312509093037/dex103.htm" TargetMode="External"/><Relationship Id="rId121" Type="http://schemas.openxmlformats.org/officeDocument/2006/relationships/hyperlink" Target="http://www.sec.gov/Archives/edgar/data/1286681/000119312509093037/dex105.htm" TargetMode="External"/><Relationship Id="rId122" Type="http://schemas.openxmlformats.org/officeDocument/2006/relationships/hyperlink" Target="http://www.sec.gov/Archives/edgar/data/1286681/000119312513081957/d466015dex1012.htm" TargetMode="External"/><Relationship Id="rId123" Type="http://schemas.openxmlformats.org/officeDocument/2006/relationships/hyperlink" Target="http://www.sec.gov/Archives/edgar/data/1286681/000119312513081957/d466015dex1013.htm" TargetMode="External"/><Relationship Id="rId125" Type="http://schemas.openxmlformats.org/officeDocument/2006/relationships/hyperlink" Target="http://www.sec.gov/Archives/edgar/data/1286681/000119312513081957/d466015dex1014.htm" TargetMode="External"/><Relationship Id="rId126" Type="http://schemas.openxmlformats.org/officeDocument/2006/relationships/hyperlink" Target="http://www.sec.gov/Archives/edgar/data/1286681/000119312513081957/d466015dex1015.htm" TargetMode="External"/><Relationship Id="rId127" Type="http://schemas.openxmlformats.org/officeDocument/2006/relationships/hyperlink" Target="http://www.sec.gov/Archives/edgar/data/1286681/000119312510045334/dex1019.htm" TargetMode="External"/><Relationship Id="rId128" Type="http://schemas.openxmlformats.org/officeDocument/2006/relationships/hyperlink" Target="http://www.sec.gov/Archives/edgar/data/1286681/000119312511050979/dex1020.htm" TargetMode="External"/><Relationship Id="rId129" Type="http://schemas.openxmlformats.org/officeDocument/2006/relationships/hyperlink" Target="http://www.sec.gov/Archives/edgar/data/1286681/000119312514066092/d661353dex1018.htm" TargetMode="External"/><Relationship Id="rId130" Type="http://schemas.openxmlformats.org/officeDocument/2006/relationships/hyperlink" Target="http://www.sec.gov/Archives/edgar/data/1286681/000119312519115719/d661429dex101.htm" TargetMode="External"/><Relationship Id="rId131" Type="http://schemas.openxmlformats.org/officeDocument/2006/relationships/hyperlink" Target="http://www.sec.gov/Archives/edgar/data/1286681/000119312504102056/dex1032.htm" TargetMode="External"/><Relationship Id="rId132" Type="http://schemas.openxmlformats.org/officeDocument/2006/relationships/hyperlink" Target="http://www.sec.gov/Archives/edgar/data/1286681/000119312518008592/d505807dex104.htm" TargetMode="External"/><Relationship Id="rId133" Type="http://schemas.openxmlformats.org/officeDocument/2006/relationships/hyperlink" Target="http://www.sec.gov/Archives/edgar/data/1286681/000119312515339829/d67435dex101.htm" TargetMode="External"/><Relationship Id="rId134" Type="http://schemas.openxmlformats.org/officeDocument/2006/relationships/hyperlink" Target="http://www.sec.gov/Archives/edgar/data/1286681/000119312508190324/dex101.htm" TargetMode="External"/><Relationship Id="rId135" Type="http://schemas.openxmlformats.org/officeDocument/2006/relationships/hyperlink" Target="http://www.sec.gov/Archives/edgar/data/1286681/000119312508260125/dex104.htm" TargetMode="External"/><Relationship Id="rId136" Type="http://schemas.openxmlformats.org/officeDocument/2006/relationships/hyperlink" Target="http://www.sec.gov/Archives/edgar/data/1286681/000119312510166716/dex103.htm" TargetMode="External"/><Relationship Id="rId137" Type="http://schemas.openxmlformats.org/officeDocument/2006/relationships/hyperlink" Target="http://www.sec.gov/Archives/edgar/data/1286681/000119312518008592/d505807dex102.htm" TargetMode="External"/><Relationship Id="rId138" Type="http://schemas.openxmlformats.org/officeDocument/2006/relationships/hyperlink" Target="http://www.sec.gov/Archives/edgar/data/1286681/000119312511127320/dex101.htm" TargetMode="External"/><Relationship Id="rId139" Type="http://schemas.openxmlformats.org/officeDocument/2006/relationships/hyperlink" Target="http://www.sec.gov/Archives/edgar/data/1286681/000119312518008592/d505807dex101.htm" TargetMode="External"/><Relationship Id="rId140" Type="http://schemas.openxmlformats.org/officeDocument/2006/relationships/hyperlink" Target="http://www.sec.gov/Archives/edgar/data/1286681/000119312518008592/d505807dex103.htm" TargetMode="External"/><Relationship Id="rId141" Type="http://schemas.openxmlformats.org/officeDocument/2006/relationships/hyperlink" Target="http://www.sec.gov/Archives/edgar/data/1286681/000119312518220984/d513733dex101.htm" TargetMode="External"/><Relationship Id="rId143" Type="http://schemas.openxmlformats.org/officeDocument/2006/relationships/hyperlink" Target="http://www.sec.gov/Archives/edgar/data/1286681/000119312519046191/d696297dex1039.htm" TargetMode="External"/><Relationship Id="rId144" Type="http://schemas.openxmlformats.org/officeDocument/2006/relationships/hyperlink" Target="http://www.sec.gov/Archives/edgar/data/1286681/000119312520115907/d914156dex101.htm" TargetMode="External"/><Relationship Id="rId145" Type="http://schemas.openxmlformats.org/officeDocument/2006/relationships/hyperlink" Target="http://www.sec.gov/Archives/edgar/data/1286681/000119312519046191/d696297dex1041.htm" TargetMode="External"/><Relationship Id="rId146" Type="http://schemas.openxmlformats.org/officeDocument/2006/relationships/hyperlink" Target="http://www.sec.gov/Archives/edgar/data/1286681/000119312519046191/d696297dex1042.htm" TargetMode="External"/><Relationship Id="rId147" Type="http://schemas.openxmlformats.org/officeDocument/2006/relationships/hyperlink" Target="http://www.sec.gov/Archives/edgar/data/1286681/000119312520265920/d935823dex101.htm" TargetMode="External"/><Relationship Id="rId148" Type="http://schemas.openxmlformats.org/officeDocument/2006/relationships/hyperlink" Target="http://www.sec.gov/Archives/edgar/data/1286681/000119312504091718/dex1033.htm" TargetMode="External"/><Relationship Id="rId149" Type="http://schemas.openxmlformats.org/officeDocument/2006/relationships/hyperlink" Target="http://www.sec.gov/Archives/edgar/data/1286681/000119312512120642/d318279dex41.htm" TargetMode="External"/><Relationship Id="rId150" Type="http://schemas.openxmlformats.org/officeDocument/2006/relationships/hyperlink" Target="http://www.sec.gov/Archives/edgar/data/1286681/000119312515350900/d51248dex41.htm" TargetMode="External"/><Relationship Id="rId151" Type="http://schemas.openxmlformats.org/officeDocument/2006/relationships/hyperlink" Target="http://www.sec.gov/Archives/edgar/data/1286681/000119312515350900/d51248dex42.htm" TargetMode="External"/><Relationship Id="rId152" Type="http://schemas.openxmlformats.org/officeDocument/2006/relationships/hyperlink" Target="http://www.sec.gov/Archives/edgar/data/1286681/000119312515350900/d51248dex43.htm" TargetMode="External"/><Relationship Id="rId153" Type="http://schemas.openxmlformats.org/officeDocument/2006/relationships/hyperlink" Target="http://www.sec.gov/Archives/edgar/data/1286681/000119312517234418/d428320dex41.htm" TargetMode="External"/><Relationship Id="rId154" Type="http://schemas.openxmlformats.org/officeDocument/2006/relationships/hyperlink" Target="http://www.sec.gov/Archives/edgar/data/1286681/000119312520042675/d796357dex1049.htm" TargetMode="External"/><Relationship Id="rId155" Type="http://schemas.openxmlformats.org/officeDocument/2006/relationships/hyperlink" Target="http://www.sec.gov/Archives/edgar/data/1286681/000119312515350900/d51248dex44.htm" TargetMode="External"/><Relationship Id="rId157" Type="http://schemas.openxmlformats.org/officeDocument/2006/relationships/hyperlink" Target="http://www.sec.gov/Archives/edgar/data/1286681/000119312517234418/d428320dex42.htm" TargetMode="External"/><Relationship Id="rId158" Type="http://schemas.openxmlformats.org/officeDocument/2006/relationships/hyperlink" Target="http://www.sec.gov/Archives/edgar/data/1286681/000119312518131454/d538225dex41.htm" TargetMode="External"/><Relationship Id="rId159" Type="http://schemas.openxmlformats.org/officeDocument/2006/relationships/hyperlink" Target="http://www.sec.gov/Archives/edgar/data/1286681/000119312519295552/d806337dex41.htm" TargetMode="External"/><Relationship Id="rId160" Type="http://schemas.openxmlformats.org/officeDocument/2006/relationships/hyperlink" Target="http://www.sec.gov/Archives/edgar/data/1286681/000119312515350900/d51248dex101.htm" TargetMode="External"/><Relationship Id="rId161" Type="http://schemas.openxmlformats.org/officeDocument/2006/relationships/hyperlink" Target="http://www.sec.gov/Archives/edgar/data/1286681/000119312517202942/d382329dex101.htm" TargetMode="External"/><Relationship Id="rId162" Type="http://schemas.openxmlformats.org/officeDocument/2006/relationships/hyperlink" Target="http://www.sec.gov/Archives/edgar/data/1286681/000119312518131454/d538225dex11.htm" TargetMode="External"/><Relationship Id="rId163" Type="http://schemas.openxmlformats.org/officeDocument/2006/relationships/hyperlink" Target="http://www.sec.gov/Archives/edgar/data/1286681/000119312519286123/d829654dex991.htm" TargetMode="External"/><Relationship Id="rId164" Type="http://schemas.openxmlformats.org/officeDocument/2006/relationships/hyperlink" Target="http://www.sec.gov/Archives/edgar/data/1286681/000119312519295552/d806337dex101.htm" TargetMode="External"/><Relationship Id="rId165" Type="http://schemas.openxmlformats.org/officeDocument/2006/relationships/hyperlink" Target="http://www.sec.gov/Archives/edgar/data/1286681/000119312512120642/d318279dex102.htm" TargetMode="External"/><Relationship Id="rId167" Type="http://schemas.openxmlformats.org/officeDocument/2006/relationships/hyperlink" Target="http://www.sec.gov/Archives/edgar/data/1286681/000119312512120642/d318279dex103.htm" TargetMode="External"/><Relationship Id="rId168" Type="http://schemas.openxmlformats.org/officeDocument/2006/relationships/hyperlink" Target="http://www.sec.gov/Archives/edgar/data/1286681/000119312515350900/d51248dex103.htm" TargetMode="External"/><Relationship Id="rId169" Type="http://schemas.openxmlformats.org/officeDocument/2006/relationships/hyperlink" Target="http://www.sec.gov/Archives/edgar/data/1286681/000119312517234418/d428320dex101.htm" TargetMode="External"/><Relationship Id="rId170" Type="http://schemas.openxmlformats.org/officeDocument/2006/relationships/hyperlink" Target="http://www.sec.gov/Archives/edgar/data/1286681/000119312515350900/d51248dex104.htm" TargetMode="External"/><Relationship Id="rId171" Type="http://schemas.openxmlformats.org/officeDocument/2006/relationships/hyperlink" Target="http://www.sec.gov/Archives/edgar/data/1286681/000119312515350900/d51248dex105.htm" TargetMode="External"/><Relationship Id="rId172" Type="http://schemas.openxmlformats.org/officeDocument/2006/relationships/hyperlink" Target="http://www.sec.gov/Archives/edgar/data/1286681/000119312517373784/d513737dex101.htm" TargetMode="External"/><Relationship Id="rId173" Type="http://schemas.openxmlformats.org/officeDocument/2006/relationships/hyperlink" Target="http://www.sec.gov/Archives/edgar/data/1286681/00011931250900389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2021-02-25T09:14:16Z</dcterms:created>
  <dcterms:modified xsi:type="dcterms:W3CDTF">2021-02-25T09:14:16Z</dcterms:modified>
</cp:coreProperties>
</file>