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jc w:val="center"/>
        <w:ind w:left="3860" w:right="1140" w:hanging="3852"/>
        <w:spacing w:after="0" w:line="375" w:lineRule="auto"/>
        <w:tabs>
          <w:tab w:leader="none" w:pos="94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18, 2023</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45"/>
        </w:trPr>
        <w:tc>
          <w:tcPr>
            <w:tcW w:w="3340" w:type="dxa"/>
            <w:vAlign w:val="bottom"/>
            <w:gridSpan w:val="3"/>
          </w:tcPr>
          <w:p>
            <w:pPr>
              <w:ind w:left="580"/>
              <w:spacing w:after="0"/>
              <w:rPr>
                <w:sz w:val="20"/>
                <w:szCs w:val="20"/>
                <w:color w:val="auto"/>
              </w:rPr>
            </w:pPr>
            <w:r>
              <w:rPr>
                <w:rFonts w:ascii="Arial" w:cs="Arial" w:eastAsia="Arial" w:hAnsi="Arial"/>
                <w:sz w:val="18"/>
                <w:szCs w:val="18"/>
                <w:b w:val="1"/>
                <w:bCs w:val="1"/>
                <w:color w:val="auto"/>
                <w:w w:val="89"/>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Domino’s Pizza,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44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38-2511577</w:t>
            </w:r>
          </w:p>
        </w:tc>
      </w:tr>
      <w:tr>
        <w:trPr>
          <w:trHeight w:val="153"/>
        </w:trPr>
        <w:tc>
          <w:tcPr>
            <w:tcW w:w="4440" w:type="dxa"/>
            <w:vAlign w:val="bottom"/>
          </w:tcPr>
          <w:p>
            <w:pPr>
              <w:jc w:val="center"/>
              <w:ind w:right="189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00" w:type="dxa"/>
            <w:vAlign w:val="bottom"/>
          </w:tcPr>
          <w:p>
            <w:pPr>
              <w:jc w:val="center"/>
              <w:ind w:left="1901"/>
              <w:spacing w:after="0"/>
              <w:rPr>
                <w:sz w:val="20"/>
                <w:szCs w:val="20"/>
                <w:color w:val="auto"/>
              </w:rPr>
            </w:pPr>
            <w:r>
              <w:rPr>
                <w:rFonts w:ascii="Arial" w:cs="Arial" w:eastAsia="Arial" w:hAnsi="Arial"/>
                <w:sz w:val="14"/>
                <w:szCs w:val="14"/>
                <w:b w:val="1"/>
                <w:bCs w:val="1"/>
                <w:color w:val="auto"/>
                <w:w w:val="94"/>
              </w:rPr>
              <w:t>Identification No.)</w:t>
            </w:r>
          </w:p>
        </w:tc>
      </w:tr>
      <w:tr>
        <w:trPr>
          <w:trHeight w:val="223"/>
        </w:trPr>
        <w:tc>
          <w:tcPr>
            <w:tcW w:w="44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5"/>
              </w:rPr>
              <w:t>30 Frank Lloyd Wright Drive</w:t>
            </w:r>
          </w:p>
        </w:tc>
        <w:tc>
          <w:tcPr>
            <w:tcW w:w="3100" w:type="dxa"/>
            <w:vAlign w:val="bottom"/>
          </w:tcPr>
          <w:p>
            <w:pPr>
              <w:spacing w:after="0"/>
              <w:rPr>
                <w:sz w:val="19"/>
                <w:szCs w:val="19"/>
                <w:color w:val="auto"/>
              </w:rPr>
            </w:pPr>
          </w:p>
        </w:tc>
      </w:tr>
      <w:tr>
        <w:trPr>
          <w:trHeight w:val="248"/>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Ann Arbor, Michigan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90"/>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(734) 930-3030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4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308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Title of Each Class</w:t>
            </w:r>
          </w:p>
        </w:tc>
        <w:tc>
          <w:tcPr>
            <w:tcW w:w="16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1"/>
              </w:rPr>
              <w:t>Trading Symbol</w:t>
            </w:r>
          </w:p>
        </w:tc>
        <w:tc>
          <w:tcPr>
            <w:tcW w:w="76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2"/>
        </w:trPr>
        <w:tc>
          <w:tcPr>
            <w:tcW w:w="43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Domino’s Pizza, Inc. Common Stock, $0.01 par value</w:t>
            </w:r>
          </w:p>
        </w:tc>
        <w:tc>
          <w:tcPr>
            <w:tcW w:w="4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DPZ</w:t>
            </w:r>
          </w:p>
        </w:tc>
        <w:tc>
          <w:tcPr>
            <w:tcW w:w="7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ind w:right="260" w:firstLine="255"/>
        <w:spacing w:after="0" w:line="230"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40" w:firstLine="25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firstLine="25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9" w:lineRule="exact"/>
        <w:rPr>
          <w:sz w:val="24"/>
          <w:szCs w:val="24"/>
          <w:color w:val="auto"/>
        </w:rPr>
      </w:pPr>
    </w:p>
    <w:p>
      <w:pPr>
        <w:ind w:right="200" w:firstLine="25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260" w:right="150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17, 2023, Domino’s Pizza, Inc. had 35,094,304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 No.</w:t>
            </w:r>
          </w:p>
        </w:tc>
      </w:tr>
      <w:tr>
        <w:trPr>
          <w:trHeight w:val="183"/>
        </w:trPr>
        <w:tc>
          <w:tcPr>
            <w:tcW w:w="108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238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b w:val="1"/>
                <w:bCs w:val="1"/>
                <w:color w:val="0000FF"/>
              </w:rPr>
              <w:t>FINANCIAL INFORMATION</w:t>
            </w:r>
          </w:p>
        </w:tc>
        <w:tc>
          <w:tcPr>
            <w:tcW w:w="6980" w:type="dxa"/>
            <w:vAlign w:val="bottom"/>
            <w:gridSpan w:val="10"/>
          </w:tcPr>
          <w:p>
            <w:pPr>
              <w:spacing w:after="0"/>
              <w:rPr>
                <w:sz w:val="15"/>
                <w:szCs w:val="15"/>
                <w:color w:val="auto"/>
              </w:rPr>
            </w:pPr>
          </w:p>
        </w:tc>
        <w:tc>
          <w:tcPr>
            <w:tcW w:w="800" w:type="dxa"/>
            <w:vAlign w:val="bottom"/>
          </w:tcPr>
          <w:p>
            <w:pPr>
              <w:spacing w:after="0"/>
              <w:rPr>
                <w:sz w:val="15"/>
                <w:szCs w:val="15"/>
                <w:color w:val="auto"/>
              </w:rPr>
            </w:pP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8"/>
              </w:rPr>
              <w:t>Financial Statements</w:t>
            </w:r>
          </w:p>
        </w:tc>
        <w:tc>
          <w:tcPr>
            <w:tcW w:w="78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6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(Unaudited) – As of June 18, 2023 and January 1, 2023</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1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FF"/>
                <w:w w:val="89"/>
              </w:rPr>
              <w:t>Condensed Consolidated Statements of Income (Unaudited) – Fiscal quarters and two fiscal quarters ended June 18, 2023 and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FF"/>
                <w:w w:val="85"/>
              </w:rPr>
              <w:t>June 19, 2022</w:t>
            </w:r>
          </w:p>
        </w:tc>
        <w:tc>
          <w:tcPr>
            <w:tcW w:w="814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7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89"/>
              </w:rPr>
              <w:t>Condensed Consolidated Statements of Comprehensive Income (Unaudited) – Fiscal quarters and two fiscal quarters ended</w:t>
            </w:r>
          </w:p>
        </w:tc>
        <w:tc>
          <w:tcPr>
            <w:tcW w:w="4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FF"/>
                <w:w w:val="87"/>
              </w:rPr>
              <w:t>June 18, 2023 and June 19, 2022</w:t>
            </w:r>
          </w:p>
        </w:tc>
        <w:tc>
          <w:tcPr>
            <w:tcW w:w="678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5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89"/>
              </w:rPr>
              <w:t>Condensed Consolidated Statements of Cash Flows (Unaudited) – Two fiscal quarters ended June 18, 2023 and June 19, 2022</w:t>
            </w:r>
          </w:p>
        </w:tc>
        <w:tc>
          <w:tcPr>
            <w:tcW w:w="3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6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3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9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3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FF"/>
              </w:rPr>
              <w:t>OTHER INFORMATION</w:t>
            </w:r>
          </w:p>
        </w:tc>
        <w:tc>
          <w:tcPr>
            <w:tcW w:w="734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36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1"/>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EE"/>
            </w:tcBorders>
            <w:gridSpan w:val="3"/>
          </w:tcPr>
          <w:p>
            <w:pPr>
              <w:spacing w:after="0"/>
              <w:rPr>
                <w:sz w:val="24"/>
                <w:szCs w:val="24"/>
                <w:color w:val="auto"/>
              </w:rPr>
            </w:pPr>
          </w:p>
        </w:tc>
        <w:tc>
          <w:tcPr>
            <w:tcW w:w="80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36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EE"/>
            </w:tcBorders>
            <w:gridSpan w:val="3"/>
          </w:tcPr>
          <w:p>
            <w:pPr>
              <w:spacing w:after="0"/>
              <w:rPr>
                <w:sz w:val="24"/>
                <w:szCs w:val="24"/>
                <w:color w:val="auto"/>
              </w:rPr>
            </w:pPr>
          </w:p>
        </w:tc>
        <w:tc>
          <w:tcPr>
            <w:tcW w:w="502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1"/>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3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58"/>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FF"/>
              </w:rPr>
              <w:t>Other Information</w:t>
            </w:r>
          </w:p>
        </w:tc>
        <w:tc>
          <w:tcPr>
            <w:tcW w:w="760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EE"/>
            </w:tcBorders>
            <w:gridSpan w:val="3"/>
          </w:tcPr>
          <w:p>
            <w:pPr>
              <w:spacing w:after="0"/>
              <w:rPr>
                <w:sz w:val="24"/>
                <w:szCs w:val="24"/>
                <w:color w:val="auto"/>
              </w:rPr>
            </w:pPr>
          </w:p>
        </w:tc>
        <w:tc>
          <w:tcPr>
            <w:tcW w:w="80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72"/>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FF"/>
                <w:w w:val="96"/>
              </w:rPr>
              <w:t>SIGNATURES</w:t>
            </w:r>
          </w:p>
        </w:tc>
        <w:tc>
          <w:tcPr>
            <w:tcW w:w="9260" w:type="dxa"/>
            <w:vAlign w:val="bottom"/>
            <w:gridSpan w:val="2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6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00" w:type="dxa"/>
            <w:vAlign w:val="bottom"/>
            <w:gridSpan w:val="16"/>
          </w:tcPr>
          <w:p>
            <w:pPr>
              <w:ind w:left="450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76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June 18, 2023</w:t>
            </w:r>
          </w:p>
        </w:tc>
        <w:tc>
          <w:tcPr>
            <w:tcW w:w="220" w:type="dxa"/>
            <w:vAlign w:val="bottom"/>
          </w:tcPr>
          <w:p>
            <w:pPr>
              <w:spacing w:after="0"/>
              <w:rPr>
                <w:sz w:val="16"/>
                <w:szCs w:val="16"/>
                <w:color w:val="auto"/>
              </w:rPr>
            </w:pPr>
          </w:p>
        </w:tc>
        <w:tc>
          <w:tcPr>
            <w:tcW w:w="18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January 1, 2023 (1)</w:t>
            </w: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77,020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60,356</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189,694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191,289</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260,024</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257,492</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65,627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81,570</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53,201</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37,287</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Advertising fund assets, restricted</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154,052</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162,660</w:t>
            </w:r>
          </w:p>
        </w:tc>
        <w:tc>
          <w:tcPr>
            <w:tcW w:w="140" w:type="dxa"/>
            <w:vAlign w:val="bottom"/>
          </w:tcPr>
          <w:p>
            <w:pPr>
              <w:spacing w:after="0"/>
              <w:rPr>
                <w:sz w:val="20"/>
                <w:szCs w:val="20"/>
                <w:color w:val="auto"/>
              </w:rPr>
            </w:pPr>
          </w:p>
        </w:tc>
      </w:tr>
      <w:tr>
        <w:trPr>
          <w:trHeight w:val="23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799,618</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790,654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Land and buildings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105,847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105,659</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Leasehold and other improvements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175,944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172,725</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351,927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333,787</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648,807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634,707</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Pr>
          <w:p>
            <w:pPr>
              <w:spacing w:after="0"/>
              <w:rPr>
                <w:sz w:val="20"/>
                <w:szCs w:val="20"/>
                <w:color w:val="auto"/>
              </w:rPr>
            </w:pPr>
          </w:p>
        </w:tc>
        <w:tc>
          <w:tcPr>
            <w:tcW w:w="1760" w:type="dxa"/>
            <w:vAlign w:val="bottom"/>
            <w:gridSpan w:val="2"/>
          </w:tcPr>
          <w:p>
            <w:pPr>
              <w:jc w:val="right"/>
              <w:ind w:right="170"/>
              <w:spacing w:after="0"/>
              <w:rPr>
                <w:sz w:val="20"/>
                <w:szCs w:val="20"/>
                <w:color w:val="auto"/>
              </w:rPr>
            </w:pPr>
            <w:r>
              <w:rPr>
                <w:rFonts w:ascii="Arial" w:cs="Arial" w:eastAsia="Arial" w:hAnsi="Arial"/>
                <w:sz w:val="18"/>
                <w:szCs w:val="18"/>
                <w:color w:val="auto"/>
              </w:rPr>
              <w:t>(352,872 )</w:t>
            </w:r>
          </w:p>
        </w:tc>
        <w:tc>
          <w:tcPr>
            <w:tcW w:w="2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(332,472 )</w:t>
            </w:r>
          </w:p>
        </w:tc>
      </w:tr>
      <w:tr>
        <w:trPr>
          <w:trHeight w:val="23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295,935</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302,235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213,817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219,202</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11,688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11,763</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Capitalized software, net</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119,299</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108,354</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Investment in DPC Dash</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110,876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125,840</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 assets, net</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42,445</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42,247</w:t>
            </w:r>
          </w:p>
        </w:tc>
        <w:tc>
          <w:tcPr>
            <w:tcW w:w="140" w:type="dxa"/>
            <w:vAlign w:val="bottom"/>
          </w:tcPr>
          <w:p>
            <w:pPr>
              <w:spacing w:after="0"/>
              <w:rPr>
                <w:sz w:val="20"/>
                <w:szCs w:val="20"/>
                <w:color w:val="auto"/>
              </w:rPr>
            </w:pPr>
          </w:p>
        </w:tc>
      </w:tr>
      <w:tr>
        <w:trPr>
          <w:trHeight w:val="23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500,617</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509,332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1,596,170</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1,602,221</w:t>
            </w:r>
          </w:p>
        </w:tc>
        <w:tc>
          <w:tcPr>
            <w:tcW w:w="14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and stockholders’ deficit</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54,813</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90,688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89,715</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37,611</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34,877</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30,197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31,435</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43,586</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Advertising fund liabilities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150,365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157,909</w:t>
            </w:r>
          </w:p>
        </w:tc>
        <w:tc>
          <w:tcPr>
            <w:tcW w:w="14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139,336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167,006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547,528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536,621</w:t>
            </w:r>
          </w:p>
        </w:tc>
        <w:tc>
          <w:tcPr>
            <w:tcW w:w="140" w:type="dxa"/>
            <w:vAlign w:val="bottom"/>
          </w:tcPr>
          <w:p>
            <w:pPr>
              <w:spacing w:after="0"/>
              <w:rPr>
                <w:sz w:val="20"/>
                <w:szCs w:val="20"/>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4,944,678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4,967,420</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188,694</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195,244</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36,507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40,179</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 liabilities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44,061</w:t>
            </w:r>
          </w:p>
        </w:tc>
        <w:tc>
          <w:tcPr>
            <w:tcW w:w="140" w:type="dxa"/>
            <w:vAlign w:val="bottom"/>
          </w:tcPr>
          <w:p>
            <w:pPr>
              <w:spacing w:after="0"/>
              <w:rPr>
                <w:sz w:val="20"/>
                <w:szCs w:val="20"/>
                <w:color w:val="auto"/>
              </w:rPr>
            </w:pPr>
          </w:p>
        </w:tc>
      </w:tr>
      <w:tr>
        <w:trPr>
          <w:trHeight w:val="23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5,215,208</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5,254,665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9,693</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deficit</w:t>
            </w:r>
          </w:p>
        </w:tc>
        <w:tc>
          <w:tcPr>
            <w:tcW w:w="2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(4,166,520 )</w:t>
            </w:r>
          </w:p>
        </w:tc>
        <w:tc>
          <w:tcPr>
            <w:tcW w:w="2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(4,194,418 )</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760" w:type="dxa"/>
            <w:vAlign w:val="bottom"/>
            <w:gridSpan w:val="2"/>
          </w:tcPr>
          <w:p>
            <w:pPr>
              <w:jc w:val="right"/>
              <w:ind w:right="170"/>
              <w:spacing w:after="0"/>
              <w:rPr>
                <w:sz w:val="20"/>
                <w:szCs w:val="20"/>
                <w:color w:val="auto"/>
              </w:rPr>
            </w:pPr>
            <w:r>
              <w:rPr>
                <w:rFonts w:ascii="Arial" w:cs="Arial" w:eastAsia="Arial" w:hAnsi="Arial"/>
                <w:sz w:val="18"/>
                <w:szCs w:val="18"/>
                <w:color w:val="auto"/>
              </w:rPr>
              <w:t>(3,767 )</w:t>
            </w:r>
          </w:p>
        </w:tc>
        <w:tc>
          <w:tcPr>
            <w:tcW w:w="2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(4,694 )</w:t>
            </w:r>
          </w:p>
        </w:tc>
      </w:tr>
      <w:tr>
        <w:trPr>
          <w:trHeight w:val="23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(4,166,566</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(4,189,065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1,596,170</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1,602,221</w:t>
            </w:r>
          </w:p>
        </w:tc>
        <w:tc>
          <w:tcPr>
            <w:tcW w:w="14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-6480175</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-6480175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-5219700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-3968115</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-3968115</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-2390775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-2390775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-1130935</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42" w:lineRule="exact"/>
        <w:rPr>
          <w:sz w:val="20"/>
          <w:szCs w:val="20"/>
          <w:color w:val="auto"/>
        </w:rPr>
      </w:pPr>
    </w:p>
    <w:p>
      <w:pPr>
        <w:ind w:right="200" w:firstLine="8"/>
        <w:spacing w:after="0" w:line="253" w:lineRule="auto"/>
        <w:tabs>
          <w:tab w:leader="none" w:pos="201"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January 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116"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Fiscal Quarter Ended</w:t>
            </w:r>
          </w:p>
        </w:tc>
        <w:tc>
          <w:tcPr>
            <w:tcW w:w="200" w:type="dxa"/>
            <w:vAlign w:val="bottom"/>
          </w:tcPr>
          <w:p>
            <w:pPr>
              <w:spacing w:after="0"/>
              <w:rPr>
                <w:sz w:val="16"/>
                <w:szCs w:val="16"/>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Two Fiscal Quarters Ended</w:t>
            </w:r>
          </w:p>
        </w:tc>
      </w:tr>
      <w:tr>
        <w:trPr>
          <w:trHeight w:val="160"/>
        </w:trPr>
        <w:tc>
          <w:tcPr>
            <w:tcW w:w="5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20"/>
              <w:spacing w:after="0" w:line="160" w:lineRule="exact"/>
              <w:rPr>
                <w:sz w:val="20"/>
                <w:szCs w:val="20"/>
                <w:color w:val="auto"/>
              </w:rPr>
            </w:pPr>
            <w:r>
              <w:rPr>
                <w:rFonts w:ascii="Arial" w:cs="Arial" w:eastAsia="Arial" w:hAnsi="Arial"/>
                <w:sz w:val="14"/>
                <w:szCs w:val="14"/>
                <w:b w:val="1"/>
                <w:bCs w:val="1"/>
                <w:color w:val="auto"/>
              </w:rPr>
              <w:t>June 18,</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60" w:lineRule="exact"/>
              <w:rPr>
                <w:sz w:val="20"/>
                <w:szCs w:val="20"/>
                <w:color w:val="auto"/>
              </w:rPr>
            </w:pPr>
            <w:r>
              <w:rPr>
                <w:rFonts w:ascii="Arial" w:cs="Arial" w:eastAsia="Arial" w:hAnsi="Arial"/>
                <w:sz w:val="14"/>
                <w:szCs w:val="14"/>
                <w:b w:val="1"/>
                <w:bCs w:val="1"/>
                <w:color w:val="auto"/>
              </w:rPr>
              <w:t>June 19,</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620"/>
              <w:spacing w:after="0" w:line="160" w:lineRule="exact"/>
              <w:rPr>
                <w:sz w:val="20"/>
                <w:szCs w:val="20"/>
                <w:color w:val="auto"/>
              </w:rPr>
            </w:pPr>
            <w:r>
              <w:rPr>
                <w:rFonts w:ascii="Arial" w:cs="Arial" w:eastAsia="Arial" w:hAnsi="Arial"/>
                <w:sz w:val="14"/>
                <w:szCs w:val="14"/>
                <w:b w:val="1"/>
                <w:bCs w:val="1"/>
                <w:color w:val="auto"/>
              </w:rPr>
              <w:t>June 18,</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32"/>
              <w:spacing w:after="0" w:line="160" w:lineRule="exact"/>
              <w:rPr>
                <w:sz w:val="20"/>
                <w:szCs w:val="20"/>
                <w:color w:val="auto"/>
              </w:rPr>
            </w:pPr>
            <w:r>
              <w:rPr>
                <w:rFonts w:ascii="Arial" w:cs="Arial" w:eastAsia="Arial" w:hAnsi="Arial"/>
                <w:sz w:val="14"/>
                <w:szCs w:val="14"/>
                <w:b w:val="1"/>
                <w:bCs w:val="1"/>
                <w:color w:val="auto"/>
              </w:rPr>
              <w:t>June 19,</w:t>
            </w:r>
          </w:p>
        </w:tc>
        <w:tc>
          <w:tcPr>
            <w:tcW w:w="140" w:type="dxa"/>
            <w:vAlign w:val="bottom"/>
          </w:tcPr>
          <w:p>
            <w:pPr>
              <w:spacing w:after="0"/>
              <w:rPr>
                <w:sz w:val="13"/>
                <w:szCs w:val="13"/>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(In thousands, except per share data)</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U.S. Company-owned stores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87,694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112,502</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172,605</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216,397</w:t>
            </w: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franchise royalties and fees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128,098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272,132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250,383</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615,711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646,586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1,239,937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1,256,133</w:t>
            </w: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International franchise royalties and fees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66,915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140,166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135,748</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U.S. franchise advertising</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111,081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224,185</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217,670</w:t>
            </w:r>
          </w:p>
        </w:tc>
        <w:tc>
          <w:tcPr>
            <w:tcW w:w="140" w:type="dxa"/>
            <w:vAlign w:val="bottom"/>
          </w:tcPr>
          <w:p>
            <w:pPr>
              <w:spacing w:after="0"/>
              <w:rPr>
                <w:sz w:val="20"/>
                <w:szCs w:val="20"/>
                <w:color w:val="auto"/>
              </w:rPr>
            </w:pPr>
          </w:p>
        </w:tc>
      </w:tr>
      <w:tr>
        <w:trPr>
          <w:trHeight w:val="236"/>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1,024,627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1,065,182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2,049,025</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2,076,331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Company-owned stores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141,995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181,440</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Supply chain</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548,548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584,852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1,116,827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1,140,002</w:t>
            </w:r>
          </w:p>
        </w:tc>
        <w:tc>
          <w:tcPr>
            <w:tcW w:w="140" w:type="dxa"/>
            <w:vAlign w:val="bottom"/>
          </w:tcPr>
          <w:p>
            <w:pPr>
              <w:spacing w:after="0"/>
              <w:rPr>
                <w:sz w:val="20"/>
                <w:szCs w:val="20"/>
                <w:color w:val="auto"/>
              </w:rPr>
            </w:pPr>
          </w:p>
        </w:tc>
      </w:tr>
      <w:tr>
        <w:trPr>
          <w:trHeight w:val="23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of sales</w:t>
            </w: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619,971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678,917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1,258,822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1,321,442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386,265</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790,203</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754,889</w:t>
            </w:r>
          </w:p>
        </w:tc>
        <w:tc>
          <w:tcPr>
            <w:tcW w:w="140" w:type="dxa"/>
            <w:vAlign w:val="bottom"/>
          </w:tcPr>
          <w:p>
            <w:pPr>
              <w:spacing w:after="0"/>
              <w:rPr>
                <w:sz w:val="20"/>
                <w:szCs w:val="20"/>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97,070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192,983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194,564</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U.S. franchise advertising</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111,459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224,185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217,670</w:t>
            </w:r>
          </w:p>
        </w:tc>
        <w:tc>
          <w:tcPr>
            <w:tcW w:w="140" w:type="dxa"/>
            <w:vAlign w:val="bottom"/>
          </w:tcPr>
          <w:p>
            <w:pPr>
              <w:spacing w:after="0"/>
              <w:rPr>
                <w:sz w:val="20"/>
                <w:szCs w:val="20"/>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Refranchising loss</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195,403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178,114</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372,886</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342,655</w:t>
            </w:r>
          </w:p>
        </w:tc>
        <w:tc>
          <w:tcPr>
            <w:tcW w:w="140" w:type="dxa"/>
            <w:vAlign w:val="bottom"/>
            <w:tcBorders>
              <w:top w:val="single" w:sz="8" w:color="CFF0FC"/>
            </w:tcBorders>
          </w:tcPr>
          <w:p>
            <w:pPr>
              <w:spacing w:after="0"/>
              <w:rPr>
                <w:sz w:val="20"/>
                <w:szCs w:val="20"/>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(14,964 )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(14,964 )</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(44,932 )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(44,851 )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(91,479 )</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(91,723 )</w:t>
            </w:r>
          </w:p>
        </w:tc>
      </w:tr>
      <w:tr>
        <w:trPr>
          <w:trHeight w:val="236"/>
        </w:trPr>
        <w:tc>
          <w:tcPr>
            <w:tcW w:w="5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138,044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133,482</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271,371</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251,200</w:t>
            </w:r>
          </w:p>
        </w:tc>
        <w:tc>
          <w:tcPr>
            <w:tcW w:w="140" w:type="dxa"/>
            <w:vAlign w:val="bottom"/>
            <w:tcBorders>
              <w:top w:val="single" w:sz="8" w:color="CFF0FC"/>
            </w:tcBorders>
          </w:tcPr>
          <w:p>
            <w:pPr>
              <w:spacing w:after="0"/>
              <w:rPr>
                <w:sz w:val="20"/>
                <w:szCs w:val="20"/>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30,989</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57,221</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109,380</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102,493</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214,150</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193,457</w:t>
            </w:r>
          </w:p>
        </w:tc>
        <w:tc>
          <w:tcPr>
            <w:tcW w:w="14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Common stock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-2862580</wp:posOffset>
            </wp:positionV>
            <wp:extent cx="7747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-2862580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-2862580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-2862580</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-2228215</wp:posOffset>
            </wp:positionV>
            <wp:extent cx="774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-2228215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-2228215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-1593850</wp:posOffset>
            </wp:positionV>
            <wp:extent cx="774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8572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-1593850</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-968375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-968375</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-968375</wp:posOffset>
            </wp:positionV>
            <wp:extent cx="8572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-968375</wp:posOffset>
            </wp:positionV>
            <wp:extent cx="857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-650875</wp:posOffset>
            </wp:positionV>
            <wp:extent cx="774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-650875</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-650875</wp:posOffset>
            </wp:positionV>
            <wp:extent cx="8572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Quarter Ended</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Two Fiscal Quarters Ended</w:t>
            </w:r>
          </w:p>
        </w:tc>
      </w:tr>
      <w:tr>
        <w:trPr>
          <w:trHeight w:val="160"/>
        </w:trPr>
        <w:tc>
          <w:tcPr>
            <w:tcW w:w="37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9"/>
              <w:spacing w:after="0" w:line="160" w:lineRule="exact"/>
              <w:rPr>
                <w:sz w:val="20"/>
                <w:szCs w:val="20"/>
                <w:color w:val="auto"/>
              </w:rPr>
            </w:pPr>
            <w:r>
              <w:rPr>
                <w:rFonts w:ascii="Arial" w:cs="Arial" w:eastAsia="Arial" w:hAnsi="Arial"/>
                <w:sz w:val="14"/>
                <w:szCs w:val="14"/>
                <w:b w:val="1"/>
                <w:bCs w:val="1"/>
                <w:color w:val="auto"/>
              </w:rPr>
              <w:t>June 18,</w:t>
            </w:r>
          </w:p>
        </w:tc>
        <w:tc>
          <w:tcPr>
            <w:tcW w:w="3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57"/>
              <w:spacing w:after="0" w:line="160" w:lineRule="exact"/>
              <w:rPr>
                <w:sz w:val="20"/>
                <w:szCs w:val="20"/>
                <w:color w:val="auto"/>
              </w:rPr>
            </w:pPr>
            <w:r>
              <w:rPr>
                <w:rFonts w:ascii="Arial" w:cs="Arial" w:eastAsia="Arial" w:hAnsi="Arial"/>
                <w:sz w:val="14"/>
                <w:szCs w:val="14"/>
                <w:b w:val="1"/>
                <w:bCs w:val="1"/>
                <w:color w:val="auto"/>
                <w:w w:val="92"/>
              </w:rPr>
              <w:t>June 19,</w:t>
            </w:r>
          </w:p>
        </w:tc>
        <w:tc>
          <w:tcPr>
            <w:tcW w:w="3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39"/>
              <w:spacing w:after="0" w:line="160" w:lineRule="exact"/>
              <w:rPr>
                <w:sz w:val="20"/>
                <w:szCs w:val="20"/>
                <w:color w:val="auto"/>
              </w:rPr>
            </w:pPr>
            <w:r>
              <w:rPr>
                <w:rFonts w:ascii="Arial" w:cs="Arial" w:eastAsia="Arial" w:hAnsi="Arial"/>
                <w:sz w:val="14"/>
                <w:szCs w:val="14"/>
                <w:b w:val="1"/>
                <w:bCs w:val="1"/>
                <w:color w:val="auto"/>
              </w:rPr>
              <w:t>June 18,</w:t>
            </w:r>
          </w:p>
        </w:tc>
        <w:tc>
          <w:tcPr>
            <w:tcW w:w="3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37"/>
              <w:spacing w:after="0" w:line="160" w:lineRule="exact"/>
              <w:rPr>
                <w:sz w:val="20"/>
                <w:szCs w:val="20"/>
                <w:color w:val="auto"/>
              </w:rPr>
            </w:pPr>
            <w:r>
              <w:rPr>
                <w:rFonts w:ascii="Arial" w:cs="Arial" w:eastAsia="Arial" w:hAnsi="Arial"/>
                <w:sz w:val="14"/>
                <w:szCs w:val="14"/>
                <w:b w:val="1"/>
                <w:bCs w:val="1"/>
                <w:color w:val="auto"/>
              </w:rPr>
              <w:t>June 19,</w:t>
            </w:r>
          </w:p>
        </w:tc>
        <w:tc>
          <w:tcPr>
            <w:tcW w:w="140" w:type="dxa"/>
            <w:vAlign w:val="bottom"/>
          </w:tcPr>
          <w:p>
            <w:pPr>
              <w:spacing w:after="0"/>
              <w:rPr>
                <w:sz w:val="13"/>
                <w:szCs w:val="13"/>
                <w:color w:val="auto"/>
              </w:rPr>
            </w:pPr>
          </w:p>
        </w:tc>
      </w:tr>
      <w:tr>
        <w:trPr>
          <w:trHeight w:val="185"/>
        </w:trPr>
        <w:tc>
          <w:tcPr>
            <w:tcW w:w="3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109,380</w:t>
            </w: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102,493</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214,150</w:t>
            </w: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193,457</w:t>
            </w:r>
          </w:p>
        </w:tc>
        <w:tc>
          <w:tcPr>
            <w:tcW w:w="140" w:type="dxa"/>
            <w:vAlign w:val="bottom"/>
            <w:shd w:val="clear" w:color="auto" w:fill="CFF0FC"/>
          </w:tcPr>
          <w:p>
            <w:pPr>
              <w:spacing w:after="0"/>
              <w:rPr>
                <w:sz w:val="20"/>
                <w:szCs w:val="20"/>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(1,684 )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(1,070 )</w:t>
            </w:r>
          </w:p>
        </w:tc>
      </w:tr>
      <w:tr>
        <w:trPr>
          <w:trHeight w:val="27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110,758</w:t>
            </w:r>
          </w:p>
        </w:tc>
        <w:tc>
          <w:tcPr>
            <w:tcW w:w="3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100,809</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215,077</w:t>
            </w:r>
          </w:p>
        </w:tc>
        <w:tc>
          <w:tcPr>
            <w:tcW w:w="3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192,387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gridSpan w:val="6"/>
          </w:tcPr>
          <w:p>
            <w:pPr>
              <w:jc w:val="right"/>
              <w:ind w:right="95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60"/>
        </w:trPr>
        <w:tc>
          <w:tcPr>
            <w:tcW w:w="76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2"/>
              <w:spacing w:after="0" w:line="160" w:lineRule="exact"/>
              <w:rPr>
                <w:sz w:val="20"/>
                <w:szCs w:val="20"/>
                <w:color w:val="auto"/>
              </w:rPr>
            </w:pPr>
            <w:r>
              <w:rPr>
                <w:rFonts w:ascii="Arial" w:cs="Arial" w:eastAsia="Arial" w:hAnsi="Arial"/>
                <w:sz w:val="14"/>
                <w:szCs w:val="14"/>
                <w:b w:val="1"/>
                <w:bCs w:val="1"/>
                <w:color w:val="auto"/>
              </w:rPr>
              <w:t>June 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51"/>
              <w:spacing w:after="0" w:line="160" w:lineRule="exact"/>
              <w:rPr>
                <w:sz w:val="20"/>
                <w:szCs w:val="20"/>
                <w:color w:val="auto"/>
              </w:rPr>
            </w:pPr>
            <w:r>
              <w:rPr>
                <w:rFonts w:ascii="Arial" w:cs="Arial" w:eastAsia="Arial" w:hAnsi="Arial"/>
                <w:sz w:val="14"/>
                <w:szCs w:val="14"/>
                <w:b w:val="1"/>
                <w:bCs w:val="1"/>
                <w:color w:val="auto"/>
              </w:rPr>
              <w:t>June 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214,150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193,457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Refranchising loss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Loss on sale/disposal of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(Benefit) provision for deferred income taxes</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(7,596 )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equity-based compensation expense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Excess tax benefits from equity-based compensation</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losses on accounts and notes receivable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Unrealized loss on investments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(33,794 )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(102,935 )</w:t>
            </w: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Changes in advertising fund assets and liabilities, restricted</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(3,391 )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242,291</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153,415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(37,980 )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(32,664 )</w:t>
            </w: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 of franchise operations and other assets</w:t>
            </w:r>
          </w:p>
        </w:tc>
        <w:tc>
          <w:tcPr>
            <w:tcW w:w="320" w:type="dxa"/>
            <w:vAlign w:val="bottom"/>
          </w:tcPr>
          <w:p>
            <w:pPr>
              <w:spacing w:after="0"/>
              <w:rPr>
                <w:sz w:val="20"/>
                <w:szCs w:val="20"/>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(6,814 )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(1,211 )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(39,191 )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(39,913 )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Repayments of long-term debt and finance lease obligations</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(27,186 )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(27,528 )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 of common stock</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(120,847 )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(97,661 )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payments for restricted stock upon vesting</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(3,068 )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(2,395 )</w:t>
            </w: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Payments of common stock dividends and equivalents</w:t>
            </w:r>
          </w:p>
        </w:tc>
        <w:tc>
          <w:tcPr>
            <w:tcW w:w="3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(42,930 )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(39,662 )</w:t>
            </w:r>
          </w:p>
        </w:tc>
        <w:tc>
          <w:tcPr>
            <w:tcW w:w="0" w:type="dxa"/>
            <w:vAlign w:val="bottom"/>
          </w:tcPr>
          <w:p>
            <w:pPr>
              <w:spacing w:after="0"/>
              <w:rPr>
                <w:sz w:val="1"/>
                <w:szCs w:val="1"/>
                <w:color w:val="auto"/>
              </w:rPr>
            </w:pPr>
          </w:p>
        </w:tc>
      </w:tr>
      <w:tr>
        <w:trPr>
          <w:trHeight w:val="237"/>
        </w:trPr>
        <w:tc>
          <w:tcPr>
            <w:tcW w:w="7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(192,980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 and cash equivalents, beginning of period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191,289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180,579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320" w:type="dxa"/>
            <w:vAlign w:val="bottom"/>
            <w:shd w:val="clear" w:color="auto" w:fill="CFF0FC"/>
          </w:tcPr>
          <w:p>
            <w:pPr>
              <w:spacing w:after="0"/>
              <w:rPr>
                <w:sz w:val="19"/>
                <w:szCs w:val="19"/>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143,559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161,741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3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395,204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490,480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beginning of period</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114,353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cash equivalents, end of period</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189,694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included in advertising fund assets, restricted,</w:t>
            </w:r>
          </w:p>
        </w:tc>
        <w:tc>
          <w:tcPr>
            <w:tcW w:w="3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139,104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164,059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restricted cash and cash equivalents and cash and</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405,818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436,627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cash equivalents included in advertising fund assets, restricted, end of period</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-4328795</wp:posOffset>
            </wp:positionV>
            <wp:extent cx="8572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-4328795</wp:posOffset>
            </wp:positionV>
            <wp:extent cx="8572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-3702685</wp:posOffset>
            </wp:positionV>
            <wp:extent cx="8572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-3702685</wp:posOffset>
            </wp:positionV>
            <wp:extent cx="8572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-2618105</wp:posOffset>
            </wp:positionV>
            <wp:extent cx="7145020" cy="3473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-2116455</wp:posOffset>
            </wp:positionV>
            <wp:extent cx="131191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11910" cy="1797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-1344930</wp:posOffset>
            </wp:positionV>
            <wp:extent cx="85725"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-1344930</wp:posOffset>
            </wp:positionV>
            <wp:extent cx="8572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18,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117" w:lineRule="exact"/>
        <w:rPr>
          <w:sz w:val="20"/>
          <w:szCs w:val="20"/>
          <w:color w:val="auto"/>
        </w:rPr>
      </w:pPr>
    </w:p>
    <w:p>
      <w:pPr>
        <w:ind w:right="20" w:firstLine="255"/>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1, 2023 included in the Company’s 2022 Annual Report on Form 10-K, filed with the Securities and Exchange Commission on February 23, 2023 (the “2022 Form 10-K”).</w:t>
      </w:r>
    </w:p>
    <w:p>
      <w:pPr>
        <w:spacing w:after="0" w:line="53"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and two fiscal quarters ended June 18, 2023 are not necessarily indicative of the results that may be expected for the fiscal year ending December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Segment Information</w:t>
      </w:r>
    </w:p>
    <w:p>
      <w:pPr>
        <w:spacing w:after="0" w:line="225" w:lineRule="exact"/>
        <w:rPr>
          <w:sz w:val="20"/>
          <w:szCs w:val="20"/>
          <w:color w:val="auto"/>
        </w:rPr>
      </w:pPr>
    </w:p>
    <w:p>
      <w:pPr>
        <w:ind w:right="160" w:firstLine="255"/>
        <w:spacing w:after="0" w:line="255" w:lineRule="auto"/>
        <w:rPr>
          <w:sz w:val="20"/>
          <w:szCs w:val="20"/>
          <w:color w:val="auto"/>
        </w:rPr>
      </w:pPr>
      <w:r>
        <w:rPr>
          <w:rFonts w:ascii="Arial" w:cs="Arial" w:eastAsia="Arial" w:hAnsi="Arial"/>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Fiscal Quarters Ended June 18, 2023 and June 19,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ind w:left="160"/>
              <w:spacing w:after="0" w:line="160" w:lineRule="exact"/>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60" w:lineRule="exact"/>
              <w:rPr>
                <w:sz w:val="20"/>
                <w:szCs w:val="20"/>
                <w:color w:val="auto"/>
              </w:rPr>
            </w:pPr>
            <w:r>
              <w:rPr>
                <w:rFonts w:ascii="Arial" w:cs="Arial" w:eastAsia="Arial" w:hAnsi="Arial"/>
                <w:sz w:val="14"/>
                <w:szCs w:val="14"/>
                <w:b w:val="1"/>
                <w:bCs w:val="1"/>
                <w:color w:val="auto"/>
              </w:rPr>
              <w:t>Supply</w:t>
            </w:r>
          </w:p>
        </w:tc>
        <w:tc>
          <w:tcPr>
            <w:tcW w:w="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97"/>
              </w:rPr>
              <w:t>International</w:t>
            </w:r>
          </w:p>
        </w:tc>
        <w:tc>
          <w:tcPr>
            <w:tcW w:w="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right"/>
              <w:ind w:right="360"/>
              <w:spacing w:after="0" w:line="160" w:lineRule="exact"/>
              <w:rPr>
                <w:sz w:val="20"/>
                <w:szCs w:val="20"/>
                <w:color w:val="auto"/>
              </w:rPr>
            </w:pPr>
            <w:r>
              <w:rPr>
                <w:rFonts w:ascii="Arial" w:cs="Arial" w:eastAsia="Arial" w:hAnsi="Arial"/>
                <w:sz w:val="14"/>
                <w:szCs w:val="14"/>
                <w:b w:val="1"/>
                <w:bCs w:val="1"/>
                <w:color w:val="auto"/>
              </w:rPr>
              <w:t>Intersegment</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85"/>
        </w:trPr>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Stores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Franchise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Revenues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36"/>
        </w:trPr>
        <w:tc>
          <w:tcPr>
            <w:tcW w:w="3580" w:type="dxa"/>
            <w:vAlign w:val="bottom"/>
            <w:shd w:val="clear" w:color="auto" w:fill="CFF0FC"/>
          </w:tcPr>
          <w:p>
            <w:pPr>
              <w:jc w:val="center"/>
              <w:ind w:right="2750"/>
              <w:spacing w:after="0"/>
              <w:rPr>
                <w:sz w:val="20"/>
                <w:szCs w:val="20"/>
                <w:color w:val="auto"/>
              </w:rPr>
            </w:pPr>
            <w:r>
              <w:rPr>
                <w:rFonts w:ascii="Arial" w:cs="Arial" w:eastAsia="Arial" w:hAnsi="Arial"/>
                <w:sz w:val="18"/>
                <w:szCs w:val="18"/>
                <w:color w:val="auto"/>
                <w:w w:val="86"/>
              </w:rPr>
              <w:t>Revenues</w:t>
            </w: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3580" w:type="dxa"/>
            <w:vAlign w:val="bottom"/>
          </w:tcPr>
          <w:p>
            <w:pPr>
              <w:jc w:val="center"/>
              <w:ind w:right="2730"/>
              <w:spacing w:after="0"/>
              <w:rPr>
                <w:sz w:val="20"/>
                <w:szCs w:val="20"/>
                <w:color w:val="auto"/>
              </w:rPr>
            </w:pPr>
            <w:r>
              <w:rPr>
                <w:rFonts w:ascii="Arial" w:cs="Arial" w:eastAsia="Arial" w:hAnsi="Arial"/>
                <w:sz w:val="18"/>
                <w:szCs w:val="18"/>
                <w:color w:val="auto"/>
                <w:w w:val="89"/>
              </w:rPr>
              <w:t>2023</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200"/>
              <w:spacing w:after="0"/>
              <w:rPr>
                <w:sz w:val="20"/>
                <w:szCs w:val="20"/>
                <w:color w:val="auto"/>
              </w:rPr>
            </w:pPr>
            <w:r>
              <w:rPr>
                <w:rFonts w:ascii="Arial" w:cs="Arial" w:eastAsia="Arial" w:hAnsi="Arial"/>
                <w:sz w:val="18"/>
                <w:szCs w:val="18"/>
                <w:color w:val="auto"/>
                <w:w w:val="89"/>
              </w:rPr>
              <w:t>338,421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641,481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54"/>
              <w:spacing w:after="0"/>
              <w:rPr>
                <w:sz w:val="20"/>
                <w:szCs w:val="20"/>
                <w:color w:val="auto"/>
              </w:rPr>
            </w:pPr>
            <w:r>
              <w:rPr>
                <w:rFonts w:ascii="Arial" w:cs="Arial" w:eastAsia="Arial" w:hAnsi="Arial"/>
                <w:sz w:val="18"/>
                <w:szCs w:val="18"/>
                <w:color w:val="auto"/>
                <w:w w:val="90"/>
              </w:rPr>
              <w:t>70,495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(25,770 )</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1,024,627</w:t>
            </w:r>
          </w:p>
        </w:tc>
        <w:tc>
          <w:tcPr>
            <w:tcW w:w="140" w:type="dxa"/>
            <w:vAlign w:val="bottom"/>
          </w:tcPr>
          <w:p>
            <w:pPr>
              <w:spacing w:after="0"/>
              <w:rPr>
                <w:sz w:val="20"/>
                <w:szCs w:val="20"/>
                <w:color w:val="auto"/>
              </w:rPr>
            </w:pPr>
          </w:p>
        </w:tc>
      </w:tr>
      <w:tr>
        <w:trPr>
          <w:trHeight w:val="249"/>
        </w:trPr>
        <w:tc>
          <w:tcPr>
            <w:tcW w:w="3580" w:type="dxa"/>
            <w:vAlign w:val="bottom"/>
            <w:shd w:val="clear" w:color="auto" w:fill="CFF0FC"/>
          </w:tcPr>
          <w:p>
            <w:pPr>
              <w:jc w:val="center"/>
              <w:ind w:right="2730"/>
              <w:spacing w:after="0"/>
              <w:rPr>
                <w:sz w:val="20"/>
                <w:szCs w:val="20"/>
                <w:color w:val="auto"/>
              </w:rPr>
            </w:pPr>
            <w:r>
              <w:rPr>
                <w:rFonts w:ascii="Arial" w:cs="Arial" w:eastAsia="Arial" w:hAnsi="Arial"/>
                <w:sz w:val="18"/>
                <w:szCs w:val="18"/>
                <w:color w:val="auto"/>
                <w:w w:val="89"/>
              </w:rPr>
              <w:t>2022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351,681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683,298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left="254"/>
              <w:spacing w:after="0"/>
              <w:rPr>
                <w:sz w:val="20"/>
                <w:szCs w:val="20"/>
                <w:color w:val="auto"/>
              </w:rPr>
            </w:pPr>
            <w:r>
              <w:rPr>
                <w:rFonts w:ascii="Arial" w:cs="Arial" w:eastAsia="Arial" w:hAnsi="Arial"/>
                <w:sz w:val="18"/>
                <w:szCs w:val="18"/>
                <w:color w:val="auto"/>
                <w:w w:val="90"/>
              </w:rPr>
              <w:t>66,915</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(36,712 )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1,065,182</w:t>
            </w:r>
          </w:p>
        </w:tc>
        <w:tc>
          <w:tcPr>
            <w:tcW w:w="140" w:type="dxa"/>
            <w:vAlign w:val="bottom"/>
            <w:shd w:val="clear" w:color="auto" w:fill="CFF0FC"/>
          </w:tcPr>
          <w:p>
            <w:pPr>
              <w:spacing w:after="0"/>
              <w:rPr>
                <w:sz w:val="21"/>
                <w:szCs w:val="2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580" w:type="dxa"/>
            <w:vAlign w:val="bottom"/>
            <w:shd w:val="clear" w:color="auto" w:fill="CFF0FC"/>
          </w:tcPr>
          <w:p>
            <w:pPr>
              <w:jc w:val="center"/>
              <w:ind w:right="2730"/>
              <w:spacing w:after="0"/>
              <w:rPr>
                <w:sz w:val="20"/>
                <w:szCs w:val="20"/>
                <w:color w:val="auto"/>
              </w:rPr>
            </w:pPr>
            <w:r>
              <w:rPr>
                <w:rFonts w:ascii="Arial" w:cs="Arial" w:eastAsia="Arial" w:hAnsi="Arial"/>
                <w:sz w:val="18"/>
                <w:szCs w:val="18"/>
                <w:color w:val="auto"/>
                <w:w w:val="89"/>
              </w:rPr>
              <w:t>2023</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123,592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60,026</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center"/>
              <w:ind w:left="254"/>
              <w:spacing w:after="0"/>
              <w:rPr>
                <w:sz w:val="20"/>
                <w:szCs w:val="20"/>
                <w:color w:val="auto"/>
              </w:rPr>
            </w:pPr>
            <w:r>
              <w:rPr>
                <w:rFonts w:ascii="Arial" w:cs="Arial" w:eastAsia="Arial" w:hAnsi="Arial"/>
                <w:sz w:val="18"/>
                <w:szCs w:val="18"/>
                <w:color w:val="auto"/>
                <w:w w:val="90"/>
              </w:rPr>
              <w:t>58,865</w:t>
            </w: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(18,865 )</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223,618</w:t>
            </w:r>
          </w:p>
        </w:tc>
        <w:tc>
          <w:tcPr>
            <w:tcW w:w="140" w:type="dxa"/>
            <w:vAlign w:val="bottom"/>
            <w:shd w:val="clear" w:color="auto" w:fill="CFF0FC"/>
          </w:tcPr>
          <w:p>
            <w:pPr>
              <w:spacing w:after="0"/>
              <w:rPr>
                <w:sz w:val="21"/>
                <w:szCs w:val="21"/>
                <w:color w:val="auto"/>
              </w:rPr>
            </w:pPr>
          </w:p>
        </w:tc>
      </w:tr>
      <w:tr>
        <w:trPr>
          <w:trHeight w:val="230"/>
        </w:trPr>
        <w:tc>
          <w:tcPr>
            <w:tcW w:w="3580" w:type="dxa"/>
            <w:vAlign w:val="bottom"/>
          </w:tcPr>
          <w:p>
            <w:pPr>
              <w:jc w:val="center"/>
              <w:ind w:right="273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104,055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53,633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left="254"/>
              <w:spacing w:after="0"/>
              <w:rPr>
                <w:sz w:val="20"/>
                <w:szCs w:val="20"/>
                <w:color w:val="auto"/>
              </w:rPr>
            </w:pPr>
            <w:r>
              <w:rPr>
                <w:rFonts w:ascii="Arial" w:cs="Arial" w:eastAsia="Arial" w:hAnsi="Arial"/>
                <w:sz w:val="18"/>
                <w:szCs w:val="18"/>
                <w:color w:val="auto"/>
                <w:w w:val="90"/>
              </w:rPr>
              <w:t>52,890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(5,621 )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204,957</w:t>
            </w:r>
          </w:p>
        </w:tc>
        <w:tc>
          <w:tcPr>
            <w:tcW w:w="140" w:type="dxa"/>
            <w:vAlign w:val="bottom"/>
          </w:tcPr>
          <w:p>
            <w:pPr>
              <w:spacing w:after="0"/>
              <w:rPr>
                <w:sz w:val="20"/>
                <w:szCs w:val="20"/>
                <w:color w:val="auto"/>
              </w:rPr>
            </w:pPr>
          </w:p>
        </w:tc>
      </w:tr>
      <w:tr>
        <w:trPr>
          <w:trHeight w:val="431"/>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8"/>
          </w:tcPr>
          <w:p>
            <w:pPr>
              <w:jc w:val="right"/>
              <w:ind w:right="780"/>
              <w:spacing w:after="0"/>
              <w:rPr>
                <w:sz w:val="20"/>
                <w:szCs w:val="20"/>
                <w:color w:val="auto"/>
              </w:rPr>
            </w:pPr>
            <w:r>
              <w:rPr>
                <w:rFonts w:ascii="Arial" w:cs="Arial" w:eastAsia="Arial" w:hAnsi="Arial"/>
                <w:sz w:val="14"/>
                <w:szCs w:val="14"/>
                <w:b w:val="1"/>
                <w:bCs w:val="1"/>
                <w:color w:val="auto"/>
              </w:rPr>
              <w:t>Two Fiscal Quarters Ended June 18, 2023 and June 19, 2022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0"/>
        </w:trPr>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180"/>
              <w:spacing w:after="0" w:line="160"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Supply</w:t>
            </w:r>
          </w:p>
        </w:tc>
        <w:tc>
          <w:tcPr>
            <w:tcW w:w="20" w:type="dxa"/>
            <w:vAlign w:val="bottom"/>
          </w:tcPr>
          <w:p>
            <w:pPr>
              <w:spacing w:after="0"/>
              <w:rPr>
                <w:sz w:val="13"/>
                <w:szCs w:val="13"/>
                <w:color w:val="auto"/>
              </w:rPr>
            </w:pPr>
          </w:p>
        </w:tc>
        <w:tc>
          <w:tcPr>
            <w:tcW w:w="1260" w:type="dxa"/>
            <w:vAlign w:val="bottom"/>
            <w:gridSpan w:val="4"/>
          </w:tcPr>
          <w:p>
            <w:pPr>
              <w:jc w:val="center"/>
              <w:ind w:right="240"/>
              <w:spacing w:after="0" w:line="160" w:lineRule="exact"/>
              <w:rPr>
                <w:sz w:val="20"/>
                <w:szCs w:val="20"/>
                <w:color w:val="auto"/>
              </w:rPr>
            </w:pPr>
            <w:r>
              <w:rPr>
                <w:rFonts w:ascii="Arial" w:cs="Arial" w:eastAsia="Arial" w:hAnsi="Arial"/>
                <w:sz w:val="14"/>
                <w:szCs w:val="14"/>
                <w:b w:val="1"/>
                <w:bCs w:val="1"/>
                <w:color w:val="auto"/>
                <w:w w:val="97"/>
              </w:rPr>
              <w:t>International</w:t>
            </w:r>
          </w:p>
        </w:tc>
        <w:tc>
          <w:tcPr>
            <w:tcW w:w="20" w:type="dxa"/>
            <w:vAlign w:val="bottom"/>
          </w:tcPr>
          <w:p>
            <w:pPr>
              <w:spacing w:after="0"/>
              <w:rPr>
                <w:sz w:val="13"/>
                <w:szCs w:val="13"/>
                <w:color w:val="auto"/>
              </w:rPr>
            </w:pPr>
          </w:p>
        </w:tc>
        <w:tc>
          <w:tcPr>
            <w:tcW w:w="1260" w:type="dxa"/>
            <w:vAlign w:val="bottom"/>
            <w:gridSpan w:val="4"/>
          </w:tcPr>
          <w:p>
            <w:pPr>
              <w:jc w:val="right"/>
              <w:ind w:right="340"/>
              <w:spacing w:after="0" w:line="160" w:lineRule="exact"/>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5"/>
        </w:trPr>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Stores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Chain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Franchise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3"/>
              </w:rPr>
              <w:t>Revenues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r>
      <w:tr>
        <w:trPr>
          <w:trHeight w:val="236"/>
        </w:trPr>
        <w:tc>
          <w:tcPr>
            <w:tcW w:w="3580" w:type="dxa"/>
            <w:vAlign w:val="bottom"/>
            <w:shd w:val="clear" w:color="auto" w:fill="CFF0FC"/>
          </w:tcPr>
          <w:p>
            <w:pPr>
              <w:jc w:val="center"/>
              <w:ind w:right="2750"/>
              <w:spacing w:after="0"/>
              <w:rPr>
                <w:sz w:val="20"/>
                <w:szCs w:val="20"/>
                <w:color w:val="auto"/>
              </w:rPr>
            </w:pPr>
            <w:r>
              <w:rPr>
                <w:rFonts w:ascii="Arial" w:cs="Arial" w:eastAsia="Arial" w:hAnsi="Arial"/>
                <w:sz w:val="18"/>
                <w:szCs w:val="18"/>
                <w:color w:val="auto"/>
                <w:w w:val="86"/>
              </w:rPr>
              <w:t>Revenues</w:t>
            </w: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3580" w:type="dxa"/>
            <w:vAlign w:val="bottom"/>
          </w:tcPr>
          <w:p>
            <w:pPr>
              <w:jc w:val="center"/>
              <w:ind w:right="2730"/>
              <w:spacing w:after="0"/>
              <w:rPr>
                <w:sz w:val="20"/>
                <w:szCs w:val="20"/>
                <w:color w:val="auto"/>
              </w:rPr>
            </w:pPr>
            <w:r>
              <w:rPr>
                <w:rFonts w:ascii="Arial" w:cs="Arial" w:eastAsia="Arial" w:hAnsi="Arial"/>
                <w:sz w:val="18"/>
                <w:szCs w:val="18"/>
                <w:color w:val="auto"/>
                <w:w w:val="89"/>
              </w:rPr>
              <w:t>2023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668,922</w:t>
            </w:r>
          </w:p>
        </w:tc>
        <w:tc>
          <w:tcPr>
            <w:tcW w:w="2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1,291,605</w:t>
            </w: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left="174"/>
              <w:spacing w:after="0"/>
              <w:rPr>
                <w:sz w:val="20"/>
                <w:szCs w:val="20"/>
                <w:color w:val="auto"/>
              </w:rPr>
            </w:pPr>
            <w:r>
              <w:rPr>
                <w:rFonts w:ascii="Arial" w:cs="Arial" w:eastAsia="Arial" w:hAnsi="Arial"/>
                <w:sz w:val="18"/>
                <w:szCs w:val="18"/>
                <w:color w:val="auto"/>
                <w:w w:val="89"/>
              </w:rPr>
              <w:t>140,166</w:t>
            </w:r>
          </w:p>
        </w:tc>
        <w:tc>
          <w:tcPr>
            <w:tcW w:w="2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(51,668 )</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2,049,025</w:t>
            </w:r>
          </w:p>
        </w:tc>
        <w:tc>
          <w:tcPr>
            <w:tcW w:w="140" w:type="dxa"/>
            <w:vAlign w:val="bottom"/>
          </w:tcPr>
          <w:p>
            <w:pPr>
              <w:spacing w:after="0"/>
              <w:rPr>
                <w:sz w:val="20"/>
                <w:szCs w:val="20"/>
                <w:color w:val="auto"/>
              </w:rPr>
            </w:pPr>
          </w:p>
        </w:tc>
      </w:tr>
      <w:tr>
        <w:trPr>
          <w:trHeight w:val="249"/>
        </w:trPr>
        <w:tc>
          <w:tcPr>
            <w:tcW w:w="3580" w:type="dxa"/>
            <w:vAlign w:val="bottom"/>
            <w:shd w:val="clear" w:color="auto" w:fill="CFF0FC"/>
          </w:tcPr>
          <w:p>
            <w:pPr>
              <w:jc w:val="center"/>
              <w:ind w:right="2730"/>
              <w:spacing w:after="0"/>
              <w:rPr>
                <w:sz w:val="20"/>
                <w:szCs w:val="20"/>
                <w:color w:val="auto"/>
              </w:rPr>
            </w:pPr>
            <w:r>
              <w:rPr>
                <w:rFonts w:ascii="Arial" w:cs="Arial" w:eastAsia="Arial" w:hAnsi="Arial"/>
                <w:sz w:val="18"/>
                <w:szCs w:val="18"/>
                <w:color w:val="auto"/>
                <w:w w:val="89"/>
              </w:rPr>
              <w:t>2022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89"/>
              </w:rPr>
              <w:t>684,450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1,325,260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89"/>
              </w:rPr>
              <w:t>135,748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(69,127 )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2,076,331</w:t>
            </w:r>
          </w:p>
        </w:tc>
        <w:tc>
          <w:tcPr>
            <w:tcW w:w="140" w:type="dxa"/>
            <w:vAlign w:val="bottom"/>
            <w:shd w:val="clear" w:color="auto" w:fill="CFF0FC"/>
          </w:tcPr>
          <w:p>
            <w:pPr>
              <w:spacing w:after="0"/>
              <w:rPr>
                <w:sz w:val="21"/>
                <w:szCs w:val="21"/>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580" w:type="dxa"/>
            <w:vAlign w:val="bottom"/>
            <w:shd w:val="clear" w:color="auto" w:fill="CFF0FC"/>
          </w:tcPr>
          <w:p>
            <w:pPr>
              <w:jc w:val="center"/>
              <w:ind w:right="2730"/>
              <w:spacing w:after="0"/>
              <w:rPr>
                <w:sz w:val="20"/>
                <w:szCs w:val="20"/>
                <w:color w:val="auto"/>
              </w:rPr>
            </w:pPr>
            <w:r>
              <w:rPr>
                <w:rFonts w:ascii="Arial" w:cs="Arial" w:eastAsia="Arial" w:hAnsi="Arial"/>
                <w:sz w:val="18"/>
                <w:szCs w:val="18"/>
                <w:color w:val="auto"/>
                <w:w w:val="89"/>
              </w:rPr>
              <w:t>2023</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89"/>
              </w:rPr>
              <w:t>236,275</w:t>
            </w:r>
          </w:p>
        </w:tc>
        <w:tc>
          <w:tcPr>
            <w:tcW w:w="2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108,541</w:t>
            </w:r>
          </w:p>
        </w:tc>
        <w:tc>
          <w:tcPr>
            <w:tcW w:w="24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89"/>
              </w:rPr>
              <w:t>117,004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(34,587 )</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427,233</w:t>
            </w:r>
          </w:p>
        </w:tc>
        <w:tc>
          <w:tcPr>
            <w:tcW w:w="140" w:type="dxa"/>
            <w:vAlign w:val="bottom"/>
            <w:shd w:val="clear" w:color="auto" w:fill="CFF0FC"/>
          </w:tcPr>
          <w:p>
            <w:pPr>
              <w:spacing w:after="0"/>
              <w:rPr>
                <w:sz w:val="21"/>
                <w:szCs w:val="21"/>
                <w:color w:val="auto"/>
              </w:rPr>
            </w:pPr>
          </w:p>
        </w:tc>
      </w:tr>
      <w:tr>
        <w:trPr>
          <w:trHeight w:val="230"/>
        </w:trPr>
        <w:tc>
          <w:tcPr>
            <w:tcW w:w="3580" w:type="dxa"/>
            <w:vAlign w:val="bottom"/>
          </w:tcPr>
          <w:p>
            <w:pPr>
              <w:jc w:val="center"/>
              <w:ind w:right="273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w w:val="89"/>
              </w:rPr>
              <w:t>201,347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99,982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left="174"/>
              <w:spacing w:after="0"/>
              <w:rPr>
                <w:sz w:val="20"/>
                <w:szCs w:val="20"/>
                <w:color w:val="auto"/>
              </w:rPr>
            </w:pPr>
            <w:r>
              <w:rPr>
                <w:rFonts w:ascii="Arial" w:cs="Arial" w:eastAsia="Arial" w:hAnsi="Arial"/>
                <w:sz w:val="18"/>
                <w:szCs w:val="18"/>
                <w:color w:val="auto"/>
                <w:w w:val="89"/>
              </w:rPr>
              <w:t>107,936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(13,331 )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395,934</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In the first quarter of 2023, the Company changed its allocation methodology for certain costs which support certain internally developed software used across the Company’s franchise system. This allocation methodology change was implemented in order to reflect the way the chief operating decision maker allocates resources to the Company’s reportable segments and evaluates segment profitability, including the costs of internally developed software.</w:t>
      </w:r>
    </w:p>
    <w:p>
      <w:pPr>
        <w:spacing w:after="0" w:line="41"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The change in allocation methodology of certain software development costs resulted in an estimated increase in U.S. stores Segment Income of $15.8 million, an estimated increase in international franchise Segment Income of $1.9 million and an estimated decrease in other Segment Income of $17.7 million in the second quarter of 2023. The change in allocation methodology of certain software development costs resulted in an estimated increase in U.S. stores Segment Income of $25.9 million, an estimated increase in international franchise Segment Income of $3.8 million and an estimated decrease in other Segment Income of $29.7 million in the two fiscal quarters of 2023. The change in allocation methodology of certain software development costs had no impact on revenues, supply chain Segment Income or total Segment Income. The change in allocation methodology for certain software development costs is a prospective change and the comparative information has not been restated.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Fiscal Quarter Ended</w:t>
            </w:r>
          </w:p>
        </w:tc>
        <w:tc>
          <w:tcPr>
            <w:tcW w:w="200" w:type="dxa"/>
            <w:vAlign w:val="bottom"/>
          </w:tcPr>
          <w:p>
            <w:pPr>
              <w:spacing w:after="0"/>
              <w:rPr>
                <w:sz w:val="16"/>
                <w:szCs w:val="16"/>
                <w:color w:val="auto"/>
              </w:rPr>
            </w:pPr>
          </w:p>
        </w:tc>
        <w:tc>
          <w:tcPr>
            <w:tcW w:w="2520" w:type="dxa"/>
            <w:vAlign w:val="bottom"/>
            <w:gridSpan w:val="7"/>
          </w:tcPr>
          <w:p>
            <w:pPr>
              <w:ind w:left="24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right"/>
              <w:ind w:right="580"/>
              <w:spacing w:after="0" w:line="160" w:lineRule="exact"/>
              <w:rPr>
                <w:sz w:val="20"/>
                <w:szCs w:val="20"/>
                <w:color w:val="auto"/>
              </w:rPr>
            </w:pPr>
            <w:r>
              <w:rPr>
                <w:rFonts w:ascii="Arial" w:cs="Arial" w:eastAsia="Arial" w:hAnsi="Arial"/>
                <w:sz w:val="14"/>
                <w:szCs w:val="14"/>
                <w:b w:val="1"/>
                <w:bCs w:val="1"/>
                <w:color w:val="auto"/>
              </w:rPr>
              <w:t>June 18,</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34"/>
              <w:spacing w:after="0" w:line="160" w:lineRule="exact"/>
              <w:rPr>
                <w:sz w:val="20"/>
                <w:szCs w:val="20"/>
                <w:color w:val="auto"/>
              </w:rPr>
            </w:pPr>
            <w:r>
              <w:rPr>
                <w:rFonts w:ascii="Arial" w:cs="Arial" w:eastAsia="Arial" w:hAnsi="Arial"/>
                <w:sz w:val="14"/>
                <w:szCs w:val="14"/>
                <w:b w:val="1"/>
                <w:bCs w:val="1"/>
                <w:color w:val="auto"/>
                <w:w w:val="92"/>
              </w:rPr>
              <w:t>June 19,</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620"/>
              <w:spacing w:after="0" w:line="160" w:lineRule="exact"/>
              <w:rPr>
                <w:sz w:val="20"/>
                <w:szCs w:val="20"/>
                <w:color w:val="auto"/>
              </w:rPr>
            </w:pPr>
            <w:r>
              <w:rPr>
                <w:rFonts w:ascii="Arial" w:cs="Arial" w:eastAsia="Arial" w:hAnsi="Arial"/>
                <w:sz w:val="14"/>
                <w:szCs w:val="14"/>
                <w:b w:val="1"/>
                <w:bCs w:val="1"/>
                <w:color w:val="auto"/>
              </w:rPr>
              <w:t>June 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34"/>
              <w:spacing w:after="0" w:line="160" w:lineRule="exact"/>
              <w:rPr>
                <w:sz w:val="20"/>
                <w:szCs w:val="20"/>
                <w:color w:val="auto"/>
              </w:rPr>
            </w:pPr>
            <w:r>
              <w:rPr>
                <w:rFonts w:ascii="Arial" w:cs="Arial" w:eastAsia="Arial" w:hAnsi="Arial"/>
                <w:sz w:val="14"/>
                <w:szCs w:val="14"/>
                <w:b w:val="1"/>
                <w:bCs w:val="1"/>
                <w:color w:val="auto"/>
                <w:w w:val="89"/>
              </w:rPr>
              <w:t>June 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Segment Income</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223,618</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204,957</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427,233</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395,934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(18,561 )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(18,117 )</w:t>
            </w:r>
          </w:p>
        </w:tc>
        <w:tc>
          <w:tcPr>
            <w:tcW w:w="2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(36,731 )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(37,093 )</w:t>
            </w: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Refranchising loss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(149 )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Loss on sale/disposal of assets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(127 )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(253 )</w:t>
            </w:r>
          </w:p>
        </w:tc>
        <w:tc>
          <w:tcPr>
            <w:tcW w:w="2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(402 )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(9,527 )</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(8,473 )</w:t>
            </w:r>
          </w:p>
        </w:tc>
        <w:tc>
          <w:tcPr>
            <w:tcW w:w="20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(17,065 )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(15,738 )</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195,403</w:t>
            </w:r>
          </w:p>
        </w:tc>
        <w:tc>
          <w:tcPr>
            <w:tcW w:w="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372,886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342,655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(14,964 )</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(14,964 )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(44,932 )</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(44,851 )</w:t>
            </w:r>
          </w:p>
        </w:tc>
        <w:tc>
          <w:tcPr>
            <w:tcW w:w="20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(91,479 )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(91,723 )</w:t>
            </w:r>
          </w:p>
        </w:tc>
        <w:tc>
          <w:tcPr>
            <w:tcW w:w="0" w:type="dxa"/>
            <w:vAlign w:val="bottom"/>
          </w:tcPr>
          <w:p>
            <w:pPr>
              <w:spacing w:after="0"/>
              <w:rPr>
                <w:sz w:val="1"/>
                <w:szCs w:val="1"/>
                <w:color w:val="auto"/>
              </w:rPr>
            </w:pPr>
          </w:p>
        </w:tc>
      </w:tr>
      <w:tr>
        <w:trPr>
          <w:trHeight w:val="236"/>
        </w:trPr>
        <w:tc>
          <w:tcPr>
            <w:tcW w:w="5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138,044</w:t>
            </w: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133,482</w:t>
            </w:r>
          </w:p>
        </w:tc>
        <w:tc>
          <w:tcPr>
            <w:tcW w:w="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271,371</w:t>
            </w:r>
          </w:p>
        </w:tc>
        <w:tc>
          <w:tcPr>
            <w:tcW w:w="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251,200</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3. Earnings Per Share</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Fiscal Quarter Ended</w:t>
            </w:r>
          </w:p>
        </w:tc>
        <w:tc>
          <w:tcPr>
            <w:tcW w:w="200" w:type="dxa"/>
            <w:vAlign w:val="bottom"/>
          </w:tcPr>
          <w:p>
            <w:pPr>
              <w:spacing w:after="0"/>
              <w:rPr>
                <w:sz w:val="24"/>
                <w:szCs w:val="24"/>
                <w:color w:val="auto"/>
              </w:rPr>
            </w:pPr>
          </w:p>
        </w:tc>
        <w:tc>
          <w:tcPr>
            <w:tcW w:w="2520" w:type="dxa"/>
            <w:vAlign w:val="bottom"/>
            <w:gridSpan w:val="7"/>
          </w:tcPr>
          <w:p>
            <w:pPr>
              <w:ind w:left="24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right"/>
              <w:ind w:right="600"/>
              <w:spacing w:after="0" w:line="160" w:lineRule="exact"/>
              <w:rPr>
                <w:sz w:val="20"/>
                <w:szCs w:val="20"/>
                <w:color w:val="auto"/>
              </w:rPr>
            </w:pPr>
            <w:r>
              <w:rPr>
                <w:rFonts w:ascii="Arial" w:cs="Arial" w:eastAsia="Arial" w:hAnsi="Arial"/>
                <w:sz w:val="14"/>
                <w:szCs w:val="14"/>
                <w:b w:val="1"/>
                <w:bCs w:val="1"/>
                <w:color w:val="auto"/>
              </w:rPr>
              <w:t>June 18,</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89"/>
              </w:rPr>
              <w:t>June 19,</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600"/>
              <w:spacing w:after="0" w:line="160" w:lineRule="exact"/>
              <w:rPr>
                <w:sz w:val="20"/>
                <w:szCs w:val="20"/>
                <w:color w:val="auto"/>
              </w:rPr>
            </w:pPr>
            <w:r>
              <w:rPr>
                <w:rFonts w:ascii="Arial" w:cs="Arial" w:eastAsia="Arial" w:hAnsi="Arial"/>
                <w:sz w:val="14"/>
                <w:szCs w:val="14"/>
                <w:b w:val="1"/>
                <w:bCs w:val="1"/>
                <w:color w:val="auto"/>
              </w:rPr>
              <w:t>June 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14"/>
              <w:spacing w:after="0" w:line="160" w:lineRule="exact"/>
              <w:rPr>
                <w:sz w:val="20"/>
                <w:szCs w:val="20"/>
                <w:color w:val="auto"/>
              </w:rPr>
            </w:pPr>
            <w:r>
              <w:rPr>
                <w:rFonts w:ascii="Arial" w:cs="Arial" w:eastAsia="Arial" w:hAnsi="Arial"/>
                <w:sz w:val="14"/>
                <w:szCs w:val="14"/>
                <w:b w:val="1"/>
                <w:bCs w:val="1"/>
                <w:color w:val="auto"/>
                <w:w w:val="92"/>
              </w:rPr>
              <w:t>June 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available to common stockholders - basic and diluted</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109,380</w:t>
            </w: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102,493</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214,150</w:t>
            </w:r>
          </w:p>
        </w:tc>
        <w:tc>
          <w:tcPr>
            <w:tcW w:w="2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193,457</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8"/>
                <w:szCs w:val="18"/>
                <w:color w:val="auto"/>
              </w:rPr>
              <w:t>Basic weighted average number of shares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35,199,067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35,915,102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35,295,346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35,957,999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basic</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35,492,423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36,296,277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35,601,335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36,368,297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 diluted</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-1765300</wp:posOffset>
            </wp:positionV>
            <wp:extent cx="7747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-1765300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-1765300</wp:posOffset>
            </wp:positionV>
            <wp:extent cx="857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-1765300</wp:posOffset>
            </wp:positionV>
            <wp:extent cx="857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-642620</wp:posOffset>
            </wp:positionV>
            <wp:extent cx="284607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179705"/>
                    </a:xfrm>
                    <a:prstGeom prst="rect">
                      <a:avLst/>
                    </a:prstGeom>
                    <a:noFill/>
                  </pic:spPr>
                </pic:pic>
              </a:graphicData>
            </a:graphic>
          </wp:anchor>
        </w:drawing>
      </w:r>
    </w:p>
    <w:p>
      <w:pPr>
        <w:spacing w:after="0" w:line="18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denominators used in calculating diluted earnings per share for common stock for the fiscal quarters and two fiscal quarters each ended June 18, 2023 and June 19, 2022 do not include the following because the effect of including these shares would be anti-dilutive or because the performance targets for these awards had not yet been met: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Fiscal Quarter Ended</w:t>
            </w:r>
          </w:p>
        </w:tc>
        <w:tc>
          <w:tcPr>
            <w:tcW w:w="2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Two Fiscal Quarters Ended</w:t>
            </w:r>
          </w:p>
        </w:tc>
        <w:tc>
          <w:tcPr>
            <w:tcW w:w="140" w:type="dxa"/>
            <w:vAlign w:val="bottom"/>
          </w:tcPr>
          <w:p>
            <w:pPr>
              <w:spacing w:after="0"/>
              <w:rPr>
                <w:sz w:val="16"/>
                <w:szCs w:val="16"/>
                <w:color w:val="auto"/>
              </w:rPr>
            </w:pPr>
          </w:p>
        </w:tc>
      </w:tr>
      <w:tr>
        <w:trPr>
          <w:trHeight w:val="160"/>
        </w:trPr>
        <w:tc>
          <w:tcPr>
            <w:tcW w:w="4980" w:type="dxa"/>
            <w:vAlign w:val="bottom"/>
          </w:tcPr>
          <w:p>
            <w:pPr>
              <w:spacing w:after="0"/>
              <w:rPr>
                <w:sz w:val="13"/>
                <w:szCs w:val="13"/>
                <w:color w:val="auto"/>
              </w:rPr>
            </w:pPr>
          </w:p>
        </w:tc>
        <w:tc>
          <w:tcPr>
            <w:tcW w:w="1220" w:type="dxa"/>
            <w:vAlign w:val="bottom"/>
          </w:tcPr>
          <w:p>
            <w:pPr>
              <w:jc w:val="right"/>
              <w:ind w:right="279"/>
              <w:spacing w:after="0" w:line="160" w:lineRule="exact"/>
              <w:rPr>
                <w:sz w:val="20"/>
                <w:szCs w:val="20"/>
                <w:color w:val="auto"/>
              </w:rPr>
            </w:pPr>
            <w:r>
              <w:rPr>
                <w:rFonts w:ascii="Arial" w:cs="Arial" w:eastAsia="Arial" w:hAnsi="Arial"/>
                <w:sz w:val="14"/>
                <w:szCs w:val="14"/>
                <w:b w:val="1"/>
                <w:bCs w:val="1"/>
                <w:color w:val="auto"/>
              </w:rPr>
              <w:t>June 18,</w:t>
            </w:r>
          </w:p>
        </w:tc>
        <w:tc>
          <w:tcPr>
            <w:tcW w:w="280" w:type="dxa"/>
            <w:vAlign w:val="bottom"/>
          </w:tcPr>
          <w:p>
            <w:pPr>
              <w:spacing w:after="0"/>
              <w:rPr>
                <w:sz w:val="13"/>
                <w:szCs w:val="13"/>
                <w:color w:val="auto"/>
              </w:rPr>
            </w:pPr>
          </w:p>
        </w:tc>
        <w:tc>
          <w:tcPr>
            <w:tcW w:w="1220" w:type="dxa"/>
            <w:vAlign w:val="bottom"/>
          </w:tcPr>
          <w:p>
            <w:pPr>
              <w:jc w:val="right"/>
              <w:ind w:right="288"/>
              <w:spacing w:after="0" w:line="160" w:lineRule="exact"/>
              <w:rPr>
                <w:sz w:val="20"/>
                <w:szCs w:val="20"/>
                <w:color w:val="auto"/>
              </w:rPr>
            </w:pPr>
            <w:r>
              <w:rPr>
                <w:rFonts w:ascii="Arial" w:cs="Arial" w:eastAsia="Arial" w:hAnsi="Arial"/>
                <w:sz w:val="14"/>
                <w:szCs w:val="14"/>
                <w:b w:val="1"/>
                <w:bCs w:val="1"/>
                <w:color w:val="auto"/>
              </w:rPr>
              <w:t>June 19,</w:t>
            </w:r>
          </w:p>
        </w:tc>
        <w:tc>
          <w:tcPr>
            <w:tcW w:w="280" w:type="dxa"/>
            <w:vAlign w:val="bottom"/>
          </w:tcPr>
          <w:p>
            <w:pPr>
              <w:spacing w:after="0"/>
              <w:rPr>
                <w:sz w:val="13"/>
                <w:szCs w:val="13"/>
                <w:color w:val="auto"/>
              </w:rPr>
            </w:pPr>
          </w:p>
        </w:tc>
        <w:tc>
          <w:tcPr>
            <w:tcW w:w="140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June 18,</w:t>
            </w:r>
          </w:p>
        </w:tc>
        <w:tc>
          <w:tcPr>
            <w:tcW w:w="260" w:type="dxa"/>
            <w:vAlign w:val="bottom"/>
          </w:tcPr>
          <w:p>
            <w:pPr>
              <w:spacing w:after="0"/>
              <w:rPr>
                <w:sz w:val="13"/>
                <w:szCs w:val="13"/>
                <w:color w:val="auto"/>
              </w:rPr>
            </w:pPr>
          </w:p>
        </w:tc>
        <w:tc>
          <w:tcPr>
            <w:tcW w:w="146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June 19,</w:t>
            </w:r>
          </w:p>
        </w:tc>
        <w:tc>
          <w:tcPr>
            <w:tcW w:w="140" w:type="dxa"/>
            <w:vAlign w:val="bottom"/>
          </w:tcPr>
          <w:p>
            <w:pPr>
              <w:spacing w:after="0"/>
              <w:rPr>
                <w:sz w:val="13"/>
                <w:szCs w:val="13"/>
                <w:color w:val="auto"/>
              </w:rPr>
            </w:pPr>
          </w:p>
        </w:tc>
      </w:tr>
      <w:tr>
        <w:trPr>
          <w:trHeight w:val="185"/>
        </w:trPr>
        <w:tc>
          <w:tcPr>
            <w:tcW w:w="4980" w:type="dxa"/>
            <w:vAlign w:val="bottom"/>
          </w:tcPr>
          <w:p>
            <w:pPr>
              <w:spacing w:after="0"/>
              <w:rPr>
                <w:sz w:val="16"/>
                <w:szCs w:val="16"/>
                <w:color w:val="auto"/>
              </w:rPr>
            </w:pPr>
          </w:p>
        </w:tc>
        <w:tc>
          <w:tcPr>
            <w:tcW w:w="12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72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shares underlying stock-based awards</w:t>
            </w: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9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220" w:type="dxa"/>
            <w:vAlign w:val="bottom"/>
          </w:tcPr>
          <w:p>
            <w:pPr>
              <w:jc w:val="right"/>
              <w:spacing w:after="0"/>
              <w:rPr>
                <w:sz w:val="20"/>
                <w:szCs w:val="20"/>
                <w:color w:val="auto"/>
              </w:rPr>
            </w:pPr>
            <w:r>
              <w:rPr>
                <w:rFonts w:ascii="Arial" w:cs="Arial" w:eastAsia="Arial" w:hAnsi="Arial"/>
                <w:sz w:val="18"/>
                <w:szCs w:val="18"/>
                <w:color w:val="auto"/>
              </w:rPr>
              <w:t>227,276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120,540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229,156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120,540</w:t>
            </w: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awards and units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67,677</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36,378</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Performance condition not met</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awards and units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42,710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42,710</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second quarter of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2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2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26, 2023</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35,330,133</w:t>
            </w: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(4,148,455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109,380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($1.21 per share)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(42,645 )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14,078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(4,596 )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(1,515 )</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(292,030 )</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(6,824 )</w:t>
            </w:r>
          </w:p>
        </w:tc>
        <w:tc>
          <w:tcPr>
            <w:tcW w:w="2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(84,800 )</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Arial" w:cs="Arial" w:eastAsia="Arial" w:hAnsi="Arial"/>
                <w:sz w:val="18"/>
                <w:szCs w:val="18"/>
                <w:color w:val="auto"/>
              </w:rPr>
              <w:t>Balance at June 18, 2023</w:t>
            </w:r>
          </w:p>
        </w:tc>
        <w:tc>
          <w:tcPr>
            <w:tcW w:w="1180" w:type="dxa"/>
            <w:vAlign w:val="bottom"/>
          </w:tcPr>
          <w:p>
            <w:pPr>
              <w:jc w:val="right"/>
              <w:spacing w:after="0"/>
              <w:rPr>
                <w:sz w:val="20"/>
                <w:szCs w:val="20"/>
                <w:color w:val="auto"/>
              </w:rPr>
            </w:pPr>
            <w:r>
              <w:rPr>
                <w:rFonts w:ascii="Arial" w:cs="Arial" w:eastAsia="Arial" w:hAnsi="Arial"/>
                <w:sz w:val="18"/>
                <w:szCs w:val="18"/>
                <w:color w:val="auto"/>
              </w:rPr>
              <w:t>35,057,585</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(4,166,520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(3,767 )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8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-539115</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-539115</wp:posOffset>
            </wp:positionV>
            <wp:extent cx="857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-539115</wp:posOffset>
            </wp:positionV>
            <wp:extent cx="7683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-539115</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two fiscal quarters of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2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2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2023</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35,419,718</w:t>
            </w: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(4,194,418</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($2.42 per share)</w:t>
            </w: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(85,650 )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8"/>
                <w:szCs w:val="18"/>
                <w:color w:val="auto"/>
              </w:rPr>
              <w:t>28,573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(9,669 )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(3,068 )</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(392,545 )</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(21,371 )</w:t>
            </w:r>
          </w:p>
        </w:tc>
        <w:tc>
          <w:tcPr>
            <w:tcW w:w="2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(100,602 )</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17,065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Balance at June 18, 2023</w:t>
            </w:r>
          </w:p>
        </w:tc>
        <w:tc>
          <w:tcPr>
            <w:tcW w:w="1180" w:type="dxa"/>
            <w:vAlign w:val="bottom"/>
          </w:tcPr>
          <w:p>
            <w:pPr>
              <w:jc w:val="right"/>
              <w:spacing w:after="0"/>
              <w:rPr>
                <w:sz w:val="20"/>
                <w:szCs w:val="20"/>
                <w:color w:val="auto"/>
              </w:rPr>
            </w:pPr>
            <w:r>
              <w:rPr>
                <w:rFonts w:ascii="Arial" w:cs="Arial" w:eastAsia="Arial" w:hAnsi="Arial"/>
                <w:sz w:val="18"/>
                <w:szCs w:val="18"/>
                <w:color w:val="auto"/>
              </w:rPr>
              <w:t>35,057,585</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(4,166,520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(3,767 )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-187960</wp:posOffset>
            </wp:positionV>
            <wp:extent cx="857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80" w:firstLine="255"/>
        <w:spacing w:after="0" w:line="277" w:lineRule="auto"/>
        <w:rPr>
          <w:sz w:val="20"/>
          <w:szCs w:val="20"/>
          <w:color w:val="auto"/>
        </w:rPr>
      </w:pPr>
      <w:r>
        <w:rPr>
          <w:rFonts w:ascii="Arial" w:cs="Arial" w:eastAsia="Arial" w:hAnsi="Arial"/>
          <w:sz w:val="18"/>
          <w:szCs w:val="18"/>
          <w:color w:val="auto"/>
        </w:rPr>
        <w:t>Subsequent to the end of the second quarter of 2023, on July 20, 2023, the Company’s Board of Directors declared a $1.21 per share quarterly dividend on its outstanding common stock for shareholders of record as of September 15, 2023 to be paid on September 29, 2023.</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second quarter of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24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40" w:type="dxa"/>
            <w:vAlign w:val="bottom"/>
            <w:gridSpan w:val="2"/>
          </w:tcPr>
          <w:p>
            <w:pPr>
              <w:jc w:val="right"/>
              <w:ind w:right="60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27,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36,037,373</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3,545</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(4,200,341</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102,493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($1.10 per share)</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(39,603 )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13,866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(3,950 )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(1,606 )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(148,248 )</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(7,083 )</w:t>
            </w:r>
          </w:p>
        </w:tc>
        <w:tc>
          <w:tcPr>
            <w:tcW w:w="20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(42,916 )</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(1,684 )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Balance at June 19, 2022</w:t>
            </w:r>
          </w:p>
        </w:tc>
        <w:tc>
          <w:tcPr>
            <w:tcW w:w="1180" w:type="dxa"/>
            <w:vAlign w:val="bottom"/>
          </w:tcPr>
          <w:p>
            <w:pPr>
              <w:jc w:val="right"/>
              <w:spacing w:after="0"/>
              <w:rPr>
                <w:sz w:val="20"/>
                <w:szCs w:val="20"/>
                <w:color w:val="auto"/>
              </w:rPr>
            </w:pPr>
            <w:r>
              <w:rPr>
                <w:rFonts w:ascii="Arial" w:cs="Arial" w:eastAsia="Arial" w:hAnsi="Arial"/>
                <w:sz w:val="18"/>
                <w:szCs w:val="18"/>
                <w:color w:val="auto"/>
              </w:rPr>
              <w:t>35,899,646</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(4,180,367 )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(3,890 )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-187960</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7683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changes in stockholders’ deficit for the two fiscal quarters of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5"/>
                <w:szCs w:val="15"/>
                <w:color w:val="auto"/>
              </w:rPr>
            </w:pPr>
          </w:p>
        </w:tc>
        <w:tc>
          <w:tcPr>
            <w:tcW w:w="124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40" w:type="dxa"/>
            <w:vAlign w:val="bottom"/>
            <w:gridSpan w:val="2"/>
          </w:tcPr>
          <w:p>
            <w:pPr>
              <w:jc w:val="right"/>
              <w:ind w:right="60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36,138,273</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(4,207,917</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193,457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declared on common stock and equivalents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($2.20 per share)</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(79,368 )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14,206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payments for restricted stock upon vesting</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(5,825 )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(2,395 )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Purchases of common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(249,058 )</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(11,120 )</w:t>
            </w:r>
          </w:p>
        </w:tc>
        <w:tc>
          <w:tcPr>
            <w:tcW w:w="20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(86,539 )</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Non-cash equity-based compensation expense</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(1,070 )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Balance at June 19, 2022</w:t>
            </w:r>
          </w:p>
        </w:tc>
        <w:tc>
          <w:tcPr>
            <w:tcW w:w="1180" w:type="dxa"/>
            <w:vAlign w:val="bottom"/>
          </w:tcPr>
          <w:p>
            <w:pPr>
              <w:jc w:val="right"/>
              <w:spacing w:after="0"/>
              <w:rPr>
                <w:sz w:val="20"/>
                <w:szCs w:val="20"/>
                <w:color w:val="auto"/>
              </w:rPr>
            </w:pPr>
            <w:r>
              <w:rPr>
                <w:rFonts w:ascii="Arial" w:cs="Arial" w:eastAsia="Arial" w:hAnsi="Arial"/>
                <w:sz w:val="18"/>
                <w:szCs w:val="18"/>
                <w:color w:val="auto"/>
              </w:rPr>
              <w:t>35,899,646</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3,589</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(4,180,367 )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(3,890 )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4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-548005</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-548005</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-548005</wp:posOffset>
            </wp:positionV>
            <wp:extent cx="7683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-548005</wp:posOffset>
            </wp:positionV>
            <wp:extent cx="857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-548005</wp:posOffset>
            </wp:positionV>
            <wp:extent cx="857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5. Fair Value Measurements</w:t>
      </w:r>
    </w:p>
    <w:p>
      <w:pPr>
        <w:spacing w:after="0" w:line="18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Cash Equivalents and Marketable Securities</w:t>
      </w:r>
    </w:p>
    <w:p>
      <w:pPr>
        <w:spacing w:after="0" w:line="225"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The fair values of the Company’s cash equivalents and investments in marketable securities are based on quoted prices in active markets for identical assets.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Fair Value of Investments</w:t>
      </w:r>
    </w:p>
    <w:p>
      <w:pPr>
        <w:spacing w:after="0" w:line="198" w:lineRule="exact"/>
        <w:rPr>
          <w:sz w:val="20"/>
          <w:szCs w:val="20"/>
          <w:color w:val="auto"/>
        </w:rPr>
      </w:pPr>
    </w:p>
    <w:p>
      <w:pPr>
        <w:ind w:right="440" w:firstLine="255"/>
        <w:spacing w:after="0" w:line="301" w:lineRule="auto"/>
        <w:rPr>
          <w:sz w:val="20"/>
          <w:szCs w:val="20"/>
          <w:color w:val="auto"/>
        </w:rPr>
      </w:pPr>
      <w:r>
        <w:rPr>
          <w:rFonts w:ascii="Arial" w:cs="Arial" w:eastAsia="Arial" w:hAnsi="Arial"/>
          <w:sz w:val="16"/>
          <w:szCs w:val="16"/>
          <w:color w:val="auto"/>
        </w:rPr>
        <w:t>The Company holds a non-controlling interest in DPC Dash Ltd (“DPC Dash”), the Company’s master franchisee in China that owns and operates Domino’s Pizza stores in that market. Prior to March 28, 2023, the Company’s investment in DPC Dash’s senior ordinary shares, which were not in-substance common stock, represented an equity investment without a readily determinable fair value and was recorded at cost with adjustments for observable changes in prices resulting from orderly transactions for the identical or a similar investment of the same issuer or impairments.</w:t>
      </w:r>
    </w:p>
    <w:p>
      <w:pPr>
        <w:spacing w:after="0" w:line="15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March 28, 2023, DPC Dash completed its initial public offering on the Hong Kong Exchange (HK: 1405), at which point the Company’s 18,101,019 DPC Dash senior ordinary shares automatically converted to DPC Dash ordinary shares pursuant to the terms of the investment. The Company is required to hold the DPC Dash ordinary shares for at least 360 days from the date of the initial public offering. Beginning in the second quarter of 2023, the Company accounts for its investment in DPC Dash as a trading security and records it at fair value at the end of each reporting period, with gains and losses recorded in other income or expense in its condensed consolidated statements of income.</w:t>
      </w:r>
    </w:p>
    <w:p>
      <w:pPr>
        <w:spacing w:after="0" w:line="188" w:lineRule="exact"/>
        <w:rPr>
          <w:sz w:val="20"/>
          <w:szCs w:val="20"/>
          <w:color w:val="auto"/>
        </w:rPr>
      </w:pPr>
    </w:p>
    <w:p>
      <w:pPr>
        <w:ind w:right="80" w:firstLine="300"/>
        <w:spacing w:after="0" w:line="268" w:lineRule="auto"/>
        <w:rPr>
          <w:sz w:val="20"/>
          <w:szCs w:val="20"/>
          <w:color w:val="auto"/>
        </w:rPr>
      </w:pPr>
      <w:r>
        <w:rPr>
          <w:rFonts w:ascii="Arial" w:cs="Arial" w:eastAsia="Arial" w:hAnsi="Arial"/>
          <w:sz w:val="17"/>
          <w:szCs w:val="17"/>
          <w:color w:val="auto"/>
        </w:rPr>
        <w:t>As of June 18, 2023, the fair value of the Company’s investment in DPC Dash is based on the active exchange quoted price for the equity security of HK$47.90 per share. The Company recorded an adjustment to the carrying amount of its investment in DPC Dash of $15.0 million in the second quarter of 2023, with the loss recorded in other expense in its condensed consolidated statements of income. As of January 1, 2023, the fair value of the Company’s investment in DPC Dash was not readily determinable and was categorized in Level 3 of the fair value hierarchy. The Company did not record any adjustments to the carrying amount of its investment in the first quarter of 2023 or the two fiscal quarters of 2022. The Company transferred its investment from Level 3 to Level 1 on March 28, 2023, concurrent with DPC Dash’s initial public offering.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color w:val="auto"/>
        </w:rPr>
        <w:t>The following tables summarize the carrying amounts and fair values of certain assets at June 18, 2023 and January 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At June 18, 2023</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Fair Value Estimated Using</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0"/>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56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0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164"/>
              <w:spacing w:after="0" w:line="160" w:lineRule="exact"/>
              <w:rPr>
                <w:sz w:val="20"/>
                <w:szCs w:val="20"/>
                <w:color w:val="auto"/>
              </w:rPr>
            </w:pPr>
            <w:r>
              <w:rPr>
                <w:rFonts w:ascii="Arial" w:cs="Arial" w:eastAsia="Arial" w:hAnsi="Arial"/>
                <w:sz w:val="14"/>
                <w:szCs w:val="14"/>
                <w:b w:val="1"/>
                <w:bCs w:val="1"/>
                <w:color w:val="auto"/>
                <w:w w:val="96"/>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395"/>
              <w:spacing w:after="0" w:line="160"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r>
      <w:tr>
        <w:trPr>
          <w:trHeight w:val="185"/>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44"/>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r>
      <w:tr>
        <w:trPr>
          <w:trHeight w:val="23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7"/>
              </w:rPr>
              <w:t>32,110</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tcBorders>
              <w:top w:val="single" w:sz="8" w:color="auto"/>
            </w:tcBorders>
            <w:gridSpan w:val="2"/>
            <w:shd w:val="clear" w:color="auto" w:fill="CFF0FC"/>
          </w:tcPr>
          <w:p>
            <w:pPr>
              <w:jc w:val="right"/>
              <w:ind w:right="90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auto"/>
                <w:w w:val="89"/>
              </w:rPr>
              <w:t>119,501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119,501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0"/>
              </w:rPr>
              <w:t>14,742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14,742</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auto"/>
                <w:w w:val="89"/>
              </w:rPr>
              <w:t>118,505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9"/>
              </w:rPr>
              <w:t>110,876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110,876</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418"/>
        </w:trPr>
        <w:tc>
          <w:tcPr>
            <w:tcW w:w="4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At January 1, 2023</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Fair Value Estimated Using</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0"/>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560"/>
              <w:spacing w:after="0" w:line="160"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264"/>
              <w:spacing w:after="0" w:line="160" w:lineRule="exact"/>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r>
      <w:tr>
        <w:trPr>
          <w:trHeight w:val="185"/>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264"/>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7"/>
              </w:rPr>
              <w:t>23,779</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23,779</w:t>
            </w:r>
          </w:p>
        </w:tc>
        <w:tc>
          <w:tcPr>
            <w:tcW w:w="300" w:type="dxa"/>
            <w:vAlign w:val="bottom"/>
            <w:gridSpan w:val="2"/>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4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w w:val="86"/>
              </w:rPr>
              <w:t>117,212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117,212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marketable securities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7"/>
              </w:rPr>
              <w:t>13,395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13,395</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Advertising fund cash equivalents, restricted</w:t>
            </w:r>
          </w:p>
        </w:tc>
        <w:tc>
          <w:tcPr>
            <w:tcW w:w="26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auto"/>
                <w:w w:val="89"/>
              </w:rPr>
              <w:t>124,496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124,496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DPC Dash</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9"/>
              </w:rPr>
              <w:t>125,840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125,840</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Fair Value of Debt</w:t>
      </w:r>
    </w:p>
    <w:p>
      <w:pPr>
        <w:spacing w:after="0" w:line="225"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Management estimated the approximate fair values of the Company’s 2015, 2017, 2018, 2019 and 2021 notes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18, 2023</w:t>
            </w:r>
          </w:p>
        </w:tc>
        <w:tc>
          <w:tcPr>
            <w:tcW w:w="10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1, 2023</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Principal Amount</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Principal Amount</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4"/>
                <w:szCs w:val="14"/>
                <w:color w:val="auto"/>
              </w:rPr>
            </w:pPr>
          </w:p>
        </w:tc>
      </w:tr>
      <w:tr>
        <w:trPr>
          <w:trHeight w:val="237"/>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2015 Ten-Year Notes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748,000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715,088</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752,000</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717,408</w:t>
            </w:r>
          </w:p>
        </w:tc>
        <w:tc>
          <w:tcPr>
            <w:tcW w:w="140" w:type="dxa"/>
            <w:vAlign w:val="bottom"/>
            <w:shd w:val="clear" w:color="auto" w:fill="CFF0FC"/>
          </w:tcPr>
          <w:p>
            <w:pPr>
              <w:spacing w:after="0"/>
              <w:rPr>
                <w:sz w:val="20"/>
                <w:szCs w:val="20"/>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2017 Ten-Year Notes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947,500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878,333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952,500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875,348</w:t>
            </w:r>
          </w:p>
        </w:tc>
        <w:tc>
          <w:tcPr>
            <w:tcW w:w="140" w:type="dxa"/>
            <w:vAlign w:val="bottom"/>
          </w:tcPr>
          <w:p>
            <w:pPr>
              <w:spacing w:after="0"/>
              <w:rPr>
                <w:sz w:val="20"/>
                <w:szCs w:val="20"/>
                <w:color w:val="auto"/>
              </w:rPr>
            </w:pPr>
          </w:p>
        </w:tc>
      </w:tr>
      <w:tr>
        <w:trPr>
          <w:trHeight w:val="249"/>
        </w:trPr>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2018</w:t>
            </w:r>
          </w:p>
        </w:tc>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7.5-Year Notes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405,875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384,770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408,000</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385,968</w:t>
            </w:r>
          </w:p>
        </w:tc>
        <w:tc>
          <w:tcPr>
            <w:tcW w:w="140" w:type="dxa"/>
            <w:vAlign w:val="bottom"/>
            <w:shd w:val="clear" w:color="auto" w:fill="CFF0FC"/>
          </w:tcPr>
          <w:p>
            <w:pPr>
              <w:spacing w:after="0"/>
              <w:rPr>
                <w:sz w:val="21"/>
                <w:szCs w:val="21"/>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2018</w:t>
            </w:r>
          </w:p>
        </w:tc>
        <w:tc>
          <w:tcPr>
            <w:tcW w:w="4380" w:type="dxa"/>
            <w:vAlign w:val="bottom"/>
          </w:tcPr>
          <w:p>
            <w:pPr>
              <w:ind w:left="20"/>
              <w:spacing w:after="0"/>
              <w:rPr>
                <w:sz w:val="20"/>
                <w:szCs w:val="20"/>
                <w:color w:val="auto"/>
              </w:rPr>
            </w:pPr>
            <w:r>
              <w:rPr>
                <w:rFonts w:ascii="Arial" w:cs="Arial" w:eastAsia="Arial" w:hAnsi="Arial"/>
                <w:sz w:val="18"/>
                <w:szCs w:val="18"/>
                <w:color w:val="auto"/>
              </w:rPr>
              <w:t>9.25-Year Notes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382,000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357,170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384,000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355,584</w:t>
            </w:r>
          </w:p>
        </w:tc>
        <w:tc>
          <w:tcPr>
            <w:tcW w:w="140" w:type="dxa"/>
            <w:vAlign w:val="bottom"/>
          </w:tcPr>
          <w:p>
            <w:pPr>
              <w:spacing w:after="0"/>
              <w:rPr>
                <w:sz w:val="20"/>
                <w:szCs w:val="20"/>
                <w:color w:val="auto"/>
              </w:rPr>
            </w:pPr>
          </w:p>
        </w:tc>
      </w:tr>
      <w:tr>
        <w:trPr>
          <w:trHeight w:val="249"/>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2019 Ten-Year Notes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653,063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572,736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656,438</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564,536</w:t>
            </w:r>
          </w:p>
        </w:tc>
        <w:tc>
          <w:tcPr>
            <w:tcW w:w="140" w:type="dxa"/>
            <w:vAlign w:val="bottom"/>
            <w:shd w:val="clear" w:color="auto" w:fill="CFF0FC"/>
          </w:tcPr>
          <w:p>
            <w:pPr>
              <w:spacing w:after="0"/>
              <w:rPr>
                <w:sz w:val="21"/>
                <w:szCs w:val="21"/>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4380" w:type="dxa"/>
            <w:vAlign w:val="bottom"/>
          </w:tcPr>
          <w:p>
            <w:pPr>
              <w:ind w:left="20"/>
              <w:spacing w:after="0"/>
              <w:rPr>
                <w:sz w:val="20"/>
                <w:szCs w:val="20"/>
                <w:color w:val="auto"/>
              </w:rPr>
            </w:pPr>
            <w:r>
              <w:rPr>
                <w:rFonts w:ascii="Arial" w:cs="Arial" w:eastAsia="Arial" w:hAnsi="Arial"/>
                <w:sz w:val="18"/>
                <w:szCs w:val="18"/>
                <w:color w:val="auto"/>
              </w:rPr>
              <w:t>7.5-Year Notes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833,000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706,384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837,250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695,755</w:t>
            </w:r>
          </w:p>
        </w:tc>
        <w:tc>
          <w:tcPr>
            <w:tcW w:w="140" w:type="dxa"/>
            <w:vAlign w:val="bottom"/>
          </w:tcPr>
          <w:p>
            <w:pPr>
              <w:spacing w:after="0"/>
              <w:rPr>
                <w:sz w:val="20"/>
                <w:szCs w:val="20"/>
                <w:color w:val="auto"/>
              </w:rPr>
            </w:pPr>
          </w:p>
        </w:tc>
      </w:tr>
      <w:tr>
        <w:trPr>
          <w:trHeight w:val="249"/>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2021 Ten-Year Notes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980,000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803,600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985,000</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792,925</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540" w:right="1980" w:hanging="5274"/>
        <w:spacing w:after="0" w:line="527" w:lineRule="auto"/>
        <w:rPr>
          <w:sz w:val="20"/>
          <w:szCs w:val="20"/>
          <w:color w:val="auto"/>
        </w:rPr>
      </w:pPr>
      <w:r>
        <w:rPr>
          <w:rFonts w:ascii="Arial" w:cs="Arial" w:eastAsia="Arial" w:hAnsi="Arial"/>
          <w:sz w:val="18"/>
          <w:szCs w:val="18"/>
          <w:color w:val="auto"/>
        </w:rPr>
        <w:t>The Company did not have any outstanding borrowings under its variable funding notes at June 18, 2023 or January 1, 2023.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right"/>
        <w:ind w:left="300" w:right="9540" w:hanging="292"/>
        <w:spacing w:after="0" w:line="469" w:lineRule="auto"/>
        <w:tabs>
          <w:tab w:leader="none" w:pos="192"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Revenue Disclosures </w:t>
      </w:r>
      <w:r>
        <w:rPr>
          <w:rFonts w:ascii="Arial" w:cs="Arial" w:eastAsia="Arial" w:hAnsi="Arial"/>
          <w:sz w:val="15"/>
          <w:szCs w:val="15"/>
          <w:u w:val="single" w:color="auto"/>
          <w:color w:val="auto"/>
        </w:rPr>
        <w:t>Contract Liabilities</w:t>
      </w:r>
    </w:p>
    <w:p>
      <w:pPr>
        <w:spacing w:after="0" w:line="1" w:lineRule="exact"/>
        <w:rPr>
          <w:sz w:val="20"/>
          <w:szCs w:val="20"/>
          <w:color w:val="auto"/>
        </w:rPr>
      </w:pPr>
    </w:p>
    <w:p>
      <w:pPr>
        <w:ind w:left="300" w:right="160" w:firstLine="282"/>
        <w:spacing w:after="0" w:line="259" w:lineRule="auto"/>
        <w:rPr>
          <w:sz w:val="20"/>
          <w:szCs w:val="20"/>
          <w:color w:val="auto"/>
        </w:rPr>
      </w:pPr>
      <w:r>
        <w:rPr>
          <w:rFonts w:ascii="Arial" w:cs="Arial" w:eastAsia="Arial" w:hAnsi="Arial"/>
          <w:sz w:val="18"/>
          <w:szCs w:val="18"/>
          <w:color w:val="auto"/>
        </w:rPr>
        <w:t>Contract liabilities primarily consist of deferred franchise fees and deferred development fees. Deferred franchise fees and deferred development fees of $5.5 million and $5.5 million were included in current other accrued liabilities as of June 18, 2023 and January 1, 2023, respectively. Deferred franchise fees and deferred development fees of $21.4 million and $22.7 million were included in long-term other accrued liabilities as of June 18, 2023 and January 1, 2023, respectively.</w:t>
      </w:r>
    </w:p>
    <w:p>
      <w:pPr>
        <w:spacing w:after="0" w:line="92" w:lineRule="exact"/>
        <w:rPr>
          <w:sz w:val="20"/>
          <w:szCs w:val="20"/>
          <w:color w:val="auto"/>
        </w:rPr>
      </w:pPr>
    </w:p>
    <w:p>
      <w:pPr>
        <w:ind w:left="300" w:right="300" w:firstLine="282"/>
        <w:spacing w:after="0" w:line="277" w:lineRule="auto"/>
        <w:rPr>
          <w:sz w:val="20"/>
          <w:szCs w:val="20"/>
          <w:color w:val="auto"/>
        </w:rPr>
      </w:pPr>
      <w:r>
        <w:rPr>
          <w:rFonts w:ascii="Arial" w:cs="Arial" w:eastAsia="Arial" w:hAnsi="Arial"/>
          <w:sz w:val="18"/>
          <w:szCs w:val="18"/>
          <w:color w:val="auto"/>
        </w:rPr>
        <w:t>Changes in deferred franchise fees and deferred development fees for the two fiscal quarters of 2023 and the two fiscal quarters of 2022 were as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Two Fiscal Quarters Ended</w:t>
            </w:r>
          </w:p>
        </w:tc>
      </w:tr>
      <w:tr>
        <w:trPr>
          <w:trHeight w:val="160"/>
        </w:trPr>
        <w:tc>
          <w:tcPr>
            <w:tcW w:w="68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760"/>
              <w:spacing w:after="0" w:line="160" w:lineRule="exact"/>
              <w:rPr>
                <w:sz w:val="20"/>
                <w:szCs w:val="20"/>
                <w:color w:val="auto"/>
              </w:rPr>
            </w:pPr>
            <w:r>
              <w:rPr>
                <w:rFonts w:ascii="Arial" w:cs="Arial" w:eastAsia="Arial" w:hAnsi="Arial"/>
                <w:sz w:val="14"/>
                <w:szCs w:val="14"/>
                <w:b w:val="1"/>
                <w:bCs w:val="1"/>
                <w:color w:val="auto"/>
              </w:rPr>
              <w:t>June 18,</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76"/>
              <w:spacing w:after="0" w:line="160" w:lineRule="exact"/>
              <w:rPr>
                <w:sz w:val="20"/>
                <w:szCs w:val="20"/>
                <w:color w:val="auto"/>
              </w:rPr>
            </w:pPr>
            <w:r>
              <w:rPr>
                <w:rFonts w:ascii="Arial" w:cs="Arial" w:eastAsia="Arial" w:hAnsi="Arial"/>
                <w:sz w:val="14"/>
                <w:szCs w:val="14"/>
                <w:b w:val="1"/>
                <w:bCs w:val="1"/>
                <w:color w:val="auto"/>
              </w:rPr>
              <w:t>June 19,</w:t>
            </w:r>
          </w:p>
        </w:tc>
        <w:tc>
          <w:tcPr>
            <w:tcW w:w="120" w:type="dxa"/>
            <w:vAlign w:val="bottom"/>
          </w:tcPr>
          <w:p>
            <w:pPr>
              <w:spacing w:after="0"/>
              <w:rPr>
                <w:sz w:val="13"/>
                <w:szCs w:val="13"/>
                <w:color w:val="auto"/>
              </w:rPr>
            </w:pPr>
          </w:p>
        </w:tc>
      </w:tr>
      <w:tr>
        <w:trPr>
          <w:trHeight w:val="185"/>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franchise fees and deferred development fees,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shd w:val="clear" w:color="auto" w:fill="CFF0FC"/>
          </w:tcPr>
          <w:p>
            <w:pPr>
              <w:spacing w:after="0"/>
              <w:rPr>
                <w:sz w:val="20"/>
                <w:szCs w:val="20"/>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26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(2,716 )</w:t>
            </w:r>
          </w:p>
        </w:tc>
        <w:tc>
          <w:tcPr>
            <w:tcW w:w="2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(2,855 )</w:t>
            </w:r>
          </w:p>
        </w:tc>
      </w:tr>
      <w:tr>
        <w:trPr>
          <w:trHeight w:val="24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deferrals due to cash received and other</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29,287</w:t>
            </w:r>
          </w:p>
        </w:tc>
        <w:tc>
          <w:tcPr>
            <w:tcW w:w="12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Advertising Fund Assets</w:t>
      </w:r>
    </w:p>
    <w:p>
      <w:pPr>
        <w:spacing w:after="0" w:line="131" w:lineRule="exact"/>
        <w:rPr>
          <w:sz w:val="20"/>
          <w:szCs w:val="20"/>
          <w:color w:val="auto"/>
        </w:rPr>
      </w:pPr>
    </w:p>
    <w:p>
      <w:pPr>
        <w:ind w:left="300" w:right="60" w:firstLine="287"/>
        <w:spacing w:after="0" w:line="263" w:lineRule="auto"/>
        <w:rPr>
          <w:sz w:val="20"/>
          <w:szCs w:val="20"/>
          <w:color w:val="auto"/>
        </w:rPr>
      </w:pPr>
      <w:r>
        <w:rPr>
          <w:rFonts w:ascii="Arial" w:cs="Arial" w:eastAsia="Arial" w:hAnsi="Arial"/>
          <w:sz w:val="18"/>
          <w:szCs w:val="18"/>
          <w:color w:val="auto"/>
        </w:rPr>
        <w:t>As of June 18, 2023, advertising fund assets, restricted of $154.1 million consisted of $139.1 million of cash and cash equivalents, $10.0 million of accounts receivable and $5.0 million of prepaid expenses. As of June 18, 2023, advertising fund cash and cash equivalents included $3.7 million of cash contributed from U.S. Company-owned stores that had not yet been expended.</w:t>
      </w:r>
    </w:p>
    <w:p>
      <w:pPr>
        <w:spacing w:after="0" w:line="89" w:lineRule="exact"/>
        <w:rPr>
          <w:sz w:val="20"/>
          <w:szCs w:val="20"/>
          <w:color w:val="auto"/>
        </w:rPr>
      </w:pPr>
    </w:p>
    <w:p>
      <w:pPr>
        <w:ind w:left="300" w:right="20" w:firstLine="284"/>
        <w:spacing w:after="0" w:line="263" w:lineRule="auto"/>
        <w:rPr>
          <w:sz w:val="20"/>
          <w:szCs w:val="20"/>
          <w:color w:val="auto"/>
        </w:rPr>
      </w:pPr>
      <w:r>
        <w:rPr>
          <w:rFonts w:ascii="Arial" w:cs="Arial" w:eastAsia="Arial" w:hAnsi="Arial"/>
          <w:sz w:val="18"/>
          <w:szCs w:val="18"/>
          <w:color w:val="auto"/>
        </w:rPr>
        <w:t>As of January 1, 2023, advertising fund assets, restricted of $162.7 million consisted of $143.6 million of cash and cash equivalents, $13.1 million of accounts receivable and $6.0 million of prepaid expenses. As of January 1, 2023, advertising fund cash and cash equivalents included $4.8 million of cash contributed from U.S. Company-owned stores that had not yet been expended.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Change in Advertising Fund Contributions and Technology Fees</w:t>
      </w:r>
    </w:p>
    <w:p>
      <w:pPr>
        <w:spacing w:after="0" w:line="225" w:lineRule="exact"/>
        <w:rPr>
          <w:sz w:val="20"/>
          <w:szCs w:val="20"/>
          <w:color w:val="auto"/>
        </w:rPr>
      </w:pPr>
    </w:p>
    <w:p>
      <w:pPr>
        <w:ind w:left="300" w:right="240" w:firstLine="284"/>
        <w:spacing w:after="0" w:line="279" w:lineRule="auto"/>
        <w:rPr>
          <w:sz w:val="20"/>
          <w:szCs w:val="20"/>
          <w:color w:val="auto"/>
        </w:rPr>
      </w:pPr>
      <w:r>
        <w:rPr>
          <w:rFonts w:ascii="Arial" w:cs="Arial" w:eastAsia="Arial" w:hAnsi="Arial"/>
          <w:sz w:val="17"/>
          <w:szCs w:val="17"/>
          <w:color w:val="auto"/>
        </w:rPr>
        <w:t>Beginning in the second quarter of 2023, as of March 27, 2023, Domino's National Advertising Fund Inc., the Company’s consolidated not-for-profit advertising subsidiary, effectuated a temporary reduction of 0.25% to its standard 6.0% advertising contribution, which is anticipated to be in effect for at least one year from the effective date. Concurrently, the Company also increased the U.S. digital per-transaction technology fees that are recognized as the related U.S. franchise retail sales occur by $0.08 to $0.395 for the same time period.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300" w:right="200" w:firstLine="284"/>
        <w:spacing w:after="0" w:line="263" w:lineRule="auto"/>
        <w:rPr>
          <w:sz w:val="20"/>
          <w:szCs w:val="20"/>
          <w:color w:val="auto"/>
        </w:rPr>
      </w:pPr>
      <w:r>
        <w:rPr>
          <w:rFonts w:ascii="Arial" w:cs="Arial" w:eastAsia="Arial" w:hAnsi="Arial"/>
          <w:sz w:val="18"/>
          <w:szCs w:val="18"/>
          <w:color w:val="auto"/>
        </w:rPr>
        <w:t>Subsequent to the end of the second quarter of 2023, the Company entered into a new global agreement with Uber (NYSE:UBER) to allow customers to order Domino’s products through the Uber Eats and Postmates apps with delivery by the Company and its franchisees’ delivery experts. The Company expects the U.S. rollout of this agreement to be enabled by the end of fiscal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7. Leases</w:t>
      </w:r>
    </w:p>
    <w:p>
      <w:pPr>
        <w:spacing w:after="0" w:line="117" w:lineRule="exact"/>
        <w:rPr>
          <w:sz w:val="20"/>
          <w:szCs w:val="20"/>
          <w:color w:val="auto"/>
        </w:rPr>
      </w:pPr>
    </w:p>
    <w:p>
      <w:pPr>
        <w:ind w:right="380" w:firstLine="284"/>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vehicles, equipment and its corporate headquarters with expiration dates through 2041.</w:t>
      </w:r>
    </w:p>
    <w:p>
      <w:pPr>
        <w:spacing w:after="0" w:line="62" w:lineRule="exact"/>
        <w:rPr>
          <w:sz w:val="20"/>
          <w:szCs w:val="20"/>
          <w:color w:val="auto"/>
        </w:rPr>
      </w:pPr>
    </w:p>
    <w:p>
      <w:pPr>
        <w:ind w:right="560" w:firstLine="284"/>
        <w:spacing w:after="0" w:line="277" w:lineRule="auto"/>
        <w:rPr>
          <w:sz w:val="20"/>
          <w:szCs w:val="20"/>
          <w:color w:val="auto"/>
        </w:rPr>
      </w:pPr>
      <w:r>
        <w:rPr>
          <w:rFonts w:ascii="Arial" w:cs="Arial" w:eastAsia="Arial" w:hAnsi="Arial"/>
          <w:sz w:val="18"/>
          <w:szCs w:val="18"/>
          <w:color w:val="auto"/>
        </w:rPr>
        <w:t>The components of operating and finance lease cost for the second quarter and two fiscal quarters of 2023, and the second quarter and two fiscal quarters of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Fiscal Quarter Ended</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Two Fiscal Quarters Ended</w:t>
            </w:r>
          </w:p>
        </w:tc>
        <w:tc>
          <w:tcPr>
            <w:tcW w:w="140" w:type="dxa"/>
            <w:vAlign w:val="bottom"/>
          </w:tcPr>
          <w:p>
            <w:pPr>
              <w:spacing w:after="0"/>
              <w:rPr>
                <w:sz w:val="16"/>
                <w:szCs w:val="16"/>
                <w:color w:val="auto"/>
              </w:rPr>
            </w:pPr>
          </w:p>
        </w:tc>
      </w:tr>
      <w:tr>
        <w:trPr>
          <w:trHeight w:val="160"/>
        </w:trPr>
        <w:tc>
          <w:tcPr>
            <w:tcW w:w="4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97"/>
              <w:spacing w:after="0" w:line="160" w:lineRule="exact"/>
              <w:rPr>
                <w:sz w:val="20"/>
                <w:szCs w:val="20"/>
                <w:color w:val="auto"/>
              </w:rPr>
            </w:pPr>
            <w:r>
              <w:rPr>
                <w:rFonts w:ascii="Arial" w:cs="Arial" w:eastAsia="Arial" w:hAnsi="Arial"/>
                <w:sz w:val="14"/>
                <w:szCs w:val="14"/>
                <w:b w:val="1"/>
                <w:bCs w:val="1"/>
                <w:color w:val="auto"/>
              </w:rPr>
              <w:t>June 18,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76"/>
              <w:spacing w:after="0" w:line="160" w:lineRule="exact"/>
              <w:rPr>
                <w:sz w:val="20"/>
                <w:szCs w:val="20"/>
                <w:color w:val="auto"/>
              </w:rPr>
            </w:pPr>
            <w:r>
              <w:rPr>
                <w:rFonts w:ascii="Arial" w:cs="Arial" w:eastAsia="Arial" w:hAnsi="Arial"/>
                <w:sz w:val="14"/>
                <w:szCs w:val="14"/>
                <w:b w:val="1"/>
                <w:bCs w:val="1"/>
                <w:color w:val="auto"/>
              </w:rPr>
              <w:t>June 19,</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98"/>
              <w:spacing w:after="0" w:line="160" w:lineRule="exact"/>
              <w:rPr>
                <w:sz w:val="20"/>
                <w:szCs w:val="20"/>
                <w:color w:val="auto"/>
              </w:rPr>
            </w:pPr>
            <w:r>
              <w:rPr>
                <w:rFonts w:ascii="Arial" w:cs="Arial" w:eastAsia="Arial" w:hAnsi="Arial"/>
                <w:sz w:val="14"/>
                <w:szCs w:val="14"/>
                <w:b w:val="1"/>
                <w:bCs w:val="1"/>
                <w:color w:val="auto"/>
              </w:rPr>
              <w:t>June 18,</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376"/>
              <w:spacing w:after="0" w:line="160" w:lineRule="exact"/>
              <w:rPr>
                <w:sz w:val="20"/>
                <w:szCs w:val="20"/>
                <w:color w:val="auto"/>
              </w:rPr>
            </w:pPr>
            <w:r>
              <w:rPr>
                <w:rFonts w:ascii="Arial" w:cs="Arial" w:eastAsia="Arial" w:hAnsi="Arial"/>
                <w:sz w:val="14"/>
                <w:szCs w:val="14"/>
                <w:b w:val="1"/>
                <w:bCs w:val="1"/>
                <w:color w:val="auto"/>
              </w:rPr>
              <w:t>June 19,</w:t>
            </w:r>
          </w:p>
        </w:tc>
        <w:tc>
          <w:tcPr>
            <w:tcW w:w="140" w:type="dxa"/>
            <w:vAlign w:val="bottom"/>
          </w:tcPr>
          <w:p>
            <w:pPr>
              <w:spacing w:after="0"/>
              <w:rPr>
                <w:sz w:val="13"/>
                <w:szCs w:val="13"/>
                <w:color w:val="auto"/>
              </w:rPr>
            </w:pPr>
          </w:p>
        </w:tc>
      </w:tr>
      <w:tr>
        <w:trPr>
          <w:trHeight w:val="185"/>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21,064</w:t>
            </w:r>
          </w:p>
        </w:tc>
        <w:tc>
          <w:tcPr>
            <w:tcW w:w="140" w:type="dxa"/>
            <w:vAlign w:val="bottom"/>
            <w:shd w:val="clear" w:color="auto" w:fill="CFF0FC"/>
          </w:tcPr>
          <w:p>
            <w:pPr>
              <w:spacing w:after="0"/>
              <w:rPr>
                <w:sz w:val="20"/>
                <w:szCs w:val="20"/>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14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Pr>
          <w:p>
            <w:pPr>
              <w:spacing w:after="0"/>
              <w:rPr>
                <w:sz w:val="20"/>
                <w:szCs w:val="20"/>
                <w:color w:val="auto"/>
              </w:rPr>
            </w:pPr>
          </w:p>
        </w:tc>
      </w:tr>
      <w:tr>
        <w:trPr>
          <w:trHeight w:val="27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finance lease cost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4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-368300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-351155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-368300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-351155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-368300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-351155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-368300</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40" w:firstLine="284"/>
        <w:spacing w:after="0" w:line="271" w:lineRule="auto"/>
        <w:rPr>
          <w:sz w:val="20"/>
          <w:szCs w:val="20"/>
          <w:color w:val="auto"/>
        </w:rPr>
      </w:pPr>
      <w:r>
        <w:rPr>
          <w:rFonts w:ascii="Arial" w:cs="Arial" w:eastAsia="Arial" w:hAnsi="Arial"/>
          <w:sz w:val="17"/>
          <w:szCs w:val="17"/>
          <w:color w:val="auto"/>
        </w:rPr>
        <w:t>Rent expense totaled $19.7 million and $39.0 million in the second quarter and two fiscal quarters of 2023, respectively. Rent expense totaled $19.0 million and $37.9 million in the second quarter and two fiscal quarters of 2022,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$1.3 million and $2.7 million in the second quarter and two fiscal quarters of 2023, respectively. Rent expense for certain short-term supply chain center tractor and trailer rentals was $1.6 million and $3.8 million in the second quarter and two fiscal quarters of 2022, respectively. Variable rent expense and rent expense for other short-term leases were immaterial in both the second quarter and two fiscal quarters of 2023 and 2022.</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Supplemental balance sheet information related to the Company’s finance leases as of June 18, 2023 and January 1, 2023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18,</w:t>
            </w:r>
          </w:p>
        </w:tc>
        <w:tc>
          <w:tcPr>
            <w:tcW w:w="30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1,</w:t>
            </w:r>
          </w:p>
        </w:tc>
      </w:tr>
      <w:tr>
        <w:trPr>
          <w:trHeight w:val="185"/>
        </w:trPr>
        <w:tc>
          <w:tcPr>
            <w:tcW w:w="7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buildings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83,982</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83,902</w:t>
            </w:r>
          </w:p>
        </w:tc>
        <w:tc>
          <w:tcPr>
            <w:tcW w:w="140" w:type="dxa"/>
            <w:vAlign w:val="bottom"/>
            <w:shd w:val="clear" w:color="auto" w:fill="CFF0FC"/>
          </w:tcPr>
          <w:p>
            <w:pPr>
              <w:spacing w:after="0"/>
              <w:rPr>
                <w:sz w:val="20"/>
                <w:szCs w:val="20"/>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assets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87,933</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85,508</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(21,468 )</w:t>
            </w:r>
          </w:p>
        </w:tc>
        <w:tc>
          <w:tcPr>
            <w:tcW w:w="3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(19,405 )</w:t>
            </w:r>
          </w:p>
        </w:tc>
      </w:tr>
      <w:tr>
        <w:trPr>
          <w:trHeight w:val="276"/>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assets, net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66,465</w:t>
            </w:r>
          </w:p>
        </w:tc>
        <w:tc>
          <w:tcPr>
            <w:tcW w:w="3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7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71,316</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70,886</w:t>
            </w:r>
          </w:p>
        </w:tc>
        <w:tc>
          <w:tcPr>
            <w:tcW w:w="140" w:type="dxa"/>
            <w:vAlign w:val="bottom"/>
          </w:tcPr>
          <w:p>
            <w:pPr>
              <w:spacing w:after="0"/>
              <w:rPr>
                <w:sz w:val="20"/>
                <w:szCs w:val="20"/>
                <w:color w:val="auto"/>
              </w:rPr>
            </w:pPr>
          </w:p>
        </w:tc>
      </w:tr>
      <w:tr>
        <w:trPr>
          <w:trHeight w:val="276"/>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principal payable on finance leases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75,561</w:t>
            </w:r>
          </w:p>
        </w:tc>
        <w:tc>
          <w:tcPr>
            <w:tcW w:w="3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74,199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-676910</wp:posOffset>
            </wp:positionV>
            <wp:extent cx="1354455"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54455"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140" w:firstLine="284"/>
        <w:spacing w:after="0" w:line="277" w:lineRule="auto"/>
        <w:rPr>
          <w:sz w:val="20"/>
          <w:szCs w:val="20"/>
          <w:color w:val="auto"/>
        </w:rPr>
      </w:pPr>
      <w:r>
        <w:rPr>
          <w:rFonts w:ascii="Arial" w:cs="Arial" w:eastAsia="Arial" w:hAnsi="Arial"/>
          <w:sz w:val="18"/>
          <w:szCs w:val="18"/>
          <w:color w:val="auto"/>
        </w:rPr>
        <w:t>As of June 18, 2023 and January 1, 2023, the weighted average remaining lease term and weighted average discount rate for the Company’s operating and finance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0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6"/>
              </w:rPr>
              <w:t>June 18, 2023</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January 1, 2023</w:t>
            </w:r>
          </w:p>
        </w:tc>
        <w:tc>
          <w:tcPr>
            <w:tcW w:w="800" w:type="dxa"/>
            <w:vAlign w:val="bottom"/>
            <w:tcBorders>
              <w:bottom w:val="single" w:sz="8" w:color="auto"/>
            </w:tcBorders>
          </w:tcPr>
          <w:p>
            <w:pPr>
              <w:spacing w:after="0"/>
              <w:rPr>
                <w:sz w:val="16"/>
                <w:szCs w:val="16"/>
                <w:color w:val="auto"/>
              </w:rPr>
            </w:pPr>
          </w:p>
        </w:tc>
      </w:tr>
      <w:tr>
        <w:trPr>
          <w:trHeight w:val="238"/>
        </w:trPr>
        <w:tc>
          <w:tcPr>
            <w:tcW w:w="5360" w:type="dxa"/>
            <w:vAlign w:val="bottom"/>
          </w:tcPr>
          <w:p>
            <w:pPr>
              <w:spacing w:after="0"/>
              <w:rPr>
                <w:sz w:val="20"/>
                <w:szCs w:val="20"/>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Operating</w:t>
            </w: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Finance</w:t>
            </w:r>
          </w:p>
        </w:tc>
        <w:tc>
          <w:tcPr>
            <w:tcW w:w="140" w:type="dxa"/>
            <w:vAlign w:val="bottom"/>
          </w:tcPr>
          <w:p>
            <w:pPr>
              <w:spacing w:after="0"/>
              <w:rPr>
                <w:sz w:val="20"/>
                <w:szCs w:val="20"/>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Operating</w:t>
            </w:r>
          </w:p>
        </w:tc>
        <w:tc>
          <w:tcPr>
            <w:tcW w:w="800" w:type="dxa"/>
            <w:vAlign w:val="bottom"/>
          </w:tcPr>
          <w:p>
            <w:pPr>
              <w:jc w:val="right"/>
              <w:ind w:right="219"/>
              <w:spacing w:after="0"/>
              <w:rPr>
                <w:sz w:val="20"/>
                <w:szCs w:val="20"/>
                <w:color w:val="auto"/>
              </w:rPr>
            </w:pPr>
            <w:r>
              <w:rPr>
                <w:rFonts w:ascii="Arial" w:cs="Arial" w:eastAsia="Arial" w:hAnsi="Arial"/>
                <w:sz w:val="14"/>
                <w:szCs w:val="14"/>
                <w:b w:val="1"/>
                <w:bCs w:val="1"/>
                <w:color w:val="auto"/>
                <w:w w:val="90"/>
              </w:rPr>
              <w:t>Finance</w:t>
            </w:r>
          </w:p>
        </w:tc>
      </w:tr>
      <w:tr>
        <w:trPr>
          <w:trHeight w:val="242"/>
        </w:trPr>
        <w:tc>
          <w:tcPr>
            <w:tcW w:w="5360" w:type="dxa"/>
            <w:vAlign w:val="bottom"/>
          </w:tcPr>
          <w:p>
            <w:pPr>
              <w:spacing w:after="0"/>
              <w:rPr>
                <w:sz w:val="21"/>
                <w:szCs w:val="21"/>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Leases</w:t>
            </w: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21"/>
                <w:szCs w:val="21"/>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Leases</w:t>
            </w: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w w:val="92"/>
              </w:rPr>
              <w:t>Leases</w:t>
            </w:r>
          </w:p>
        </w:tc>
      </w:tr>
      <w:tr>
        <w:trPr>
          <w:trHeight w:val="23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years</w:t>
            </w:r>
          </w:p>
        </w:tc>
        <w:tc>
          <w:tcPr>
            <w:tcW w:w="1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years</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14" w:lineRule="exact"/>
        <w:rPr>
          <w:sz w:val="20"/>
          <w:szCs w:val="20"/>
          <w:color w:val="auto"/>
        </w:rPr>
      </w:pPr>
    </w:p>
    <w:p>
      <w:pPr>
        <w:ind w:right="520" w:firstLine="284"/>
        <w:spacing w:after="0" w:line="277" w:lineRule="auto"/>
        <w:rPr>
          <w:sz w:val="20"/>
          <w:szCs w:val="20"/>
          <w:color w:val="auto"/>
        </w:rPr>
      </w:pPr>
      <w:r>
        <w:rPr>
          <w:rFonts w:ascii="Arial" w:cs="Arial" w:eastAsia="Arial" w:hAnsi="Arial"/>
          <w:sz w:val="18"/>
          <w:szCs w:val="18"/>
          <w:color w:val="auto"/>
        </w:rPr>
        <w:t>Supplemental cash flow information related to leases for the second quarter and two fiscal quarters of 2023 and the second quarter and two fiscal quarters of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558"/>
              <w:spacing w:after="0"/>
              <w:rPr>
                <w:sz w:val="20"/>
                <w:szCs w:val="20"/>
                <w:color w:val="auto"/>
              </w:rPr>
            </w:pPr>
            <w:r>
              <w:rPr>
                <w:rFonts w:ascii="Arial" w:cs="Arial" w:eastAsia="Arial" w:hAnsi="Arial"/>
                <w:sz w:val="14"/>
                <w:szCs w:val="14"/>
                <w:b w:val="1"/>
                <w:bCs w:val="1"/>
                <w:color w:val="auto"/>
              </w:rPr>
              <w:t>Fiscal Quarter Ended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Two Fiscal Quarters Ended</w:t>
            </w:r>
          </w:p>
        </w:tc>
        <w:tc>
          <w:tcPr>
            <w:tcW w:w="140" w:type="dxa"/>
            <w:vAlign w:val="bottom"/>
          </w:tcPr>
          <w:p>
            <w:pPr>
              <w:spacing w:after="0"/>
              <w:rPr>
                <w:sz w:val="16"/>
                <w:szCs w:val="16"/>
                <w:color w:val="auto"/>
              </w:rPr>
            </w:pPr>
          </w:p>
        </w:tc>
      </w:tr>
      <w:tr>
        <w:trPr>
          <w:trHeight w:val="238"/>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77"/>
              <w:spacing w:after="0"/>
              <w:rPr>
                <w:sz w:val="20"/>
                <w:szCs w:val="20"/>
                <w:color w:val="auto"/>
              </w:rPr>
            </w:pPr>
            <w:r>
              <w:rPr>
                <w:rFonts w:ascii="Arial" w:cs="Arial" w:eastAsia="Arial" w:hAnsi="Arial"/>
                <w:sz w:val="14"/>
                <w:szCs w:val="14"/>
                <w:b w:val="1"/>
                <w:bCs w:val="1"/>
                <w:color w:val="auto"/>
              </w:rPr>
              <w:t>June 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98"/>
              <w:spacing w:after="0"/>
              <w:rPr>
                <w:sz w:val="20"/>
                <w:szCs w:val="20"/>
                <w:color w:val="auto"/>
              </w:rPr>
            </w:pPr>
            <w:r>
              <w:rPr>
                <w:rFonts w:ascii="Arial" w:cs="Arial" w:eastAsia="Arial" w:hAnsi="Arial"/>
                <w:sz w:val="14"/>
                <w:szCs w:val="14"/>
                <w:b w:val="1"/>
                <w:bCs w:val="1"/>
                <w:color w:val="auto"/>
                <w:w w:val="99"/>
              </w:rPr>
              <w:t>June 19,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2"/>
              </w:rPr>
              <w:t>June 18,</w:t>
            </w:r>
          </w:p>
        </w:tc>
        <w:tc>
          <w:tcPr>
            <w:tcW w:w="34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19,</w:t>
            </w:r>
          </w:p>
        </w:tc>
      </w:tr>
      <w:tr>
        <w:trPr>
          <w:trHeight w:val="228"/>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9"/>
                <w:szCs w:val="19"/>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9,771</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7,858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18,495</w:t>
            </w:r>
          </w:p>
        </w:tc>
        <w:tc>
          <w:tcPr>
            <w:tcW w:w="140" w:type="dxa"/>
            <w:vAlign w:val="bottom"/>
          </w:tcPr>
          <w:p>
            <w:pPr>
              <w:spacing w:after="0"/>
              <w:rPr>
                <w:sz w:val="20"/>
                <w:szCs w:val="20"/>
                <w:color w:val="auto"/>
              </w:rPr>
            </w:pPr>
          </w:p>
        </w:tc>
      </w:tr>
      <w:tr>
        <w:trPr>
          <w:trHeight w:val="249"/>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FF0FC"/>
          </w:tcPr>
          <w:p>
            <w:pPr>
              <w:spacing w:after="0"/>
              <w:rPr>
                <w:sz w:val="21"/>
                <w:szCs w:val="2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20"/>
                <w:szCs w:val="20"/>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34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23,407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12,175</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31,164</w:t>
            </w:r>
          </w:p>
        </w:tc>
        <w:tc>
          <w:tcPr>
            <w:tcW w:w="140" w:type="dxa"/>
            <w:vAlign w:val="bottom"/>
          </w:tcPr>
          <w:p>
            <w:pPr>
              <w:spacing w:after="0"/>
              <w:rPr>
                <w:sz w:val="20"/>
                <w:szCs w:val="20"/>
                <w:color w:val="auto"/>
              </w:rPr>
            </w:pPr>
          </w:p>
        </w:tc>
      </w:tr>
      <w:tr>
        <w:trPr>
          <w:trHeight w:val="249"/>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432"/>
        </w:trPr>
        <w:tc>
          <w:tcPr>
            <w:tcW w:w="5340" w:type="dxa"/>
            <w:vAlign w:val="bottom"/>
          </w:tcPr>
          <w:p>
            <w:pPr>
              <w:ind w:left="300"/>
              <w:spacing w:after="0"/>
              <w:rPr>
                <w:sz w:val="20"/>
                <w:szCs w:val="20"/>
                <w:color w:val="auto"/>
              </w:rPr>
            </w:pPr>
            <w:r>
              <w:rPr>
                <w:rFonts w:ascii="Arial" w:cs="Arial" w:eastAsia="Arial" w:hAnsi="Arial"/>
                <w:sz w:val="18"/>
                <w:szCs w:val="18"/>
                <w:color w:val="auto"/>
                <w:w w:val="97"/>
              </w:rPr>
              <w:t>Maturities of lease liabilities as of June 18, 2023 were as follows: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9"/>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90"/>
              </w:rPr>
              <w:t>Finance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b w:val="1"/>
                <w:bCs w:val="1"/>
                <w:color w:val="auto"/>
                <w:w w:val="84"/>
              </w:rPr>
              <w:t>Leases</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25,474</w:t>
            </w:r>
          </w:p>
        </w:tc>
        <w:tc>
          <w:tcPr>
            <w:tcW w:w="4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140" w:type="dxa"/>
            <w:vAlign w:val="bottom"/>
            <w:shd w:val="clear" w:color="auto" w:fill="CFF0FC"/>
          </w:tcPr>
          <w:p>
            <w:pPr>
              <w:spacing w:after="0"/>
              <w:rPr>
                <w:sz w:val="20"/>
                <w:szCs w:val="20"/>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44,198</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8,670</w:t>
            </w:r>
          </w:p>
        </w:tc>
        <w:tc>
          <w:tcPr>
            <w:tcW w:w="140" w:type="dxa"/>
            <w:vAlign w:val="bottom"/>
          </w:tcPr>
          <w:p>
            <w:pPr>
              <w:spacing w:after="0"/>
              <w:rPr>
                <w:sz w:val="20"/>
                <w:szCs w:val="20"/>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39,406</w:t>
            </w:r>
          </w:p>
        </w:tc>
        <w:tc>
          <w:tcPr>
            <w:tcW w:w="4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140" w:type="dxa"/>
            <w:vAlign w:val="bottom"/>
            <w:shd w:val="clear" w:color="auto" w:fill="CFF0FC"/>
          </w:tcPr>
          <w:p>
            <w:pPr>
              <w:spacing w:after="0"/>
              <w:rPr>
                <w:sz w:val="21"/>
                <w:szCs w:val="2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37,763</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9,350</w:t>
            </w:r>
          </w:p>
        </w:tc>
        <w:tc>
          <w:tcPr>
            <w:tcW w:w="140" w:type="dxa"/>
            <w:vAlign w:val="bottom"/>
          </w:tcPr>
          <w:p>
            <w:pPr>
              <w:spacing w:after="0"/>
              <w:rPr>
                <w:sz w:val="20"/>
                <w:szCs w:val="20"/>
                <w:color w:val="auto"/>
              </w:rPr>
            </w:pP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30,955</w:t>
            </w:r>
          </w:p>
        </w:tc>
        <w:tc>
          <w:tcPr>
            <w:tcW w:w="4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8,181</w:t>
            </w:r>
          </w:p>
        </w:tc>
        <w:tc>
          <w:tcPr>
            <w:tcW w:w="140" w:type="dxa"/>
            <w:vAlign w:val="bottom"/>
            <w:shd w:val="clear" w:color="auto" w:fill="CFF0FC"/>
          </w:tcPr>
          <w:p>
            <w:pPr>
              <w:spacing w:after="0"/>
              <w:rPr>
                <w:sz w:val="21"/>
                <w:szCs w:val="2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86,873</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68,816</w:t>
            </w:r>
          </w:p>
        </w:tc>
        <w:tc>
          <w:tcPr>
            <w:tcW w:w="140" w:type="dxa"/>
            <w:vAlign w:val="bottom"/>
          </w:tcPr>
          <w:p>
            <w:pPr>
              <w:spacing w:after="0"/>
              <w:rPr>
                <w:sz w:val="20"/>
                <w:szCs w:val="20"/>
                <w:color w:val="auto"/>
              </w:rPr>
            </w:pPr>
          </w:p>
        </w:tc>
      </w:tr>
      <w:tr>
        <w:trPr>
          <w:trHeight w:val="236"/>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minimum rental commitments</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264,669</w:t>
            </w:r>
          </w:p>
        </w:tc>
        <w:tc>
          <w:tcPr>
            <w:tcW w:w="4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108,251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right"/>
              <w:ind w:right="237"/>
              <w:spacing w:after="0"/>
              <w:rPr>
                <w:sz w:val="20"/>
                <w:szCs w:val="20"/>
                <w:color w:val="auto"/>
              </w:rPr>
            </w:pPr>
            <w:r>
              <w:rPr>
                <w:rFonts w:ascii="Arial" w:cs="Arial" w:eastAsia="Arial" w:hAnsi="Arial"/>
                <w:sz w:val="18"/>
                <w:szCs w:val="18"/>
                <w:color w:val="auto"/>
                <w:w w:val="94"/>
              </w:rPr>
              <w:t>(38,364 )</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(32,690 )</w:t>
            </w: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226,305</w:t>
            </w:r>
          </w:p>
        </w:tc>
        <w:tc>
          <w:tcPr>
            <w:tcW w:w="4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53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5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-702310</wp:posOffset>
            </wp:positionV>
            <wp:extent cx="857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-376555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-359410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-359410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20" w:firstLine="284"/>
        <w:spacing w:after="0" w:line="286" w:lineRule="auto"/>
        <w:rPr>
          <w:sz w:val="20"/>
          <w:szCs w:val="20"/>
          <w:color w:val="auto"/>
        </w:rPr>
      </w:pPr>
      <w:r>
        <w:rPr>
          <w:rFonts w:ascii="Arial" w:cs="Arial" w:eastAsia="Arial" w:hAnsi="Arial"/>
          <w:sz w:val="17"/>
          <w:szCs w:val="17"/>
          <w:color w:val="auto"/>
        </w:rPr>
        <w:t>As of June 18, 2023, the Company had additional leases for certain supply chain real estate and certain supply chain and U.S. Company-owned store vehicles that had not yet commenced with estimated future minimum rental commitments of $43.1 million. These leases are expected to commence in 2023 and 2024 with lease terms of up to 11 years. These undiscounted amounts are not included in the table above.</w:t>
      </w:r>
    </w:p>
    <w:p>
      <w:pPr>
        <w:spacing w:after="0" w:line="57" w:lineRule="exact"/>
        <w:rPr>
          <w:sz w:val="20"/>
          <w:szCs w:val="20"/>
          <w:color w:val="auto"/>
        </w:rPr>
      </w:pPr>
    </w:p>
    <w:p>
      <w:pPr>
        <w:jc w:val="both"/>
        <w:ind w:right="280" w:firstLine="284"/>
        <w:spacing w:after="0" w:line="287" w:lineRule="auto"/>
        <w:rPr>
          <w:sz w:val="20"/>
          <w:szCs w:val="20"/>
          <w:color w:val="auto"/>
        </w:rPr>
      </w:pPr>
      <w:r>
        <w:rPr>
          <w:rFonts w:ascii="Arial" w:cs="Arial" w:eastAsia="Arial" w:hAnsi="Arial"/>
          <w:sz w:val="16"/>
          <w:szCs w:val="16"/>
          <w:color w:val="auto"/>
        </w:rPr>
        <w:t>The Company has guaranteed lease payments related to certain franchisees’ lease arrangements. The maximum amount of potential future payments under these guarantees was $21.6 million and $24.5 million as of June 18, 2023 and January 1, 2023, respectively. The Company does not believe these arrangements have or are likely to have a material effect on its results of operations, financial condition, revenues, expenses or liquidity.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8. Supplemental Disclosures of Cash Flow Information</w:t>
      </w:r>
    </w:p>
    <w:p>
      <w:pPr>
        <w:spacing w:after="0" w:line="211" w:lineRule="exact"/>
        <w:rPr>
          <w:sz w:val="20"/>
          <w:szCs w:val="20"/>
          <w:color w:val="auto"/>
        </w:rPr>
      </w:pPr>
    </w:p>
    <w:p>
      <w:pPr>
        <w:ind w:right="80" w:firstLine="284"/>
        <w:spacing w:after="0" w:line="342" w:lineRule="auto"/>
        <w:rPr>
          <w:sz w:val="20"/>
          <w:szCs w:val="20"/>
          <w:color w:val="auto"/>
        </w:rPr>
      </w:pPr>
      <w:r>
        <w:rPr>
          <w:rFonts w:ascii="Arial" w:cs="Arial" w:eastAsia="Arial" w:hAnsi="Arial"/>
          <w:sz w:val="16"/>
          <w:szCs w:val="16"/>
          <w:color w:val="auto"/>
        </w:rPr>
        <w:t>The Company had non-cash investing activities related to accruals for capital expenditures of $7.2 million at June 18, 2023 and $6.9 million at January 1, 2023. As of June 18, 2023, the Company also had $1.1 million in non-cash financing activity related to accruals for excise taxes on share repurchases.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9. Company-owned Store Transactions</w:t>
      </w:r>
    </w:p>
    <w:p>
      <w:pPr>
        <w:spacing w:after="0" w:line="225" w:lineRule="exact"/>
        <w:rPr>
          <w:sz w:val="20"/>
          <w:szCs w:val="20"/>
          <w:color w:val="auto"/>
        </w:rPr>
      </w:pPr>
    </w:p>
    <w:p>
      <w:pPr>
        <w:ind w:right="420" w:firstLine="284"/>
        <w:spacing w:after="0" w:line="263" w:lineRule="auto"/>
        <w:rPr>
          <w:sz w:val="20"/>
          <w:szCs w:val="20"/>
          <w:color w:val="auto"/>
        </w:rPr>
      </w:pPr>
      <w:r>
        <w:rPr>
          <w:rFonts w:ascii="Arial" w:cs="Arial" w:eastAsia="Arial" w:hAnsi="Arial"/>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and was recorded in refranchising loss in the Company’s condensed consolidated statements of income.</w:t>
      </w:r>
    </w:p>
    <w:p>
      <w:pPr>
        <w:spacing w:after="0" w:line="184" w:lineRule="exact"/>
        <w:rPr>
          <w:sz w:val="20"/>
          <w:szCs w:val="20"/>
          <w:color w:val="auto"/>
        </w:rPr>
      </w:pPr>
    </w:p>
    <w:p>
      <w:pPr>
        <w:ind w:right="600" w:firstLine="284"/>
        <w:spacing w:after="0" w:line="263" w:lineRule="auto"/>
        <w:rPr>
          <w:sz w:val="20"/>
          <w:szCs w:val="20"/>
          <w:color w:val="auto"/>
        </w:rPr>
      </w:pPr>
      <w:r>
        <w:rPr>
          <w:rFonts w:ascii="Arial" w:cs="Arial" w:eastAsia="Arial" w:hAnsi="Arial"/>
          <w:sz w:val="18"/>
          <w:szCs w:val="18"/>
          <w:color w:val="auto"/>
        </w:rPr>
        <w:t>During the first quarter of 2022, the Company purchased 23 U.S. franchised stores in Michigan from certain of the Company’s existing U.S. franchisees for $6.8 million, which included $4.0 million of intangibles, $1.7 million of equipment and leasehold improvements and $1.1 million of goodwill.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10. New Accounting Pronouncements</w:t>
      </w:r>
    </w:p>
    <w:p>
      <w:pPr>
        <w:spacing w:after="0" w:line="117" w:lineRule="exact"/>
        <w:rPr>
          <w:sz w:val="20"/>
          <w:szCs w:val="20"/>
          <w:color w:val="auto"/>
        </w:rPr>
      </w:pPr>
    </w:p>
    <w:p>
      <w:pPr>
        <w:ind w:left="520" w:right="440" w:firstLine="254"/>
        <w:spacing w:after="0" w:line="277" w:lineRule="auto"/>
        <w:rPr>
          <w:sz w:val="20"/>
          <w:szCs w:val="20"/>
          <w:color w:val="auto"/>
        </w:rPr>
      </w:pPr>
      <w:r>
        <w:rPr>
          <w:rFonts w:ascii="Arial" w:cs="Arial" w:eastAsia="Arial" w:hAnsi="Arial"/>
          <w:sz w:val="18"/>
          <w:szCs w:val="18"/>
          <w:color w:val="auto"/>
        </w:rPr>
        <w:t>The Company has considered all new accounting standards issued by the Financial Accounting Standards Board (“FASB”) and adopted the following accounting standards during the second quarter of 2023.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2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i w:val="1"/>
          <w:iCs w:val="1"/>
          <w:color w:val="auto"/>
        </w:rPr>
        <w:t xml:space="preserve">Accounting Standards Update (“ASU”) 2020-04, Facilitation of the Effects of Reference Rate Reform on Financial Reporting, </w:t>
      </w:r>
      <w:r>
        <w:rPr>
          <w:rFonts w:ascii="Arial" w:cs="Arial" w:eastAsia="Arial" w:hAnsi="Arial"/>
          <w:sz w:val="18"/>
          <w:szCs w:val="18"/>
          <w:color w:val="auto"/>
        </w:rPr>
        <w:t>updated by</w:t>
      </w:r>
      <w:r>
        <w:rPr>
          <w:rFonts w:ascii="Arial" w:cs="Arial" w:eastAsia="Arial" w:hAnsi="Arial"/>
          <w:sz w:val="18"/>
          <w:szCs w:val="18"/>
          <w:i w:val="1"/>
          <w:iCs w:val="1"/>
          <w:color w:val="auto"/>
        </w:rPr>
        <w:t xml:space="preserve"> ASU 2022-06, Deferral of the Sunset Date of Topic 848 (“ASU 2022-06”)</w:t>
      </w:r>
    </w:p>
    <w:p>
      <w:pPr>
        <w:spacing w:after="0" w:line="76" w:lineRule="exact"/>
        <w:rPr>
          <w:sz w:val="20"/>
          <w:szCs w:val="20"/>
          <w:color w:val="auto"/>
        </w:rPr>
      </w:pPr>
    </w:p>
    <w:p>
      <w:pPr>
        <w:ind w:left="520" w:right="200" w:firstLine="254"/>
        <w:spacing w:after="0" w:line="291" w:lineRule="auto"/>
        <w:rPr>
          <w:sz w:val="20"/>
          <w:szCs w:val="20"/>
          <w:color w:val="auto"/>
        </w:rPr>
      </w:pPr>
      <w:r>
        <w:rPr>
          <w:rFonts w:ascii="Arial" w:cs="Arial" w:eastAsia="Arial" w:hAnsi="Arial"/>
          <w:sz w:val="16"/>
          <w:szCs w:val="16"/>
          <w:color w:val="auto"/>
        </w:rPr>
        <w:t xml:space="preserve">In March 2020, the FASB issued </w:t>
      </w:r>
      <w:r>
        <w:rPr>
          <w:rFonts w:ascii="Arial" w:cs="Arial" w:eastAsia="Arial" w:hAnsi="Arial"/>
          <w:sz w:val="16"/>
          <w:szCs w:val="16"/>
          <w:i w:val="1"/>
          <w:iCs w:val="1"/>
          <w:color w:val="auto"/>
        </w:rPr>
        <w:t>ASU 2020-04, 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 (“ASU 2020-04”)</w:t>
      </w:r>
      <w:r>
        <w:rPr>
          <w:rFonts w:ascii="Arial" w:cs="Arial" w:eastAsia="Arial" w:hAnsi="Arial"/>
          <w:sz w:val="16"/>
          <w:szCs w:val="16"/>
          <w:color w:val="auto"/>
        </w:rPr>
        <w:t>, which provides temporary optional expedients and exceptions for applying generally accepted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to contracts, hedging relationships and other transactions affected by reference rate reform. On May 15, 2023, certain of the Company’s subsidiaries executed an amendment to the Company’s 2021 variable funding notes to affect the transition from LIBOR to the Secured Overnight Financing Rate (“Term SOFR”), plus a spread adjustment. In connection with this contract amendment, the Company adopted ASU 2020-04 (as updated by ASU 2022-06) in the second quarter of 2023. The amendment to the Company’s 2021 variable funding notes and the adoption of this accounting standard did not have a material impact on the Company’s condensed consolidated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ASU 2022-03, Fair Value Measurement (Topic 820): Fair Value Measurement of Equity Securities Subject to Contractual Sale Restrictions</w:t>
      </w:r>
    </w:p>
    <w:p>
      <w:pPr>
        <w:spacing w:after="0" w:line="142" w:lineRule="exact"/>
        <w:rPr>
          <w:sz w:val="20"/>
          <w:szCs w:val="20"/>
          <w:color w:val="auto"/>
        </w:rPr>
      </w:pPr>
    </w:p>
    <w:p>
      <w:pPr>
        <w:ind w:left="460" w:right="140" w:firstLine="285"/>
        <w:spacing w:after="0" w:line="272" w:lineRule="auto"/>
        <w:rPr>
          <w:sz w:val="20"/>
          <w:szCs w:val="20"/>
          <w:color w:val="auto"/>
        </w:rPr>
      </w:pPr>
      <w:r>
        <w:rPr>
          <w:rFonts w:ascii="Arial" w:cs="Arial" w:eastAsia="Arial" w:hAnsi="Arial"/>
          <w:sz w:val="17"/>
          <w:szCs w:val="17"/>
          <w:color w:val="auto"/>
        </w:rPr>
        <w:t xml:space="preserve">In June 2022, the FASB issued </w:t>
      </w:r>
      <w:r>
        <w:rPr>
          <w:rFonts w:ascii="Arial" w:cs="Arial" w:eastAsia="Arial" w:hAnsi="Arial"/>
          <w:sz w:val="17"/>
          <w:szCs w:val="17"/>
          <w:i w:val="1"/>
          <w:iCs w:val="1"/>
          <w:color w:val="auto"/>
        </w:rPr>
        <w:t>ASU 2022-03, Fair Value Measurement (Topic 820): Fair Value Measurement of Equity Securities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Contractual Sale Restrictions (“ASU 2022-03”)</w:t>
      </w:r>
      <w:r>
        <w:rPr>
          <w:rFonts w:ascii="Arial" w:cs="Arial" w:eastAsia="Arial" w:hAnsi="Arial"/>
          <w:sz w:val="17"/>
          <w:szCs w:val="17"/>
          <w:color w:val="auto"/>
        </w:rPr>
        <w:t>, which clarifies and amends the guidance of measuring the fair value of equity securities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sale restrictions. ASU 2022-03 also requires disclosure of the fair value of equity securities subject to contractual sale restrictions, the nature and remaining duration of the restrictions and the circumstances that could cause a lapse in the restrictions. The Company’s investment in DPC Dash (Note 5) is subject to contractual restrictions that prohibit the Company from selling the security for 360 days following DPC Dash’s initial public offering. The Company early adopted ASU 2022-03 in the second quarter of 2023 and the adoption of this accounting standard did not have a material impact on the Company’s condensed consolidated financial statements.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03"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2023 and 2022 second quarters referenced herein represent the twelve-week periods ended June 18, 2023 and June 19, 2022, respectively. The 2023 and 2022 two fiscal quarters referenced herein represent the twenty-four-week periods ended June 18, 2023 and June 19, 2022, respectively. In this section, we discuss the results of our operations for the second quarter and two fiscal quarters of 2023 as compared to the second quarter and two fiscal quarters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firstLine="281"/>
        <w:spacing w:after="0" w:line="257" w:lineRule="auto"/>
        <w:rPr>
          <w:sz w:val="20"/>
          <w:szCs w:val="20"/>
          <w:color w:val="auto"/>
        </w:rPr>
      </w:pPr>
      <w:r>
        <w:rPr>
          <w:rFonts w:ascii="Arial" w:cs="Arial" w:eastAsia="Arial" w:hAnsi="Arial"/>
          <w:sz w:val="18"/>
          <w:szCs w:val="18"/>
          <w:color w:val="auto"/>
        </w:rPr>
        <w:t>Domino’s is the largest pizza company in the world, with more than 20,000 locations in over 90 markets around the world as of June 18, 2023, and operates two distinct service models within its stores with a significant business in both delivery and carryout. Founded in 1960, we are a highly recognized global brand, and we focus on value while serving neighborhoods locally through our large network of franchise and Company-owned stores through both the delivery and carryout service models. We are primarily a franchisor, with approximately 99% of Domino’s global stores owned and operated by our independent franchisees as of June 18, 2023.</w:t>
      </w:r>
    </w:p>
    <w:p>
      <w:pPr>
        <w:spacing w:after="0" w:line="93" w:lineRule="exact"/>
        <w:rPr>
          <w:sz w:val="20"/>
          <w:szCs w:val="20"/>
          <w:color w:val="auto"/>
        </w:rPr>
      </w:pPr>
    </w:p>
    <w:p>
      <w:pPr>
        <w:ind w:right="20" w:firstLine="281"/>
        <w:spacing w:after="0" w:line="263"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9" w:lineRule="exact"/>
        <w:rPr>
          <w:sz w:val="20"/>
          <w:szCs w:val="20"/>
          <w:color w:val="auto"/>
        </w:rPr>
      </w:pPr>
    </w:p>
    <w:p>
      <w:pPr>
        <w:ind w:right="200" w:firstLine="281"/>
        <w:spacing w:after="0" w:line="287" w:lineRule="auto"/>
        <w:rPr>
          <w:sz w:val="20"/>
          <w:szCs w:val="20"/>
          <w:color w:val="auto"/>
        </w:rPr>
      </w:pPr>
      <w:r>
        <w:rPr>
          <w:rFonts w:ascii="Arial" w:cs="Arial" w:eastAsia="Arial" w:hAnsi="Arial"/>
          <w:sz w:val="16"/>
          <w:szCs w:val="16"/>
          <w:color w:val="auto"/>
        </w:rPr>
        <w:t>Domino’s generates revenues and earnings by charging royalties and fees to our independent franchisees. We also generate revenues and earnings by selling food, equipment and supplies to franchisees primarily in the U.S. and Canada and by operating a number of U.S. Company-owned stores. Franchisees profit by selling pizza and other complementary items to their local customers. In our international markets, we generally grant geographical</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rights to the Domino’s Pizza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directly. We believe that everyone in the system can benefit, including the end consumer, who can purchase Domino’s menu items for themselves and their family conveniently and economically.</w:t>
      </w:r>
    </w:p>
    <w:p>
      <w:pPr>
        <w:spacing w:after="0" w:line="110" w:lineRule="exact"/>
        <w:rPr>
          <w:sz w:val="20"/>
          <w:szCs w:val="20"/>
          <w:color w:val="auto"/>
        </w:rPr>
      </w:pPr>
    </w:p>
    <w:p>
      <w:pPr>
        <w:ind w:right="220" w:firstLine="281"/>
        <w:spacing w:after="0" w:line="255" w:lineRule="auto"/>
        <w:rPr>
          <w:sz w:val="20"/>
          <w:szCs w:val="20"/>
          <w:color w:val="auto"/>
        </w:rPr>
      </w:pPr>
      <w:r>
        <w:rPr>
          <w:rFonts w:ascii="Arial" w:cs="Arial" w:eastAsia="Arial" w:hAnsi="Arial"/>
          <w:sz w:val="18"/>
          <w:szCs w:val="18"/>
          <w:color w:val="auto"/>
        </w:rPr>
        <w:t>Our financial results are driven largely by retail sales at our franchised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98" w:lineRule="exact"/>
        <w:rPr>
          <w:sz w:val="20"/>
          <w:szCs w:val="20"/>
          <w:color w:val="auto"/>
        </w:rPr>
      </w:pPr>
    </w:p>
    <w:p>
      <w:pPr>
        <w:ind w:right="40" w:firstLine="281"/>
        <w:spacing w:after="0" w:line="253"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We believe we have a proven business model for success, which includes leading with technology, service and product innovation and leveraging our global scale, which has historically provided strong returns for our shareholders.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Second Quarter of 2023 Highlights</w:t>
      </w:r>
    </w:p>
    <w:p>
      <w:pPr>
        <w:spacing w:after="0" w:line="135" w:lineRule="exact"/>
        <w:rPr>
          <w:sz w:val="20"/>
          <w:szCs w:val="20"/>
          <w:color w:val="auto"/>
        </w:rPr>
      </w:pPr>
    </w:p>
    <w:p>
      <w:pPr>
        <w:ind w:left="760" w:right="260" w:hanging="378"/>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5.8% as compared to the second quarter of 2022. U.S. retail sales increased 1.7% and international retail sales, excluding foreign currency impact, increased 10.1% as compared to the second quarter of 2022.</w:t>
      </w:r>
    </w:p>
    <w:p>
      <w:pPr>
        <w:spacing w:after="0" w:line="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 store sales increased 0.1% in our U.S. stores and increased 3.6% in our international stores (excluding foreign currency impact).</w:t>
      </w:r>
    </w:p>
    <w:p>
      <w:pPr>
        <w:spacing w:after="0" w:line="20" w:lineRule="exact"/>
        <w:rPr>
          <w:rFonts w:ascii="Arial" w:cs="Arial" w:eastAsia="Arial" w:hAnsi="Arial"/>
          <w:sz w:val="17"/>
          <w:szCs w:val="17"/>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decreased 3.8%.</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increased 9.7%.</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increased 6.7%.</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increased 9.2%.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 Fiscal Quarters of 2023 Highlights</w:t>
      </w:r>
    </w:p>
    <w:p>
      <w:pPr>
        <w:spacing w:after="0" w:line="135" w:lineRule="exact"/>
        <w:rPr>
          <w:sz w:val="20"/>
          <w:szCs w:val="20"/>
          <w:color w:val="auto"/>
        </w:rPr>
      </w:pPr>
    </w:p>
    <w:p>
      <w:pPr>
        <w:ind w:left="760" w:right="180" w:hanging="378"/>
        <w:spacing w:after="0" w:line="25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5.8% as compared to the two fiscal quarters of 2022. U.S. retail sales increased 3.4% and international retail sales, excluding foreign currency impact, increased 8.3% as compared to the two fiscal quarters of 2022.</w:t>
      </w:r>
    </w:p>
    <w:p>
      <w:pPr>
        <w:spacing w:after="0" w:line="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Same store sales increased 1.8% in our U.S. stores and increased 2.3% in our international stores (excluding foreign currency impact).</w:t>
      </w:r>
    </w:p>
    <w:p>
      <w:pPr>
        <w:spacing w:after="0" w:line="20"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decreased 1.3%.</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operations increased 8.8%.</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10.7%.</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increased 13.2%.</w:t>
      </w:r>
    </w:p>
    <w:p>
      <w:pPr>
        <w:spacing w:after="0" w:line="211"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Excluding the negative impact of foreign currency, Domino’s experienced global retail sales growth during the second quarter and two fiscal quarters of 2023, driven by both same store sales growth and net store count growth. U.S. same store sales increased 0.1% and 1.8% in the second quarter and two fiscal quarters of 2023, respectively, rolling over a decline in U.S. same store sales of 2.9% and 3.3% in the second quarter and two fiscal quarters of 2022, respectively. The increases in U.S. same store sales in the second quarter and two fiscal quarters of 2023 were attributable to a higher average ticket per transaction resulting from increases in menu and national offer pricing. In the two fiscal quarters of 2023 in the U.S., we also launched our newest menu item, Domino’s Loaded Tots. International same store sales (excluding foreign currency impact) increased 3.6% and 2.3% in the second quarter and two fiscal quarters of 2023, respectively, rolling over a decline in international same store sales (excluding foreign currency impact) of 2.2% and 0.5% in the second quarter and two fiscal quarters of 2022, respectively. Our U.S. and international same store sales (excluding foreign currency impact) continue to be pressured by our fortressing strategy, which includes increasing store concentration in certain markets where we compete, as well as changes in consumer behavior.</w:t>
      </w:r>
    </w:p>
    <w:p>
      <w:pPr>
        <w:spacing w:after="0" w:line="91"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We continued our global expansion with the opening of 197 net stores in the second quarter of 2023, bringing our year-to-date total to 325. We had 27 net stores open in the U.S. and 170 net stores open internationally during the second quarter of 2023.</w:t>
      </w:r>
    </w:p>
    <w:p>
      <w:pPr>
        <w:spacing w:after="0" w:line="62"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Overall, we believe our continued global store growth, along with our global retail sales growth (excluding foreign currency impact), emphasis on technology, operations and marketing initiatives, have combined to strengthen our brand.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Statistical Measures</w:t>
      </w:r>
    </w:p>
    <w:p>
      <w:pPr>
        <w:spacing w:after="0" w:line="229"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229" w:lineRule="exact"/>
        <w:rPr>
          <w:sz w:val="20"/>
          <w:szCs w:val="20"/>
          <w:color w:val="auto"/>
        </w:rPr>
      </w:pPr>
    </w:p>
    <w:p>
      <w:pPr>
        <w:ind w:right="80" w:firstLine="255"/>
        <w:spacing w:after="0" w:line="291" w:lineRule="auto"/>
        <w:rPr>
          <w:sz w:val="20"/>
          <w:szCs w:val="20"/>
          <w:color w:val="auto"/>
        </w:rPr>
      </w:pPr>
      <w:r>
        <w:rPr>
          <w:rFonts w:ascii="Arial" w:cs="Arial" w:eastAsia="Arial" w:hAnsi="Arial"/>
          <w:sz w:val="16"/>
          <w:szCs w:val="16"/>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franchised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40" w:type="dxa"/>
            <w:vAlign w:val="bottom"/>
          </w:tcPr>
          <w:p>
            <w:pPr>
              <w:jc w:val="right"/>
              <w:ind w:right="97"/>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340" w:type="dxa"/>
            <w:vAlign w:val="bottom"/>
          </w:tcPr>
          <w:p>
            <w:pPr>
              <w:jc w:val="right"/>
              <w:ind w:right="99"/>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7"/>
              </w:rPr>
              <w:t>Two Fiscal Quarters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4"/>
              </w:rPr>
              <w:t>Two Fiscal Quarters</w:t>
            </w:r>
          </w:p>
        </w:tc>
      </w:tr>
      <w:tr>
        <w:trPr>
          <w:trHeight w:val="185"/>
        </w:trPr>
        <w:tc>
          <w:tcPr>
            <w:tcW w:w="5240" w:type="dxa"/>
            <w:vAlign w:val="bottom"/>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of 2023</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2022</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2023</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2022</w:t>
            </w:r>
          </w:p>
        </w:tc>
      </w:tr>
      <w:tr>
        <w:trPr>
          <w:trHeight w:val="23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+ 3.4%</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International stores (excluding foreign currency impact)</w:t>
            </w:r>
          </w:p>
        </w:tc>
        <w:tc>
          <w:tcPr>
            <w:tcW w:w="1340" w:type="dxa"/>
            <w:vAlign w:val="bottom"/>
          </w:tcPr>
          <w:p>
            <w:pPr>
              <w:jc w:val="right"/>
              <w:spacing w:after="0"/>
              <w:rPr>
                <w:sz w:val="20"/>
                <w:szCs w:val="20"/>
                <w:color w:val="auto"/>
              </w:rPr>
            </w:pPr>
            <w:r>
              <w:rPr>
                <w:rFonts w:ascii="Arial" w:cs="Arial" w:eastAsia="Arial" w:hAnsi="Arial"/>
                <w:sz w:val="18"/>
                <w:szCs w:val="18"/>
                <w:color w:val="auto"/>
              </w:rPr>
              <w:t>+ 10.1%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+ 6.0%</w:t>
            </w: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(excluding foreign currency impact)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+ 5.8%</w:t>
            </w:r>
          </w:p>
        </w:tc>
        <w:tc>
          <w:tcPr>
            <w:tcW w:w="14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+ 1.5%</w:t>
            </w:r>
          </w:p>
        </w:tc>
        <w:tc>
          <w:tcPr>
            <w:tcW w:w="12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+ 5.8%</w:t>
            </w:r>
          </w:p>
        </w:tc>
        <w:tc>
          <w:tcPr>
            <w:tcW w:w="14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229"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3"/>
                <w:szCs w:val="13"/>
                <w:color w:val="auto"/>
              </w:rPr>
            </w:pPr>
          </w:p>
        </w:tc>
        <w:tc>
          <w:tcPr>
            <w:tcW w:w="1340" w:type="dxa"/>
            <w:vAlign w:val="bottom"/>
          </w:tcPr>
          <w:p>
            <w:pPr>
              <w:jc w:val="right"/>
              <w:ind w:right="99"/>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Two Fiscal Quarters</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Two Fiscal Quarters</w:t>
            </w:r>
          </w:p>
        </w:tc>
      </w:tr>
      <w:tr>
        <w:trPr>
          <w:trHeight w:val="185"/>
        </w:trPr>
        <w:tc>
          <w:tcPr>
            <w:tcW w:w="5220" w:type="dxa"/>
            <w:vAlign w:val="bottom"/>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of 2023</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of 2022</w:t>
            </w:r>
          </w:p>
        </w:tc>
        <w:tc>
          <w:tcPr>
            <w:tcW w:w="140" w:type="dxa"/>
            <w:vAlign w:val="bottom"/>
          </w:tcPr>
          <w:p>
            <w:pPr>
              <w:spacing w:after="0"/>
              <w:rPr>
                <w:sz w:val="16"/>
                <w:szCs w:val="16"/>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of 2023</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of 2022</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+ 5.5%</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+ 6.4%</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U.S. franchise stores</w:t>
            </w: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+ 0.1%</w:t>
            </w:r>
          </w:p>
        </w:tc>
        <w:tc>
          <w:tcPr>
            <w:tcW w:w="14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+ 1.8%</w:t>
            </w:r>
          </w:p>
        </w:tc>
        <w:tc>
          <w:tcPr>
            <w:tcW w:w="14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International stores (excluding foreign currency impact)</w:t>
            </w:r>
          </w:p>
        </w:tc>
        <w:tc>
          <w:tcPr>
            <w:tcW w:w="1340" w:type="dxa"/>
            <w:vAlign w:val="bottom"/>
          </w:tcPr>
          <w:p>
            <w:pPr>
              <w:jc w:val="right"/>
              <w:spacing w:after="0"/>
              <w:rPr>
                <w:sz w:val="20"/>
                <w:szCs w:val="20"/>
                <w:color w:val="auto"/>
              </w:rPr>
            </w:pPr>
            <w:r>
              <w:rPr>
                <w:rFonts w:ascii="Arial" w:cs="Arial" w:eastAsia="Arial" w:hAnsi="Arial"/>
                <w:sz w:val="18"/>
                <w:szCs w:val="18"/>
                <w:color w:val="auto"/>
              </w:rPr>
              <w:t>+ 3.6%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Growth Activity</w:t>
      </w:r>
    </w:p>
    <w:p>
      <w:pPr>
        <w:spacing w:after="0" w:line="229"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0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Company-</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1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owned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Franchise</w:t>
            </w: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U.S.</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International Stores</w:t>
            </w: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auto"/>
                <w:w w:val="87"/>
              </w:rPr>
              <w:t>Stores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Stores</w:t>
            </w: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Stores</w:t>
            </w:r>
          </w:p>
        </w:tc>
        <w:tc>
          <w:tcPr>
            <w:tcW w:w="152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Store count at March 26, 2023</w:t>
            </w:r>
          </w:p>
        </w:tc>
        <w:tc>
          <w:tcPr>
            <w:tcW w:w="11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285</w:t>
            </w:r>
          </w:p>
        </w:tc>
        <w:tc>
          <w:tcPr>
            <w:tcW w:w="26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w:t>
            </w:r>
          </w:p>
        </w:tc>
        <w:tc>
          <w:tcPr>
            <w:tcW w:w="26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w:t>
            </w:r>
          </w:p>
        </w:tc>
        <w:tc>
          <w:tcPr>
            <w:tcW w:w="2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26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Openings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Closings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(53 )</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Store count at June 18, 2023</w:t>
            </w:r>
          </w:p>
        </w:tc>
        <w:tc>
          <w:tcPr>
            <w:tcW w:w="1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286</w:t>
            </w:r>
          </w:p>
        </w:tc>
        <w:tc>
          <w:tcPr>
            <w:tcW w:w="2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w:t>
            </w:r>
          </w:p>
        </w:tc>
        <w:tc>
          <w:tcPr>
            <w:tcW w:w="26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6,735</w:t>
            </w: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13,470</w:t>
            </w:r>
          </w:p>
        </w:tc>
        <w:tc>
          <w:tcPr>
            <w:tcW w:w="26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Second quarter 2023 net store growth</w:t>
            </w:r>
          </w:p>
        </w:tc>
        <w:tc>
          <w:tcPr>
            <w:tcW w:w="1100" w:type="dxa"/>
            <w:vAlign w:val="bottom"/>
            <w:tcBorders>
              <w:top w:val="single" w:sz="8" w:color="auto"/>
              <w:bottom w:val="single" w:sz="8" w:color="auto"/>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Trailing four quarters net store growth</w:t>
            </w: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right"/>
              <w:ind w:right="498"/>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-565150</wp:posOffset>
            </wp:positionV>
            <wp:extent cx="410654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0654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Income Statement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Second Quarter</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3"/>
              </w:rPr>
              <w:t>Second Quarter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7"/>
          </w:tcPr>
          <w:p>
            <w:pPr>
              <w:jc w:val="center"/>
              <w:ind w:right="486"/>
              <w:spacing w:after="0"/>
              <w:rPr>
                <w:sz w:val="20"/>
                <w:szCs w:val="20"/>
                <w:color w:val="auto"/>
              </w:rPr>
            </w:pPr>
            <w:r>
              <w:rPr>
                <w:rFonts w:ascii="Arial" w:cs="Arial" w:eastAsia="Arial" w:hAnsi="Arial"/>
                <w:sz w:val="14"/>
                <w:szCs w:val="14"/>
                <w:b w:val="1"/>
                <w:bCs w:val="1"/>
                <w:color w:val="auto"/>
                <w:w w:val="94"/>
              </w:rPr>
              <w:t>Two Fiscal Quarters</w:t>
            </w:r>
          </w:p>
        </w:tc>
        <w:tc>
          <w:tcPr>
            <w:tcW w:w="200" w:type="dxa"/>
            <w:vAlign w:val="bottom"/>
          </w:tcPr>
          <w:p>
            <w:pPr>
              <w:spacing w:after="0"/>
              <w:rPr>
                <w:sz w:val="14"/>
                <w:szCs w:val="14"/>
                <w:color w:val="auto"/>
              </w:rPr>
            </w:pPr>
          </w:p>
        </w:tc>
        <w:tc>
          <w:tcPr>
            <w:tcW w:w="17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4"/>
              </w:rPr>
              <w:t>Two Fiscal Quarters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of 2023</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of 2022</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ind w:left="144"/>
              <w:spacing w:after="0"/>
              <w:rPr>
                <w:sz w:val="20"/>
                <w:szCs w:val="20"/>
                <w:color w:val="auto"/>
              </w:rPr>
            </w:pPr>
            <w:r>
              <w:rPr>
                <w:rFonts w:ascii="Arial" w:cs="Arial" w:eastAsia="Arial" w:hAnsi="Arial"/>
                <w:sz w:val="14"/>
                <w:szCs w:val="14"/>
                <w:b w:val="1"/>
                <w:bCs w:val="1"/>
                <w:color w:val="auto"/>
                <w:w w:val="91"/>
              </w:rPr>
              <w:t>of 2023</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U.S. Company-owned stores</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87.7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right"/>
              <w:ind w:right="1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jc w:val="right"/>
              <w:ind w:right="3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216.4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U.S. franchise royalties and fees</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139.3</w:t>
            </w:r>
          </w:p>
        </w:tc>
        <w:tc>
          <w:tcPr>
            <w:tcW w:w="3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250.4</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Supply chain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615.7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646.6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1,256.1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International franchise royalties and fees</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w:t>
            </w:r>
          </w:p>
        </w:tc>
        <w:tc>
          <w:tcPr>
            <w:tcW w:w="3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135.7</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U.S. franchise advertising</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111.5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revenues</w:t>
            </w:r>
          </w:p>
        </w:tc>
        <w:tc>
          <w:tcPr>
            <w:tcW w:w="44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89"/>
              </w:rPr>
              <w:t>1,024.6</w:t>
            </w:r>
          </w:p>
        </w:tc>
        <w:tc>
          <w:tcPr>
            <w:tcW w:w="32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jc w:val="right"/>
              <w:ind w:right="66"/>
              <w:spacing w:after="0"/>
              <w:rPr>
                <w:sz w:val="20"/>
                <w:szCs w:val="20"/>
                <w:color w:val="auto"/>
              </w:rPr>
            </w:pPr>
            <w:r>
              <w:rPr>
                <w:rFonts w:ascii="Arial" w:cs="Arial" w:eastAsia="Arial" w:hAnsi="Arial"/>
                <w:sz w:val="9"/>
                <w:szCs w:val="9"/>
                <w:color w:val="auto"/>
                <w:w w:val="74"/>
              </w:rPr>
              <w:t>%</w:t>
            </w:r>
          </w:p>
        </w:tc>
        <w:tc>
          <w:tcPr>
            <w:tcW w:w="200" w:type="dxa"/>
            <w:vAlign w:val="bottom"/>
            <w:tcBorders>
              <w:left w:val="single" w:sz="8" w:color="CFF0FC"/>
            </w:tcBorders>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2,076.3</w:t>
            </w: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Cost of sales: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U.S. Company-owned stores</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3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181.4</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Supply chain</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548.5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1,140.0</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Total cost of sales</w:t>
            </w:r>
          </w:p>
        </w:tc>
        <w:tc>
          <w:tcPr>
            <w:tcW w:w="4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620.0</w:t>
            </w:r>
          </w:p>
        </w:tc>
        <w:tc>
          <w:tcPr>
            <w:tcW w:w="320" w:type="dxa"/>
            <w:vAlign w:val="bottom"/>
            <w:tcBorders>
              <w:bottom w:val="single" w:sz="8" w:color="CFF0FC"/>
              <w:right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678.9</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1,258.8</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4"/>
                <w:szCs w:val="14"/>
                <w:color w:val="auto"/>
              </w:rPr>
              <w:t>61.4</w:t>
            </w:r>
          </w:p>
        </w:tc>
        <w:tc>
          <w:tcPr>
            <w:tcW w:w="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9"/>
                <w:szCs w:val="9"/>
                <w:color w:val="auto"/>
                <w:w w:val="74"/>
              </w:rPr>
              <w:t>%</w:t>
            </w:r>
          </w:p>
        </w:tc>
        <w:tc>
          <w:tcPr>
            <w:tcW w:w="200" w:type="dxa"/>
            <w:vAlign w:val="bottom"/>
            <w:tcBorders>
              <w:left w:val="single" w:sz="8" w:color="CFF0FC"/>
              <w:bottom w:val="single" w:sz="8" w:color="auto"/>
            </w:tcBorders>
            <w:shd w:val="clear" w:color="auto" w:fill="CFF0FC"/>
          </w:tcPr>
          <w:p>
            <w:pPr>
              <w:spacing w:after="0"/>
              <w:rPr>
                <w:sz w:val="14"/>
                <w:szCs w:val="14"/>
                <w:color w:val="auto"/>
              </w:rPr>
            </w:pPr>
          </w:p>
        </w:tc>
        <w:tc>
          <w:tcPr>
            <w:tcW w:w="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1,321.4</w:t>
            </w:r>
          </w:p>
        </w:tc>
        <w:tc>
          <w:tcPr>
            <w:tcW w:w="260" w:type="dxa"/>
            <w:vAlign w:val="bottom"/>
            <w:tcBorders>
              <w:bottom w:val="single" w:sz="8" w:color="CFF0FC"/>
              <w:right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Gross margin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404.7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39.5 </w:t>
            </w:r>
            <w:r>
              <w:rPr>
                <w:rFonts w:ascii="Arial" w:cs="Arial" w:eastAsia="Arial" w:hAnsi="Arial"/>
                <w:sz w:val="14"/>
                <w:szCs w:val="14"/>
                <w:color w:val="auto"/>
                <w:highlight w:val="white"/>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 xml:space="preserve">36.3 </w:t>
            </w:r>
            <w:r>
              <w:rPr>
                <w:rFonts w:ascii="Arial" w:cs="Arial" w:eastAsia="Arial" w:hAnsi="Arial"/>
                <w:sz w:val="14"/>
                <w:szCs w:val="14"/>
                <w:color w:val="auto"/>
                <w:highlight w:val="white"/>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4"/>
                <w:szCs w:val="14"/>
                <w:color w:val="auto"/>
              </w:rPr>
              <w:t>38.6 %</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754.9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xml:space="preserve">36.4 </w:t>
            </w:r>
            <w:r>
              <w:rPr>
                <w:rFonts w:ascii="Arial" w:cs="Arial" w:eastAsia="Arial" w:hAnsi="Arial"/>
                <w:sz w:val="14"/>
                <w:szCs w:val="14"/>
                <w:color w:val="auto"/>
                <w:highlight w:val="white"/>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4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320" w:type="dxa"/>
            <w:vAlign w:val="bottom"/>
            <w:tcBorders>
              <w:right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4"/>
                <w:szCs w:val="14"/>
                <w:color w:val="auto"/>
              </w:rPr>
              <w:t>9.4</w:t>
            </w:r>
          </w:p>
        </w:tc>
        <w:tc>
          <w:tcPr>
            <w:tcW w:w="200" w:type="dxa"/>
            <w:vAlign w:val="bottom"/>
            <w:shd w:val="clear" w:color="auto" w:fill="CFF0FC"/>
          </w:tcPr>
          <w:p>
            <w:pPr>
              <w:jc w:val="right"/>
              <w:ind w:right="66"/>
              <w:spacing w:after="0"/>
              <w:rPr>
                <w:sz w:val="20"/>
                <w:szCs w:val="20"/>
                <w:color w:val="auto"/>
              </w:rPr>
            </w:pPr>
            <w:r>
              <w:rPr>
                <w:rFonts w:ascii="Arial" w:cs="Arial" w:eastAsia="Arial" w:hAnsi="Arial"/>
                <w:sz w:val="9"/>
                <w:szCs w:val="9"/>
                <w:color w:val="auto"/>
                <w:w w:val="74"/>
              </w:rPr>
              <w:t>%</w:t>
            </w:r>
          </w:p>
        </w:tc>
        <w:tc>
          <w:tcPr>
            <w:tcW w:w="200" w:type="dxa"/>
            <w:vAlign w:val="bottom"/>
            <w:tcBorders>
              <w:top w:val="single" w:sz="8" w:color="auto"/>
              <w:left w:val="single" w:sz="8" w:color="CFF0FC"/>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194.6</w:t>
            </w: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U.S. franchise advertising</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111.5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10.9 %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4"/>
                <w:szCs w:val="14"/>
                <w:color w:val="auto"/>
              </w:rPr>
              <w:t>11.0 %</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217.7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Refranchising loss</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CFF0FC"/>
            </w:tcBorders>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gridSpan w:val="5"/>
            <w:shd w:val="clear" w:color="auto" w:fill="CFF0FC"/>
          </w:tcPr>
          <w:p>
            <w:pPr>
              <w:jc w:val="right"/>
              <w:ind w:right="6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6"/>
              <w:spacing w:after="0"/>
              <w:rPr>
                <w:sz w:val="20"/>
                <w:szCs w:val="20"/>
                <w:color w:val="auto"/>
              </w:rPr>
            </w:pPr>
            <w:r>
              <w:rPr>
                <w:rFonts w:ascii="Arial" w:cs="Arial" w:eastAsia="Arial" w:hAnsi="Arial"/>
                <w:sz w:val="14"/>
                <w:szCs w:val="14"/>
                <w:color w:val="auto"/>
              </w:rPr>
              <w:t>0.0 %</w:t>
            </w:r>
          </w:p>
        </w:tc>
        <w:tc>
          <w:tcPr>
            <w:tcW w:w="200" w:type="dxa"/>
            <w:vAlign w:val="bottom"/>
            <w:tcBorders>
              <w:left w:val="single" w:sz="8" w:color="CFF0FC"/>
            </w:tcBorders>
            <w:shd w:val="clear" w:color="auto" w:fill="CFF0FC"/>
          </w:tcPr>
          <w:p>
            <w:pPr>
              <w:spacing w:after="0"/>
              <w:rPr>
                <w:sz w:val="15"/>
                <w:szCs w:val="15"/>
                <w:color w:val="auto"/>
              </w:rPr>
            </w:pPr>
          </w:p>
        </w:tc>
        <w:tc>
          <w:tcPr>
            <w:tcW w:w="106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195.4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 xml:space="preserve">19.1 </w:t>
            </w:r>
            <w:r>
              <w:rPr>
                <w:rFonts w:ascii="Arial" w:cs="Arial" w:eastAsia="Arial" w:hAnsi="Arial"/>
                <w:sz w:val="14"/>
                <w:szCs w:val="14"/>
                <w:color w:val="auto"/>
                <w:highlight w:val="white"/>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 xml:space="preserve">16.7 </w:t>
            </w:r>
            <w:r>
              <w:rPr>
                <w:rFonts w:ascii="Arial" w:cs="Arial" w:eastAsia="Arial" w:hAnsi="Arial"/>
                <w:sz w:val="14"/>
                <w:szCs w:val="14"/>
                <w:color w:val="auto"/>
                <w:highlight w:val="white"/>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4"/>
                <w:szCs w:val="14"/>
                <w:color w:val="auto"/>
              </w:rPr>
              <w:t>18.2 %</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342.7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color w:val="auto"/>
                <w:highlight w:val="white"/>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 expense</w:t>
            </w: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w w:val="98"/>
              </w:rPr>
              <w:t>(15.0 )</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(1.5 )%</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gridSpan w:val="5"/>
            <w:shd w:val="clear" w:color="auto" w:fill="CFF0FC"/>
          </w:tcPr>
          <w:p>
            <w:pPr>
              <w:jc w:val="right"/>
              <w:ind w:right="6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(15.0 )</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(0.7 )%</w:t>
            </w:r>
          </w:p>
        </w:tc>
        <w:tc>
          <w:tcPr>
            <w:tcW w:w="200" w:type="dxa"/>
            <w:vAlign w:val="bottom"/>
            <w:tcBorders>
              <w:left w:val="single" w:sz="8" w:color="CFF0FC"/>
            </w:tcBorders>
            <w:shd w:val="clear" w:color="auto" w:fill="CFF0FC"/>
          </w:tcPr>
          <w:p>
            <w:pPr>
              <w:spacing w:after="0"/>
              <w:rPr>
                <w:sz w:val="15"/>
                <w:szCs w:val="15"/>
                <w:color w:val="auto"/>
              </w:rPr>
            </w:pPr>
          </w:p>
        </w:tc>
        <w:tc>
          <w:tcPr>
            <w:tcW w:w="106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w w:val="98"/>
              </w:rPr>
              <w:t>(42.4 )</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(44.6 )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(4.2 )%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(86.6 )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26"/>
              <w:spacing w:after="0"/>
              <w:rPr>
                <w:sz w:val="20"/>
                <w:szCs w:val="20"/>
                <w:color w:val="auto"/>
              </w:rPr>
            </w:pPr>
            <w:r>
              <w:rPr>
                <w:rFonts w:ascii="Arial" w:cs="Arial" w:eastAsia="Arial" w:hAnsi="Arial"/>
                <w:sz w:val="14"/>
                <w:szCs w:val="14"/>
                <w:color w:val="auto"/>
              </w:rPr>
              <w:t>(4.2 )%</w:t>
            </w:r>
          </w:p>
        </w:tc>
        <w:tc>
          <w:tcPr>
            <w:tcW w:w="2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(91.5 )</w:t>
            </w:r>
          </w:p>
        </w:tc>
        <w:tc>
          <w:tcPr>
            <w:tcW w:w="2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69"/>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4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138.0</w:t>
            </w:r>
          </w:p>
        </w:tc>
        <w:tc>
          <w:tcPr>
            <w:tcW w:w="320" w:type="dxa"/>
            <w:vAlign w:val="bottom"/>
            <w:tcBorders>
              <w:right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4"/>
                <w:szCs w:val="14"/>
                <w:color w:val="auto"/>
              </w:rPr>
              <w:t>13.3</w:t>
            </w:r>
          </w:p>
        </w:tc>
        <w:tc>
          <w:tcPr>
            <w:tcW w:w="200" w:type="dxa"/>
            <w:vAlign w:val="bottom"/>
            <w:shd w:val="clear" w:color="auto" w:fill="CFF0FC"/>
          </w:tcPr>
          <w:p>
            <w:pPr>
              <w:jc w:val="right"/>
              <w:ind w:right="66"/>
              <w:spacing w:after="0"/>
              <w:rPr>
                <w:sz w:val="20"/>
                <w:szCs w:val="20"/>
                <w:color w:val="auto"/>
              </w:rPr>
            </w:pPr>
            <w:r>
              <w:rPr>
                <w:rFonts w:ascii="Arial" w:cs="Arial" w:eastAsia="Arial" w:hAnsi="Arial"/>
                <w:sz w:val="9"/>
                <w:szCs w:val="9"/>
                <w:color w:val="auto"/>
                <w:w w:val="74"/>
              </w:rPr>
              <w:t>%</w:t>
            </w:r>
          </w:p>
        </w:tc>
        <w:tc>
          <w:tcPr>
            <w:tcW w:w="200" w:type="dxa"/>
            <w:vAlign w:val="bottom"/>
            <w:tcBorders>
              <w:top w:val="single" w:sz="8" w:color="auto"/>
              <w:left w:val="single" w:sz="8" w:color="CFF0FC"/>
            </w:tcBorders>
            <w:shd w:val="clear" w:color="auto" w:fill="CFF0FC"/>
          </w:tcPr>
          <w:p>
            <w:pPr>
              <w:spacing w:after="0"/>
              <w:rPr>
                <w:sz w:val="14"/>
                <w:szCs w:val="14"/>
                <w:color w:val="auto"/>
              </w:rPr>
            </w:pP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251.2</w:t>
            </w:r>
          </w:p>
        </w:tc>
        <w:tc>
          <w:tcPr>
            <w:tcW w:w="26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4"/>
                <w:szCs w:val="14"/>
                <w:color w:val="auto"/>
              </w:rPr>
              <w:t>2.8 %</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109.4</w:t>
            </w:r>
          </w:p>
        </w:tc>
        <w:tc>
          <w:tcPr>
            <w:tcW w:w="32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right w:val="single" w:sz="8" w:color="CFF0FC"/>
            </w:tcBorders>
            <w:shd w:val="clear" w:color="auto" w:fill="CFF0FC"/>
          </w:tcPr>
          <w:p>
            <w:pPr>
              <w:jc w:val="right"/>
              <w:ind w:right="2"/>
              <w:spacing w:after="0"/>
              <w:rPr>
                <w:sz w:val="20"/>
                <w:szCs w:val="20"/>
                <w:color w:val="auto"/>
              </w:rPr>
            </w:pPr>
            <w:r>
              <w:rPr>
                <w:rFonts w:ascii="Arial" w:cs="Arial" w:eastAsia="Arial" w:hAnsi="Arial"/>
                <w:sz w:val="14"/>
                <w:szCs w:val="14"/>
                <w:color w:val="auto"/>
              </w:rPr>
              <w:t>10.5</w:t>
            </w:r>
          </w:p>
        </w:tc>
        <w:tc>
          <w:tcPr>
            <w:tcW w:w="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9"/>
                <w:szCs w:val="9"/>
                <w:color w:val="auto"/>
                <w:w w:val="74"/>
              </w:rPr>
              <w:t>%</w:t>
            </w:r>
          </w:p>
        </w:tc>
        <w:tc>
          <w:tcPr>
            <w:tcW w:w="200" w:type="dxa"/>
            <w:vAlign w:val="bottom"/>
            <w:tcBorders>
              <w:top w:val="single" w:sz="8" w:color="auto"/>
              <w:left w:val="single" w:sz="8" w:color="CFF0FC"/>
              <w:bottom w:val="single" w:sz="8" w:color="auto"/>
            </w:tcBorders>
            <w:shd w:val="clear" w:color="auto" w:fill="CFF0FC"/>
          </w:tcPr>
          <w:p>
            <w:pPr>
              <w:jc w:val="right"/>
              <w:ind w:right="3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193.5</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270"/>
              <w:spacing w:after="0"/>
              <w:rPr>
                <w:sz w:val="20"/>
                <w:szCs w:val="20"/>
                <w:color w:val="auto"/>
              </w:rPr>
            </w:pPr>
            <w:r>
              <w:rPr>
                <w:rFonts w:ascii="Arial" w:cs="Arial" w:eastAsia="Arial" w:hAnsi="Arial"/>
                <w:sz w:val="14"/>
                <w:szCs w:val="14"/>
                <w:b w:val="1"/>
                <w:bCs w:val="1"/>
                <w:color w:val="auto"/>
                <w:w w:val="93"/>
              </w:rPr>
              <w:t>Second Quarter</w:t>
            </w:r>
          </w:p>
        </w:tc>
        <w:tc>
          <w:tcPr>
            <w:tcW w:w="2000" w:type="dxa"/>
            <w:vAlign w:val="bottom"/>
            <w:gridSpan w:val="9"/>
          </w:tcPr>
          <w:p>
            <w:pPr>
              <w:jc w:val="center"/>
              <w:ind w:right="188"/>
              <w:spacing w:after="0"/>
              <w:rPr>
                <w:sz w:val="20"/>
                <w:szCs w:val="20"/>
                <w:color w:val="auto"/>
              </w:rPr>
            </w:pPr>
            <w:r>
              <w:rPr>
                <w:rFonts w:ascii="Arial" w:cs="Arial" w:eastAsia="Arial" w:hAnsi="Arial"/>
                <w:sz w:val="14"/>
                <w:szCs w:val="14"/>
                <w:b w:val="1"/>
                <w:bCs w:val="1"/>
                <w:color w:val="auto"/>
                <w:w w:val="93"/>
              </w:rPr>
              <w:t>Second Quarter</w:t>
            </w:r>
          </w:p>
        </w:tc>
        <w:tc>
          <w:tcPr>
            <w:tcW w:w="120" w:type="dxa"/>
            <w:vAlign w:val="bottom"/>
          </w:tcPr>
          <w:p>
            <w:pPr>
              <w:spacing w:after="0"/>
              <w:rPr>
                <w:sz w:val="24"/>
                <w:szCs w:val="24"/>
                <w:color w:val="auto"/>
              </w:rPr>
            </w:pPr>
          </w:p>
        </w:tc>
        <w:tc>
          <w:tcPr>
            <w:tcW w:w="1800" w:type="dxa"/>
            <w:vAlign w:val="bottom"/>
            <w:gridSpan w:val="7"/>
          </w:tcPr>
          <w:p>
            <w:pPr>
              <w:jc w:val="center"/>
              <w:ind w:right="286"/>
              <w:spacing w:after="0"/>
              <w:rPr>
                <w:sz w:val="20"/>
                <w:szCs w:val="20"/>
                <w:color w:val="auto"/>
              </w:rPr>
            </w:pPr>
            <w:r>
              <w:rPr>
                <w:rFonts w:ascii="Arial" w:cs="Arial" w:eastAsia="Arial" w:hAnsi="Arial"/>
                <w:sz w:val="14"/>
                <w:szCs w:val="14"/>
                <w:b w:val="1"/>
                <w:bCs w:val="1"/>
                <w:color w:val="auto"/>
                <w:w w:val="94"/>
              </w:rPr>
              <w:t>Two Fiscal Quarters</w:t>
            </w:r>
          </w:p>
        </w:tc>
        <w:tc>
          <w:tcPr>
            <w:tcW w:w="200" w:type="dxa"/>
            <w:vAlign w:val="bottom"/>
          </w:tcPr>
          <w:p>
            <w:pPr>
              <w:spacing w:after="0"/>
              <w:rPr>
                <w:sz w:val="24"/>
                <w:szCs w:val="24"/>
                <w:color w:val="auto"/>
              </w:rPr>
            </w:pPr>
          </w:p>
        </w:tc>
        <w:tc>
          <w:tcPr>
            <w:tcW w:w="17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Two Fiscal Quarters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left="148"/>
              <w:spacing w:after="0"/>
              <w:rPr>
                <w:sz w:val="20"/>
                <w:szCs w:val="20"/>
                <w:color w:val="auto"/>
              </w:rPr>
            </w:pPr>
            <w:r>
              <w:rPr>
                <w:rFonts w:ascii="Arial" w:cs="Arial" w:eastAsia="Arial" w:hAnsi="Arial"/>
                <w:sz w:val="14"/>
                <w:szCs w:val="14"/>
                <w:b w:val="1"/>
                <w:bCs w:val="1"/>
                <w:color w:val="auto"/>
                <w:w w:val="95"/>
              </w:rPr>
              <w:t>of 2023</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of 2022</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ind w:left="344"/>
              <w:spacing w:after="0"/>
              <w:rPr>
                <w:sz w:val="20"/>
                <w:szCs w:val="20"/>
                <w:color w:val="auto"/>
              </w:rPr>
            </w:pPr>
            <w:r>
              <w:rPr>
                <w:rFonts w:ascii="Arial" w:cs="Arial" w:eastAsia="Arial" w:hAnsi="Arial"/>
                <w:sz w:val="14"/>
                <w:szCs w:val="14"/>
                <w:b w:val="1"/>
                <w:bCs w:val="1"/>
                <w:color w:val="auto"/>
                <w:w w:val="91"/>
              </w:rPr>
              <w:t>of 2023</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112.5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U.S. franchise royalties and fees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ind w:left="360"/>
              <w:spacing w:after="0"/>
              <w:rPr>
                <w:sz w:val="20"/>
                <w:szCs w:val="20"/>
                <w:color w:val="auto"/>
              </w:rPr>
            </w:pPr>
            <w:r>
              <w:rPr>
                <w:rFonts w:ascii="Arial" w:cs="Arial" w:eastAsia="Arial" w:hAnsi="Arial"/>
                <w:sz w:val="18"/>
                <w:szCs w:val="18"/>
                <w:color w:val="auto"/>
                <w:w w:val="99"/>
              </w:rPr>
              <w:t>13.6 %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8"/>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272.1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Supply chain</w:t>
            </w: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w w:val="99"/>
              </w:rPr>
              <w:t>60.1 %</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gridSpan w:val="4"/>
            <w:shd w:val="clear" w:color="auto" w:fill="CFF0FC"/>
          </w:tcPr>
          <w:p>
            <w:pPr>
              <w:jc w:val="right"/>
              <w:ind w:right="28"/>
              <w:spacing w:after="0"/>
              <w:rPr>
                <w:sz w:val="20"/>
                <w:szCs w:val="20"/>
                <w:color w:val="auto"/>
              </w:rPr>
            </w:pPr>
            <w:r>
              <w:rPr>
                <w:rFonts w:ascii="Arial" w:cs="Arial" w:eastAsia="Arial" w:hAnsi="Arial"/>
                <w:sz w:val="18"/>
                <w:szCs w:val="18"/>
                <w:color w:val="auto"/>
              </w:rPr>
              <w:t>60.7 %</w:t>
            </w:r>
          </w:p>
        </w:tc>
        <w:tc>
          <w:tcPr>
            <w:tcW w:w="1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1,239.9</w:t>
            </w: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60.5 %</w:t>
            </w:r>
          </w:p>
        </w:tc>
        <w:tc>
          <w:tcPr>
            <w:tcW w:w="200" w:type="dxa"/>
            <w:vAlign w:val="bottom"/>
            <w:tcBorders>
              <w:left w:val="single" w:sz="8" w:color="CFF0FC"/>
            </w:tcBorders>
            <w:shd w:val="clear" w:color="auto" w:fill="CFF0FC"/>
          </w:tcPr>
          <w:p>
            <w:pPr>
              <w:spacing w:after="0"/>
              <w:rPr>
                <w:sz w:val="22"/>
                <w:szCs w:val="2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1,256.1</w:t>
            </w:r>
          </w:p>
        </w:tc>
        <w:tc>
          <w:tcPr>
            <w:tcW w:w="26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60.5 %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International franchise royalties and fees</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0"/>
              <w:spacing w:after="0"/>
              <w:rPr>
                <w:sz w:val="20"/>
                <w:szCs w:val="20"/>
                <w:color w:val="auto"/>
              </w:rPr>
            </w:pPr>
            <w:r>
              <w:rPr>
                <w:rFonts w:ascii="Arial" w:cs="Arial" w:eastAsia="Arial" w:hAnsi="Arial"/>
                <w:sz w:val="18"/>
                <w:szCs w:val="18"/>
                <w:color w:val="auto"/>
              </w:rPr>
              <w:t>6.9 %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8"/>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franchise advertising</w:t>
            </w: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w w:val="99"/>
              </w:rPr>
              <w:t>10.9 %</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28"/>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224.2</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11.0 %</w:t>
            </w:r>
          </w:p>
        </w:tc>
        <w:tc>
          <w:tcPr>
            <w:tcW w:w="200" w:type="dxa"/>
            <w:vAlign w:val="bottom"/>
            <w:tcBorders>
              <w:left w:val="single" w:sz="8" w:color="CFF0FC"/>
            </w:tcBorders>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1,024.6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$ 1,065.2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4"/>
          </w:tcPr>
          <w:p>
            <w:pPr>
              <w:jc w:val="right"/>
              <w:ind w:right="28"/>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2,049.0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3"/>
              </w:rPr>
              <w:t>2,076.3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xml:space="preserve">100.0 </w:t>
            </w:r>
            <w:r>
              <w:rPr>
                <w:rFonts w:ascii="Arial" w:cs="Arial" w:eastAsia="Arial" w:hAnsi="Arial"/>
                <w:sz w:val="18"/>
                <w:szCs w:val="18"/>
                <w:color w:val="auto"/>
                <w:highlight w:val="white"/>
                <w:w w:val="96"/>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-2759710</wp:posOffset>
            </wp:positionV>
            <wp:extent cx="8572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-2759710</wp:posOffset>
            </wp:positionV>
            <wp:extent cx="7683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-2759710</wp:posOffset>
            </wp:positionV>
            <wp:extent cx="8572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-2759710</wp:posOffset>
            </wp:positionV>
            <wp:extent cx="8572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-2759710</wp:posOffset>
            </wp:positionV>
            <wp:extent cx="7747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-2296795</wp:posOffset>
            </wp:positionV>
            <wp:extent cx="85725"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-2296795</wp:posOffset>
            </wp:positionV>
            <wp:extent cx="76835"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-2296795</wp:posOffset>
            </wp:positionV>
            <wp:extent cx="85725"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-2296795</wp:posOffset>
            </wp:positionV>
            <wp:extent cx="85725"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-2296795</wp:posOffset>
            </wp:positionV>
            <wp:extent cx="7747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-1602740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-1584960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-1602740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-1584960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-1602740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-1584960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-1602740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-1584960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-1602740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-1584960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-1602740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-1584960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-1602740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-1584960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-1602740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-1584960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-187960</wp:posOffset>
            </wp:positionV>
            <wp:extent cx="857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7747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-187960</wp:posOffset>
            </wp:positionV>
            <wp:extent cx="857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220" w:firstLine="255"/>
        <w:spacing w:after="0" w:line="257" w:lineRule="auto"/>
        <w:rPr>
          <w:sz w:val="20"/>
          <w:szCs w:val="20"/>
          <w:color w:val="auto"/>
        </w:rPr>
      </w:pPr>
      <w:r>
        <w:rPr>
          <w:rFonts w:ascii="Arial" w:cs="Arial" w:eastAsia="Arial" w:hAnsi="Arial"/>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3"/>
              </w:rPr>
              <w:t>Second Quarter</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90"/>
              <w:spacing w:after="0"/>
              <w:rPr>
                <w:sz w:val="20"/>
                <w:szCs w:val="20"/>
                <w:color w:val="auto"/>
              </w:rPr>
            </w:pPr>
            <w:r>
              <w:rPr>
                <w:rFonts w:ascii="Arial" w:cs="Arial" w:eastAsia="Arial" w:hAnsi="Arial"/>
                <w:sz w:val="14"/>
                <w:szCs w:val="14"/>
                <w:b w:val="1"/>
                <w:bCs w:val="1"/>
                <w:color w:val="auto"/>
                <w:w w:val="93"/>
              </w:rPr>
              <w:t>Second Quarter</w:t>
            </w:r>
          </w:p>
        </w:tc>
        <w:tc>
          <w:tcPr>
            <w:tcW w:w="160" w:type="dxa"/>
            <w:vAlign w:val="bottom"/>
          </w:tcPr>
          <w:p>
            <w:pPr>
              <w:spacing w:after="0"/>
              <w:rPr>
                <w:sz w:val="14"/>
                <w:szCs w:val="14"/>
                <w:color w:val="auto"/>
              </w:rPr>
            </w:pPr>
          </w:p>
        </w:tc>
        <w:tc>
          <w:tcPr>
            <w:tcW w:w="182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4"/>
              </w:rPr>
              <w:t>Two Fiscal Quarters</w:t>
            </w:r>
          </w:p>
        </w:tc>
        <w:tc>
          <w:tcPr>
            <w:tcW w:w="16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Two Fiscal Quarters</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5"/>
              </w:rPr>
              <w:t>of 2023</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4"/>
                <w:szCs w:val="14"/>
                <w:b w:val="1"/>
                <w:bCs w:val="1"/>
                <w:color w:val="auto"/>
                <w:w w:val="95"/>
              </w:rPr>
              <w:t>of 2022</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91"/>
              </w:rPr>
              <w:t>of 2023</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Company-owned stores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U.S. franchise royalties and fees</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41.2 %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36.4 %</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40.7 %</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franchise advertising</w:t>
            </w: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32.9 %</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31.6 %</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33.5 %</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Pr>
          <w:p>
            <w:pPr>
              <w:ind w:left="200"/>
              <w:spacing w:after="0"/>
              <w:rPr>
                <w:sz w:val="20"/>
                <w:szCs w:val="20"/>
                <w:color w:val="auto"/>
              </w:rPr>
            </w:pPr>
            <w:r>
              <w:rPr>
                <w:rFonts w:ascii="Arial" w:cs="Arial" w:eastAsia="Arial" w:hAnsi="Arial"/>
                <w:sz w:val="18"/>
                <w:szCs w:val="18"/>
                <w:color w:val="auto"/>
              </w:rPr>
              <w:t>Total U.S. Stores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84"/>
              </w:rPr>
              <w:t xml:space="preserve">100.0 </w:t>
            </w:r>
            <w:r>
              <w:rPr>
                <w:rFonts w:ascii="Arial" w:cs="Arial" w:eastAsia="Arial" w:hAnsi="Arial"/>
                <w:sz w:val="18"/>
                <w:szCs w:val="18"/>
                <w:color w:val="auto"/>
                <w:highlight w:val="white"/>
                <w:w w:val="84"/>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 xml:space="preserve">100.0 </w:t>
            </w:r>
            <w:r>
              <w:rPr>
                <w:rFonts w:ascii="Arial" w:cs="Arial" w:eastAsia="Arial" w:hAnsi="Arial"/>
                <w:sz w:val="18"/>
                <w:szCs w:val="18"/>
                <w:color w:val="auto"/>
                <w:highlight w:val="white"/>
                <w:w w:val="96"/>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-187960</wp:posOffset>
            </wp:positionV>
            <wp:extent cx="8572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7747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7747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-187960</wp:posOffset>
            </wp:positionV>
            <wp:extent cx="857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Company-owned Stores</w:t>
      </w:r>
    </w:p>
    <w:p>
      <w:pPr>
        <w:spacing w:after="0" w:line="131"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Revenues from U.S. Company-owned store operations decreased $24.8 million, or 22.1%, in the second quarter of 2023, and decreased $43.8 million, or 20.2%, in the two fiscal quarters of 2023 primarily due to a decrease in the average number of U.S. Company-owned stores open during the period resulting from the refranchising of 114 U.S. Company-owned stores in Arizona and Utah in the fourth quarter of 2022 to certain of our U.S. franchisees (the “2022 Store Sale”). This decrease was partially offset by higher same store sales, and, to a lesser extent in the two fiscal quarters of 2023, our purchase of 23 U.S. franchise stores in Michigan in the first quarter of 2022.</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U.S. Company-owned same store sales increased 5.5% in the second quarter of 2023 and increased 6.4% in the two fiscal quarters of 2023.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Company-owned same store sales declined 9.2% in the second quarter of 2022 and declined 9.8% in the two fiscal quarters of 2022.</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36"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U.S. Franchise Royalties and Fees</w:t>
      </w:r>
    </w:p>
    <w:p>
      <w:pPr>
        <w:spacing w:after="0" w:line="131"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Revenues from U.S. franchise royalties and fees increased $11.2 million, or 8.7%, in the second quarter of 2023, and increased $21.7 million, or 8.7%, in the two fiscal quarters of 2023 primarily due to an increase in fees paid by our franchisees for the use of our technology platforms and an increase in the average number of U.S. franchised stores open during the period resulting from net store growth and the 2022 Store Sale. Revenues from U.S. franchise royalties and fees were also benefited by higher same store sales in the two fiscal quarters of 2023.</w:t>
      </w:r>
    </w:p>
    <w:p>
      <w:pPr>
        <w:spacing w:after="0" w:line="171" w:lineRule="exact"/>
        <w:rPr>
          <w:sz w:val="20"/>
          <w:szCs w:val="20"/>
          <w:color w:val="auto"/>
        </w:rPr>
      </w:pPr>
    </w:p>
    <w:p>
      <w:pPr>
        <w:ind w:right="300" w:firstLine="255"/>
        <w:spacing w:after="0" w:line="308" w:lineRule="auto"/>
        <w:rPr>
          <w:sz w:val="20"/>
          <w:szCs w:val="20"/>
          <w:color w:val="auto"/>
        </w:rPr>
      </w:pPr>
      <w:r>
        <w:rPr>
          <w:rFonts w:ascii="Arial" w:cs="Arial" w:eastAsia="Arial" w:hAnsi="Arial"/>
          <w:sz w:val="17"/>
          <w:szCs w:val="17"/>
          <w:color w:val="auto"/>
        </w:rPr>
        <w:t>U.S. franchise same store sales declined 0.1% and increased 1.6% in the second quarter and two fiscal quarters of 2023, respectively. U.S. franchise same store sales declined 2.5% and 2.9% in the second quarter and two fiscal quarters of 2022,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Franchise Advertising</w:t>
      </w:r>
    </w:p>
    <w:p>
      <w:pPr>
        <w:spacing w:after="0" w:line="131" w:lineRule="exact"/>
        <w:rPr>
          <w:sz w:val="20"/>
          <w:szCs w:val="20"/>
          <w:color w:val="auto"/>
        </w:rPr>
      </w:pPr>
    </w:p>
    <w:p>
      <w:pPr>
        <w:ind w:right="120" w:firstLine="284"/>
        <w:spacing w:after="0" w:line="257" w:lineRule="auto"/>
        <w:rPr>
          <w:sz w:val="20"/>
          <w:szCs w:val="20"/>
          <w:color w:val="auto"/>
        </w:rPr>
      </w:pPr>
      <w:r>
        <w:rPr>
          <w:rFonts w:ascii="Arial" w:cs="Arial" w:eastAsia="Arial" w:hAnsi="Arial"/>
          <w:sz w:val="18"/>
          <w:szCs w:val="18"/>
          <w:color w:val="auto"/>
        </w:rPr>
        <w:t>Revenues from U.S. franchise advertising increased $0.4 million, or 0.3%, in the second quarter of 2023, and increased $6.5 million, or 3.0%, in the two fiscal quarters of 2023 due to an increase in the average number of U.S. franchised stores open during the period resulting from net store growth and the 2022 Store Sale. Revenues from U.S. franchise advertising also benefited from higher same store sales in the two fiscal quarters of 2023. These increases were partially offset by a reduction of 0.25% to the standard 6.0% advertising contribution which was effectuated at the beginning of the second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31" w:lineRule="exact"/>
        <w:rPr>
          <w:sz w:val="20"/>
          <w:szCs w:val="20"/>
          <w:color w:val="auto"/>
        </w:rPr>
      </w:pPr>
    </w:p>
    <w:p>
      <w:pPr>
        <w:ind w:right="20" w:firstLine="255"/>
        <w:spacing w:after="0" w:line="270" w:lineRule="auto"/>
        <w:rPr>
          <w:sz w:val="20"/>
          <w:szCs w:val="20"/>
          <w:color w:val="auto"/>
        </w:rPr>
      </w:pPr>
      <w:r>
        <w:rPr>
          <w:rFonts w:ascii="Arial" w:cs="Arial" w:eastAsia="Arial" w:hAnsi="Arial"/>
          <w:sz w:val="17"/>
          <w:szCs w:val="17"/>
          <w:color w:val="auto"/>
        </w:rPr>
        <w:t>Supply chain revenues decreased $30.9 million, or 4.8%, in the second quarter of 2023 due to lower order volumes at our U.S. franchised stores as well as a decrease in our market basket pricing to stores of 2.4% in the second quarter of 2023, which resulted in an estimated $13.4 million decrease in supply chain revenues. Supply chain revenues decreased $16.2 million, or 1.3%, in the two fiscal quarters of 2023 due primarily to lower order volumes at our U.S. franchised stores, but this decrease was partially offset by an increase in our market basket pricing to stores. Our market basket pricing to stores increased 1.1% during the two fiscal quarters of 2023 which resulted in an estimated $11.7 million increase in supply chain revenues. The market basket pricing change, a statistical measure utilized by management, is calculated as the percentage change of the market basket purchased by an average U.S. store (based on average weekly unit sales) from our U.S. supply chain centers against the comparable period of the prior year. We believe this measure is important to understanding Company performance because as our market basket prices fluctuate, our revenues, cost of sales and gross margin percentages in our supply chain segment also fluctuate.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Royalties and Fee Revenues</w:t>
      </w:r>
    </w:p>
    <w:p>
      <w:pPr>
        <w:spacing w:after="0" w:line="117" w:lineRule="exact"/>
        <w:rPr>
          <w:sz w:val="20"/>
          <w:szCs w:val="20"/>
          <w:color w:val="auto"/>
        </w:rPr>
      </w:pPr>
    </w:p>
    <w:p>
      <w:pPr>
        <w:ind w:firstLine="255"/>
        <w:spacing w:after="0" w:line="253" w:lineRule="auto"/>
        <w:rPr>
          <w:sz w:val="20"/>
          <w:szCs w:val="20"/>
          <w:color w:val="auto"/>
        </w:rPr>
      </w:pPr>
      <w:r>
        <w:rPr>
          <w:rFonts w:ascii="Arial" w:cs="Arial" w:eastAsia="Arial" w:hAnsi="Arial"/>
          <w:sz w:val="18"/>
          <w:szCs w:val="18"/>
          <w:color w:val="auto"/>
        </w:rPr>
        <w:t>Revenues from international franchise royalties and fees increased $3.6 million, or 5.4%, in the second quarter of 2023, and increased $4.4 million, or 3.3%, in the two fiscal quarters of 2023 due primarily to same store sales growth (excluding foreign currency impact) and an increase in the average number of international franchised stores open during the period, resulting from net store growth. The negative impact of changes in foreign currency exchange rates of $2.0 million in the second quarter of 2023 and $6.3 million in the two fiscal quarters of 2023 partially offset the increases in international franchise royalties and fees revenues.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8" w:lineRule="exact"/>
        <w:rPr>
          <w:sz w:val="20"/>
          <w:szCs w:val="20"/>
          <w:color w:val="auto"/>
        </w:rPr>
      </w:pPr>
    </w:p>
    <w:p>
      <w:pPr>
        <w:ind w:right="360" w:firstLine="255"/>
        <w:spacing w:after="0" w:line="263" w:lineRule="auto"/>
        <w:rPr>
          <w:sz w:val="20"/>
          <w:szCs w:val="20"/>
          <w:color w:val="auto"/>
        </w:rPr>
      </w:pPr>
      <w:r>
        <w:rPr>
          <w:rFonts w:ascii="Arial" w:cs="Arial" w:eastAsia="Arial" w:hAnsi="Arial"/>
          <w:sz w:val="18"/>
          <w:szCs w:val="18"/>
          <w:color w:val="auto"/>
        </w:rPr>
        <w:t>Excluding the impact of foreign currency exchange rates, international franchise same store sales increased 3.6% in the second quarter of 2023 and increased 2.3% in the two fiscal quarters of 2023. Excluding the impact of foreign currency exchange rates, international franchise same store sales declined 2.2% and 0.5% in the second quarter and two fiscal quarters of 2022, respectively.</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Cost of Sales / Gross Margin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3"/>
              </w:rPr>
              <w:t>Second Quarter</w:t>
            </w:r>
          </w:p>
        </w:tc>
        <w:tc>
          <w:tcPr>
            <w:tcW w:w="160" w:type="dxa"/>
            <w:vAlign w:val="bottom"/>
          </w:tcPr>
          <w:p>
            <w:pPr>
              <w:spacing w:after="0"/>
              <w:rPr>
                <w:sz w:val="14"/>
                <w:szCs w:val="14"/>
                <w:color w:val="auto"/>
              </w:rPr>
            </w:pPr>
          </w:p>
        </w:tc>
        <w:tc>
          <w:tcPr>
            <w:tcW w:w="182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Second Quarter</w:t>
            </w:r>
          </w:p>
        </w:tc>
        <w:tc>
          <w:tcPr>
            <w:tcW w:w="180" w:type="dxa"/>
            <w:vAlign w:val="bottom"/>
          </w:tcPr>
          <w:p>
            <w:pPr>
              <w:spacing w:after="0"/>
              <w:rPr>
                <w:sz w:val="14"/>
                <w:szCs w:val="14"/>
                <w:color w:val="auto"/>
              </w:rPr>
            </w:pPr>
          </w:p>
        </w:tc>
        <w:tc>
          <w:tcPr>
            <w:tcW w:w="182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2"/>
              </w:rPr>
              <w:t>Two Fiscal Quarters</w:t>
            </w:r>
          </w:p>
        </w:tc>
        <w:tc>
          <w:tcPr>
            <w:tcW w:w="160" w:type="dxa"/>
            <w:vAlign w:val="bottom"/>
          </w:tcPr>
          <w:p>
            <w:pPr>
              <w:spacing w:after="0"/>
              <w:rPr>
                <w:sz w:val="14"/>
                <w:szCs w:val="14"/>
                <w:color w:val="auto"/>
              </w:rPr>
            </w:pPr>
          </w:p>
        </w:tc>
        <w:tc>
          <w:tcPr>
            <w:tcW w:w="17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Two Fiscal Quarters</w:t>
            </w:r>
          </w:p>
        </w:tc>
      </w:tr>
      <w:tr>
        <w:trPr>
          <w:trHeight w:val="185"/>
        </w:trPr>
        <w:tc>
          <w:tcPr>
            <w:tcW w:w="3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1,024.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1,065.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2,049.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2,076.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3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100.0 %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100.0 %</w:t>
            </w:r>
          </w:p>
        </w:tc>
        <w:tc>
          <w:tcPr>
            <w:tcW w:w="40" w:type="dxa"/>
            <w:vAlign w:val="bottom"/>
          </w:tcPr>
          <w:p>
            <w:pPr>
              <w:spacing w:after="0"/>
              <w:rPr>
                <w:sz w:val="21"/>
                <w:szCs w:val="21"/>
                <w:color w:val="auto"/>
              </w:rPr>
            </w:pPr>
          </w:p>
        </w:tc>
      </w:tr>
      <w:tr>
        <w:trPr>
          <w:trHeight w:val="215"/>
        </w:trPr>
        <w:tc>
          <w:tcPr>
            <w:tcW w:w="338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1,258.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9"/>
              </w:rPr>
              <w:t>1,321.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620.0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60.5 %</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678.9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63.7 %</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61.4 %</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63.6 %</w:t>
            </w:r>
          </w:p>
        </w:tc>
      </w:tr>
      <w:tr>
        <w:trPr>
          <w:trHeight w:val="277"/>
        </w:trPr>
        <w:tc>
          <w:tcPr>
            <w:tcW w:w="3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ind w:right="80" w:firstLine="255"/>
        <w:spacing w:after="0" w:line="273" w:lineRule="auto"/>
        <w:rPr>
          <w:sz w:val="20"/>
          <w:szCs w:val="20"/>
          <w:color w:val="auto"/>
        </w:rPr>
      </w:pPr>
      <w:r>
        <w:rPr>
          <w:rFonts w:ascii="Arial" w:cs="Arial" w:eastAsia="Arial" w:hAnsi="Arial"/>
          <w:sz w:val="17"/>
          <w:szCs w:val="17"/>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$18.4 million, or 4.8%, in the second quarter of 2023, and increased $35.3 million, or 4.7%, in the two fiscal quarters of 2023 due primarily to higher global franchise revenues.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margins remain unchanged.</w:t>
      </w:r>
    </w:p>
    <w:p>
      <w:pPr>
        <w:spacing w:after="0" w:line="70" w:lineRule="exact"/>
        <w:rPr>
          <w:sz w:val="20"/>
          <w:szCs w:val="20"/>
          <w:color w:val="auto"/>
        </w:rPr>
      </w:pPr>
    </w:p>
    <w:p>
      <w:pPr>
        <w:ind w:right="120" w:firstLine="255"/>
        <w:spacing w:after="0" w:line="301" w:lineRule="auto"/>
        <w:rPr>
          <w:sz w:val="20"/>
          <w:szCs w:val="20"/>
          <w:color w:val="auto"/>
        </w:rPr>
      </w:pPr>
      <w:r>
        <w:rPr>
          <w:rFonts w:ascii="Arial" w:cs="Arial" w:eastAsia="Arial" w:hAnsi="Arial"/>
          <w:sz w:val="16"/>
          <w:szCs w:val="16"/>
          <w:color w:val="auto"/>
        </w:rPr>
        <w:t>As a percentage of revenues, the consolidated gross margin increased 3.2 percentage points in the second quarter of 2023 and increased 2.2 percentage points in the two fiscal quarters of 2023. U.S. Company-owned store gross margin increased 2.2 percentage points in the second quarter of 2023 and increased 1.5 percentage points in the two fiscal quarters of 2023. Supply chain gross margin increased 1.4 percentage points in the second quarter of 2023 and increased 0.7 percentage points in the two fiscal quarters of 2023. These changes in gross margin are described in more detail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Company-Owned Store Gross Margin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Second Quarter</w:t>
            </w:r>
          </w:p>
        </w:tc>
        <w:tc>
          <w:tcPr>
            <w:tcW w:w="180" w:type="dxa"/>
            <w:vAlign w:val="bottom"/>
          </w:tcPr>
          <w:p>
            <w:pPr>
              <w:spacing w:after="0"/>
              <w:rPr>
                <w:sz w:val="14"/>
                <w:szCs w:val="14"/>
                <w:color w:val="auto"/>
              </w:rPr>
            </w:pPr>
          </w:p>
        </w:tc>
        <w:tc>
          <w:tcPr>
            <w:tcW w:w="178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3"/>
              </w:rPr>
              <w:t>Second Quarter</w:t>
            </w:r>
          </w:p>
        </w:tc>
        <w:tc>
          <w:tcPr>
            <w:tcW w:w="160" w:type="dxa"/>
            <w:vAlign w:val="bottom"/>
          </w:tcPr>
          <w:p>
            <w:pPr>
              <w:spacing w:after="0"/>
              <w:rPr>
                <w:sz w:val="14"/>
                <w:szCs w:val="14"/>
                <w:color w:val="auto"/>
              </w:rPr>
            </w:pPr>
          </w:p>
        </w:tc>
        <w:tc>
          <w:tcPr>
            <w:tcW w:w="178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2"/>
              </w:rPr>
              <w:t>Two Fiscal Quarters</w:t>
            </w:r>
          </w:p>
        </w:tc>
        <w:tc>
          <w:tcPr>
            <w:tcW w:w="160" w:type="dxa"/>
            <w:vAlign w:val="bottom"/>
          </w:tcPr>
          <w:p>
            <w:pPr>
              <w:spacing w:after="0"/>
              <w:rPr>
                <w:sz w:val="14"/>
                <w:szCs w:val="14"/>
                <w:color w:val="auto"/>
              </w:rPr>
            </w:pPr>
          </w:p>
        </w:tc>
        <w:tc>
          <w:tcPr>
            <w:tcW w:w="17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Two Fiscal Quarters</w:t>
            </w:r>
          </w:p>
        </w:tc>
      </w:tr>
      <w:tr>
        <w:trPr>
          <w:trHeight w:val="185"/>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2023</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7"/>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112.5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172.6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0"/>
                <w:szCs w:val="20"/>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81.4 %</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83.6 %</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82.3 %</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83.8 %</w:t>
            </w:r>
          </w:p>
        </w:tc>
        <w:tc>
          <w:tcPr>
            <w:tcW w:w="40" w:type="dxa"/>
            <w:vAlign w:val="bottom"/>
          </w:tcPr>
          <w:p>
            <w:pPr>
              <w:spacing w:after="0"/>
              <w:rPr>
                <w:sz w:val="20"/>
                <w:szCs w:val="20"/>
                <w:color w:val="auto"/>
              </w:rPr>
            </w:pPr>
          </w:p>
        </w:tc>
      </w:tr>
      <w:tr>
        <w:trPr>
          <w:trHeight w:val="276"/>
        </w:trPr>
        <w:tc>
          <w:tcPr>
            <w:tcW w:w="3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Store gross margin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ind w:right="140" w:firstLine="255"/>
        <w:spacing w:after="0" w:line="301" w:lineRule="auto"/>
        <w:rPr>
          <w:sz w:val="20"/>
          <w:szCs w:val="20"/>
          <w:color w:val="auto"/>
        </w:rPr>
      </w:pPr>
      <w:r>
        <w:rPr>
          <w:rFonts w:ascii="Arial" w:cs="Arial" w:eastAsia="Arial" w:hAnsi="Arial"/>
          <w:sz w:val="16"/>
          <w:szCs w:val="16"/>
          <w:color w:val="auto"/>
        </w:rPr>
        <w:t>U.S. Company-owned store gross margin (which does not include certain store-level costs such as royalties and advertising) decreased $2.1 million, or 11.7%, in the second quarter of 2023 and decreased $4.4 million, or 12.4%, in the two fiscal quarters of 2023 due primarily to the 2022 Store Sale. As a percentage of store revenues, the U.S. Company-owned store gross margin increased 2.2 percentage points in the second quarter of 2023 and increased 1.5 percentage points in the two fiscal quarters of 2023. These changes in gross margin as a percentage of revenues are discussed in additional detail below.</w:t>
      </w:r>
    </w:p>
    <w:p>
      <w:pPr>
        <w:spacing w:after="0" w:line="49" w:lineRule="exact"/>
        <w:rPr>
          <w:sz w:val="20"/>
          <w:szCs w:val="20"/>
          <w:color w:val="auto"/>
        </w:rPr>
      </w:pPr>
    </w:p>
    <w:p>
      <w:pPr>
        <w:ind w:left="940" w:right="140" w:hanging="303"/>
        <w:spacing w:after="0" w:line="293"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Food costs decreased 2.9 percentage points to 28.7% in the second quarter of 2023, and decreased 2.3 percentage points to 29.0% in the two fiscal quarters of 2023 driven primarily by higher same store sales as a result of increases in menu and national offer pricing and improved sales leverage, as well as the impact of the 2022 Store Sale due to higher average food costs in the markets in which the sold stores operated. The decrease in the market basket pricing to stores also contributed to the improvement in food cost as a percentage of U.S. Company-owned store revenues in the second quarter of 2023, while the increase in the market basket pricing to stores partially offset the decrease in food cost as a percentage of U.S. Company-owned store revenues in the two fiscal quarters of 2023.</w:t>
      </w:r>
    </w:p>
    <w:p>
      <w:pPr>
        <w:spacing w:after="0" w:line="56" w:lineRule="exact"/>
        <w:rPr>
          <w:rFonts w:ascii="Arial" w:cs="Arial" w:eastAsia="Arial" w:hAnsi="Arial"/>
          <w:sz w:val="16"/>
          <w:szCs w:val="16"/>
          <w:color w:val="auto"/>
        </w:rPr>
      </w:pPr>
    </w:p>
    <w:p>
      <w:pPr>
        <w:ind w:left="940" w:right="200" w:hanging="303"/>
        <w:spacing w:after="0" w:line="263"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costs increased 1.7 percentage points to 30.7% in the second quarter of 2023 and increased 1.1 percentage points to 31.0% in the two fiscal quarters of 2023 due primarily to higher wage rates in our U.S. Company-owned stores in the second quarter and two fiscal quarters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Gross Margin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3"/>
              </w:rPr>
              <w:t>Second Quarter</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90"/>
              <w:spacing w:after="0"/>
              <w:rPr>
                <w:sz w:val="20"/>
                <w:szCs w:val="20"/>
                <w:color w:val="auto"/>
              </w:rPr>
            </w:pPr>
            <w:r>
              <w:rPr>
                <w:rFonts w:ascii="Arial" w:cs="Arial" w:eastAsia="Arial" w:hAnsi="Arial"/>
                <w:sz w:val="14"/>
                <w:szCs w:val="14"/>
                <w:b w:val="1"/>
                <w:bCs w:val="1"/>
                <w:color w:val="auto"/>
                <w:w w:val="93"/>
              </w:rPr>
              <w:t>Second Quarter</w:t>
            </w:r>
          </w:p>
        </w:tc>
        <w:tc>
          <w:tcPr>
            <w:tcW w:w="140" w:type="dxa"/>
            <w:vAlign w:val="bottom"/>
          </w:tcPr>
          <w:p>
            <w:pPr>
              <w:spacing w:after="0"/>
              <w:rPr>
                <w:sz w:val="14"/>
                <w:szCs w:val="14"/>
                <w:color w:val="auto"/>
              </w:rPr>
            </w:pPr>
          </w:p>
        </w:tc>
        <w:tc>
          <w:tcPr>
            <w:tcW w:w="184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4"/>
              </w:rPr>
              <w:t>Two Fiscal Quarters</w:t>
            </w:r>
          </w:p>
        </w:tc>
        <w:tc>
          <w:tcPr>
            <w:tcW w:w="140" w:type="dxa"/>
            <w:vAlign w:val="bottom"/>
          </w:tcPr>
          <w:p>
            <w:pPr>
              <w:spacing w:after="0"/>
              <w:rPr>
                <w:sz w:val="14"/>
                <w:szCs w:val="14"/>
                <w:color w:val="auto"/>
              </w:rPr>
            </w:pPr>
          </w:p>
        </w:tc>
        <w:tc>
          <w:tcPr>
            <w:tcW w:w="17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Two Fiscal Quarters</w:t>
            </w:r>
          </w:p>
        </w:tc>
      </w:tr>
      <w:tr>
        <w:trPr>
          <w:trHeight w:val="185"/>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5"/>
              </w:rPr>
              <w:t>of 2023</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w w:val="95"/>
              </w:rPr>
              <w:t>of 2022</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1"/>
              </w:rPr>
              <w:t>of 2023</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1"/>
              </w:rPr>
              <w:t>of 2022</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1,239.9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1,256.1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0"/>
                <w:szCs w:val="20"/>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548.5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89.1 %</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584.9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90.5 %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1,116.8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90.1 %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1,140.0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90.8 %</w:t>
            </w:r>
          </w:p>
        </w:tc>
        <w:tc>
          <w:tcPr>
            <w:tcW w:w="40" w:type="dxa"/>
            <w:vAlign w:val="bottom"/>
          </w:tcPr>
          <w:p>
            <w:pPr>
              <w:spacing w:after="0"/>
              <w:rPr>
                <w:sz w:val="20"/>
                <w:szCs w:val="20"/>
                <w:color w:val="auto"/>
              </w:rPr>
            </w:pPr>
          </w:p>
        </w:tc>
      </w:tr>
      <w:tr>
        <w:trPr>
          <w:trHeight w:val="277"/>
        </w:trPr>
        <w:tc>
          <w:tcPr>
            <w:tcW w:w="3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Supply chain gross margin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-24765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60" w:firstLine="255"/>
        <w:spacing w:after="0" w:line="273" w:lineRule="auto"/>
        <w:rPr>
          <w:sz w:val="20"/>
          <w:szCs w:val="20"/>
          <w:color w:val="auto"/>
        </w:rPr>
      </w:pPr>
      <w:r>
        <w:rPr>
          <w:rFonts w:ascii="Arial" w:cs="Arial" w:eastAsia="Arial" w:hAnsi="Arial"/>
          <w:sz w:val="17"/>
          <w:szCs w:val="17"/>
          <w:color w:val="auto"/>
        </w:rPr>
        <w:t>Supply chain gross margin increased $5.5 million, or 8.8%, in the second quarter of 2023, and increased $7.0 million, or 6.0%, in the two fiscal quarters of 2023. As a percentage of supply chain revenues, the supply chain gross margin increased 1.4 percentage points in the second quarter of 2023 due primarily to lower food costs as a percentage of supply chain revenues, as well as procurement productivity. As a percentage of supply chain revenues, the supply chain gross margin increased 0.7 percentage points in the two fiscal quarters of 2023 due primarily to procurement productivity but was partially offset by higher food cost as a percentage of supply chain revenues. The improvements in supply chain gross margin as a percentage of supply chain revenues were partially offset in both the second quarter and two fiscal quarters of 2023 by higher labor costs.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General and Administrative Expenses</w:t>
      </w:r>
    </w:p>
    <w:p>
      <w:pPr>
        <w:spacing w:after="0" w:line="117"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General and administrative expenses increased $0.7 million, or 0.7%, in the second quarter of 2023, driven primarily by higher labor costs. General and administrative expenses decreased $1.6 million, or 0.8%, in the two fiscal quarters of 2023, driven primarily by lower professional fees and travel costs, partially offset by higher labor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Franchise Advertising Expenses</w:t>
      </w:r>
    </w:p>
    <w:p>
      <w:pPr>
        <w:spacing w:after="0" w:line="131"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U.S. franchise advertising expenses increased $0.4 million, or 0.3%, in the second quarter of 2023, and increased $6.5 million, or 3.0%, in the two fiscal quarters of 2023 consistent with the increase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Expense</w:t>
      </w:r>
    </w:p>
    <w:p>
      <w:pPr>
        <w:spacing w:after="0" w:line="131" w:lineRule="exact"/>
        <w:rPr>
          <w:sz w:val="20"/>
          <w:szCs w:val="20"/>
          <w:color w:val="auto"/>
        </w:rPr>
      </w:pPr>
    </w:p>
    <w:p>
      <w:pPr>
        <w:ind w:right="140" w:firstLine="255"/>
        <w:spacing w:after="0" w:line="342" w:lineRule="auto"/>
        <w:rPr>
          <w:sz w:val="20"/>
          <w:szCs w:val="20"/>
          <w:color w:val="auto"/>
        </w:rPr>
      </w:pPr>
      <w:r>
        <w:rPr>
          <w:rFonts w:ascii="Arial" w:cs="Arial" w:eastAsia="Arial" w:hAnsi="Arial"/>
          <w:sz w:val="16"/>
          <w:szCs w:val="16"/>
          <w:color w:val="auto"/>
        </w:rPr>
        <w:t>During the second quarter of 2023, we recorded a $15.0 million unrealized loss on our investment in DPC Dash (Note 5) based on the active exchange quoted price for the equity security. We did not record any adjustments to the carrying amount in the first quarter of 2023 or two fiscal quarters of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Interest expense, net decreased $2.2 million, or 5.0%, in the second quarter of 2023, and decreased $4.9 million, or 5.4%, in the two fiscal quarters of 2023 each driven by higher interest income on our cash equivalents.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was 3.8% in the second quarter and two fiscal quarters of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Provision for Income Taxes</w:t>
      </w:r>
    </w:p>
    <w:p>
      <w:pPr>
        <w:spacing w:after="0" w:line="117"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Provision for income taxes decreased $2.3 million, or 7.5%, in the second quarter of 2023 due to a lower effective tax rate, partially offset by higher income before provision for income taxes. The effective tax rate decreased to 20.8% during the second quarter of 2023 as compared to 23.2% in the second quarter of 2022, driven in part by higher foreign tax credits and a higher foreign derived intangible income deduction. Provision for income taxes decreased $0.5 million, or 0.9%, in the two fiscal quarters of 2023 due to a lower effective tax rate, partially offset by higher income before provision for income taxes. The effective tax rate decreased to 21.1% during the two fiscal quarters of 2023 as compared to 23.0% in the two fiscal quarters of 2022, driven in part by higher foreign tax credits and a higher foreign derived intangible income deduction.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Segment Income</w:t>
      </w:r>
    </w:p>
    <w:p>
      <w:pPr>
        <w:spacing w:after="0" w:line="117" w:lineRule="exact"/>
        <w:rPr>
          <w:sz w:val="20"/>
          <w:szCs w:val="20"/>
          <w:color w:val="auto"/>
        </w:rPr>
      </w:pPr>
    </w:p>
    <w:p>
      <w:pPr>
        <w:ind w:right="500" w:firstLine="255"/>
        <w:spacing w:after="0" w:line="279"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63"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In the first quarter of 2023, we changed our allocation methodology for certain costs which support certain internally developed software used across our franchise system. The change in allocation methodology of certain software development costs resulted in an estimated increase in U.S. stores Segment Income of $15.8 million, an estimated increase in international franchise Segment Income of $1.9 million and an estimated decrease in other Segment Income of $17.7 million in the second quarter of 2023. The change in allocation methodology of certain software development costs resulted in an estimated increase in U.S. stores Segment Income of $25.9 million, an estimated increase in international franchise Segment Income of $3.8 million and an estimated decrease in other Segment Income of $29.7 million in the two fiscal quarters of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8"/>
              </w:rPr>
              <w:t>Second Quarter</w:t>
            </w: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Second Quarter</w:t>
            </w:r>
          </w:p>
        </w:tc>
        <w:tc>
          <w:tcPr>
            <w:tcW w:w="16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Two Fiscal</w:t>
            </w:r>
          </w:p>
        </w:tc>
        <w:tc>
          <w:tcPr>
            <w:tcW w:w="1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Two Fiscal</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Quarters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 2023</w:t>
            </w:r>
          </w:p>
        </w:tc>
        <w:tc>
          <w:tcPr>
            <w:tcW w:w="240" w:type="dxa"/>
            <w:vAlign w:val="bottom"/>
          </w:tcPr>
          <w:p>
            <w:pPr>
              <w:spacing w:after="0"/>
              <w:rPr>
                <w:sz w:val="16"/>
                <w:szCs w:val="16"/>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2022</w:t>
            </w:r>
          </w:p>
        </w:tc>
        <w:tc>
          <w:tcPr>
            <w:tcW w:w="160" w:type="dxa"/>
            <w:vAlign w:val="bottom"/>
          </w:tcPr>
          <w:p>
            <w:pPr>
              <w:spacing w:after="0"/>
              <w:rPr>
                <w:sz w:val="16"/>
                <w:szCs w:val="16"/>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of 2023</w:t>
            </w:r>
          </w:p>
        </w:tc>
        <w:tc>
          <w:tcPr>
            <w:tcW w:w="1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2022</w:t>
            </w: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stores</w:t>
            </w: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Supply chain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 franchise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(18.9 )</w:t>
            </w:r>
          </w:p>
        </w:tc>
        <w:tc>
          <w:tcPr>
            <w:tcW w:w="2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(5.6 )</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(34.6 )</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Stores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U.S. stores Segment Income increased $19.5 million, or 18.8%, in the second quarter of 2023, primarily due to the change in allocation methodology for certain software development costs, as well as higher U.S. franchise royalties and fees revenues, each as discussed above. These increases were partially offset by the $2.1 million decrease in U.S. Company-owned store gross margin, as discussed above. U.S. stores Segment Income increased $34.9 million, or 17.3%, in the two fiscal quarters of 2023, primarily due to the change in allocation methodology for certain software development costs, as well as higher U.S. franchise royalties and fees revenues, each as discussed above. These increases were partially offset by the $4.4 million decrease in U.S. Company-owned store gross margin,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Supply chain Segment Income increased $6.4 million, or 11.9%, in the second quarter of 2023, primarily due to the $5.5 million increase in supply chain gross margin described above. Supply chain Segment Income increased $8.6 million, or 8.6%, in the two fiscal quarters of 2023, primarily due to the $7.0 million increase in supply chain gross margin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w:t>
      </w:r>
    </w:p>
    <w:p>
      <w:pPr>
        <w:spacing w:after="0" w:line="117" w:lineRule="exact"/>
        <w:rPr>
          <w:sz w:val="20"/>
          <w:szCs w:val="20"/>
          <w:color w:val="auto"/>
        </w:rPr>
      </w:pPr>
    </w:p>
    <w:p>
      <w:pPr>
        <w:ind w:right="100" w:firstLine="255"/>
        <w:spacing w:after="0" w:line="296" w:lineRule="auto"/>
        <w:rPr>
          <w:sz w:val="20"/>
          <w:szCs w:val="20"/>
          <w:color w:val="auto"/>
        </w:rPr>
      </w:pPr>
      <w:r>
        <w:rPr>
          <w:rFonts w:ascii="Arial" w:cs="Arial" w:eastAsia="Arial" w:hAnsi="Arial"/>
          <w:sz w:val="16"/>
          <w:szCs w:val="16"/>
          <w:color w:val="auto"/>
        </w:rPr>
        <w:t>International franchise Segment Income increased $6.0 million, or 11.3%, in the second quarter of 2023, primarily due to higher international franchise royalties and fees revenues as well as the change in allocation methodology for certain software development costs, each as discussed above. International franchise Segment Income increased $9.1 million, or 8.4%, in the two fiscal quarters of 2023, primarily due to higher international franchise royalties and fees revenues as well as the change in allocation methodology for certain software development costs, each as discussed above. International franchise revenues do not have a cost of sales component, so changes in these revenues have a disproportionate effect on international franchise Segment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40" w:firstLine="255"/>
        <w:spacing w:after="0" w:line="271" w:lineRule="auto"/>
        <w:rPr>
          <w:sz w:val="20"/>
          <w:szCs w:val="20"/>
          <w:color w:val="auto"/>
        </w:rPr>
      </w:pPr>
      <w:r>
        <w:rPr>
          <w:rFonts w:ascii="Arial" w:cs="Arial" w:eastAsia="Arial" w:hAnsi="Arial"/>
          <w:sz w:val="17"/>
          <w:szCs w:val="17"/>
          <w:color w:val="auto"/>
        </w:rPr>
        <w:t>Other Segment Income decreased $13.2 million, or 235.6%, in the second quarter of 2023, and decreased $21.3 million, or 159.4%, in the two fiscal quarters of 2023 due primarily to the change in allocation methodology for certain software development costs as discussed above, as well as higher labor costs. These decreases were partially offset by lower professional fees and travel costs in the two fiscal quarters of 2023.</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281"/>
        <w:spacing w:after="0" w:line="272" w:lineRule="auto"/>
        <w:rPr>
          <w:sz w:val="20"/>
          <w:szCs w:val="20"/>
          <w:color w:val="auto"/>
        </w:rPr>
      </w:pPr>
      <w:r>
        <w:rPr>
          <w:rFonts w:ascii="Arial" w:cs="Arial" w:eastAsia="Arial" w:hAnsi="Arial"/>
          <w:sz w:val="17"/>
          <w:szCs w:val="17"/>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June 18, 2023, we had working capital of $58.7 million, excluding restricted cash and cash equivalents of $189.7 million, advertising fund assets, restricted, of $154.1 million and advertising fund liabilities of $150.4 million. Working capital includes total unrestricted cash and cash equivalents of $77.0 million.</w:t>
      </w:r>
    </w:p>
    <w:p>
      <w:pPr>
        <w:spacing w:after="0" w:line="83" w:lineRule="exact"/>
        <w:rPr>
          <w:sz w:val="20"/>
          <w:szCs w:val="20"/>
          <w:color w:val="auto"/>
        </w:rPr>
      </w:pPr>
    </w:p>
    <w:p>
      <w:pPr>
        <w:ind w:right="80" w:firstLine="281"/>
        <w:spacing w:after="0" w:line="288" w:lineRule="auto"/>
        <w:rPr>
          <w:sz w:val="20"/>
          <w:szCs w:val="20"/>
          <w:color w:val="auto"/>
        </w:rPr>
      </w:pPr>
      <w:r>
        <w:rPr>
          <w:rFonts w:ascii="Arial" w:cs="Arial" w:eastAsia="Arial" w:hAnsi="Arial"/>
          <w:sz w:val="16"/>
          <w:szCs w:val="16"/>
          <w:color w:val="auto"/>
        </w:rPr>
        <w:t>Our primary sources of liquidity are cash flows from operations and availability of borrowings under our 2022 and 2021 Variable Funding Notes (as defined below). During the second quarter and two fiscal quarters of 2023, we experienced an increase in both U.S. and international same store sales (excluding foreign currency impact) versus the comparable periods in the prior year. Additionally, both our U.S. and international businesses grew store counts during the second quarter and two fiscal quarters of 2023. These factors contributed to our continued ability to generate positive operating cash flows. In addition to our cash flows from operations, we have two variable funding note facilities. These facilities include our Series 2022-1 Variable Funding Senior Secured Notes, Class A-1 Notes (the “2022 Variable Funding Notes”), which allows for advances of up to $120.0 million, as well as our Series 2021-1 Variable Funding Senior Secured Notes, Class A-1 Notes (the “2021 Variable Funding Notes,” and, together with the 2022 Variable Funding Notes, the “2022 and 2021 Variable Funding Notes”), which allows for advances of up to $200.0 million and certain other credit instruments, including letters of credit. The letters of credit primarily relate to our casualty insurance programs. As of June 18, 2023, we had no outstanding borrowings and $277.8 million of available borrowing capacity under our 2022 and 2021 Variable Funding Notes, net of letters of credit issued of $42.2 million.</w:t>
      </w:r>
    </w:p>
    <w:p>
      <w:pPr>
        <w:spacing w:after="0" w:line="74" w:lineRule="exact"/>
        <w:rPr>
          <w:sz w:val="20"/>
          <w:szCs w:val="20"/>
          <w:color w:val="auto"/>
        </w:rPr>
      </w:pPr>
    </w:p>
    <w:p>
      <w:pPr>
        <w:ind w:right="120" w:firstLine="281"/>
        <w:spacing w:after="0" w:line="286" w:lineRule="auto"/>
        <w:rPr>
          <w:sz w:val="20"/>
          <w:szCs w:val="20"/>
          <w:color w:val="auto"/>
        </w:rPr>
      </w:pPr>
      <w:r>
        <w:rPr>
          <w:rFonts w:ascii="Arial" w:cs="Arial" w:eastAsia="Arial" w:hAnsi="Arial"/>
          <w:sz w:val="17"/>
          <w:szCs w:val="17"/>
          <w:color w:val="auto"/>
        </w:rPr>
        <w:t>We expect to continue to use our unrestricted cash and cash equivalents, cash flows from operations, any excess cash from our recapitalization transactions and available borrowings under our 2022 and 2021 Variable Funding Notes to, among other things, fund working capital requirements, invest in our core business and other strategic opportunities, service our indebtedness, pay dividends and repurchase shares of our common stock.</w:t>
      </w:r>
    </w:p>
    <w:p>
      <w:pPr>
        <w:spacing w:after="0" w:line="71" w:lineRule="exact"/>
        <w:rPr>
          <w:sz w:val="20"/>
          <w:szCs w:val="20"/>
          <w:color w:val="auto"/>
        </w:rPr>
      </w:pPr>
    </w:p>
    <w:p>
      <w:pPr>
        <w:ind w:firstLine="281"/>
        <w:spacing w:after="0" w:line="255" w:lineRule="auto"/>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under “Risk Factors” in our 2022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As of June 18, 2023, we had $138.5 million of restricted cash held for future principal and interest payments and other working capital requirements of our asset-backed securitization structure, $51.0 million of restricted cash held in a three-month interest reserve as required by the related debt agreements and $0.2 million of other restricted cash for a total of $189.7 million of restricted cash and cash equivalents. As of June 18, 2023, we also held $139.1 million of advertising fund restricted cash and cash equivalents, which can only be used for activities that promote the Domino’s brand.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As of June 18, 2023, we had approximately $5.0 billion of long-term debt, of which $55.7 million was classified as a current liability. As of June 18, 2023, our fixed rate notes from the recapitalizations we completed in 2021, 2019, 2018, 2017 and 2015 had original scheduled principal payments of $25.8 million in the remainder of 2023, $51.5 million in 2024, $1.17 billion in 2025, $39.3 million in 2026, $1.31 billion in 2027, $811.5 million in 2028, $625.9 million in 2029, $10.0 million in 2030 and $905.0 million in 2031.</w:t>
      </w:r>
    </w:p>
    <w:p>
      <w:pPr>
        <w:spacing w:after="0" w:line="92" w:lineRule="exact"/>
        <w:rPr>
          <w:sz w:val="20"/>
          <w:szCs w:val="20"/>
          <w:color w:val="auto"/>
        </w:rPr>
      </w:pPr>
    </w:p>
    <w:p>
      <w:pPr>
        <w:ind w:right="60" w:firstLine="281"/>
        <w:spacing w:after="0" w:line="308" w:lineRule="auto"/>
        <w:rPr>
          <w:sz w:val="20"/>
          <w:szCs w:val="20"/>
          <w:color w:val="auto"/>
        </w:rPr>
      </w:pPr>
      <w:r>
        <w:rPr>
          <w:rFonts w:ascii="Arial" w:cs="Arial" w:eastAsia="Arial" w:hAnsi="Arial"/>
          <w:sz w:val="17"/>
          <w:szCs w:val="17"/>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w:t>
      </w:r>
    </w:p>
    <w:p>
      <w:pPr>
        <w:spacing w:after="0" w:line="52" w:lineRule="exact"/>
        <w:rPr>
          <w:sz w:val="20"/>
          <w:szCs w:val="20"/>
          <w:color w:val="auto"/>
        </w:rPr>
      </w:pPr>
    </w:p>
    <w:p>
      <w:pPr>
        <w:ind w:right="40" w:firstLine="281"/>
        <w:spacing w:after="0" w:line="263" w:lineRule="auto"/>
        <w:rPr>
          <w:sz w:val="20"/>
          <w:szCs w:val="20"/>
          <w:color w:val="auto"/>
        </w:rPr>
      </w:pPr>
      <w:r>
        <w:rPr>
          <w:rFonts w:ascii="Arial" w:cs="Arial" w:eastAsia="Arial" w:hAnsi="Arial"/>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31" w:lineRule="exact"/>
        <w:rPr>
          <w:sz w:val="20"/>
          <w:szCs w:val="20"/>
          <w:color w:val="auto"/>
        </w:rPr>
      </w:pPr>
    </w:p>
    <w:p>
      <w:pPr>
        <w:ind w:right="280" w:firstLine="281"/>
        <w:spacing w:after="0" w:line="263"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2022 and 2021 Variable Funding Notes. On July 20, 2021, our Board of Directors authorized a share repurchase program to repurchase up to $1.0 billion of our common stock.</w:t>
      </w:r>
    </w:p>
    <w:p>
      <w:pPr>
        <w:spacing w:after="0" w:line="116" w:lineRule="exact"/>
        <w:rPr>
          <w:sz w:val="20"/>
          <w:szCs w:val="20"/>
          <w:color w:val="auto"/>
        </w:rPr>
      </w:pPr>
    </w:p>
    <w:p>
      <w:pPr>
        <w:ind w:right="80" w:firstLine="284"/>
        <w:spacing w:after="0" w:line="259" w:lineRule="auto"/>
        <w:rPr>
          <w:sz w:val="20"/>
          <w:szCs w:val="20"/>
          <w:color w:val="auto"/>
        </w:rPr>
      </w:pPr>
      <w:r>
        <w:rPr>
          <w:rFonts w:ascii="Arial" w:cs="Arial" w:eastAsia="Arial" w:hAnsi="Arial"/>
          <w:sz w:val="18"/>
          <w:szCs w:val="18"/>
          <w:color w:val="auto"/>
        </w:rPr>
        <w:t>During the second quarter of 2023, we repurchased and retired 292,030 shares of our common stock under our Board of Directors-approved share repurchase program for a total of approximately $90.8 million. During the two fiscal quarters of 2023, we repurchased and retired 392,545 shares of our common stock under our Board of Directors-approved share repurchase program for a total of approximately $120.8 million As of June 18, 2023, we had a total remaining authorized amount for share repurchases of approximately $289.5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1"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On April 25, 2023, our Board of Directors declared a $1.21 per share quarterly dividend on our outstanding common stock for shareholders of record as of June 15, 2023, which was paid on June 30, 2023. We had approximately $43.6 million accrued for common stock dividends at June 18, 2023. Subsequent to the end of the second quarter, on July 20, 2023, our Board of Directors declared a $1.21 per share quarterly dividend on our outstanding common stock for shareholders of record as of September 15, 2023, to be paid on September 29,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Two Fiscal Quarters</w:t>
            </w:r>
          </w:p>
        </w:tc>
        <w:tc>
          <w:tcPr>
            <w:tcW w:w="22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Two Fiscal Quarters</w:t>
            </w:r>
          </w:p>
        </w:tc>
      </w:tr>
      <w:tr>
        <w:trPr>
          <w:trHeight w:val="18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of 2023</w:t>
            </w:r>
          </w:p>
        </w:tc>
        <w:tc>
          <w:tcPr>
            <w:tcW w:w="220" w:type="dxa"/>
            <w:vAlign w:val="bottom"/>
          </w:tcPr>
          <w:p>
            <w:pPr>
              <w:spacing w:after="0"/>
              <w:rPr>
                <w:sz w:val="16"/>
                <w:szCs w:val="16"/>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 2022</w:t>
            </w:r>
          </w:p>
        </w:tc>
      </w:tr>
      <w:tr>
        <w:trPr>
          <w:trHeight w:val="237"/>
        </w:trPr>
        <w:tc>
          <w:tcPr>
            <w:tcW w:w="6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flows provided by (used in)</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242.3</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20"/>
                <w:szCs w:val="20"/>
                <w:color w:val="auto"/>
              </w:rPr>
            </w:pPr>
          </w:p>
        </w:tc>
      </w:tr>
      <w:tr>
        <w:trPr>
          <w:trHeight w:val="249"/>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(39.2 )</w:t>
            </w:r>
          </w:p>
        </w:tc>
        <w:tc>
          <w:tcPr>
            <w:tcW w:w="2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(39.9 )</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(193.0 )</w:t>
            </w:r>
          </w:p>
        </w:tc>
        <w:tc>
          <w:tcPr>
            <w:tcW w:w="22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(166.7 )</w:t>
            </w:r>
          </w:p>
        </w:tc>
      </w:tr>
      <w:tr>
        <w:trPr>
          <w:trHeight w:val="243"/>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(0.6 )</w:t>
            </w:r>
          </w:p>
        </w:tc>
      </w:tr>
      <w:tr>
        <w:trPr>
          <w:trHeight w:val="20"/>
        </w:trPr>
        <w:tc>
          <w:tcPr>
            <w:tcW w:w="6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(53.9 )</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-187960</wp:posOffset>
            </wp:positionV>
            <wp:extent cx="8572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100" w:firstLine="281"/>
        <w:spacing w:after="0" w:line="271" w:lineRule="auto"/>
        <w:rPr>
          <w:sz w:val="20"/>
          <w:szCs w:val="20"/>
          <w:color w:val="auto"/>
        </w:rPr>
      </w:pPr>
      <w:r>
        <w:rPr>
          <w:rFonts w:ascii="Arial" w:cs="Arial" w:eastAsia="Arial" w:hAnsi="Arial"/>
          <w:sz w:val="17"/>
          <w:szCs w:val="17"/>
          <w:color w:val="auto"/>
        </w:rPr>
        <w:t>Cash provided by operating activities increased $88.9 million in the two fiscal quarters of 2023, primarily due to the positive impact of changes in operating assets and liabilities of $69.2 million. The positive impact of changes in operating assets and liabilities primarily related to the timing of payments on accrued liabilities and inventory as well as changes in inventory pricing and the timing of receipts on accounts receivable in the two fiscal quarters of 2023 as compared to the two fiscal quarters of 2022. Additionally, net income increased $20.7 million and non-cash adjustments increased $4.7 million, resulting in an overall increase to cash provided by operating activities in the two fiscal quarters of 2023 as compared to the two fiscal quarters of 2022 of $25.4 million. These increases in cash provided by operating activities were partially offset by a $5.7 million negative impact of changes in advertising fund assets and liabilities, restricted, in the two fiscal quarters of 2023 as compared to the two fiscal quarters of 2022 due to payments for advertising activities outpacing receipts for advertising contributions.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281"/>
        <w:spacing w:after="0" w:line="277" w:lineRule="auto"/>
        <w:rPr>
          <w:sz w:val="20"/>
          <w:szCs w:val="20"/>
          <w:color w:val="auto"/>
        </w:rPr>
      </w:pPr>
      <w:r>
        <w:rPr>
          <w:rFonts w:ascii="Arial" w:cs="Arial" w:eastAsia="Arial" w:hAnsi="Arial"/>
          <w:sz w:val="18"/>
          <w:szCs w:val="18"/>
          <w:color w:val="auto"/>
        </w:rPr>
        <w:t>Cash used in investing activities was $39.2 million in the two fiscal quarters of 2023, which primarily consisted of $38.0 million of capital expenditures (driven primarily by investments in technological initiatives, supply chain centers and corporate store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right="40" w:firstLine="284"/>
        <w:spacing w:after="0" w:line="259" w:lineRule="auto"/>
        <w:rPr>
          <w:sz w:val="20"/>
          <w:szCs w:val="20"/>
          <w:color w:val="auto"/>
        </w:rPr>
      </w:pPr>
      <w:r>
        <w:rPr>
          <w:rFonts w:ascii="Arial" w:cs="Arial" w:eastAsia="Arial" w:hAnsi="Arial"/>
          <w:sz w:val="18"/>
          <w:szCs w:val="18"/>
          <w:color w:val="auto"/>
        </w:rPr>
        <w:t>Cash used in financing activities was $193.0 million in the two fiscal quarters of 2023, which included the repurchase of approximately $120.8 million in common stock under our Board of Directors-approved share repurchase program, dividend payments of $42.9 million, repayments of long-term debt and finance lease obligations of $27.2 million and tax payments for the vesting of restricted stock of $3.1 million. These uses of cash were partially offset by proceeds from the exercise of stock options of $1.1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80" w:firstLine="284"/>
        <w:spacing w:after="0" w:line="254" w:lineRule="auto"/>
        <w:rPr>
          <w:sz w:val="20"/>
          <w:szCs w:val="20"/>
          <w:color w:val="auto"/>
        </w:rPr>
      </w:pPr>
      <w:r>
        <w:rPr>
          <w:rFonts w:ascii="Arial" w:cs="Arial" w:eastAsia="Arial" w:hAnsi="Arial"/>
          <w:sz w:val="18"/>
          <w:szCs w:val="18"/>
          <w:color w:val="auto"/>
        </w:rPr>
        <w:t>For a description of the Company’s critical accounting estimates, refer to “Part II—Item 7—Management’s Discussion and Analysis of Financial Condition and Results of Operations” in the 2022 Form 10-K. The Company considers its most significant accounting policies and estimates to be long-lived assets, casualty insurance reserves and income taxes. There have been no material changes to the Company’s critical accounting estimates since January 1, 2023.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2022 Form 10-K for the fiscal year ended January 1, 2023.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labor shortages or changes in operating expenses resulting from increases in prices of food (particularly cheese), fuel and other commodity costs, labor, utilities, insurance, employee benefits and other operating costs or negative economic conditions; our ability to manage difficulties associated with or related to the COVID-19 pandemic and the effects of COVID-19 and related regulations and policies on our business and supply chain, including impacts on the availability of labor;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284"/>
        <w:spacing w:after="0" w:line="259" w:lineRule="auto"/>
        <w:rPr>
          <w:sz w:val="20"/>
          <w:szCs w:val="20"/>
          <w:color w:val="auto"/>
        </w:rPr>
      </w:pPr>
      <w:r>
        <w:rPr>
          <w:rFonts w:ascii="Arial" w:cs="Arial" w:eastAsia="Arial" w:hAnsi="Arial"/>
          <w:sz w:val="18"/>
          <w:szCs w:val="18"/>
          <w:color w:val="auto"/>
        </w:rPr>
        <w:t>We do not engage in speculative transactions, nor do we hold or issue financial instruments for trading purposes. In connection with the recapitalizations of our business, we have issued fixed rate notes and entered into our 2022 and 2021 Variable Funding Notes and, at June 18, 2023, we are exposed to interest rate risk on borrowings under our 2022 and 2021 Variable Funding Notes. As of June 18, 2023, we had no outstanding borrowings under our 2022 and 2021 Variable Funding Notes.</w:t>
      </w:r>
    </w:p>
    <w:p>
      <w:pPr>
        <w:spacing w:after="0" w:line="187" w:lineRule="exact"/>
        <w:rPr>
          <w:sz w:val="20"/>
          <w:szCs w:val="20"/>
          <w:color w:val="auto"/>
        </w:rPr>
      </w:pPr>
    </w:p>
    <w:p>
      <w:pPr>
        <w:ind w:right="140" w:firstLine="284"/>
        <w:spacing w:after="0" w:line="259" w:lineRule="auto"/>
        <w:rPr>
          <w:sz w:val="20"/>
          <w:szCs w:val="20"/>
          <w:color w:val="auto"/>
        </w:rPr>
      </w:pPr>
      <w:r>
        <w:rPr>
          <w:rFonts w:ascii="Arial" w:cs="Arial" w:eastAsia="Arial" w:hAnsi="Arial"/>
          <w:sz w:val="18"/>
          <w:szCs w:val="18"/>
          <w:color w:val="auto"/>
        </w:rPr>
        <w:t>Our 2022 and 2021 Variable Funding Notes bear interest at fluctuating interest rates based on the Secured Overnight Financing Rate (“Term SOFR”), plus a spread adjustment. Accordingly, a rising interest rate environment could result in higher interest expense due on borrowings under our 2022 and 2021 Variable Funding Notes, in which event we may have difficulties making interest payments and funding our other fixed costs, and our available cash flow for general corporate requirements may be adversely affected.</w:t>
      </w:r>
    </w:p>
    <w:p>
      <w:pPr>
        <w:spacing w:after="0" w:line="187" w:lineRule="exact"/>
        <w:rPr>
          <w:sz w:val="20"/>
          <w:szCs w:val="20"/>
          <w:color w:val="auto"/>
        </w:rPr>
      </w:pPr>
    </w:p>
    <w:p>
      <w:pPr>
        <w:ind w:right="40" w:firstLine="284"/>
        <w:spacing w:after="0" w:line="277" w:lineRule="auto"/>
        <w:rPr>
          <w:sz w:val="20"/>
          <w:szCs w:val="20"/>
          <w:color w:val="auto"/>
        </w:rPr>
      </w:pPr>
      <w:r>
        <w:rPr>
          <w:rFonts w:ascii="Arial" w:cs="Arial" w:eastAsia="Arial" w:hAnsi="Arial"/>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right="180" w:firstLine="284"/>
        <w:spacing w:after="0" w:line="293" w:lineRule="auto"/>
        <w:rPr>
          <w:sz w:val="20"/>
          <w:szCs w:val="20"/>
          <w:color w:val="auto"/>
        </w:rPr>
      </w:pPr>
      <w:r>
        <w:rPr>
          <w:rFonts w:ascii="Arial" w:cs="Arial" w:eastAsia="Arial" w:hAnsi="Arial"/>
          <w:sz w:val="16"/>
          <w:szCs w:val="16"/>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00" w:firstLine="284"/>
        <w:spacing w:after="0" w:line="254" w:lineRule="auto"/>
        <w:rPr>
          <w:sz w:val="20"/>
          <w:szCs w:val="20"/>
          <w:color w:val="auto"/>
        </w:rPr>
      </w:pPr>
      <w:r>
        <w:rPr>
          <w:rFonts w:ascii="Arial" w:cs="Arial" w:eastAsia="Arial" w:hAnsi="Arial"/>
          <w:sz w:val="18"/>
          <w:szCs w:val="18"/>
          <w:color w:val="auto"/>
        </w:rPr>
        <w:t>We have exposure to various foreign currency exchange rate fluctuations for revenues generated by our operations outside the U.S., which can adversely impact our net income and cash flows. Approximately 6.9% of our total revenues in the second quarter of 2023, approximately 6.8% of our total revenues in the two fiscal quarters of 2023, approximately 6.3% of our total revenues in the second quarter of 2022 and approximately 6.5% of our total revenues in the two fiscal quarters of 2022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$12.4 million in the two fiscal quarters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284"/>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During the quarterly period ended June 18, 2023, there were no changes in the Company’s internal control over financial reporting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13a-15(f) and 15d-15(f) that have materially affected or are reasonably likely to materially affect the Company’s internal control over financial reporting.</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281"/>
        <w:spacing w:after="0" w:line="342"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24" w:lineRule="exact"/>
        <w:rPr>
          <w:sz w:val="20"/>
          <w:szCs w:val="20"/>
          <w:color w:val="auto"/>
        </w:rPr>
      </w:pPr>
    </w:p>
    <w:p>
      <w:pPr>
        <w:ind w:right="420" w:firstLine="281"/>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have been no material changes with respect to those risk factors previously disclosed in Item 1A “Risk Factors” in Part I of our 2022 Form 10-K.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Value of Shares that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 as Part of</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May Yet Be Purchased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Average Price Paid</w:t>
            </w:r>
          </w:p>
        </w:tc>
        <w:tc>
          <w:tcPr>
            <w:tcW w:w="40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Under the Program (2)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 (2)</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Period #4 (March 27, 2023</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April 23, 2023)</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331.34</w:t>
            </w:r>
          </w:p>
        </w:tc>
        <w:tc>
          <w:tcPr>
            <w:tcW w:w="40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380,275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8"/>
                <w:szCs w:val="18"/>
                <w:color w:val="auto"/>
              </w:rPr>
              <w:t>Period #5 (April 24, 2023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160"/>
              <w:spacing w:after="0"/>
              <w:rPr>
                <w:sz w:val="20"/>
                <w:szCs w:val="20"/>
                <w:color w:val="auto"/>
              </w:rPr>
            </w:pPr>
            <w:r>
              <w:rPr>
                <w:rFonts w:ascii="Arial" w:cs="Arial" w:eastAsia="Arial" w:hAnsi="Arial"/>
                <w:sz w:val="18"/>
                <w:szCs w:val="18"/>
                <w:color w:val="auto"/>
              </w:rPr>
              <w:t>to May 21, 2023)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293,122</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310.83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291,723</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289,604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Period #6 (May 22, 2023</w:t>
            </w:r>
          </w:p>
        </w:tc>
        <w:tc>
          <w:tcPr>
            <w:tcW w:w="120" w:type="dxa"/>
            <w:vAlign w:val="bottom"/>
            <w:vMerge w:val="restart"/>
            <w:shd w:val="clear" w:color="auto" w:fill="CFF0FC"/>
          </w:tcPr>
          <w:p>
            <w:pPr>
              <w:spacing w:after="0"/>
              <w:rPr>
                <w:sz w:val="19"/>
                <w:szCs w:val="19"/>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301.45</w:t>
            </w:r>
          </w:p>
        </w:tc>
        <w:tc>
          <w:tcPr>
            <w:tcW w:w="400" w:type="dxa"/>
            <w:vAlign w:val="bottom"/>
            <w:vMerge w:val="restart"/>
            <w:shd w:val="clear" w:color="auto" w:fill="CFF0FC"/>
          </w:tcPr>
          <w:p>
            <w:pPr>
              <w:spacing w:after="0"/>
              <w:rPr>
                <w:sz w:val="19"/>
                <w:szCs w:val="19"/>
                <w:color w:val="auto"/>
              </w:rPr>
            </w:pPr>
          </w:p>
        </w:tc>
        <w:tc>
          <w:tcPr>
            <w:tcW w:w="2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289,511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 June 18, 2023)</w:t>
            </w: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62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vMerge w:val="continue"/>
            <w:shd w:val="clear" w:color="auto" w:fill="CFF0FC"/>
          </w:tcPr>
          <w:p>
            <w:pPr>
              <w:spacing w:after="0"/>
              <w:rPr>
                <w:sz w:val="20"/>
                <w:szCs w:val="20"/>
                <w:color w:val="auto"/>
              </w:rPr>
            </w:pPr>
          </w:p>
        </w:tc>
        <w:tc>
          <w:tcPr>
            <w:tcW w:w="2040" w:type="dxa"/>
            <w:vAlign w:val="bottom"/>
            <w:tcBorders>
              <w:bottom w:val="single" w:sz="8" w:color="auto"/>
            </w:tcBorders>
            <w:vMerge w:val="continue"/>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296,459</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310.88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292,030</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289,511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-187960</wp:posOffset>
            </wp:positionV>
            <wp:extent cx="8572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7747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857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29" w:lineRule="exact"/>
        <w:rPr>
          <w:sz w:val="20"/>
          <w:szCs w:val="20"/>
          <w:color w:val="auto"/>
        </w:rPr>
      </w:pPr>
    </w:p>
    <w:p>
      <w:pPr>
        <w:ind w:left="500" w:hanging="479"/>
        <w:spacing w:after="0"/>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4,429 shares in the second quarter of 2023 were purchased as part of the Company’s employee stock payroll deduction plan at an average price of $316.00.</w:t>
      </w:r>
    </w:p>
    <w:p>
      <w:pPr>
        <w:spacing w:after="0" w:line="178" w:lineRule="exact"/>
        <w:rPr>
          <w:rFonts w:ascii="Arial" w:cs="Arial" w:eastAsia="Arial" w:hAnsi="Arial"/>
          <w:sz w:val="15"/>
          <w:szCs w:val="15"/>
          <w:color w:val="auto"/>
        </w:rPr>
      </w:pPr>
    </w:p>
    <w:p>
      <w:pPr>
        <w:ind w:left="500" w:right="140" w:hanging="479"/>
        <w:spacing w:after="0" w:line="255"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On July 20, 2021, the Company’s Board of Directors authorized a share repurchase program to repurchase up to $1.0 billion of the Company’s common stock. As of June 18, 2023, $289.5 million remained available for future purchases of the Company’s common stock under this share repurchase program.</w:t>
      </w:r>
    </w:p>
    <w:p>
      <w:pPr>
        <w:spacing w:after="0" w:line="146" w:lineRule="exact"/>
        <w:rPr>
          <w:rFonts w:ascii="Arial" w:cs="Arial" w:eastAsia="Arial" w:hAnsi="Arial"/>
          <w:sz w:val="15"/>
          <w:szCs w:val="15"/>
          <w:color w:val="auto"/>
        </w:rPr>
      </w:pPr>
    </w:p>
    <w:p>
      <w:pPr>
        <w:ind w:left="500" w:right="60"/>
        <w:spacing w:after="0" w:line="255" w:lineRule="auto"/>
        <w:rPr>
          <w:rFonts w:ascii="Arial" w:cs="Arial" w:eastAsia="Arial" w:hAnsi="Arial"/>
          <w:sz w:val="15"/>
          <w:szCs w:val="15"/>
          <w:color w:val="auto"/>
        </w:rPr>
      </w:pPr>
      <w:r>
        <w:rPr>
          <w:rFonts w:ascii="Arial" w:cs="Arial" w:eastAsia="Arial" w:hAnsi="Arial"/>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gridSpan w:val="11"/>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0"/>
              </w:rPr>
              <w:t>First Amendment dated as of May 15, 2023 to the Class A-1 Note Purchase Agreement, dated as of April 16, 2021, by and between</w:t>
            </w:r>
          </w:p>
        </w:tc>
        <w:tc>
          <w:tcPr>
            <w:tcW w:w="6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3"/>
              </w:rPr>
              <w:t>Domino’s Pizza Master Issuer LLC, Domino’s SPV Canadian Holding Company Inc., Domino’s Pizza Distribution LLC and Domino’s IP</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1"/>
              </w:rPr>
              <w:t>Holder LLC, each as Co-Issuer, Domino’s Pizza Franchising LLC, Domino’s Pizza International Franchising Inc., Domino’s Pizza Canadian</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3"/>
              </w:rPr>
              <w:t>Distribution ULC, Domino’s RE LLC, Domino’s EQ LLC and Domino’s SPV Guarantor LLC, each as Guarantor, Domino’s Pizza LLC, as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9"/>
              </w:rPr>
              <w:t>manager, and Coöperatieve Rabobank U.A., New York Branch, as administrative agent.</w:t>
            </w:r>
          </w:p>
        </w:tc>
        <w:tc>
          <w:tcPr>
            <w:tcW w:w="3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0000FF"/>
                <w:w w:val="97"/>
              </w:rPr>
              <w:t>Certification of Chief Executive Officer pursuant to Section 302 of the Sarbanes-Oxley Act of 2002, relating to Domino’s Pizza, Inc.</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20" w:type="dxa"/>
            <w:vAlign w:val="bottom"/>
            <w:tcBorders>
              <w:top w:val="single" w:sz="8" w:color="0000EE"/>
              <w:bottom w:val="single" w:sz="8" w:color="0000EE"/>
            </w:tcBorders>
          </w:tcPr>
          <w:p>
            <w:pPr>
              <w:spacing w:after="0"/>
              <w:rPr>
                <w:sz w:val="19"/>
                <w:szCs w:val="19"/>
                <w:color w:val="auto"/>
              </w:rPr>
            </w:pPr>
          </w:p>
        </w:tc>
        <w:tc>
          <w:tcPr>
            <w:tcW w:w="95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 relating to Domino’s Pizza, Inc.</w:t>
            </w:r>
          </w:p>
        </w:tc>
        <w:tc>
          <w:tcPr>
            <w:tcW w:w="20" w:type="dxa"/>
            <w:vAlign w:val="bottom"/>
            <w:tcBorders>
              <w:top w:val="single" w:sz="8" w:color="0000FF"/>
              <w:bottom w:val="single" w:sz="8" w:color="0000EE"/>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Chief Executive Officer pursuant to Section 1350, Chapter 63 of Title 18, United States Code, as adopted pursuant to</w:t>
            </w:r>
          </w:p>
        </w:tc>
        <w:tc>
          <w:tcPr>
            <w:tcW w:w="5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57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Section 906 of the Sarbanes-Oxley Act of 2002, relating to Domino’s Pizza, Inc.</w:t>
            </w:r>
          </w:p>
        </w:tc>
        <w:tc>
          <w:tcPr>
            <w:tcW w:w="4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Chief Financial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52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906 of the Sarbanes-Oxley Act of 2002, relating to Domino’s Pizza, Inc.</w:t>
            </w:r>
          </w:p>
        </w:tc>
        <w:tc>
          <w:tcPr>
            <w:tcW w:w="49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2"/>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540" w:right="3640" w:hanging="5519"/>
        <w:spacing w:after="0" w:line="543" w:lineRule="auto"/>
        <w:tabs>
          <w:tab w:leader="none" w:pos="108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200"/>
        <w:spacing w:after="0"/>
        <w:tabs>
          <w:tab w:leader="none" w:pos="5820" w:val="left"/>
        </w:tabs>
        <w:rPr>
          <w:sz w:val="20"/>
          <w:szCs w:val="20"/>
          <w:color w:val="auto"/>
        </w:rPr>
      </w:pPr>
      <w:r>
        <w:rPr>
          <w:rFonts w:ascii="Arial" w:cs="Arial" w:eastAsia="Arial" w:hAnsi="Arial"/>
          <w:sz w:val="18"/>
          <w:szCs w:val="18"/>
          <w:color w:val="auto"/>
        </w:rPr>
        <w:t>Date: July 24, 2023</w:t>
      </w:r>
      <w:r>
        <w:rPr>
          <w:sz w:val="20"/>
          <w:szCs w:val="20"/>
          <w:color w:val="auto"/>
        </w:rPr>
        <w:tab/>
      </w:r>
      <w:r>
        <w:rPr>
          <w:rFonts w:ascii="Arial" w:cs="Arial" w:eastAsia="Arial" w:hAnsi="Arial"/>
          <w:sz w:val="15"/>
          <w:szCs w:val="15"/>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3343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Sandeep Reddy</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37" w:right="105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left="740"/>
        <w:spacing w:after="0"/>
        <w:rPr>
          <w:sz w:val="20"/>
          <w:szCs w:val="20"/>
          <w:color w:val="auto"/>
        </w:rPr>
      </w:pPr>
      <w:r>
        <w:rPr>
          <w:rFonts w:ascii="Arial" w:cs="Arial" w:eastAsia="Arial" w:hAnsi="Arial"/>
          <w:sz w:val="22"/>
          <w:szCs w:val="22"/>
          <w:b w:val="1"/>
          <w:bCs w:val="1"/>
          <w:color w:val="auto"/>
        </w:rPr>
        <w:t>FIRST AMENDMENT TO CLASS A-1 NOTE PURCHASE AGREEMENT</w:t>
      </w:r>
    </w:p>
    <w:p>
      <w:pPr>
        <w:spacing w:after="0" w:line="21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This First Amendment to the Class A-1 Note Purchase Agreement, dated as of May 15, 2023 (this “</w:t>
      </w:r>
      <w:r>
        <w:rPr>
          <w:rFonts w:ascii="Arial" w:cs="Arial" w:eastAsia="Arial" w:hAnsi="Arial"/>
          <w:sz w:val="19"/>
          <w:szCs w:val="19"/>
          <w:u w:val="single" w:color="auto"/>
          <w:color w:val="auto"/>
        </w:rPr>
        <w:t>Amendment</w:t>
      </w:r>
      <w:r>
        <w:rPr>
          <w:rFonts w:ascii="Arial" w:cs="Arial" w:eastAsia="Arial" w:hAnsi="Arial"/>
          <w:sz w:val="19"/>
          <w:szCs w:val="19"/>
          <w:color w:val="auto"/>
        </w:rPr>
        <w:t>”), is by and between DOMINO’S PIZZA MASTER ISSUER LLC, DOMINO’S SPV CANADIAN HOLDING COMPANY INC., DOMINO’S PIZZA DISTRIBUTION LLC, and DOMINO’S IP HOLDER LLC, each as a co-issuer (collectively, the “</w:t>
      </w:r>
      <w:r>
        <w:rPr>
          <w:rFonts w:ascii="Arial" w:cs="Arial" w:eastAsia="Arial" w:hAnsi="Arial"/>
          <w:sz w:val="19"/>
          <w:szCs w:val="19"/>
          <w:u w:val="single" w:color="auto"/>
          <w:color w:val="auto"/>
        </w:rPr>
        <w:t>Co-Issuers</w:t>
      </w:r>
      <w:r>
        <w:rPr>
          <w:rFonts w:ascii="Arial" w:cs="Arial" w:eastAsia="Arial" w:hAnsi="Arial"/>
          <w:sz w:val="19"/>
          <w:szCs w:val="19"/>
          <w:color w:val="auto"/>
        </w:rPr>
        <w:t>” and each a “</w:t>
      </w:r>
      <w:r>
        <w:rPr>
          <w:rFonts w:ascii="Arial" w:cs="Arial" w:eastAsia="Arial" w:hAnsi="Arial"/>
          <w:sz w:val="19"/>
          <w:szCs w:val="19"/>
          <w:u w:val="single" w:color="auto"/>
          <w:color w:val="auto"/>
        </w:rPr>
        <w:t>Co-Issuer</w:t>
      </w:r>
      <w:r>
        <w:rPr>
          <w:rFonts w:ascii="Arial" w:cs="Arial" w:eastAsia="Arial" w:hAnsi="Arial"/>
          <w:sz w:val="19"/>
          <w:szCs w:val="19"/>
          <w:color w:val="auto"/>
        </w:rPr>
        <w:t>”), DOMINO’S PIZZA FRANCHISING LLC, DOMINO’S PIZZA INTERNATIONAL FRANCHISING INC., DOMINO’S PIZZA CANADIAN DISTRIBUTION ULC, DOMINO’S RE LLC, DOMINO’S EQ LLC, and DOMINO’S SPV GUARANTOR LLC, each as a guarantor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 and each a “</w:t>
      </w:r>
      <w:r>
        <w:rPr>
          <w:rFonts w:ascii="Arial" w:cs="Arial" w:eastAsia="Arial" w:hAnsi="Arial"/>
          <w:sz w:val="19"/>
          <w:szCs w:val="19"/>
          <w:u w:val="single" w:color="auto"/>
          <w:color w:val="auto"/>
        </w:rPr>
        <w:t>Guarantor</w:t>
      </w:r>
      <w:r>
        <w:rPr>
          <w:rFonts w:ascii="Arial" w:cs="Arial" w:eastAsia="Arial" w:hAnsi="Arial"/>
          <w:sz w:val="19"/>
          <w:szCs w:val="19"/>
          <w:color w:val="auto"/>
        </w:rPr>
        <w:t>”), DOMINO’S PIZZA LLC, as Manager (the “</w:t>
      </w:r>
      <w:r>
        <w:rPr>
          <w:rFonts w:ascii="Arial" w:cs="Arial" w:eastAsia="Arial" w:hAnsi="Arial"/>
          <w:sz w:val="19"/>
          <w:szCs w:val="19"/>
          <w:u w:val="single" w:color="auto"/>
          <w:color w:val="auto"/>
        </w:rPr>
        <w:t>Manager</w:t>
      </w:r>
      <w:r>
        <w:rPr>
          <w:rFonts w:ascii="Arial" w:cs="Arial" w:eastAsia="Arial" w:hAnsi="Arial"/>
          <w:sz w:val="19"/>
          <w:szCs w:val="19"/>
          <w:color w:val="auto"/>
        </w:rPr>
        <w:t>”) and COÖPERATIEVE RABOBANK U.A., NEW YORK BRANCH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acknowledged and agreed to by the Committed Note Purchasers party 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WHEREAS, the parties hereto are parties to a Class A-1 Note Purchase Agreement (the “</w:t>
      </w:r>
      <w:r>
        <w:rPr>
          <w:rFonts w:ascii="Arial" w:cs="Arial" w:eastAsia="Arial" w:hAnsi="Arial"/>
          <w:sz w:val="21"/>
          <w:szCs w:val="21"/>
          <w:u w:val="single" w:color="auto"/>
          <w:color w:val="auto"/>
        </w:rPr>
        <w:t>Existing Class A-1 NPA</w:t>
      </w:r>
      <w:r>
        <w:rPr>
          <w:rFonts w:ascii="Arial" w:cs="Arial" w:eastAsia="Arial" w:hAnsi="Arial"/>
          <w:sz w:val="21"/>
          <w:szCs w:val="21"/>
          <w:color w:val="auto"/>
        </w:rPr>
        <w:t>”), dated as of April 16, 2021, by and among the Master Issuer, the Guarantors, the Manager, the Conduit Investors thereto, the Committed Note Purchasers thereto, the Funding Agents thereto and the Administrative Agent;</w:t>
      </w:r>
    </w:p>
    <w:p>
      <w:pPr>
        <w:spacing w:after="0" w:line="16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WHEREAS, the Advances, Swingline Loans and Unreimbursed L/C Drawings under the Existing Class A-1 NPA may accrue interest based on the Eurodollar Funding Rate in accordance with the terms of the Existing Class A-1 NPA;</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the parties have determined, in accordance with the Existing Class A-1 NPA, that a Benchmark Transition Event has occurred and that the Eurodollar Funding Rate should be replaced with Term SOFR for purposes of the Existing Class A-1 NPA;</w:t>
      </w:r>
    </w:p>
    <w:p>
      <w:pPr>
        <w:spacing w:after="0" w:line="186" w:lineRule="exact"/>
        <w:rPr>
          <w:sz w:val="20"/>
          <w:szCs w:val="20"/>
          <w:color w:val="auto"/>
        </w:rPr>
      </w:pPr>
    </w:p>
    <w:p>
      <w:pPr>
        <w:ind w:left="760" w:right="860"/>
        <w:spacing w:after="0" w:line="504" w:lineRule="auto"/>
        <w:rPr>
          <w:sz w:val="20"/>
          <w:szCs w:val="20"/>
          <w:color w:val="auto"/>
        </w:rPr>
      </w:pPr>
      <w:r>
        <w:rPr>
          <w:rFonts w:ascii="Arial" w:cs="Arial" w:eastAsia="Arial" w:hAnsi="Arial"/>
          <w:sz w:val="19"/>
          <w:szCs w:val="19"/>
          <w:color w:val="auto"/>
        </w:rPr>
        <w:t>WHEREAS, the parties hereto desire to amend the Existing Class A-1 NPA as set forth in this Amendment; and WHEREAS, each Co-Issuer has authorized the execution and delivery of this Amendment.</w:t>
      </w:r>
    </w:p>
    <w:p>
      <w:pPr>
        <w:jc w:val="both"/>
        <w:ind w:firstLine="749"/>
        <w:spacing w:after="0" w:line="250" w:lineRule="auto"/>
        <w:rPr>
          <w:sz w:val="20"/>
          <w:szCs w:val="20"/>
          <w:color w:val="auto"/>
        </w:rPr>
      </w:pPr>
      <w:r>
        <w:rPr>
          <w:rFonts w:ascii="Arial" w:cs="Arial" w:eastAsia="Arial" w:hAnsi="Arial"/>
          <w:sz w:val="22"/>
          <w:szCs w:val="22"/>
          <w:color w:val="auto"/>
        </w:rPr>
        <w:t>NOW, THEREFORE, in consideration of the premises and mutual covenants herein contained and intending to be legally bound, the parties to this Amendment hereby agree as follows:</w:t>
      </w:r>
    </w:p>
    <w:p>
      <w:pPr>
        <w:spacing w:after="0" w:line="17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Section 1.1</w:t>
      </w:r>
      <w:r>
        <w:rPr>
          <w:rFonts w:ascii="Arial" w:cs="Arial" w:eastAsia="Arial" w:hAnsi="Arial"/>
          <w:sz w:val="21"/>
          <w:szCs w:val="21"/>
          <w:u w:val="single" w:color="auto"/>
          <w:color w:val="auto"/>
        </w:rPr>
        <w:t>Amendments to the Existing Class A-1 NPA</w:t>
      </w:r>
      <w:r>
        <w:rPr>
          <w:rFonts w:ascii="Arial" w:cs="Arial" w:eastAsia="Arial" w:hAnsi="Arial"/>
          <w:sz w:val="21"/>
          <w:szCs w:val="21"/>
          <w:color w:val="auto"/>
        </w:rPr>
        <w:t xml:space="preserve">. As of the Effective Date, the Existing Class A-1 NPA is hereby amended by deleting the stricken text (indicated in the same manner as the following example: </w:t>
      </w:r>
      <w:r>
        <w:rPr>
          <w:rFonts w:ascii="Arial" w:cs="Arial" w:eastAsia="Arial" w:hAnsi="Arial"/>
          <w:sz w:val="21"/>
          <w:szCs w:val="21"/>
          <w:b w:val="1"/>
          <w:bCs w:val="1"/>
          <w:color w:val="FF0000"/>
          <w:strike w:val="1"/>
        </w:rPr>
        <w:t>stricken text</w:t>
      </w:r>
      <w:r>
        <w:rPr>
          <w:rFonts w:ascii="Arial" w:cs="Arial" w:eastAsia="Arial" w:hAnsi="Arial"/>
          <w:sz w:val="21"/>
          <w:szCs w:val="21"/>
          <w:color w:val="auto"/>
        </w:rPr>
        <w:t xml:space="preserve">) and inserting the double underlined text (indicated in the same manner as the following example: </w:t>
      </w:r>
      <w:r>
        <w:rPr>
          <w:rFonts w:ascii="Arial" w:cs="Arial" w:eastAsia="Arial" w:hAnsi="Arial"/>
          <w:sz w:val="21"/>
          <w:szCs w:val="21"/>
          <w:b w:val="1"/>
          <w:bCs w:val="1"/>
          <w:u w:val="single" w:color="auto"/>
          <w:color w:val="0000FF"/>
        </w:rPr>
        <w:t>double-underlined text</w:t>
      </w:r>
      <w:r>
        <w:rPr>
          <w:rFonts w:ascii="Arial" w:cs="Arial" w:eastAsia="Arial" w:hAnsi="Arial"/>
          <w:sz w:val="21"/>
          <w:szCs w:val="21"/>
          <w:color w:val="auto"/>
        </w:rPr>
        <w:t xml:space="preserve">) in the Existing Class A-1 NPA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Amendment (the “</w:t>
      </w:r>
      <w:r>
        <w:rPr>
          <w:rFonts w:ascii="Arial" w:cs="Arial" w:eastAsia="Arial" w:hAnsi="Arial"/>
          <w:sz w:val="21"/>
          <w:szCs w:val="21"/>
          <w:u w:val="single" w:color="auto"/>
          <w:color w:val="auto"/>
        </w:rPr>
        <w:t>Amended Class A-1 NPA</w:t>
      </w:r>
      <w:r>
        <w:rPr>
          <w:rFonts w:ascii="Arial" w:cs="Arial" w:eastAsia="Arial" w:hAnsi="Arial"/>
          <w:sz w:val="21"/>
          <w:szCs w:val="21"/>
          <w:color w:val="auto"/>
        </w:rPr>
        <w:t>”).</w:t>
      </w:r>
    </w:p>
    <w:p>
      <w:pPr>
        <w:spacing w:after="0" w:line="17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1.2</w:t>
      </w:r>
      <w:r>
        <w:rPr>
          <w:rFonts w:ascii="Arial" w:cs="Arial" w:eastAsia="Arial" w:hAnsi="Arial"/>
          <w:sz w:val="22"/>
          <w:szCs w:val="22"/>
          <w:u w:val="single" w:color="auto"/>
          <w:color w:val="auto"/>
        </w:rPr>
        <w:t>Effect on Class A-1 NPA</w:t>
      </w:r>
      <w:r>
        <w:rPr>
          <w:rFonts w:ascii="Arial" w:cs="Arial" w:eastAsia="Arial" w:hAnsi="Arial"/>
          <w:sz w:val="22"/>
          <w:szCs w:val="22"/>
          <w:color w:val="auto"/>
        </w:rPr>
        <w:t>. Upon the date hereof (i) the Existing Class A-1 NPA shall be amended in accordance herewith and (ii) the parties shall be bound by the Amended Class A-1 NPA as so amended. Except as expressly set forth or contemplated in this Amendment, the terms and conditions of the Class A-1 NPA shall remain in place and shall not be altered,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spacing w:after="0" w:line="274" w:lineRule="auto"/>
        <w:rPr>
          <w:sz w:val="20"/>
          <w:szCs w:val="20"/>
          <w:color w:val="auto"/>
        </w:rPr>
      </w:pPr>
      <w:r>
        <w:rPr>
          <w:rFonts w:ascii="Arial" w:cs="Arial" w:eastAsia="Arial" w:hAnsi="Arial"/>
          <w:sz w:val="21"/>
          <w:szCs w:val="21"/>
          <w:color w:val="auto"/>
        </w:rPr>
        <w:t>amended, waived or changed in any manner whatsoever, except by any further amendment made in accordance with the terms of the Existing Class A-1 NPA as amended in the form of the Amended Class A-1 NPA by this Amendment.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1.3</w:t>
      </w: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and not otherwise defined herein have the meanings set forth or incorporated by reference in the Amended Class A-1 NPA.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1.4</w:t>
      </w: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 This Amendment shall become effective as of June 30, 2023 (the “</w:t>
      </w:r>
      <w:r>
        <w:rPr>
          <w:rFonts w:ascii="Arial" w:cs="Arial" w:eastAsia="Arial" w:hAnsi="Arial"/>
          <w:sz w:val="19"/>
          <w:szCs w:val="19"/>
          <w:u w:val="single" w:color="auto"/>
          <w:color w:val="auto"/>
        </w:rPr>
        <w:t>Effective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8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Section 1.5</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each Co-Issuer, the Manager and the Guarantors hereby represents and warrants that: (a) this Amendment constitutes a legal, valid and binding obligation of such Person, enforceable against it in accordance with its terms, except as limited by debtor relief laws and equitable principles; (b) upon the Effective Date (both before and after giving effect to this Amendment), no Event of Default or Default shall exist; (c) the representations and warranties set forth in the Existing Class A-1 NPA and the other Related Documents are true and correct (i) if not qualified as to materiality or Material Adverse Effect, in all material respects and (ii) if qualified as to materiality or Material Adverse Effect, in all respects as of the date originally made and as of the date hereof (unless stated to relate solely to an earlier date, in which case such representations and warranties were true and correct in all material respects as of such earlier date); and (d) the execution, delivery and performance by each Co-Issuer, the Manager and the Guarantors of this Amendment is within its limited liability company or corporate powers, have been duly authorized by all necessary actions, and do not and will not contravene (i) the organizational documents of each Co-Issuer, the Manager or the Guarantors or (ii) any law or regulation or any contractual restriction binding on or affecting their respective assets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-46355</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Section 1.6</w:t>
      </w:r>
      <w:r>
        <w:rPr>
          <w:rFonts w:ascii="Arial" w:cs="Arial" w:eastAsia="Arial" w:hAnsi="Arial"/>
          <w:sz w:val="21"/>
          <w:szCs w:val="21"/>
          <w:u w:val="single" w:color="auto"/>
          <w:color w:val="auto"/>
        </w:rPr>
        <w:t>Reaffirmation of Guarantees and Security Interests</w:t>
      </w:r>
      <w:r>
        <w:rPr>
          <w:rFonts w:ascii="Arial" w:cs="Arial" w:eastAsia="Arial" w:hAnsi="Arial"/>
          <w:sz w:val="21"/>
          <w:szCs w:val="21"/>
          <w:color w:val="auto"/>
        </w:rPr>
        <w:t>. Each Co-Issuer and the Guarantors hereby acknowledges its receipt of a copy of this Amendment and its review of the terms and conditions hereof and consents to the terms and conditions of this Amendment and the transactions contemplated thereby. Each Co-Issuer and the Guarantors hereby (a) affirms and confirms, as applicable, its guarantees, pledges, grants and other undertakings under the Amended Class A-1 NPA and (b) agrees that (i) the Amended Class A-1 NPA shall continue to be in full force and effect and (ii) all guarantees, pledges, grants and other undertakings thereunder shall continue to be in full force and effect and shall accrue to the benefit of the applicable secured party or parties thereunder.</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Section 1.7</w:t>
      </w:r>
      <w:r>
        <w:rPr>
          <w:rFonts w:ascii="Arial" w:cs="Arial" w:eastAsia="Arial" w:hAnsi="Arial"/>
          <w:sz w:val="21"/>
          <w:szCs w:val="21"/>
          <w:u w:val="single" w:color="auto"/>
          <w:color w:val="auto"/>
        </w:rPr>
        <w:t>Existing Eurodollar Funding Rate Loans</w:t>
      </w:r>
      <w:r>
        <w:rPr>
          <w:rFonts w:ascii="Arial" w:cs="Arial" w:eastAsia="Arial" w:hAnsi="Arial"/>
          <w:sz w:val="21"/>
          <w:szCs w:val="21"/>
          <w:color w:val="auto"/>
        </w:rPr>
        <w:t>. Notwithstanding anything to the contrary contained herein or in any other Related Document, (i) all Advances outstanding as of the date hereof that are Eurodollar Advances (as defined in the Existing Class A-1 NPA immediately prior to the effectiveness of this Amendment, the “</w:t>
      </w:r>
      <w:r>
        <w:rPr>
          <w:rFonts w:ascii="Arial" w:cs="Arial" w:eastAsia="Arial" w:hAnsi="Arial"/>
          <w:sz w:val="21"/>
          <w:szCs w:val="21"/>
          <w:u w:val="single" w:color="auto"/>
          <w:color w:val="auto"/>
        </w:rPr>
        <w:t>Existing Eurodollar Rate Advances</w:t>
      </w:r>
      <w:r>
        <w:rPr>
          <w:rFonts w:ascii="Arial" w:cs="Arial" w:eastAsia="Arial" w:hAnsi="Arial"/>
          <w:sz w:val="21"/>
          <w:szCs w:val="21"/>
          <w:color w:val="auto"/>
        </w:rPr>
        <w:t>”) shall continue to accrue interest based on the Eurodollar Funding Rate and their applicable existing Eurodollar Interest Periods (as each such term is defined in the Existing Class A-1 NPA immediately prior to the effectiveness of this Amendment for purposes of this Section 1.6) (provided, that in no event shall any Issuer incur or continue an Advance based on the Eurodollar Funding Rate after June 30, 2023), and thereafter, all Existing Eurodollar Rate Advances shall either be SOFR Advances or Base Rate Advances as determined in accordance with the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9"/>
          <w:szCs w:val="19"/>
          <w:color w:val="auto"/>
        </w:rPr>
        <w:t>Class A-1 NPA and (ii) subject to any express limitations set forth in the immediately preceding clause (i), the terms of the Existing Class A-1 NPA as in effect immediately prior to the effectiveness of this Amendment in respect of the administration of Eurodollar Rate Advances (solely with respect to the Existing Eurodollar Rate Advances) shall remain in effect from and after the date hereof until the end of the then-existing Interest Period for such Eurodollar Rate Advances, in each case, solely for purposes of administering the Existing Eurodollar Rate Advances (including, without limitation, with respect to the payment of interest accrued thereon and other subject matter set forth in Article III of the Existing Class A-1 NPA).</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1.8</w:t>
      </w: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1505"/>
        <w:spacing w:after="0" w:line="282" w:lineRule="auto"/>
        <w:tabs>
          <w:tab w:leader="none" w:pos="203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Survival and Interpretation of Existing Documents</w:t>
      </w:r>
      <w:r>
        <w:rPr>
          <w:rFonts w:ascii="Arial" w:cs="Arial" w:eastAsia="Arial" w:hAnsi="Arial"/>
          <w:sz w:val="19"/>
          <w:szCs w:val="19"/>
          <w:color w:val="auto"/>
        </w:rPr>
        <w:t>. Except as expressly provided in this Amendment, all of the terms, provisions, covenants, agreements, representations and warranties and conditions of the Existing Class A-1 NPA and the other Related Documents shall be and remain in full force and effect as written, unmodified hereby and are hereby ratified by each Co-Issuer, the Manager and the Guarantors. In the event of any conflict between the terms, provisions, covenants, representations and warranties and conditions of this Amendment and the Existing Class A-1 NPA, this Amendment shall control.</w:t>
      </w:r>
    </w:p>
    <w:p>
      <w:pPr>
        <w:spacing w:after="0" w:line="147" w:lineRule="exact"/>
        <w:rPr>
          <w:rFonts w:ascii="Arial" w:cs="Arial" w:eastAsia="Arial" w:hAnsi="Arial"/>
          <w:sz w:val="19"/>
          <w:szCs w:val="19"/>
          <w:color w:val="auto"/>
        </w:rPr>
      </w:pPr>
    </w:p>
    <w:p>
      <w:pPr>
        <w:jc w:val="both"/>
        <w:ind w:firstLine="1505"/>
        <w:spacing w:after="0"/>
        <w:tabs>
          <w:tab w:leader="none" w:pos="203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Co-Issuer, the Manager and the Guarantors each agrees to execute such other documents, instruments and agreements and take such further actions reasonably requested by the Administrative Agent to effectuate the provisions of this Amendment.</w:t>
      </w:r>
    </w:p>
    <w:p>
      <w:pPr>
        <w:spacing w:after="0" w:line="186" w:lineRule="exact"/>
        <w:rPr>
          <w:rFonts w:ascii="Arial" w:cs="Arial" w:eastAsia="Arial" w:hAnsi="Arial"/>
          <w:sz w:val="22"/>
          <w:szCs w:val="22"/>
          <w:color w:val="auto"/>
        </w:rPr>
      </w:pPr>
    </w:p>
    <w:p>
      <w:pPr>
        <w:jc w:val="both"/>
        <w:ind w:firstLine="1505"/>
        <w:spacing w:after="0" w:line="282" w:lineRule="auto"/>
        <w:tabs>
          <w:tab w:leader="none" w:pos="203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term or provision of this Amendment that is invalid, illegal or unenforceable in any jurisdiction shall, as to that jurisdiction, be ineffective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47"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laws of the jurisdiction that governs the Existing Class A-1 NPA in accordance with the terms thereof.</w:t>
      </w:r>
    </w:p>
    <w:p>
      <w:pPr>
        <w:spacing w:after="0" w:line="184" w:lineRule="exact"/>
        <w:rPr>
          <w:rFonts w:ascii="Arial" w:cs="Arial" w:eastAsia="Arial" w:hAnsi="Arial"/>
          <w:sz w:val="22"/>
          <w:szCs w:val="22"/>
          <w:color w:val="auto"/>
        </w:rPr>
      </w:pPr>
    </w:p>
    <w:p>
      <w:pPr>
        <w:jc w:val="both"/>
        <w:ind w:firstLine="1505"/>
        <w:spacing w:after="0" w:line="246" w:lineRule="auto"/>
        <w:tabs>
          <w:tab w:leader="none" w:pos="2036"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AFTER REVIEWING THIS PROVISION SPECIFICALLY WITH ITS RESPECTIVE COUNSEL, EACH OF THE PARTIES HERETO HEREBY KNOWINGLY, VOLUNTARILY AND INTENTIONALLY WAIVES ANY AND ALL RIGHTS THEY MAY HAVE TO A TRIAL BY JURY IN RESPECT OF ANY LITIGATION BASED ON, OR ARISING OUT OF, UNDER, OR IN CONNECTION WITH, THIS AMENDMENT, THE OTHER AMENDED DOCUMENTS OR ANY COURSE OF CONDUCT, COURSE OF DEALING, STATEMENTS (WHETHER ORAL OR WRITTEN) OR ACTIONS OF PARTIES HERETO. THIS PROVISION IS A MATERIAL INDUCEMENT FOR THE COMMITTED NOTE PURCHASERS TO EXTEND CREDIT TO EACH CO-ISSUER.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3" w:name="page34"/>
    <w:bookmarkEnd w:id="33"/>
    <w:p>
      <w:pPr>
        <w:jc w:val="both"/>
        <w:ind w:firstLine="1505"/>
        <w:spacing w:after="0" w:line="238" w:lineRule="auto"/>
        <w:tabs>
          <w:tab w:leader="none" w:pos="203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and the Existing Class A-1 NPA (as amended hereby) and the other Related Documents embody the entire agreement and understanding between the parties and supersede all prior agreements and understandings relating to the subject matter hereof. Any exhibits or annexes attached hereto are hereby incorporated herein by reference and made a part hereof.</w:t>
      </w:r>
    </w:p>
    <w:p>
      <w:pPr>
        <w:spacing w:after="0" w:line="184"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Binding Effect, Beneficiaries.</w:t>
      </w:r>
      <w:r>
        <w:rPr>
          <w:rFonts w:ascii="Arial" w:cs="Arial" w:eastAsia="Arial" w:hAnsi="Arial"/>
          <w:sz w:val="19"/>
          <w:szCs w:val="19"/>
          <w:color w:val="auto"/>
        </w:rPr>
        <w:t xml:space="preserve"> This Amendment shall be binding upon and inure to the benefit of the parties to the Existing Class A-1 NPA and each other applicable Related Document and their respective heirs, executors, administrators, successors, legal representatives and assigns, and no other party shall derive any rights or benefits herefrom.</w:t>
      </w:r>
    </w:p>
    <w:p>
      <w:pPr>
        <w:spacing w:after="0" w:line="133" w:lineRule="exact"/>
        <w:rPr>
          <w:rFonts w:ascii="Arial" w:cs="Arial" w:eastAsia="Arial" w:hAnsi="Arial"/>
          <w:sz w:val="19"/>
          <w:szCs w:val="19"/>
          <w:color w:val="auto"/>
        </w:rPr>
      </w:pPr>
    </w:p>
    <w:p>
      <w:pPr>
        <w:ind w:firstLine="1505"/>
        <w:spacing w:after="0" w:line="250" w:lineRule="auto"/>
        <w:tabs>
          <w:tab w:leader="none" w:pos="203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This Amendment shall be construed without regard to any presumption or other rule requiring construction against the party drafting this Amendment.</w:t>
      </w:r>
    </w:p>
    <w:p>
      <w:pPr>
        <w:spacing w:after="0" w:line="174" w:lineRule="exact"/>
        <w:rPr>
          <w:rFonts w:ascii="Arial" w:cs="Arial" w:eastAsia="Arial" w:hAnsi="Arial"/>
          <w:sz w:val="22"/>
          <w:szCs w:val="22"/>
          <w:color w:val="auto"/>
        </w:rPr>
      </w:pPr>
    </w:p>
    <w:p>
      <w:pPr>
        <w:ind w:firstLine="1505"/>
        <w:spacing w:after="0" w:line="250" w:lineRule="auto"/>
        <w:tabs>
          <w:tab w:leader="none" w:pos="203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relating to this Amendment shall be delivered in the manner and subject to the provisions set forth in the Existing Class A-1 NPA.</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(by electronic mail, facsimile or otherwise) in any number of counterparts, all of which when so executed shall be deemed to be an original and all of which taken together shall constitute one and the same agreement.</w:t>
      </w:r>
    </w:p>
    <w:p>
      <w:pPr>
        <w:spacing w:after="0" w:line="186" w:lineRule="exact"/>
        <w:rPr>
          <w:rFonts w:ascii="Arial" w:cs="Arial" w:eastAsia="Arial" w:hAnsi="Arial"/>
          <w:sz w:val="22"/>
          <w:szCs w:val="22"/>
          <w:color w:val="auto"/>
        </w:rPr>
      </w:pPr>
    </w:p>
    <w:p>
      <w:pPr>
        <w:jc w:val="both"/>
        <w:ind w:firstLine="1505"/>
        <w:spacing w:after="0" w:line="245" w:lineRule="auto"/>
        <w:tabs>
          <w:tab w:leader="none" w:pos="203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Electronic Signatures and Transmission</w:t>
      </w:r>
      <w:r>
        <w:rPr>
          <w:rFonts w:ascii="Arial" w:cs="Arial" w:eastAsia="Arial" w:hAnsi="Arial"/>
          <w:sz w:val="21"/>
          <w:szCs w:val="21"/>
          <w:color w:val="auto"/>
        </w:rPr>
        <w:t>. For purposes of this Amendment,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Any requirement in the Indenture that a document is to be signed or authenticated by “manual signature” or similar language shall not be deemed to prohibit signature to be by facsimile or electronic signature and shall not be deemed to prohibit delivery thereof by Electronic Transmission. The recipient of the Electronic Transmission will be required to complete a one-time registration process.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8" w:lineRule="exact"/>
        <w:rPr>
          <w:sz w:val="20"/>
          <w:szCs w:val="20"/>
          <w:color w:val="auto"/>
        </w:rPr>
      </w:pPr>
    </w:p>
    <w:p>
      <w:pPr>
        <w:ind w:firstLine="433"/>
        <w:spacing w:after="0" w:line="236" w:lineRule="auto"/>
        <w:rPr>
          <w:sz w:val="20"/>
          <w:szCs w:val="20"/>
          <w:color w:val="auto"/>
        </w:rPr>
      </w:pPr>
      <w:r>
        <w:rPr>
          <w:rFonts w:ascii="Arial" w:cs="Arial" w:eastAsia="Arial" w:hAnsi="Arial"/>
          <w:sz w:val="22"/>
          <w:szCs w:val="22"/>
          <w:color w:val="auto"/>
        </w:rPr>
        <w:t>IN WITNESS WHEREOF, each of the parties hereto have caused this Amendment to be duly executed by its respective duly authorized officer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MASTER ISSUER LLC,</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as a Co-Issuer</w:t>
      </w: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 w:name="page35"/>
    <w:bookmarkEnd w:id="34"/>
    <w:p>
      <w:pPr>
        <w:ind w:left="4120"/>
        <w:spacing w:after="0"/>
        <w:rPr>
          <w:sz w:val="20"/>
          <w:szCs w:val="20"/>
          <w:color w:val="auto"/>
        </w:rPr>
      </w:pPr>
      <w:r>
        <w:rPr>
          <w:rFonts w:ascii="Arial" w:cs="Arial" w:eastAsia="Arial" w:hAnsi="Arial"/>
          <w:sz w:val="22"/>
          <w:szCs w:val="22"/>
          <w:color w:val="auto"/>
        </w:rPr>
        <w:t>Name: Sandeep Reddy</w:t>
      </w:r>
    </w:p>
    <w:p>
      <w:pPr>
        <w:ind w:left="4120"/>
        <w:spacing w:after="0" w:line="238"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18" w:lineRule="exact"/>
        <w:rPr>
          <w:sz w:val="20"/>
          <w:szCs w:val="20"/>
          <w:color w:val="auto"/>
        </w:rPr>
      </w:pPr>
    </w:p>
    <w:p>
      <w:pPr>
        <w:ind w:left="4120" w:right="80"/>
        <w:spacing w:after="0" w:line="250" w:lineRule="auto"/>
        <w:rPr>
          <w:sz w:val="20"/>
          <w:szCs w:val="20"/>
          <w:color w:val="auto"/>
        </w:rPr>
      </w:pPr>
      <w:r>
        <w:rPr>
          <w:rFonts w:ascii="Arial" w:cs="Arial" w:eastAsia="Arial" w:hAnsi="Arial"/>
          <w:sz w:val="22"/>
          <w:szCs w:val="22"/>
          <w:color w:val="auto"/>
        </w:rPr>
        <w:t>DOMINO’S SPV CANADIAN HOLDING COMPANY INC., as a Co-Issuer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PIZZA DISTRIBUTION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Co-Issuer</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IP HOLDER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Co-Issuer</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ind w:left="5000"/>
        <w:spacing w:after="0" w:line="231" w:lineRule="auto"/>
        <w:rPr>
          <w:sz w:val="20"/>
          <w:szCs w:val="20"/>
          <w:color w:val="auto"/>
        </w:rPr>
      </w:pPr>
      <w:r>
        <w:rPr>
          <w:rFonts w:ascii="Arial" w:cs="Arial" w:eastAsia="Arial" w:hAnsi="Arial"/>
          <w:sz w:val="22"/>
          <w:szCs w:val="22"/>
          <w:color w:val="auto"/>
        </w:rPr>
        <w:t>Financial Officer</w:t>
      </w:r>
    </w:p>
    <w:p>
      <w:pPr>
        <w:ind w:left="4120"/>
        <w:spacing w:after="0" w:line="230" w:lineRule="auto"/>
        <w:rPr>
          <w:sz w:val="20"/>
          <w:szCs w:val="20"/>
          <w:color w:val="auto"/>
        </w:rPr>
      </w:pPr>
      <w:r>
        <w:rPr>
          <w:rFonts w:ascii="Arial" w:cs="Arial" w:eastAsia="Arial" w:hAnsi="Arial"/>
          <w:sz w:val="22"/>
          <w:szCs w:val="22"/>
          <w:color w:val="auto"/>
        </w:rPr>
        <w:t>DOMINO’S PIZZA FRANCHISING LLC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DOMINO’S PIZZA INTERNATIONAL FRANCHISING INC.</w:t>
      </w:r>
    </w:p>
    <w:p>
      <w:pPr>
        <w:spacing w:after="0" w:line="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788670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0"/>
          </w:cols>
          <w:pgMar w:left="1440" w:top="847" w:right="839" w:bottom="1440" w:gutter="0" w:footer="0" w:header="0"/>
        </w:sectPr>
      </w:pPr>
    </w:p>
    <w:bookmarkStart w:id="35" w:name="page36"/>
    <w:bookmarkEnd w:id="35"/>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line="250" w:lineRule="auto"/>
        <w:rPr>
          <w:sz w:val="20"/>
          <w:szCs w:val="20"/>
          <w:color w:val="auto"/>
        </w:rPr>
      </w:pPr>
      <w:r>
        <w:rPr>
          <w:rFonts w:ascii="Arial" w:cs="Arial" w:eastAsia="Arial" w:hAnsi="Arial"/>
          <w:sz w:val="22"/>
          <w:szCs w:val="22"/>
          <w:color w:val="auto"/>
        </w:rPr>
        <w:t>DOMINO’S PIZZA CANADIAN DISTRIBUTION ULC as Guarantor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RE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line="230" w:lineRule="auto"/>
        <w:tabs>
          <w:tab w:leader="none" w:pos="4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Vice President, Chief</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20"/>
          </w:cols>
          <w:pgMar w:left="1440" w:top="604" w:right="1339" w:bottom="1440" w:gutter="0" w:footer="0" w:header="0"/>
        </w:sectPr>
      </w:pPr>
    </w:p>
    <w:bookmarkStart w:id="36" w:name="page37"/>
    <w:bookmarkEnd w:id="36"/>
    <w:p>
      <w:pPr>
        <w:ind w:left="4120"/>
        <w:spacing w:after="0"/>
        <w:rPr>
          <w:sz w:val="20"/>
          <w:szCs w:val="20"/>
          <w:color w:val="auto"/>
        </w:rPr>
      </w:pPr>
      <w:r>
        <w:rPr>
          <w:rFonts w:ascii="Arial" w:cs="Arial" w:eastAsia="Arial" w:hAnsi="Arial"/>
          <w:sz w:val="22"/>
          <w:szCs w:val="22"/>
          <w:color w:val="auto"/>
        </w:rPr>
        <w:t>DOMINO’S EQ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tabs>
          <w:tab w:leader="none" w:pos="49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 Chief</w:t>
      </w:r>
    </w:p>
    <w:p>
      <w:pPr>
        <w:spacing w:after="0" w:line="2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SPV GUARANTOR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tabs>
          <w:tab w:leader="none" w:pos="49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 Chief</w:t>
      </w:r>
    </w:p>
    <w:p>
      <w:pPr>
        <w:spacing w:after="0" w:line="2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PIZZA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Manager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Sandeep Reddy</w:t>
      </w:r>
    </w:p>
    <w:p>
      <w:pPr>
        <w:ind w:left="4120"/>
        <w:spacing w:after="0" w:line="238" w:lineRule="auto"/>
        <w:rPr>
          <w:sz w:val="20"/>
          <w:szCs w:val="20"/>
          <w:color w:val="auto"/>
        </w:rPr>
      </w:pPr>
      <w:r>
        <w:rPr>
          <w:rFonts w:ascii="Arial" w:cs="Arial" w:eastAsia="Arial" w:hAnsi="Arial"/>
          <w:sz w:val="22"/>
          <w:szCs w:val="22"/>
          <w:color w:val="auto"/>
        </w:rPr>
        <w:t>Name: Sandeep Reddy</w:t>
      </w:r>
    </w:p>
    <w:p>
      <w:pPr>
        <w:ind w:left="4120"/>
        <w:spacing w:after="0"/>
        <w:tabs>
          <w:tab w:leader="none" w:pos="49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Executive Vice President, Chief</w:t>
      </w:r>
    </w:p>
    <w:p>
      <w:pPr>
        <w:spacing w:after="0" w:line="2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1800225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37" w:name="page38"/>
    <w:bookmarkEnd w:id="37"/>
    <w:p>
      <w:pPr>
        <w:ind w:left="5240"/>
        <w:spacing w:after="0" w:line="250" w:lineRule="auto"/>
        <w:rPr>
          <w:sz w:val="20"/>
          <w:szCs w:val="20"/>
          <w:color w:val="auto"/>
        </w:rPr>
      </w:pPr>
      <w:r>
        <w:rPr>
          <w:rFonts w:ascii="Arial" w:cs="Arial" w:eastAsia="Arial" w:hAnsi="Arial"/>
          <w:sz w:val="22"/>
          <w:szCs w:val="22"/>
          <w:color w:val="auto"/>
        </w:rPr>
        <w:t>COÖPERATIEVE RABOBANK U.A., NEW YORK BRANCH, as Administrative Agent</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Jinyang Wang</w:t>
      </w:r>
    </w:p>
    <w:p>
      <w:pPr>
        <w:ind w:left="5680"/>
        <w:spacing w:after="0" w:line="238" w:lineRule="auto"/>
        <w:rPr>
          <w:sz w:val="20"/>
          <w:szCs w:val="20"/>
          <w:color w:val="auto"/>
        </w:rPr>
      </w:pPr>
      <w:r>
        <w:rPr>
          <w:rFonts w:ascii="Arial" w:cs="Arial" w:eastAsia="Arial" w:hAnsi="Arial"/>
          <w:sz w:val="22"/>
          <w:szCs w:val="22"/>
          <w:color w:val="auto"/>
        </w:rPr>
        <w:t>Name: Jinyang Wang</w:t>
      </w:r>
    </w:p>
    <w:p>
      <w:pPr>
        <w:ind w:left="568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Robyn Carmel</w:t>
      </w:r>
    </w:p>
    <w:p>
      <w:pPr>
        <w:ind w:left="5680"/>
        <w:spacing w:after="0" w:line="238" w:lineRule="auto"/>
        <w:rPr>
          <w:sz w:val="20"/>
          <w:szCs w:val="20"/>
          <w:color w:val="auto"/>
        </w:rPr>
      </w:pPr>
      <w:r>
        <w:rPr>
          <w:rFonts w:ascii="Arial" w:cs="Arial" w:eastAsia="Arial" w:hAnsi="Arial"/>
          <w:sz w:val="22"/>
          <w:szCs w:val="22"/>
          <w:color w:val="auto"/>
        </w:rPr>
        <w:t>Name: Robyn Carmel</w:t>
      </w:r>
    </w:p>
    <w:p>
      <w:pPr>
        <w:ind w:left="5680"/>
        <w:spacing w:after="0" w:line="230" w:lineRule="auto"/>
        <w:rPr>
          <w:sz w:val="20"/>
          <w:szCs w:val="20"/>
          <w:color w:val="auto"/>
        </w:rPr>
      </w:pPr>
      <w:r>
        <w:rPr>
          <w:rFonts w:ascii="Arial" w:cs="Arial" w:eastAsia="Arial" w:hAnsi="Arial"/>
          <w:sz w:val="22"/>
          <w:szCs w:val="22"/>
          <w:color w:val="auto"/>
        </w:rPr>
        <w:t>Title: Executive Director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to by: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480"/>
        <w:spacing w:after="0" w:line="250" w:lineRule="auto"/>
        <w:rPr>
          <w:sz w:val="20"/>
          <w:szCs w:val="20"/>
          <w:color w:val="auto"/>
        </w:rPr>
      </w:pPr>
      <w:r>
        <w:rPr>
          <w:rFonts w:ascii="Arial" w:cs="Arial" w:eastAsia="Arial" w:hAnsi="Arial"/>
          <w:sz w:val="22"/>
          <w:szCs w:val="22"/>
          <w:color w:val="auto"/>
        </w:rPr>
        <w:t>COÖPERATIEVE RABOBANK U.A., NEW YORK BRANCH, as Committed Note Purchaser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Jinyang Wang</w:t>
      </w:r>
    </w:p>
    <w:p>
      <w:pPr>
        <w:spacing w:after="0" w:line="238" w:lineRule="auto"/>
        <w:rPr>
          <w:sz w:val="20"/>
          <w:szCs w:val="20"/>
          <w:color w:val="auto"/>
        </w:rPr>
      </w:pPr>
      <w:r>
        <w:rPr>
          <w:rFonts w:ascii="Arial" w:cs="Arial" w:eastAsia="Arial" w:hAnsi="Arial"/>
          <w:sz w:val="22"/>
          <w:szCs w:val="22"/>
          <w:color w:val="auto"/>
        </w:rPr>
        <w:t>Name: Jinyang Wang</w:t>
      </w:r>
    </w:p>
    <w:p>
      <w:pPr>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Robyn Carmel</w:t>
      </w:r>
    </w:p>
    <w:p>
      <w:pPr>
        <w:spacing w:after="0" w:line="238" w:lineRule="auto"/>
        <w:rPr>
          <w:sz w:val="20"/>
          <w:szCs w:val="20"/>
          <w:color w:val="auto"/>
        </w:rPr>
      </w:pPr>
      <w:r>
        <w:rPr>
          <w:rFonts w:ascii="Arial" w:cs="Arial" w:eastAsia="Arial" w:hAnsi="Arial"/>
          <w:sz w:val="22"/>
          <w:szCs w:val="22"/>
          <w:color w:val="auto"/>
        </w:rPr>
        <w:t>Name: Robyn Carmel</w:t>
      </w:r>
    </w:p>
    <w:p>
      <w:pPr>
        <w:spacing w:after="0"/>
        <w:rPr>
          <w:sz w:val="20"/>
          <w:szCs w:val="20"/>
          <w:color w:val="auto"/>
        </w:rPr>
      </w:pPr>
      <w:r>
        <w:rPr>
          <w:rFonts w:ascii="Arial" w:cs="Arial" w:eastAsia="Arial" w:hAnsi="Arial"/>
          <w:sz w:val="22"/>
          <w:szCs w:val="22"/>
          <w:color w:val="auto"/>
        </w:rPr>
        <w:t>Title: Executive Director</w:t>
      </w:r>
    </w:p>
    <w:p>
      <w:pPr>
        <w:spacing w:after="0" w:line="215" w:lineRule="exact"/>
        <w:rPr>
          <w:sz w:val="20"/>
          <w:szCs w:val="20"/>
          <w:color w:val="auto"/>
        </w:rPr>
      </w:pPr>
    </w:p>
    <w:p>
      <w:pPr>
        <w:ind w:right="5480"/>
        <w:spacing w:after="0" w:line="250" w:lineRule="auto"/>
        <w:rPr>
          <w:sz w:val="20"/>
          <w:szCs w:val="20"/>
          <w:color w:val="auto"/>
        </w:rPr>
      </w:pPr>
      <w:r>
        <w:rPr>
          <w:rFonts w:ascii="Arial" w:cs="Arial" w:eastAsia="Arial" w:hAnsi="Arial"/>
          <w:sz w:val="22"/>
          <w:szCs w:val="22"/>
          <w:color w:val="auto"/>
        </w:rPr>
        <w:t>COÖPERATIEVE RABOBANK U.A., NEW YORK BRANCH, as related Funding Agent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Jinyang Wang</w:t>
      </w:r>
    </w:p>
    <w:p>
      <w:pPr>
        <w:spacing w:after="0" w:line="238" w:lineRule="auto"/>
        <w:rPr>
          <w:sz w:val="20"/>
          <w:szCs w:val="20"/>
          <w:color w:val="auto"/>
        </w:rPr>
      </w:pPr>
      <w:r>
        <w:rPr>
          <w:rFonts w:ascii="Arial" w:cs="Arial" w:eastAsia="Arial" w:hAnsi="Arial"/>
          <w:sz w:val="22"/>
          <w:szCs w:val="22"/>
          <w:color w:val="auto"/>
        </w:rPr>
        <w:t>Name: Jinyang Wang</w:t>
      </w:r>
    </w:p>
    <w:p>
      <w:pPr>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Robyn Carmel</w:t>
      </w:r>
    </w:p>
    <w:p>
      <w:pPr>
        <w:spacing w:after="0" w:line="238" w:lineRule="auto"/>
        <w:rPr>
          <w:sz w:val="20"/>
          <w:szCs w:val="20"/>
          <w:color w:val="auto"/>
        </w:rPr>
      </w:pPr>
      <w:r>
        <w:rPr>
          <w:rFonts w:ascii="Arial" w:cs="Arial" w:eastAsia="Arial" w:hAnsi="Arial"/>
          <w:sz w:val="22"/>
          <w:szCs w:val="22"/>
          <w:color w:val="auto"/>
        </w:rPr>
        <w:t>Name: Robyn Carmel</w:t>
      </w:r>
    </w:p>
    <w:p>
      <w:pPr>
        <w:spacing w:after="0"/>
        <w:rPr>
          <w:sz w:val="20"/>
          <w:szCs w:val="20"/>
          <w:color w:val="auto"/>
        </w:rPr>
      </w:pPr>
      <w:r>
        <w:rPr>
          <w:rFonts w:ascii="Arial" w:cs="Arial" w:eastAsia="Arial" w:hAnsi="Arial"/>
          <w:sz w:val="22"/>
          <w:szCs w:val="22"/>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88" w:right="47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A-1 NOTE PURCHASE AGREEMENT</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(SERIES 2021-1 VARIABLE FUNDING SENIOR NOTES, CLASS A-1)</w:t>
      </w:r>
    </w:p>
    <w:p>
      <w:pPr>
        <w:spacing w:after="0" w:line="133"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dated as of April 16, 2021</w:t>
      </w:r>
    </w:p>
    <w:p>
      <w:pPr>
        <w:spacing w:after="0" w:line="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98"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DOMINO’S PIZZA MASTER ISSUER LLC,</w:t>
      </w:r>
    </w:p>
    <w:p>
      <w:pPr>
        <w:spacing w:after="0" w:line="8" w:lineRule="exact"/>
        <w:rPr>
          <w:sz w:val="20"/>
          <w:szCs w:val="20"/>
          <w:color w:val="auto"/>
        </w:rPr>
      </w:pPr>
    </w:p>
    <w:p>
      <w:pPr>
        <w:jc w:val="center"/>
        <w:ind w:left="1300" w:right="1359"/>
        <w:spacing w:after="0" w:line="234" w:lineRule="auto"/>
        <w:rPr>
          <w:sz w:val="20"/>
          <w:szCs w:val="20"/>
          <w:color w:val="auto"/>
        </w:rPr>
      </w:pPr>
      <w:r>
        <w:rPr>
          <w:rFonts w:ascii="Arial" w:cs="Arial" w:eastAsia="Arial" w:hAnsi="Arial"/>
          <w:sz w:val="22"/>
          <w:szCs w:val="22"/>
          <w:color w:val="auto"/>
        </w:rPr>
        <w:t>DOMINO’S SPV CANADIAN HOLDING COMPANY INC., DOMINO’S PIZZA DISTRIBUTION LLC, and DOMINO’S IP HOLDER LLC,</w:t>
      </w:r>
    </w:p>
    <w:p>
      <w:pPr>
        <w:spacing w:after="0" w:line="79"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each as a Co-Issuer,</w:t>
      </w:r>
    </w:p>
    <w:p>
      <w:pPr>
        <w:spacing w:after="0" w:line="9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DOMINO’S PIZZA FRANCHISING LLC,</w:t>
      </w:r>
    </w:p>
    <w:p>
      <w:pPr>
        <w:jc w:val="center"/>
        <w:ind w:right="59"/>
        <w:spacing w:after="0" w:line="238" w:lineRule="auto"/>
        <w:rPr>
          <w:sz w:val="20"/>
          <w:szCs w:val="20"/>
          <w:color w:val="auto"/>
        </w:rPr>
      </w:pPr>
      <w:r>
        <w:rPr>
          <w:rFonts w:ascii="Arial" w:cs="Arial" w:eastAsia="Arial" w:hAnsi="Arial"/>
          <w:sz w:val="22"/>
          <w:szCs w:val="22"/>
          <w:color w:val="auto"/>
        </w:rPr>
        <w:t>DOMINO’S PIZZA INTERNATIONAL FRANCHISING INC.,</w:t>
      </w:r>
    </w:p>
    <w:p>
      <w:pPr>
        <w:jc w:val="center"/>
        <w:ind w:right="59"/>
        <w:spacing w:after="0" w:line="230" w:lineRule="auto"/>
        <w:rPr>
          <w:sz w:val="20"/>
          <w:szCs w:val="20"/>
          <w:color w:val="auto"/>
        </w:rPr>
      </w:pPr>
      <w:r>
        <w:rPr>
          <w:rFonts w:ascii="Arial" w:cs="Arial" w:eastAsia="Arial" w:hAnsi="Arial"/>
          <w:sz w:val="22"/>
          <w:szCs w:val="22"/>
          <w:color w:val="auto"/>
        </w:rPr>
        <w:t>DOMINO’S PIZZA CANADIAN DISTRIBUTION ULC,</w:t>
      </w:r>
    </w:p>
    <w:p>
      <w:pPr>
        <w:jc w:val="center"/>
        <w:ind w:right="59"/>
        <w:spacing w:after="0" w:line="231" w:lineRule="auto"/>
        <w:rPr>
          <w:sz w:val="20"/>
          <w:szCs w:val="20"/>
          <w:color w:val="auto"/>
        </w:rPr>
      </w:pPr>
      <w:r>
        <w:rPr>
          <w:rFonts w:ascii="Arial" w:cs="Arial" w:eastAsia="Arial" w:hAnsi="Arial"/>
          <w:sz w:val="22"/>
          <w:szCs w:val="22"/>
          <w:color w:val="auto"/>
        </w:rPr>
        <w:t>DOMINO’S RE LLC,</w:t>
      </w:r>
    </w:p>
    <w:p>
      <w:pPr>
        <w:jc w:val="center"/>
        <w:ind w:right="59"/>
        <w:spacing w:after="0" w:line="230" w:lineRule="auto"/>
        <w:rPr>
          <w:sz w:val="20"/>
          <w:szCs w:val="20"/>
          <w:color w:val="auto"/>
        </w:rPr>
      </w:pPr>
      <w:r>
        <w:rPr>
          <w:rFonts w:ascii="Arial" w:cs="Arial" w:eastAsia="Arial" w:hAnsi="Arial"/>
          <w:sz w:val="22"/>
          <w:szCs w:val="22"/>
          <w:color w:val="auto"/>
        </w:rPr>
        <w:t>DOMINO’S EQ LLC,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DOMINO’S SPV GUARANTOR LLC</w:t>
      </w:r>
    </w:p>
    <w:p>
      <w:pPr>
        <w:spacing w:after="0" w:line="80"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each as a Guarantor,</w:t>
      </w:r>
    </w:p>
    <w:p>
      <w:pPr>
        <w:spacing w:after="0" w:line="9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DOMINO’S PIZZA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Manager,</w:t>
      </w:r>
    </w:p>
    <w:p>
      <w:pPr>
        <w:spacing w:after="0" w:line="8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CERTAIN CONDUIT INVESTORS,</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each as a Conduit Investor,</w:t>
      </w:r>
    </w:p>
    <w:p>
      <w:pPr>
        <w:spacing w:after="0" w:line="8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CERTAIN FINANCIAL INSTITUTIONS,</w:t>
      </w:r>
    </w:p>
    <w:p>
      <w:pPr>
        <w:spacing w:after="0" w:line="8"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each as a Committed Note Purchaser,</w:t>
      </w:r>
    </w:p>
    <w:p>
      <w:pPr>
        <w:spacing w:after="0" w:line="80"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CERTAIN FUNDING AGENTS,</w:t>
      </w:r>
    </w:p>
    <w:p>
      <w:pPr>
        <w:spacing w:after="0" w:line="9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COÖPERATIEVE RABOBANK U.A., NEW YORK BRANCH,</w:t>
      </w:r>
    </w:p>
    <w:p>
      <w:pPr>
        <w:spacing w:after="0" w:line="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L/C Provider,</w:t>
      </w:r>
    </w:p>
    <w:p>
      <w:pPr>
        <w:spacing w:after="0" w:line="80"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COÖPERATIEVE RABOBANK U.A., NEW YORK BRANCH,</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as Swingline Lender,</w:t>
      </w:r>
    </w:p>
    <w:p>
      <w:pPr>
        <w:spacing w:after="0" w:line="8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COÖPERATIEVE RABOBANK U.A., NEW YORK BRANCH,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598170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Page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I DEFINITIONS  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1.01</w:t>
            </w:r>
          </w:p>
        </w:tc>
        <w:tc>
          <w:tcPr>
            <w:tcW w:w="28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1.02</w:t>
            </w:r>
          </w:p>
        </w:tc>
        <w:tc>
          <w:tcPr>
            <w:tcW w:w="280" w:type="dxa"/>
            <w:vAlign w:val="bottom"/>
          </w:tcPr>
          <w:p>
            <w:pPr>
              <w:spacing w:after="0"/>
              <w:rPr>
                <w:sz w:val="19"/>
                <w:szCs w:val="19"/>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 terms</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0"/>
        </w:trPr>
        <w:tc>
          <w:tcPr>
            <w:tcW w:w="260" w:type="dxa"/>
            <w:vAlign w:val="bottom"/>
          </w:tcPr>
          <w:p>
            <w:pPr>
              <w:spacing w:after="0"/>
              <w:rPr>
                <w:sz w:val="16"/>
                <w:szCs w:val="16"/>
                <w:color w:val="auto"/>
              </w:rPr>
            </w:pPr>
          </w:p>
        </w:tc>
        <w:tc>
          <w:tcPr>
            <w:tcW w:w="900" w:type="dxa"/>
            <w:vAlign w:val="bottom"/>
          </w:tcPr>
          <w:p>
            <w:pPr>
              <w:spacing w:after="0" w:line="190" w:lineRule="exact"/>
              <w:rPr>
                <w:sz w:val="20"/>
                <w:szCs w:val="20"/>
                <w:color w:val="auto"/>
              </w:rPr>
            </w:pPr>
            <w:r>
              <w:rPr>
                <w:rFonts w:ascii="Arial" w:cs="Arial" w:eastAsia="Arial" w:hAnsi="Arial"/>
                <w:sz w:val="18"/>
                <w:szCs w:val="18"/>
                <w:color w:val="0000FF"/>
              </w:rPr>
              <w:t>S</w:t>
            </w:r>
            <w:r>
              <w:rPr>
                <w:rFonts w:ascii="Arial" w:cs="Arial" w:eastAsia="Arial" w:hAnsi="Arial"/>
                <w:sz w:val="12"/>
                <w:szCs w:val="12"/>
                <w:color w:val="0000FF"/>
              </w:rPr>
              <w:t>ection</w:t>
            </w:r>
            <w:r>
              <w:rPr>
                <w:rFonts w:ascii="Arial" w:cs="Arial" w:eastAsia="Arial" w:hAnsi="Arial"/>
                <w:sz w:val="18"/>
                <w:szCs w:val="18"/>
                <w:color w:val="0000FF"/>
              </w:rPr>
              <w:t xml:space="preserve"> 1.03</w:t>
            </w:r>
          </w:p>
        </w:tc>
        <w:tc>
          <w:tcPr>
            <w:tcW w:w="280" w:type="dxa"/>
            <w:vAlign w:val="bottom"/>
          </w:tcPr>
          <w:p>
            <w:pPr>
              <w:spacing w:after="0"/>
              <w:rPr>
                <w:sz w:val="16"/>
                <w:szCs w:val="16"/>
                <w:color w:val="auto"/>
              </w:rPr>
            </w:pPr>
          </w:p>
        </w:tc>
        <w:tc>
          <w:tcPr>
            <w:tcW w:w="2080" w:type="dxa"/>
            <w:vAlign w:val="bottom"/>
            <w:gridSpan w:val="16"/>
          </w:tcPr>
          <w:p>
            <w:pPr>
              <w:spacing w:after="0" w:line="190" w:lineRule="exact"/>
              <w:rPr>
                <w:sz w:val="20"/>
                <w:szCs w:val="20"/>
                <w:color w:val="auto"/>
              </w:rPr>
            </w:pPr>
            <w:r>
              <w:rPr>
                <w:rFonts w:ascii="Arial" w:cs="Arial" w:eastAsia="Arial" w:hAnsi="Arial"/>
                <w:sz w:val="18"/>
                <w:szCs w:val="18"/>
                <w:color w:val="0000FF"/>
              </w:rPr>
              <w:t>B</w:t>
            </w:r>
            <w:r>
              <w:rPr>
                <w:rFonts w:ascii="Arial" w:cs="Arial" w:eastAsia="Arial" w:hAnsi="Arial"/>
                <w:sz w:val="12"/>
                <w:szCs w:val="12"/>
                <w:color w:val="0000FF"/>
              </w:rPr>
              <w:t>enchmark</w:t>
            </w:r>
            <w:r>
              <w:rPr>
                <w:rFonts w:ascii="Arial" w:cs="Arial" w:eastAsia="Arial" w:hAnsi="Arial"/>
                <w:sz w:val="18"/>
                <w:szCs w:val="18"/>
                <w:color w:val="0000FF"/>
              </w:rPr>
              <w:t xml:space="preserve"> C</w:t>
            </w:r>
            <w:r>
              <w:rPr>
                <w:rFonts w:ascii="Arial" w:cs="Arial" w:eastAsia="Arial" w:hAnsi="Arial"/>
                <w:sz w:val="12"/>
                <w:szCs w:val="12"/>
                <w:color w:val="0000FF"/>
              </w:rPr>
              <w:t>alculations</w:t>
            </w:r>
            <w:r>
              <w:rPr>
                <w:rFonts w:ascii="Arial" w:cs="Arial" w:eastAsia="Arial" w:hAnsi="Arial"/>
                <w:sz w:val="18"/>
                <w:szCs w:val="18"/>
                <w:color w:val="0000FF"/>
              </w:rPr>
              <w:t>.</w:t>
            </w:r>
          </w:p>
        </w:tc>
        <w:tc>
          <w:tcPr>
            <w:tcW w:w="160" w:type="dxa"/>
            <w:vAlign w:val="bottom"/>
            <w:gridSpan w:val="2"/>
          </w:tcPr>
          <w:p>
            <w:pPr>
              <w:jc w:val="right"/>
              <w:spacing w:after="0" w:line="190" w:lineRule="exact"/>
              <w:rPr>
                <w:sz w:val="20"/>
                <w:szCs w:val="20"/>
                <w:color w:val="auto"/>
              </w:rPr>
            </w:pPr>
            <w:r>
              <w:rPr>
                <w:rFonts w:ascii="Arial" w:cs="Arial" w:eastAsia="Arial" w:hAnsi="Arial"/>
                <w:sz w:val="17"/>
                <w:szCs w:val="17"/>
                <w:color w:val="0000FF"/>
                <w:w w:val="73"/>
              </w:rPr>
              <w:t>18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6120" w:type="dxa"/>
            <w:vAlign w:val="bottom"/>
            <w:gridSpan w:val="32"/>
          </w:tcPr>
          <w:p>
            <w:pPr>
              <w:spacing w:after="0"/>
              <w:rPr>
                <w:sz w:val="20"/>
                <w:szCs w:val="20"/>
                <w:color w:val="auto"/>
              </w:rPr>
            </w:pPr>
            <w:r>
              <w:rPr>
                <w:rFonts w:ascii="Arial" w:cs="Arial" w:eastAsia="Arial" w:hAnsi="Arial"/>
                <w:sz w:val="18"/>
                <w:szCs w:val="18"/>
                <w:color w:val="auto"/>
                <w:w w:val="98"/>
              </w:rPr>
              <w:t>ARTICLE II PURCHASE AND SALE OF SERIES 2021-1 CLASS A-1 NOTES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21</w:t>
            </w:r>
          </w:p>
        </w:tc>
        <w:tc>
          <w:tcPr>
            <w:tcW w:w="1160" w:type="dxa"/>
            <w:vAlign w:val="bottom"/>
            <w:gridSpan w:val="2"/>
          </w:tcPr>
          <w:p>
            <w:pPr>
              <w:jc w:val="right"/>
              <w:ind w:right="980"/>
              <w:spacing w:after="0"/>
              <w:rPr>
                <w:sz w:val="20"/>
                <w:szCs w:val="20"/>
                <w:color w:val="auto"/>
              </w:rPr>
            </w:pPr>
            <w:r>
              <w:rPr>
                <w:rFonts w:ascii="Arial" w:cs="Arial" w:eastAsia="Arial" w:hAnsi="Arial"/>
                <w:sz w:val="18"/>
                <w:szCs w:val="18"/>
                <w:color w:val="0000FF"/>
                <w:w w:val="79"/>
              </w:rPr>
              <w:t>19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8"/>
        </w:trPr>
        <w:tc>
          <w:tcPr>
            <w:tcW w:w="2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2.01</w:t>
            </w:r>
          </w:p>
        </w:tc>
        <w:tc>
          <w:tcPr>
            <w:tcW w:w="280" w:type="dxa"/>
            <w:vAlign w:val="bottom"/>
          </w:tcPr>
          <w:p>
            <w:pPr>
              <w:spacing w:after="0"/>
              <w:rPr>
                <w:sz w:val="24"/>
                <w:szCs w:val="24"/>
                <w:color w:val="auto"/>
              </w:rPr>
            </w:pPr>
          </w:p>
        </w:tc>
        <w:tc>
          <w:tcPr>
            <w:tcW w:w="1700" w:type="dxa"/>
            <w:vAlign w:val="bottom"/>
            <w:gridSpan w:val="11"/>
          </w:tcPr>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A</w:t>
            </w:r>
            <w:r>
              <w:rPr>
                <w:rFonts w:ascii="Arial" w:cs="Arial" w:eastAsia="Arial" w:hAnsi="Arial"/>
                <w:sz w:val="12"/>
                <w:szCs w:val="12"/>
                <w:color w:val="auto"/>
              </w:rPr>
              <w:t>dvance</w:t>
            </w:r>
            <w:r>
              <w:rPr>
                <w:rFonts w:ascii="Arial" w:cs="Arial" w:eastAsia="Arial" w:hAnsi="Arial"/>
                <w:sz w:val="18"/>
                <w:szCs w:val="18"/>
                <w:color w:val="auto"/>
              </w:rPr>
              <w:t xml:space="preserve"> N</w:t>
            </w:r>
            <w:r>
              <w:rPr>
                <w:rFonts w:ascii="Arial" w:cs="Arial" w:eastAsia="Arial" w:hAnsi="Arial"/>
                <w:sz w:val="12"/>
                <w:szCs w:val="12"/>
                <w:color w:val="auto"/>
              </w:rPr>
              <w:t>otes</w:t>
            </w: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21</w:t>
            </w: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2.02</w:t>
            </w:r>
          </w:p>
        </w:tc>
        <w:tc>
          <w:tcPr>
            <w:tcW w:w="28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dvances</w:t>
            </w: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FF0000"/>
                <w:strike w:val="1"/>
                <w:w w:val="79"/>
              </w:rPr>
              <w:t>22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2.03</w:t>
            </w:r>
          </w:p>
        </w:tc>
        <w:tc>
          <w:tcPr>
            <w:tcW w:w="280" w:type="dxa"/>
            <w:vAlign w:val="bottom"/>
          </w:tcPr>
          <w:p>
            <w:pPr>
              <w:spacing w:after="0"/>
              <w:rPr>
                <w:sz w:val="18"/>
                <w:szCs w:val="18"/>
                <w:color w:val="auto"/>
              </w:rPr>
            </w:pPr>
          </w:p>
        </w:tc>
        <w:tc>
          <w:tcPr>
            <w:tcW w:w="2060" w:type="dxa"/>
            <w:vAlign w:val="bottom"/>
            <w:gridSpan w:val="15"/>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orrowing</w:t>
            </w:r>
            <w:r>
              <w:rPr>
                <w:rFonts w:ascii="Arial" w:cs="Arial" w:eastAsia="Arial" w:hAnsi="Arial"/>
                <w:sz w:val="18"/>
                <w:szCs w:val="18"/>
                <w:color w:val="auto"/>
              </w:rPr>
              <w:t xml:space="preserve"> P</w:t>
            </w:r>
            <w:r>
              <w:rPr>
                <w:rFonts w:ascii="Arial" w:cs="Arial" w:eastAsia="Arial" w:hAnsi="Arial"/>
                <w:sz w:val="12"/>
                <w:szCs w:val="12"/>
                <w:color w:val="auto"/>
              </w:rPr>
              <w:t>rocedures</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23</w:t>
            </w:r>
          </w:p>
        </w:tc>
        <w:tc>
          <w:tcPr>
            <w:tcW w:w="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2.04</w:t>
            </w:r>
          </w:p>
        </w:tc>
        <w:tc>
          <w:tcPr>
            <w:tcW w:w="280" w:type="dxa"/>
            <w:vAlign w:val="bottom"/>
          </w:tcPr>
          <w:p>
            <w:pPr>
              <w:spacing w:after="0"/>
              <w:rPr>
                <w:sz w:val="18"/>
                <w:szCs w:val="18"/>
                <w:color w:val="auto"/>
              </w:rPr>
            </w:pPr>
          </w:p>
        </w:tc>
        <w:tc>
          <w:tcPr>
            <w:tcW w:w="2780" w:type="dxa"/>
            <w:vAlign w:val="bottom"/>
            <w:gridSpan w:val="21"/>
          </w:tcPr>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2021-1 C</w:t>
            </w:r>
            <w:r>
              <w:rPr>
                <w:rFonts w:ascii="Arial" w:cs="Arial" w:eastAsia="Arial" w:hAnsi="Arial"/>
                <w:sz w:val="12"/>
                <w:szCs w:val="12"/>
                <w:color w:val="auto"/>
              </w:rPr>
              <w:t>lass</w:t>
            </w:r>
            <w:r>
              <w:rPr>
                <w:rFonts w:ascii="Arial" w:cs="Arial" w:eastAsia="Arial" w:hAnsi="Arial"/>
                <w:sz w:val="18"/>
                <w:szCs w:val="18"/>
                <w:color w:val="auto"/>
              </w:rPr>
              <w:t xml:space="preserve"> A-1 N</w:t>
            </w:r>
            <w:r>
              <w:rPr>
                <w:rFonts w:ascii="Arial" w:cs="Arial" w:eastAsia="Arial" w:hAnsi="Arial"/>
                <w:sz w:val="12"/>
                <w:szCs w:val="12"/>
                <w:color w:val="auto"/>
              </w:rPr>
              <w:t>otes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26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2.05</w:t>
            </w:r>
          </w:p>
        </w:tc>
        <w:tc>
          <w:tcPr>
            <w:tcW w:w="280" w:type="dxa"/>
            <w:vAlign w:val="bottom"/>
          </w:tcPr>
          <w:p>
            <w:pPr>
              <w:spacing w:after="0"/>
              <w:rPr>
                <w:sz w:val="18"/>
                <w:szCs w:val="18"/>
                <w:color w:val="auto"/>
              </w:rPr>
            </w:pPr>
          </w:p>
        </w:tc>
        <w:tc>
          <w:tcPr>
            <w:tcW w:w="2060" w:type="dxa"/>
            <w:vAlign w:val="bottom"/>
            <w:gridSpan w:val="15"/>
          </w:tcPr>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eduction in</w:t>
            </w:r>
            <w:r>
              <w:rPr>
                <w:rFonts w:ascii="Arial" w:cs="Arial" w:eastAsia="Arial" w:hAnsi="Arial"/>
                <w:sz w:val="18"/>
                <w:szCs w:val="18"/>
                <w:color w:val="auto"/>
              </w:rPr>
              <w:t xml:space="preserve"> C</w:t>
            </w:r>
            <w:r>
              <w:rPr>
                <w:rFonts w:ascii="Arial" w:cs="Arial" w:eastAsia="Arial" w:hAnsi="Arial"/>
                <w:sz w:val="12"/>
                <w:szCs w:val="12"/>
                <w:color w:val="auto"/>
              </w:rPr>
              <w:t>ommitments</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26</w:t>
            </w:r>
          </w:p>
        </w:tc>
        <w:tc>
          <w:tcPr>
            <w:tcW w:w="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2.06</w:t>
            </w:r>
          </w:p>
        </w:tc>
        <w:tc>
          <w:tcPr>
            <w:tcW w:w="280" w:type="dxa"/>
            <w:vAlign w:val="bottom"/>
          </w:tcPr>
          <w:p>
            <w:pPr>
              <w:spacing w:after="0"/>
              <w:rPr>
                <w:sz w:val="18"/>
                <w:szCs w:val="18"/>
                <w:color w:val="auto"/>
              </w:rPr>
            </w:pPr>
          </w:p>
        </w:tc>
        <w:tc>
          <w:tcPr>
            <w:tcW w:w="1700" w:type="dxa"/>
            <w:vAlign w:val="bottom"/>
            <w:gridSpan w:val="11"/>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wingline</w:t>
            </w:r>
            <w:r>
              <w:rPr>
                <w:rFonts w:ascii="Arial" w:cs="Arial" w:eastAsia="Arial" w:hAnsi="Arial"/>
                <w:sz w:val="18"/>
                <w:szCs w:val="18"/>
                <w:color w:val="auto"/>
              </w:rPr>
              <w:t xml:space="preserve"> C</w:t>
            </w:r>
            <w:r>
              <w:rPr>
                <w:rFonts w:ascii="Arial" w:cs="Arial" w:eastAsia="Arial" w:hAnsi="Arial"/>
                <w:sz w:val="12"/>
                <w:szCs w:val="12"/>
                <w:color w:val="auto"/>
              </w:rPr>
              <w:t>ommitment</w:t>
            </w: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29</w:t>
            </w:r>
          </w:p>
        </w:tc>
        <w:tc>
          <w:tcPr>
            <w:tcW w:w="360" w:type="dxa"/>
            <w:vAlign w:val="bottom"/>
            <w:gridSpan w:val="2"/>
          </w:tcPr>
          <w:p>
            <w:pPr>
              <w:spacing w:after="0"/>
              <w:rPr>
                <w:sz w:val="20"/>
                <w:szCs w:val="20"/>
                <w:color w:val="auto"/>
              </w:rPr>
            </w:pPr>
            <w:r>
              <w:rPr>
                <w:rFonts w:ascii="Arial" w:cs="Arial" w:eastAsia="Arial" w:hAnsi="Arial"/>
                <w:sz w:val="18"/>
                <w:szCs w:val="18"/>
                <w:color w:val="0000FF"/>
              </w:rPr>
              <w:t>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2.07</w:t>
            </w:r>
          </w:p>
        </w:tc>
        <w:tc>
          <w:tcPr>
            <w:tcW w:w="28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L/C C</w:t>
            </w:r>
            <w:r>
              <w:rPr>
                <w:rFonts w:ascii="Arial" w:cs="Arial" w:eastAsia="Arial" w:hAnsi="Arial"/>
                <w:sz w:val="12"/>
                <w:szCs w:val="12"/>
                <w:color w:val="auto"/>
              </w:rPr>
              <w:t>ommitment</w:t>
            </w:r>
            <w:r>
              <w:rPr>
                <w:rFonts w:ascii="Arial" w:cs="Arial" w:eastAsia="Arial" w:hAnsi="Arial"/>
                <w:sz w:val="18"/>
                <w:szCs w:val="18"/>
                <w:color w:val="auto"/>
              </w:rPr>
              <w:t>.</w:t>
            </w:r>
          </w:p>
        </w:tc>
        <w:tc>
          <w:tcPr>
            <w:tcW w:w="180" w:type="dxa"/>
            <w:vAlign w:val="bottom"/>
            <w:gridSpan w:val="3"/>
          </w:tcPr>
          <w:p>
            <w:pPr>
              <w:spacing w:after="0"/>
              <w:rPr>
                <w:sz w:val="20"/>
                <w:szCs w:val="20"/>
                <w:color w:val="auto"/>
              </w:rPr>
            </w:pPr>
            <w:r>
              <w:rPr>
                <w:rFonts w:ascii="Arial" w:cs="Arial" w:eastAsia="Arial" w:hAnsi="Arial"/>
                <w:sz w:val="18"/>
                <w:szCs w:val="18"/>
                <w:color w:val="FF0000"/>
                <w:strike w:val="1"/>
                <w:w w:val="79"/>
              </w:rPr>
              <w:t>32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3600" w:type="dxa"/>
            <w:vAlign w:val="bottom"/>
            <w:gridSpan w:val="21"/>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2.08   L/C R</w:t>
            </w:r>
            <w:r>
              <w:rPr>
                <w:rFonts w:ascii="Arial" w:cs="Arial" w:eastAsia="Arial" w:hAnsi="Arial"/>
                <w:sz w:val="12"/>
                <w:szCs w:val="12"/>
                <w:color w:val="auto"/>
              </w:rPr>
              <w:t>eimbursement</w:t>
            </w:r>
            <w:r>
              <w:rPr>
                <w:rFonts w:ascii="Arial" w:cs="Arial" w:eastAsia="Arial" w:hAnsi="Arial"/>
                <w:sz w:val="18"/>
                <w:szCs w:val="18"/>
                <w:color w:val="auto"/>
              </w:rPr>
              <w:t xml:space="preserve"> O</w:t>
            </w:r>
            <w:r>
              <w:rPr>
                <w:rFonts w:ascii="Arial" w:cs="Arial" w:eastAsia="Arial" w:hAnsi="Arial"/>
                <w:sz w:val="12"/>
                <w:szCs w:val="12"/>
                <w:color w:val="auto"/>
              </w:rPr>
              <w:t>bligations</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2.09</w:t>
            </w:r>
          </w:p>
        </w:tc>
        <w:tc>
          <w:tcPr>
            <w:tcW w:w="280" w:type="dxa"/>
            <w:vAlign w:val="bottom"/>
          </w:tcPr>
          <w:p>
            <w:pPr>
              <w:spacing w:after="0"/>
              <w:rPr>
                <w:sz w:val="18"/>
                <w:szCs w:val="18"/>
                <w:color w:val="auto"/>
              </w:rPr>
            </w:pPr>
          </w:p>
        </w:tc>
        <w:tc>
          <w:tcPr>
            <w:tcW w:w="1700" w:type="dxa"/>
            <w:vAlign w:val="bottom"/>
            <w:gridSpan w:val="11"/>
          </w:tcPr>
          <w:p>
            <w:pPr>
              <w:spacing w:after="0"/>
              <w:rPr>
                <w:sz w:val="20"/>
                <w:szCs w:val="20"/>
                <w:color w:val="auto"/>
              </w:rPr>
            </w:pPr>
            <w:r>
              <w:rPr>
                <w:rFonts w:ascii="Arial" w:cs="Arial" w:eastAsia="Arial" w:hAnsi="Arial"/>
                <w:sz w:val="18"/>
                <w:szCs w:val="18"/>
                <w:color w:val="auto"/>
              </w:rPr>
              <w:t>L/C P</w:t>
            </w:r>
            <w:r>
              <w:rPr>
                <w:rFonts w:ascii="Arial" w:cs="Arial" w:eastAsia="Arial" w:hAnsi="Arial"/>
                <w:sz w:val="12"/>
                <w:szCs w:val="12"/>
                <w:color w:val="auto"/>
              </w:rPr>
              <w:t>articipations</w:t>
            </w: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39</w:t>
            </w:r>
          </w:p>
        </w:tc>
        <w:tc>
          <w:tcPr>
            <w:tcW w:w="20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8"/>
                <w:szCs w:val="18"/>
                <w:color w:val="0000FF"/>
                <w:w w:val="89"/>
              </w:rPr>
              <w:t>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4"/>
        </w:trPr>
        <w:tc>
          <w:tcPr>
            <w:tcW w:w="2780" w:type="dxa"/>
            <w:vAlign w:val="bottom"/>
            <w:gridSpan w:val="9"/>
          </w:tcPr>
          <w:p>
            <w:pPr>
              <w:spacing w:after="0"/>
              <w:rPr>
                <w:sz w:val="20"/>
                <w:szCs w:val="20"/>
                <w:color w:val="auto"/>
              </w:rPr>
            </w:pPr>
            <w:r>
              <w:rPr>
                <w:rFonts w:ascii="Arial" w:cs="Arial" w:eastAsia="Arial" w:hAnsi="Arial"/>
                <w:sz w:val="18"/>
                <w:szCs w:val="18"/>
                <w:color w:val="auto"/>
                <w:w w:val="96"/>
              </w:rPr>
              <w:t>ARTICLE III INTEREST AND FEES</w:t>
            </w:r>
          </w:p>
        </w:tc>
        <w:tc>
          <w:tcPr>
            <w:tcW w:w="10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FF0000"/>
                <w:strike w:val="1"/>
                <w:w w:val="79"/>
              </w:rPr>
              <w:t>40</w:t>
            </w:r>
          </w:p>
        </w:tc>
        <w:tc>
          <w:tcPr>
            <w:tcW w:w="240" w:type="dxa"/>
            <w:vAlign w:val="bottom"/>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8"/>
        </w:trPr>
        <w:tc>
          <w:tcPr>
            <w:tcW w:w="2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3.01</w:t>
            </w:r>
          </w:p>
        </w:tc>
        <w:tc>
          <w:tcPr>
            <w:tcW w:w="2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3.02</w:t>
            </w:r>
          </w:p>
        </w:tc>
        <w:tc>
          <w:tcPr>
            <w:tcW w:w="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ees</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3.03</w:t>
            </w:r>
          </w:p>
        </w:tc>
        <w:tc>
          <w:tcPr>
            <w:tcW w:w="280" w:type="dxa"/>
            <w:vAlign w:val="bottom"/>
          </w:tcPr>
          <w:p>
            <w:pPr>
              <w:spacing w:after="0"/>
              <w:rPr>
                <w:sz w:val="19"/>
                <w:szCs w:val="19"/>
                <w:color w:val="auto"/>
              </w:rPr>
            </w:pPr>
          </w:p>
        </w:tc>
        <w:tc>
          <w:tcPr>
            <w:tcW w:w="1060" w:type="dxa"/>
            <w:vAlign w:val="bottom"/>
            <w:gridSpan w:val="4"/>
          </w:tcPr>
          <w:p>
            <w:pPr>
              <w:spacing w:after="0" w:line="223" w:lineRule="exact"/>
              <w:rPr>
                <w:sz w:val="20"/>
                <w:szCs w:val="20"/>
                <w:color w:val="auto"/>
              </w:rPr>
            </w:pPr>
            <w:r>
              <w:rPr>
                <w:rFonts w:ascii="Arial" w:cs="Arial" w:eastAsia="Arial" w:hAnsi="Arial"/>
                <w:sz w:val="22"/>
                <w:szCs w:val="22"/>
                <w:color w:val="FF0000"/>
                <w:strike w:val="1"/>
              </w:rPr>
              <w:t>E</w:t>
            </w:r>
            <w:r>
              <w:rPr>
                <w:rFonts w:ascii="Arial" w:cs="Arial" w:eastAsia="Arial" w:hAnsi="Arial"/>
                <w:sz w:val="14"/>
                <w:szCs w:val="14"/>
                <w:color w:val="FF0000"/>
                <w:strike w:val="1"/>
              </w:rPr>
              <w:t>urodollar</w:t>
            </w:r>
          </w:p>
        </w:tc>
        <w:tc>
          <w:tcPr>
            <w:tcW w:w="2080" w:type="dxa"/>
            <w:vAlign w:val="bottom"/>
            <w:gridSpan w:val="19"/>
          </w:tcPr>
          <w:p>
            <w:pPr>
              <w:jc w:val="center"/>
              <w:ind w:right="170"/>
              <w:spacing w:after="0"/>
              <w:rPr>
                <w:sz w:val="20"/>
                <w:szCs w:val="20"/>
                <w:color w:val="auto"/>
              </w:rPr>
            </w:pPr>
            <w:r>
              <w:rPr>
                <w:rFonts w:ascii="Arial" w:cs="Arial" w:eastAsia="Arial" w:hAnsi="Arial"/>
                <w:sz w:val="18"/>
                <w:szCs w:val="18"/>
                <w:color w:val="0000FF"/>
              </w:rPr>
              <w:t xml:space="preserve">SOFR </w:t>
            </w:r>
            <w:r>
              <w:rPr>
                <w:rFonts w:ascii="Arial" w:cs="Arial" w:eastAsia="Arial" w:hAnsi="Arial"/>
                <w:sz w:val="18"/>
                <w:szCs w:val="18"/>
                <w:color w:val="000000"/>
              </w:rPr>
              <w:t>L</w:t>
            </w:r>
            <w:r>
              <w:rPr>
                <w:rFonts w:ascii="Arial" w:cs="Arial" w:eastAsia="Arial" w:hAnsi="Arial"/>
                <w:sz w:val="12"/>
                <w:szCs w:val="12"/>
                <w:color w:val="000000"/>
              </w:rPr>
              <w:t>ending</w:t>
            </w:r>
            <w:r>
              <w:rPr>
                <w:rFonts w:ascii="Arial" w:cs="Arial" w:eastAsia="Arial" w:hAnsi="Arial"/>
                <w:sz w:val="18"/>
                <w:szCs w:val="18"/>
                <w:color w:val="0000FF"/>
              </w:rPr>
              <w:t xml:space="preserve"> </w:t>
            </w:r>
            <w:r>
              <w:rPr>
                <w:rFonts w:ascii="Arial" w:cs="Arial" w:eastAsia="Arial" w:hAnsi="Arial"/>
                <w:sz w:val="18"/>
                <w:szCs w:val="18"/>
                <w:color w:val="000000"/>
              </w:rPr>
              <w:t>U</w:t>
            </w:r>
            <w:r>
              <w:rPr>
                <w:rFonts w:ascii="Arial" w:cs="Arial" w:eastAsia="Arial" w:hAnsi="Arial"/>
                <w:sz w:val="12"/>
                <w:szCs w:val="12"/>
                <w:color w:val="000000"/>
              </w:rPr>
              <w:t>nlawful</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42</w:t>
            </w: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0000FF"/>
                <w:w w:val="79"/>
              </w:rPr>
              <w:t>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3.04</w:t>
            </w:r>
          </w:p>
        </w:tc>
        <w:tc>
          <w:tcPr>
            <w:tcW w:w="280" w:type="dxa"/>
            <w:vAlign w:val="bottom"/>
          </w:tcPr>
          <w:p>
            <w:pPr>
              <w:spacing w:after="0"/>
              <w:rPr>
                <w:sz w:val="19"/>
                <w:szCs w:val="19"/>
                <w:color w:val="auto"/>
              </w:rPr>
            </w:pPr>
          </w:p>
        </w:tc>
        <w:tc>
          <w:tcPr>
            <w:tcW w:w="1880" w:type="dxa"/>
            <w:vAlign w:val="bottom"/>
            <w:gridSpan w:val="13"/>
          </w:tcPr>
          <w:p>
            <w:pPr>
              <w:spacing w:after="0" w:line="223" w:lineRule="exact"/>
              <w:rPr>
                <w:sz w:val="20"/>
                <w:szCs w:val="20"/>
                <w:color w:val="auto"/>
              </w:rPr>
            </w:pPr>
            <w:r>
              <w:rPr>
                <w:rFonts w:ascii="Arial" w:cs="Arial" w:eastAsia="Arial" w:hAnsi="Arial"/>
                <w:sz w:val="22"/>
                <w:szCs w:val="22"/>
                <w:color w:val="FF0000"/>
                <w:strike w:val="1"/>
              </w:rPr>
              <w:t>D</w:t>
            </w:r>
            <w:r>
              <w:rPr>
                <w:rFonts w:ascii="Arial" w:cs="Arial" w:eastAsia="Arial" w:hAnsi="Arial"/>
                <w:sz w:val="14"/>
                <w:szCs w:val="14"/>
                <w:color w:val="FF0000"/>
                <w:strike w:val="1"/>
              </w:rPr>
              <w:t>eposits</w:t>
            </w:r>
            <w:r>
              <w:rPr>
                <w:rFonts w:ascii="Arial" w:cs="Arial" w:eastAsia="Arial" w:hAnsi="Arial"/>
                <w:sz w:val="22"/>
                <w:szCs w:val="22"/>
                <w:color w:val="FF0000"/>
                <w:strike w:val="1"/>
              </w:rPr>
              <w:t xml:space="preserve"> U</w:t>
            </w:r>
            <w:r>
              <w:rPr>
                <w:rFonts w:ascii="Arial" w:cs="Arial" w:eastAsia="Arial" w:hAnsi="Arial"/>
                <w:sz w:val="14"/>
                <w:szCs w:val="14"/>
                <w:color w:val="FF0000"/>
                <w:strike w:val="1"/>
              </w:rPr>
              <w:t>navailable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43</w:t>
            </w:r>
          </w:p>
        </w:tc>
        <w:tc>
          <w:tcPr>
            <w:tcW w:w="4140" w:type="dxa"/>
            <w:vAlign w:val="bottom"/>
            <w:gridSpan w:val="16"/>
          </w:tcPr>
          <w:p>
            <w:pPr>
              <w:spacing w:after="0"/>
              <w:rPr>
                <w:sz w:val="20"/>
                <w:szCs w:val="20"/>
                <w:color w:val="auto"/>
              </w:rPr>
            </w:pPr>
            <w:r>
              <w:rPr>
                <w:rFonts w:ascii="Arial" w:cs="Arial" w:eastAsia="Arial" w:hAnsi="Arial"/>
                <w:sz w:val="18"/>
                <w:szCs w:val="18"/>
                <w:color w:val="0000FF"/>
              </w:rPr>
              <w:t>B</w:t>
            </w:r>
            <w:r>
              <w:rPr>
                <w:rFonts w:ascii="Arial" w:cs="Arial" w:eastAsia="Arial" w:hAnsi="Arial"/>
                <w:sz w:val="12"/>
                <w:szCs w:val="12"/>
                <w:color w:val="0000FF"/>
              </w:rPr>
              <w:t>enchmark</w:t>
            </w:r>
            <w:r>
              <w:rPr>
                <w:rFonts w:ascii="Arial" w:cs="Arial" w:eastAsia="Arial" w:hAnsi="Arial"/>
                <w:sz w:val="18"/>
                <w:szCs w:val="18"/>
                <w:color w:val="0000FF"/>
              </w:rPr>
              <w:t xml:space="preserve"> R</w:t>
            </w:r>
            <w:r>
              <w:rPr>
                <w:rFonts w:ascii="Arial" w:cs="Arial" w:eastAsia="Arial" w:hAnsi="Arial"/>
                <w:sz w:val="12"/>
                <w:szCs w:val="12"/>
                <w:color w:val="0000FF"/>
              </w:rPr>
              <w:t>eplacement</w:t>
            </w:r>
            <w:r>
              <w:rPr>
                <w:rFonts w:ascii="Arial" w:cs="Arial" w:eastAsia="Arial" w:hAnsi="Arial"/>
                <w:sz w:val="18"/>
                <w:szCs w:val="18"/>
                <w:color w:val="0000FF"/>
              </w:rPr>
              <w:t xml:space="preserve">   40</w:t>
            </w: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3.05</w:t>
            </w:r>
          </w:p>
        </w:tc>
        <w:tc>
          <w:tcPr>
            <w:tcW w:w="280" w:type="dxa"/>
            <w:vAlign w:val="bottom"/>
          </w:tcPr>
          <w:p>
            <w:pPr>
              <w:spacing w:after="0"/>
              <w:rPr>
                <w:sz w:val="18"/>
                <w:szCs w:val="18"/>
                <w:color w:val="auto"/>
              </w:rPr>
            </w:pPr>
          </w:p>
        </w:tc>
        <w:tc>
          <w:tcPr>
            <w:tcW w:w="1700" w:type="dxa"/>
            <w:vAlign w:val="bottom"/>
            <w:gridSpan w:val="11"/>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u w:val="single" w:color="auto"/>
                <w:color w:val="0000FF"/>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46</w:t>
            </w:r>
          </w:p>
        </w:tc>
        <w:tc>
          <w:tcPr>
            <w:tcW w:w="200" w:type="dxa"/>
            <w:vAlign w:val="bottom"/>
            <w:tcBorders>
              <w:bottom w:val="single" w:sz="8" w:color="0000FF"/>
            </w:tcBorders>
            <w:gridSpan w:val="3"/>
          </w:tcPr>
          <w:p>
            <w:pPr>
              <w:jc w:val="center"/>
              <w:ind w:right="20"/>
              <w:spacing w:after="0"/>
              <w:rPr>
                <w:sz w:val="20"/>
                <w:szCs w:val="20"/>
                <w:color w:val="auto"/>
              </w:rPr>
            </w:pPr>
            <w:r>
              <w:rPr>
                <w:rFonts w:ascii="Arial" w:cs="Arial" w:eastAsia="Arial" w:hAnsi="Arial"/>
                <w:sz w:val="18"/>
                <w:szCs w:val="18"/>
                <w:color w:val="0000FF"/>
                <w:w w:val="89"/>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3.06</w:t>
            </w:r>
          </w:p>
        </w:tc>
        <w:tc>
          <w:tcPr>
            <w:tcW w:w="28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unding</w:t>
            </w:r>
            <w:r>
              <w:rPr>
                <w:rFonts w:ascii="Arial" w:cs="Arial" w:eastAsia="Arial" w:hAnsi="Arial"/>
                <w:sz w:val="18"/>
                <w:szCs w:val="18"/>
                <w:color w:val="auto"/>
              </w:rPr>
              <w:t xml:space="preserve"> L</w:t>
            </w:r>
            <w:r>
              <w:rPr>
                <w:rFonts w:ascii="Arial" w:cs="Arial" w:eastAsia="Arial" w:hAnsi="Arial"/>
                <w:sz w:val="12"/>
                <w:szCs w:val="12"/>
                <w:color w:val="auto"/>
              </w:rPr>
              <w:t>osses</w:t>
            </w:r>
          </w:p>
        </w:tc>
        <w:tc>
          <w:tcPr>
            <w:tcW w:w="180" w:type="dxa"/>
            <w:vAlign w:val="bottom"/>
            <w:gridSpan w:val="3"/>
          </w:tcPr>
          <w:p>
            <w:pPr>
              <w:spacing w:after="0"/>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3.07</w:t>
            </w:r>
          </w:p>
        </w:tc>
        <w:tc>
          <w:tcPr>
            <w:tcW w:w="280" w:type="dxa"/>
            <w:vAlign w:val="bottom"/>
          </w:tcPr>
          <w:p>
            <w:pPr>
              <w:spacing w:after="0"/>
              <w:rPr>
                <w:sz w:val="18"/>
                <w:szCs w:val="18"/>
                <w:color w:val="auto"/>
              </w:rPr>
            </w:pPr>
          </w:p>
        </w:tc>
        <w:tc>
          <w:tcPr>
            <w:tcW w:w="2780" w:type="dxa"/>
            <w:vAlign w:val="bottom"/>
            <w:gridSpan w:val="21"/>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apital or</w:t>
            </w:r>
            <w:r>
              <w:rPr>
                <w:rFonts w:ascii="Arial" w:cs="Arial" w:eastAsia="Arial" w:hAnsi="Arial"/>
                <w:sz w:val="18"/>
                <w:szCs w:val="18"/>
                <w:color w:val="auto"/>
              </w:rPr>
              <w:t xml:space="preserve"> L</w:t>
            </w:r>
            <w:r>
              <w:rPr>
                <w:rFonts w:ascii="Arial" w:cs="Arial" w:eastAsia="Arial" w:hAnsi="Arial"/>
                <w:sz w:val="12"/>
                <w:szCs w:val="12"/>
                <w:color w:val="auto"/>
              </w:rPr>
              <w:t>iquidity</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3.08</w:t>
            </w:r>
          </w:p>
        </w:tc>
        <w:tc>
          <w:tcPr>
            <w:tcW w:w="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3.09</w:t>
            </w:r>
          </w:p>
        </w:tc>
        <w:tc>
          <w:tcPr>
            <w:tcW w:w="280" w:type="dxa"/>
            <w:vAlign w:val="bottom"/>
          </w:tcPr>
          <w:p>
            <w:pPr>
              <w:spacing w:after="0"/>
              <w:rPr>
                <w:sz w:val="18"/>
                <w:szCs w:val="18"/>
                <w:color w:val="auto"/>
              </w:rPr>
            </w:pPr>
          </w:p>
        </w:tc>
        <w:tc>
          <w:tcPr>
            <w:tcW w:w="2060" w:type="dxa"/>
            <w:vAlign w:val="bottom"/>
            <w:gridSpan w:val="15"/>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hange of</w:t>
            </w:r>
            <w:r>
              <w:rPr>
                <w:rFonts w:ascii="Arial" w:cs="Arial" w:eastAsia="Arial" w:hAnsi="Arial"/>
                <w:sz w:val="18"/>
                <w:szCs w:val="18"/>
                <w:color w:val="auto"/>
              </w:rPr>
              <w:t xml:space="preserve"> L</w:t>
            </w:r>
            <w:r>
              <w:rPr>
                <w:rFonts w:ascii="Arial" w:cs="Arial" w:eastAsia="Arial" w:hAnsi="Arial"/>
                <w:sz w:val="12"/>
                <w:szCs w:val="12"/>
                <w:color w:val="auto"/>
              </w:rPr>
              <w:t>ending</w:t>
            </w:r>
            <w:r>
              <w:rPr>
                <w:rFonts w:ascii="Arial" w:cs="Arial" w:eastAsia="Arial" w:hAnsi="Arial"/>
                <w:sz w:val="18"/>
                <w:szCs w:val="18"/>
                <w:color w:val="auto"/>
              </w:rPr>
              <w:t xml:space="preserve"> O</w:t>
            </w:r>
            <w:r>
              <w:rPr>
                <w:rFonts w:ascii="Arial" w:cs="Arial" w:eastAsia="Arial" w:hAnsi="Arial"/>
                <w:sz w:val="12"/>
                <w:szCs w:val="12"/>
                <w:color w:val="auto"/>
              </w:rPr>
              <w:t>ffice</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FF0000"/>
                <w:strike w:val="1"/>
                <w:w w:val="73"/>
              </w:rPr>
              <w:t>51</w:t>
            </w:r>
          </w:p>
        </w:tc>
        <w:tc>
          <w:tcPr>
            <w:tcW w:w="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4"/>
        </w:trPr>
        <w:tc>
          <w:tcPr>
            <w:tcW w:w="3300" w:type="dxa"/>
            <w:vAlign w:val="bottom"/>
            <w:gridSpan w:val="15"/>
          </w:tcPr>
          <w:p>
            <w:pPr>
              <w:spacing w:after="0"/>
              <w:rPr>
                <w:sz w:val="20"/>
                <w:szCs w:val="20"/>
                <w:color w:val="auto"/>
              </w:rPr>
            </w:pPr>
            <w:r>
              <w:rPr>
                <w:rFonts w:ascii="Arial" w:cs="Arial" w:eastAsia="Arial" w:hAnsi="Arial"/>
                <w:sz w:val="18"/>
                <w:szCs w:val="18"/>
                <w:color w:val="auto"/>
                <w:w w:val="99"/>
              </w:rPr>
              <w:t>ARTICLE IV OTHER PAYMENT TERMS</w:t>
            </w:r>
          </w:p>
        </w:tc>
        <w:tc>
          <w:tcPr>
            <w:tcW w:w="120" w:type="dxa"/>
            <w:vAlign w:val="bottom"/>
            <w:gridSpan w:val="2"/>
          </w:tcPr>
          <w:p>
            <w:pPr>
              <w:jc w:val="right"/>
              <w:spacing w:after="0"/>
              <w:rPr>
                <w:sz w:val="20"/>
                <w:szCs w:val="20"/>
                <w:color w:val="auto"/>
              </w:rPr>
            </w:pPr>
            <w:r>
              <w:rPr>
                <w:rFonts w:ascii="Arial" w:cs="Arial" w:eastAsia="Arial" w:hAnsi="Arial"/>
                <w:sz w:val="12"/>
                <w:szCs w:val="12"/>
                <w:color w:val="FF0000"/>
                <w:strike w:val="1"/>
                <w:w w:val="74"/>
              </w:rPr>
              <w:t>52</w:t>
            </w:r>
          </w:p>
        </w:tc>
        <w:tc>
          <w:tcPr>
            <w:tcW w:w="800" w:type="dxa"/>
            <w:vAlign w:val="bottom"/>
            <w:gridSpan w:val="7"/>
          </w:tcPr>
          <w:p>
            <w:pPr>
              <w:jc w:val="right"/>
              <w:ind w:right="530"/>
              <w:spacing w:after="0"/>
              <w:rPr>
                <w:sz w:val="20"/>
                <w:szCs w:val="20"/>
                <w:color w:val="auto"/>
              </w:rPr>
            </w:pPr>
            <w:r>
              <w:rPr>
                <w:rFonts w:ascii="Arial" w:cs="Arial" w:eastAsia="Arial" w:hAnsi="Arial"/>
                <w:sz w:val="18"/>
                <w:szCs w:val="18"/>
                <w:color w:val="0000FF"/>
                <w:w w:val="79"/>
              </w:rPr>
              <w:t>47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13"/>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60" w:type="dxa"/>
            <w:vAlign w:val="bottom"/>
            <w:gridSpan w:val="1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4.01</w:t>
            </w:r>
          </w:p>
        </w:tc>
        <w:tc>
          <w:tcPr>
            <w:tcW w:w="280" w:type="dxa"/>
            <w:vAlign w:val="bottom"/>
          </w:tcPr>
          <w:p>
            <w:pPr>
              <w:spacing w:after="0"/>
              <w:rPr>
                <w:sz w:val="24"/>
                <w:szCs w:val="24"/>
                <w:color w:val="auto"/>
              </w:rPr>
            </w:pPr>
          </w:p>
        </w:tc>
        <w:tc>
          <w:tcPr>
            <w:tcW w:w="6020" w:type="dxa"/>
            <w:vAlign w:val="bottom"/>
            <w:gridSpan w:val="32"/>
          </w:tcPr>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ime and</w:t>
            </w:r>
            <w:r>
              <w:rPr>
                <w:rFonts w:ascii="Arial" w:cs="Arial" w:eastAsia="Arial" w:hAnsi="Arial"/>
                <w:sz w:val="18"/>
                <w:szCs w:val="18"/>
                <w:color w:val="auto"/>
              </w:rPr>
              <w:t xml:space="preserve"> M</w:t>
            </w:r>
            <w:r>
              <w:rPr>
                <w:rFonts w:ascii="Arial" w:cs="Arial" w:eastAsia="Arial" w:hAnsi="Arial"/>
                <w:sz w:val="12"/>
                <w:szCs w:val="12"/>
                <w:color w:val="auto"/>
              </w:rPr>
              <w:t>ethod of</w:t>
            </w:r>
            <w:r>
              <w:rPr>
                <w:rFonts w:ascii="Arial" w:cs="Arial" w:eastAsia="Arial" w:hAnsi="Arial"/>
                <w:sz w:val="18"/>
                <w:szCs w:val="18"/>
                <w:color w:val="auto"/>
              </w:rPr>
              <w:t xml:space="preserve"> P</w:t>
            </w:r>
            <w:r>
              <w:rPr>
                <w:rFonts w:ascii="Arial" w:cs="Arial" w:eastAsia="Arial" w:hAnsi="Arial"/>
                <w:sz w:val="12"/>
                <w:szCs w:val="12"/>
                <w:color w:val="auto"/>
              </w:rPr>
              <w:t>ayment</w:t>
            </w:r>
            <w:r>
              <w:rPr>
                <w:rFonts w:ascii="Arial" w:cs="Arial" w:eastAsia="Arial" w:hAnsi="Arial"/>
                <w:sz w:val="18"/>
                <w:szCs w:val="18"/>
                <w:color w:val="auto"/>
              </w:rPr>
              <w:t xml:space="preserve"> (A</w:t>
            </w:r>
            <w:r>
              <w:rPr>
                <w:rFonts w:ascii="Arial" w:cs="Arial" w:eastAsia="Arial" w:hAnsi="Arial"/>
                <w:sz w:val="12"/>
                <w:szCs w:val="12"/>
                <w:color w:val="auto"/>
              </w:rPr>
              <w:t>mounts</w:t>
            </w:r>
            <w:r>
              <w:rPr>
                <w:rFonts w:ascii="Arial" w:cs="Arial" w:eastAsia="Arial" w:hAnsi="Arial"/>
                <w:sz w:val="18"/>
                <w:szCs w:val="18"/>
                <w:color w:val="auto"/>
              </w:rPr>
              <w:t xml:space="preserve"> D</w:t>
            </w:r>
            <w:r>
              <w:rPr>
                <w:rFonts w:ascii="Arial" w:cs="Arial" w:eastAsia="Arial" w:hAnsi="Arial"/>
                <w:sz w:val="12"/>
                <w:szCs w:val="12"/>
                <w:color w:val="auto"/>
              </w:rPr>
              <w:t>istributed by 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47</w:t>
            </w: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4.03</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L/C C</w:t>
            </w:r>
            <w:r>
              <w:rPr>
                <w:rFonts w:ascii="Arial" w:cs="Arial" w:eastAsia="Arial" w:hAnsi="Arial"/>
                <w:sz w:val="12"/>
                <w:szCs w:val="12"/>
                <w:color w:val="auto"/>
              </w:rPr>
              <w:t>ash</w:t>
            </w:r>
            <w:r>
              <w:rPr>
                <w:rFonts w:ascii="Arial" w:cs="Arial" w:eastAsia="Arial" w:hAnsi="Arial"/>
                <w:sz w:val="18"/>
                <w:szCs w:val="18"/>
                <w:color w:val="auto"/>
              </w:rPr>
              <w:t xml:space="preserve"> C</w:t>
            </w:r>
            <w:r>
              <w:rPr>
                <w:rFonts w:ascii="Arial" w:cs="Arial" w:eastAsia="Arial" w:hAnsi="Arial"/>
                <w:sz w:val="12"/>
                <w:szCs w:val="12"/>
                <w:color w:val="auto"/>
              </w:rPr>
              <w:t>ollateral</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4.04</w:t>
            </w:r>
          </w:p>
        </w:tc>
        <w:tc>
          <w:tcPr>
            <w:tcW w:w="4720" w:type="dxa"/>
            <w:vAlign w:val="bottom"/>
            <w:gridSpan w:val="15"/>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lternative</w:t>
            </w:r>
            <w:r>
              <w:rPr>
                <w:rFonts w:ascii="Arial" w:cs="Arial" w:eastAsia="Arial" w:hAnsi="Arial"/>
                <w:sz w:val="18"/>
                <w:szCs w:val="18"/>
                <w:color w:val="auto"/>
              </w:rPr>
              <w:t xml:space="preserve"> A</w:t>
            </w:r>
            <w:r>
              <w:rPr>
                <w:rFonts w:ascii="Arial" w:cs="Arial" w:eastAsia="Arial" w:hAnsi="Arial"/>
                <w:sz w:val="12"/>
                <w:szCs w:val="12"/>
                <w:color w:val="auto"/>
              </w:rPr>
              <w:t>rrangements with</w:t>
            </w:r>
            <w:r>
              <w:rPr>
                <w:rFonts w:ascii="Arial" w:cs="Arial" w:eastAsia="Arial" w:hAnsi="Arial"/>
                <w:sz w:val="18"/>
                <w:szCs w:val="18"/>
                <w:color w:val="auto"/>
              </w:rPr>
              <w:t xml:space="preserve"> R</w:t>
            </w:r>
            <w:r>
              <w:rPr>
                <w:rFonts w:ascii="Arial" w:cs="Arial" w:eastAsia="Arial" w:hAnsi="Arial"/>
                <w:sz w:val="12"/>
                <w:szCs w:val="12"/>
                <w:color w:val="auto"/>
              </w:rPr>
              <w:t>espect to</w:t>
            </w:r>
            <w:r>
              <w:rPr>
                <w:rFonts w:ascii="Arial" w:cs="Arial" w:eastAsia="Arial" w:hAnsi="Arial"/>
                <w:sz w:val="18"/>
                <w:szCs w:val="18"/>
                <w:color w:val="auto"/>
              </w:rPr>
              <w:t xml:space="preserve"> L</w:t>
            </w:r>
            <w:r>
              <w:rPr>
                <w:rFonts w:ascii="Arial" w:cs="Arial" w:eastAsia="Arial" w:hAnsi="Arial"/>
                <w:sz w:val="12"/>
                <w:szCs w:val="12"/>
                <w:color w:val="auto"/>
              </w:rPr>
              <w:t>etters of</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4"/>
        </w:trPr>
        <w:tc>
          <w:tcPr>
            <w:tcW w:w="6020" w:type="dxa"/>
            <w:vAlign w:val="bottom"/>
            <w:gridSpan w:val="16"/>
          </w:tcPr>
          <w:p>
            <w:pPr>
              <w:spacing w:after="0"/>
              <w:rPr>
                <w:sz w:val="20"/>
                <w:szCs w:val="20"/>
                <w:color w:val="auto"/>
              </w:rPr>
            </w:pPr>
            <w:r>
              <w:rPr>
                <w:rFonts w:ascii="Arial" w:cs="Arial" w:eastAsia="Arial" w:hAnsi="Arial"/>
                <w:sz w:val="18"/>
                <w:szCs w:val="18"/>
                <w:color w:val="auto"/>
                <w:w w:val="98"/>
              </w:rPr>
              <w:t>ARTICLE V THE ADMINISTRATIVE AGENT AND THE FUNDING AGENTS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54</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8"/>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5.01</w:t>
            </w:r>
          </w:p>
        </w:tc>
        <w:tc>
          <w:tcPr>
            <w:tcW w:w="4360" w:type="dxa"/>
            <w:vAlign w:val="bottom"/>
            <w:gridSpan w:val="13"/>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uthorization and</w:t>
            </w:r>
            <w:r>
              <w:rPr>
                <w:rFonts w:ascii="Arial" w:cs="Arial" w:eastAsia="Arial" w:hAnsi="Arial"/>
                <w:sz w:val="18"/>
                <w:szCs w:val="18"/>
                <w:color w:val="auto"/>
              </w:rPr>
              <w:t xml:space="preserve"> A</w:t>
            </w:r>
            <w:r>
              <w:rPr>
                <w:rFonts w:ascii="Arial" w:cs="Arial" w:eastAsia="Arial" w:hAnsi="Arial"/>
                <w:sz w:val="12"/>
                <w:szCs w:val="12"/>
                <w:color w:val="auto"/>
              </w:rPr>
              <w:t>ction of 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5.02</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elegation of</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5.03</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xculpatory</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3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55</w:t>
            </w:r>
          </w:p>
        </w:tc>
        <w:tc>
          <w:tcPr>
            <w:tcW w:w="1260" w:type="dxa"/>
            <w:vAlign w:val="bottom"/>
            <w:gridSpan w:val="2"/>
          </w:tcPr>
          <w:p>
            <w:pPr>
              <w:jc w:val="right"/>
              <w:ind w:right="1080"/>
              <w:spacing w:after="0"/>
              <w:rPr>
                <w:sz w:val="20"/>
                <w:szCs w:val="20"/>
                <w:color w:val="auto"/>
              </w:rPr>
            </w:pPr>
            <w:r>
              <w:rPr>
                <w:rFonts w:ascii="Arial" w:cs="Arial" w:eastAsia="Arial" w:hAnsi="Arial"/>
                <w:sz w:val="18"/>
                <w:szCs w:val="18"/>
                <w:color w:val="0000FF"/>
                <w:w w:val="79"/>
              </w:rPr>
              <w:t>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5.04</w:t>
            </w:r>
          </w:p>
        </w:tc>
        <w:tc>
          <w:tcPr>
            <w:tcW w:w="1120" w:type="dxa"/>
            <w:vAlign w:val="bottom"/>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eliance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5.05</w:t>
            </w:r>
          </w:p>
        </w:tc>
        <w:tc>
          <w:tcPr>
            <w:tcW w:w="5080" w:type="dxa"/>
            <w:vAlign w:val="bottom"/>
            <w:gridSpan w:val="18"/>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-R</w:t>
            </w:r>
            <w:r>
              <w:rPr>
                <w:rFonts w:ascii="Arial" w:cs="Arial" w:eastAsia="Arial" w:hAnsi="Arial"/>
                <w:sz w:val="12"/>
                <w:szCs w:val="12"/>
                <w:color w:val="auto"/>
              </w:rPr>
              <w:t>eliance on 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P</w:t>
            </w:r>
            <w:r>
              <w:rPr>
                <w:rFonts w:ascii="Arial" w:cs="Arial" w:eastAsia="Arial" w:hAnsi="Arial"/>
                <w:sz w:val="12"/>
                <w:szCs w:val="12"/>
                <w:color w:val="auto"/>
              </w:rPr>
              <w:t>urchasers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5.06</w:t>
            </w:r>
          </w:p>
        </w:tc>
        <w:tc>
          <w:tcPr>
            <w:tcW w:w="4000" w:type="dxa"/>
            <w:vAlign w:val="bottom"/>
            <w:gridSpan w:val="11"/>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in its</w:t>
            </w:r>
            <w:r>
              <w:rPr>
                <w:rFonts w:ascii="Arial" w:cs="Arial" w:eastAsia="Arial" w:hAnsi="Arial"/>
                <w:sz w:val="18"/>
                <w:szCs w:val="18"/>
                <w:color w:val="auto"/>
              </w:rPr>
              <w:t xml:space="preserve"> I</w:t>
            </w:r>
            <w:r>
              <w:rPr>
                <w:rFonts w:ascii="Arial" w:cs="Arial" w:eastAsia="Arial" w:hAnsi="Arial"/>
                <w:sz w:val="12"/>
                <w:szCs w:val="12"/>
                <w:color w:val="auto"/>
              </w:rPr>
              <w:t>ndividual</w:t>
            </w:r>
            <w:r>
              <w:rPr>
                <w:rFonts w:ascii="Arial" w:cs="Arial" w:eastAsia="Arial" w:hAnsi="Arial"/>
                <w:sz w:val="18"/>
                <w:szCs w:val="18"/>
                <w:color w:val="auto"/>
              </w:rPr>
              <w:t xml:space="preserve"> C</w:t>
            </w:r>
            <w:r>
              <w:rPr>
                <w:rFonts w:ascii="Arial" w:cs="Arial" w:eastAsia="Arial" w:hAnsi="Arial"/>
                <w:sz w:val="12"/>
                <w:szCs w:val="12"/>
                <w:color w:val="auto"/>
              </w:rPr>
              <w:t>apacity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c>
          <w:tcPr>
            <w:tcW w:w="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5.07</w:t>
            </w:r>
          </w:p>
        </w:tc>
        <w:tc>
          <w:tcPr>
            <w:tcW w:w="5080" w:type="dxa"/>
            <w:vAlign w:val="bottom"/>
            <w:gridSpan w:val="18"/>
          </w:tcPr>
          <w:p>
            <w:pPr>
              <w:ind w:left="1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 D</w:t>
            </w:r>
            <w:r>
              <w:rPr>
                <w:rFonts w:ascii="Arial" w:cs="Arial" w:eastAsia="Arial" w:hAnsi="Arial"/>
                <w:sz w:val="12"/>
                <w:szCs w:val="12"/>
                <w:color w:val="auto"/>
              </w:rPr>
              <w:t>efaulting</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52</w:t>
            </w: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5.08</w:t>
            </w:r>
          </w:p>
        </w:tc>
        <w:tc>
          <w:tcPr>
            <w:tcW w:w="3640" w:type="dxa"/>
            <w:vAlign w:val="bottom"/>
            <w:gridSpan w:val="9"/>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uthorization and</w:t>
            </w:r>
            <w:r>
              <w:rPr>
                <w:rFonts w:ascii="Arial" w:cs="Arial" w:eastAsia="Arial" w:hAnsi="Arial"/>
                <w:sz w:val="18"/>
                <w:szCs w:val="18"/>
                <w:color w:val="auto"/>
              </w:rPr>
              <w:t xml:space="preserve"> A</w:t>
            </w:r>
            <w:r>
              <w:rPr>
                <w:rFonts w:ascii="Arial" w:cs="Arial" w:eastAsia="Arial" w:hAnsi="Arial"/>
                <w:sz w:val="12"/>
                <w:szCs w:val="12"/>
                <w:color w:val="auto"/>
              </w:rPr>
              <w:t>ction of</w:t>
            </w:r>
            <w:r>
              <w:rPr>
                <w:rFonts w:ascii="Arial" w:cs="Arial" w:eastAsia="Arial" w:hAnsi="Arial"/>
                <w:sz w:val="18"/>
                <w:szCs w:val="18"/>
                <w:color w:val="auto"/>
              </w:rPr>
              <w:t xml:space="preserve"> F</w:t>
            </w:r>
            <w:r>
              <w:rPr>
                <w:rFonts w:ascii="Arial" w:cs="Arial" w:eastAsia="Arial" w:hAnsi="Arial"/>
                <w:sz w:val="12"/>
                <w:szCs w:val="12"/>
                <w:color w:val="auto"/>
              </w:rPr>
              <w:t>unding</w:t>
            </w:r>
            <w:r>
              <w:rPr>
                <w:rFonts w:ascii="Arial" w:cs="Arial" w:eastAsia="Arial" w:hAnsi="Arial"/>
                <w:sz w:val="18"/>
                <w:szCs w:val="18"/>
                <w:color w:val="auto"/>
              </w:rPr>
              <w:t xml:space="preserve"> A</w:t>
            </w:r>
            <w:r>
              <w:rPr>
                <w:rFonts w:ascii="Arial" w:cs="Arial" w:eastAsia="Arial" w:hAnsi="Arial"/>
                <w:sz w:val="12"/>
                <w:szCs w:val="12"/>
                <w:color w:val="auto"/>
              </w:rPr>
              <w:t>gents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0000FF"/>
                <w:w w:val="79"/>
              </w:rPr>
              <w:t>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5.09</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elegation of</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5.10</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xculpatory</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36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58</w:t>
            </w:r>
          </w:p>
        </w:tc>
        <w:tc>
          <w:tcPr>
            <w:tcW w:w="1260" w:type="dxa"/>
            <w:vAlign w:val="bottom"/>
            <w:gridSpan w:val="2"/>
          </w:tcPr>
          <w:p>
            <w:pPr>
              <w:jc w:val="right"/>
              <w:ind w:right="1080"/>
              <w:spacing w:after="0"/>
              <w:rPr>
                <w:sz w:val="20"/>
                <w:szCs w:val="20"/>
                <w:color w:val="auto"/>
              </w:rPr>
            </w:pPr>
            <w:r>
              <w:rPr>
                <w:rFonts w:ascii="Arial" w:cs="Arial" w:eastAsia="Arial" w:hAnsi="Arial"/>
                <w:sz w:val="18"/>
                <w:szCs w:val="18"/>
                <w:color w:val="0000FF"/>
                <w:w w:val="79"/>
              </w:rPr>
              <w:t>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5.11</w:t>
            </w:r>
          </w:p>
        </w:tc>
        <w:tc>
          <w:tcPr>
            <w:tcW w:w="1120" w:type="dxa"/>
            <w:vAlign w:val="bottom"/>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eliance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5.12</w:t>
            </w:r>
          </w:p>
        </w:tc>
        <w:tc>
          <w:tcPr>
            <w:tcW w:w="4720" w:type="dxa"/>
            <w:vAlign w:val="bottom"/>
            <w:gridSpan w:val="15"/>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-R</w:t>
            </w:r>
            <w:r>
              <w:rPr>
                <w:rFonts w:ascii="Arial" w:cs="Arial" w:eastAsia="Arial" w:hAnsi="Arial"/>
                <w:sz w:val="12"/>
                <w:szCs w:val="12"/>
                <w:color w:val="auto"/>
              </w:rPr>
              <w:t>eliance on the</w:t>
            </w:r>
            <w:r>
              <w:rPr>
                <w:rFonts w:ascii="Arial" w:cs="Arial" w:eastAsia="Arial" w:hAnsi="Arial"/>
                <w:sz w:val="18"/>
                <w:szCs w:val="18"/>
                <w:color w:val="auto"/>
              </w:rPr>
              <w:t xml:space="preserve"> F</w:t>
            </w:r>
            <w:r>
              <w:rPr>
                <w:rFonts w:ascii="Arial" w:cs="Arial" w:eastAsia="Arial" w:hAnsi="Arial"/>
                <w:sz w:val="12"/>
                <w:szCs w:val="12"/>
                <w:color w:val="auto"/>
              </w:rPr>
              <w:t>unding</w:t>
            </w:r>
            <w:r>
              <w:rPr>
                <w:rFonts w:ascii="Arial" w:cs="Arial" w:eastAsia="Arial" w:hAnsi="Arial"/>
                <w:sz w:val="18"/>
                <w:szCs w:val="18"/>
                <w:color w:val="auto"/>
              </w:rPr>
              <w:t xml:space="preserve"> A</w:t>
            </w:r>
            <w:r>
              <w:rPr>
                <w:rFonts w:ascii="Arial" w:cs="Arial" w:eastAsia="Arial" w:hAnsi="Arial"/>
                <w:sz w:val="12"/>
                <w:szCs w:val="12"/>
                <w:color w:val="auto"/>
              </w:rPr>
              <w:t>gent 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P</w:t>
            </w:r>
            <w:r>
              <w:rPr>
                <w:rFonts w:ascii="Arial" w:cs="Arial" w:eastAsia="Arial" w:hAnsi="Arial"/>
                <w:sz w:val="12"/>
                <w:szCs w:val="12"/>
                <w:color w:val="auto"/>
              </w:rPr>
              <w:t>urchasers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0000FF"/>
                <w:w w:val="79"/>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5.13</w:t>
            </w:r>
          </w:p>
        </w:tc>
        <w:tc>
          <w:tcPr>
            <w:tcW w:w="3640" w:type="dxa"/>
            <w:vAlign w:val="bottom"/>
            <w:gridSpan w:val="9"/>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F</w:t>
            </w:r>
            <w:r>
              <w:rPr>
                <w:rFonts w:ascii="Arial" w:cs="Arial" w:eastAsia="Arial" w:hAnsi="Arial"/>
                <w:sz w:val="12"/>
                <w:szCs w:val="12"/>
                <w:color w:val="auto"/>
              </w:rPr>
              <w:t>unding</w:t>
            </w:r>
            <w:r>
              <w:rPr>
                <w:rFonts w:ascii="Arial" w:cs="Arial" w:eastAsia="Arial" w:hAnsi="Arial"/>
                <w:sz w:val="18"/>
                <w:szCs w:val="18"/>
                <w:color w:val="auto"/>
              </w:rPr>
              <w:t xml:space="preserve"> A</w:t>
            </w:r>
            <w:r>
              <w:rPr>
                <w:rFonts w:ascii="Arial" w:cs="Arial" w:eastAsia="Arial" w:hAnsi="Arial"/>
                <w:sz w:val="12"/>
                <w:szCs w:val="12"/>
                <w:color w:val="auto"/>
              </w:rPr>
              <w:t>gent in its</w:t>
            </w:r>
            <w:r>
              <w:rPr>
                <w:rFonts w:ascii="Arial" w:cs="Arial" w:eastAsia="Arial" w:hAnsi="Arial"/>
                <w:sz w:val="18"/>
                <w:szCs w:val="18"/>
                <w:color w:val="auto"/>
              </w:rPr>
              <w:t xml:space="preserve"> I</w:t>
            </w:r>
            <w:r>
              <w:rPr>
                <w:rFonts w:ascii="Arial" w:cs="Arial" w:eastAsia="Arial" w:hAnsi="Arial"/>
                <w:sz w:val="12"/>
                <w:szCs w:val="12"/>
                <w:color w:val="auto"/>
              </w:rPr>
              <w:t>ndividual</w:t>
            </w:r>
            <w:r>
              <w:rPr>
                <w:rFonts w:ascii="Arial" w:cs="Arial" w:eastAsia="Arial" w:hAnsi="Arial"/>
                <w:sz w:val="18"/>
                <w:szCs w:val="18"/>
                <w:color w:val="auto"/>
              </w:rPr>
              <w:t xml:space="preserve"> C</w:t>
            </w:r>
            <w:r>
              <w:rPr>
                <w:rFonts w:ascii="Arial" w:cs="Arial" w:eastAsia="Arial" w:hAnsi="Arial"/>
                <w:sz w:val="12"/>
                <w:szCs w:val="12"/>
                <w:color w:val="auto"/>
              </w:rPr>
              <w:t>apacity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59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0000FF"/>
                <w:w w:val="79"/>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30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5.14</w:t>
            </w:r>
          </w:p>
        </w:tc>
        <w:tc>
          <w:tcPr>
            <w:tcW w:w="2200" w:type="dxa"/>
            <w:vAlign w:val="bottom"/>
            <w:gridSpan w:val="6"/>
          </w:tcPr>
          <w:p>
            <w:pPr>
              <w:ind w:left="1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w:t>
            </w:r>
            <w:r>
              <w:rPr>
                <w:rFonts w:ascii="Arial" w:cs="Arial" w:eastAsia="Arial" w:hAnsi="Arial"/>
                <w:sz w:val="18"/>
                <w:szCs w:val="18"/>
                <w:color w:val="auto"/>
              </w:rPr>
              <w:t xml:space="preserve"> F</w:t>
            </w:r>
            <w:r>
              <w:rPr>
                <w:rFonts w:ascii="Arial" w:cs="Arial" w:eastAsia="Arial" w:hAnsi="Arial"/>
                <w:sz w:val="12"/>
                <w:szCs w:val="12"/>
                <w:color w:val="auto"/>
              </w:rPr>
              <w:t>unding</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VI REPRESENTATIONS AND WARRANTIES </w:t>
      </w:r>
      <w:r>
        <w:rPr>
          <w:rFonts w:ascii="Arial" w:cs="Arial" w:eastAsia="Arial" w:hAnsi="Arial"/>
          <w:sz w:val="18"/>
          <w:szCs w:val="18"/>
          <w:color w:val="FF0000"/>
          <w:strike w:val="1"/>
        </w:rPr>
        <w:t>60</w:t>
      </w:r>
      <w:r>
        <w:rPr>
          <w:rFonts w:ascii="Arial" w:cs="Arial" w:eastAsia="Arial" w:hAnsi="Arial"/>
          <w:sz w:val="18"/>
          <w:szCs w:val="18"/>
          <w:u w:val="single" w:color="auto"/>
          <w:color w:val="0000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6.01</w:t>
            </w:r>
          </w:p>
        </w:tc>
        <w:tc>
          <w:tcPr>
            <w:tcW w:w="2540" w:type="dxa"/>
            <w:vAlign w:val="bottom"/>
            <w:gridSpan w:val="13"/>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C</w:t>
            </w:r>
            <w:r>
              <w:rPr>
                <w:rFonts w:ascii="Arial" w:cs="Arial" w:eastAsia="Arial" w:hAnsi="Arial"/>
                <w:sz w:val="12"/>
                <w:szCs w:val="12"/>
                <w:color w:val="auto"/>
              </w:rPr>
              <w:t>o</w:t>
            </w:r>
            <w:r>
              <w:rPr>
                <w:rFonts w:ascii="Arial" w:cs="Arial" w:eastAsia="Arial" w:hAnsi="Arial"/>
                <w:sz w:val="18"/>
                <w:szCs w:val="18"/>
                <w:color w:val="auto"/>
              </w:rPr>
              <w:t>-I</w:t>
            </w:r>
            <w:r>
              <w:rPr>
                <w:rFonts w:ascii="Arial" w:cs="Arial" w:eastAsia="Arial" w:hAnsi="Arial"/>
                <w:sz w:val="12"/>
                <w:szCs w:val="12"/>
                <w:color w:val="auto"/>
              </w:rPr>
              <w:t>ssuers and</w:t>
            </w:r>
            <w:r>
              <w:rPr>
                <w:rFonts w:ascii="Arial" w:cs="Arial" w:eastAsia="Arial" w:hAnsi="Arial"/>
                <w:sz w:val="18"/>
                <w:szCs w:val="18"/>
                <w:color w:val="auto"/>
              </w:rPr>
              <w:t xml:space="preserve"> G</w:t>
            </w:r>
            <w:r>
              <w:rPr>
                <w:rFonts w:ascii="Arial" w:cs="Arial" w:eastAsia="Arial" w:hAnsi="Arial"/>
                <w:sz w:val="12"/>
                <w:szCs w:val="12"/>
                <w:color w:val="auto"/>
              </w:rPr>
              <w:t>uarantors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60</w:t>
            </w:r>
          </w:p>
        </w:tc>
        <w:tc>
          <w:tcPr>
            <w:tcW w:w="0" w:type="dxa"/>
            <w:vAlign w:val="bottom"/>
            <w:tcBorders>
              <w:bottom w:val="single" w:sz="8" w:color="0000FF"/>
            </w:tcBorders>
          </w:tcPr>
          <w:p>
            <w:pPr>
              <w:spacing w:after="0"/>
              <w:rPr>
                <w:sz w:val="17"/>
                <w:szCs w:val="17"/>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6.02</w:t>
            </w:r>
          </w:p>
        </w:tc>
        <w:tc>
          <w:tcPr>
            <w:tcW w:w="1460" w:type="dxa"/>
            <w:vAlign w:val="bottom"/>
            <w:gridSpan w:val="6"/>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M</w:t>
            </w:r>
            <w:r>
              <w:rPr>
                <w:rFonts w:ascii="Arial" w:cs="Arial" w:eastAsia="Arial" w:hAnsi="Arial"/>
                <w:sz w:val="12"/>
                <w:szCs w:val="12"/>
                <w:color w:val="auto"/>
              </w:rPr>
              <w:t>anager</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61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6.03</w:t>
            </w:r>
          </w:p>
        </w:tc>
        <w:tc>
          <w:tcPr>
            <w:tcW w:w="1460" w:type="dxa"/>
            <w:vAlign w:val="bottom"/>
            <w:gridSpan w:val="6"/>
          </w:tcPr>
          <w:p>
            <w:pPr>
              <w:ind w:left="1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ender</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62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304"/>
        </w:trPr>
        <w:tc>
          <w:tcPr>
            <w:tcW w:w="2420" w:type="dxa"/>
            <w:vAlign w:val="bottom"/>
            <w:gridSpan w:val="4"/>
          </w:tcPr>
          <w:p>
            <w:pPr>
              <w:spacing w:after="0"/>
              <w:rPr>
                <w:sz w:val="20"/>
                <w:szCs w:val="20"/>
                <w:color w:val="auto"/>
              </w:rPr>
            </w:pPr>
            <w:r>
              <w:rPr>
                <w:rFonts w:ascii="Arial" w:cs="Arial" w:eastAsia="Arial" w:hAnsi="Arial"/>
                <w:sz w:val="18"/>
                <w:szCs w:val="18"/>
                <w:color w:val="auto"/>
              </w:rPr>
              <w:t>ARTICLE VII CONDITIONS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63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18"/>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7.01</w:t>
            </w:r>
          </w:p>
        </w:tc>
        <w:tc>
          <w:tcPr>
            <w:tcW w:w="3260" w:type="dxa"/>
            <w:vAlign w:val="bottom"/>
            <w:gridSpan w:val="20"/>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I</w:t>
            </w:r>
            <w:r>
              <w:rPr>
                <w:rFonts w:ascii="Arial" w:cs="Arial" w:eastAsia="Arial" w:hAnsi="Arial"/>
                <w:sz w:val="12"/>
                <w:szCs w:val="12"/>
                <w:color w:val="auto"/>
              </w:rPr>
              <w:t>ssuance and</w:t>
            </w:r>
            <w:r>
              <w:rPr>
                <w:rFonts w:ascii="Arial" w:cs="Arial" w:eastAsia="Arial" w:hAnsi="Arial"/>
                <w:sz w:val="18"/>
                <w:szCs w:val="18"/>
                <w:color w:val="auto"/>
              </w:rPr>
              <w:t xml:space="preserve"> E</w:t>
            </w:r>
            <w:r>
              <w:rPr>
                <w:rFonts w:ascii="Arial" w:cs="Arial" w:eastAsia="Arial" w:hAnsi="Arial"/>
                <w:sz w:val="12"/>
                <w:szCs w:val="12"/>
                <w:color w:val="auto"/>
              </w:rPr>
              <w:t>ffectiveness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7.02</w:t>
            </w:r>
          </w:p>
        </w:tc>
        <w:tc>
          <w:tcPr>
            <w:tcW w:w="3260" w:type="dxa"/>
            <w:vAlign w:val="bottom"/>
            <w:gridSpan w:val="20"/>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I</w:t>
            </w:r>
            <w:r>
              <w:rPr>
                <w:rFonts w:ascii="Arial" w:cs="Arial" w:eastAsia="Arial" w:hAnsi="Arial"/>
                <w:sz w:val="12"/>
                <w:szCs w:val="12"/>
                <w:color w:val="auto"/>
              </w:rPr>
              <w:t>nitial</w:t>
            </w:r>
            <w:r>
              <w:rPr>
                <w:rFonts w:ascii="Arial" w:cs="Arial" w:eastAsia="Arial" w:hAnsi="Arial"/>
                <w:sz w:val="18"/>
                <w:szCs w:val="18"/>
                <w:color w:val="auto"/>
              </w:rPr>
              <w:t xml:space="preserve"> E</w:t>
            </w:r>
            <w:r>
              <w:rPr>
                <w:rFonts w:ascii="Arial" w:cs="Arial" w:eastAsia="Arial" w:hAnsi="Arial"/>
                <w:sz w:val="12"/>
                <w:szCs w:val="12"/>
                <w:color w:val="auto"/>
              </w:rPr>
              <w:t>xtensions of</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7.03</w:t>
            </w:r>
          </w:p>
        </w:tc>
        <w:tc>
          <w:tcPr>
            <w:tcW w:w="3260" w:type="dxa"/>
            <w:vAlign w:val="bottom"/>
            <w:gridSpan w:val="20"/>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E</w:t>
            </w:r>
            <w:r>
              <w:rPr>
                <w:rFonts w:ascii="Arial" w:cs="Arial" w:eastAsia="Arial" w:hAnsi="Arial"/>
                <w:sz w:val="12"/>
                <w:szCs w:val="12"/>
                <w:color w:val="auto"/>
              </w:rPr>
              <w:t>xtension of</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64</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0000FF"/>
                <w:w w:val="79"/>
              </w:rPr>
              <w:t>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304"/>
        </w:trPr>
        <w:tc>
          <w:tcPr>
            <w:tcW w:w="2420" w:type="dxa"/>
            <w:vAlign w:val="bottom"/>
            <w:gridSpan w:val="4"/>
          </w:tcPr>
          <w:p>
            <w:pPr>
              <w:spacing w:after="0"/>
              <w:rPr>
                <w:sz w:val="20"/>
                <w:szCs w:val="20"/>
                <w:color w:val="auto"/>
              </w:rPr>
            </w:pPr>
            <w:r>
              <w:rPr>
                <w:rFonts w:ascii="Arial" w:cs="Arial" w:eastAsia="Arial" w:hAnsi="Arial"/>
                <w:sz w:val="18"/>
                <w:szCs w:val="18"/>
                <w:color w:val="auto"/>
              </w:rPr>
              <w:t>ARTICLE VIII COVENANTS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65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18"/>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8.01</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04"/>
        </w:trPr>
        <w:tc>
          <w:tcPr>
            <w:tcW w:w="3860" w:type="dxa"/>
            <w:vAlign w:val="bottom"/>
            <w:gridSpan w:val="14"/>
          </w:tcPr>
          <w:p>
            <w:pPr>
              <w:spacing w:after="0"/>
              <w:rPr>
                <w:sz w:val="20"/>
                <w:szCs w:val="20"/>
                <w:color w:val="auto"/>
              </w:rPr>
            </w:pPr>
            <w:r>
              <w:rPr>
                <w:rFonts w:ascii="Arial" w:cs="Arial" w:eastAsia="Arial" w:hAnsi="Arial"/>
                <w:sz w:val="18"/>
                <w:szCs w:val="18"/>
                <w:color w:val="auto"/>
              </w:rPr>
              <w:t>ARTICLE IX MISCELLANEOUS PROVISIONS</w:t>
            </w:r>
          </w:p>
        </w:tc>
        <w:tc>
          <w:tcPr>
            <w:tcW w:w="280" w:type="dxa"/>
            <w:vAlign w:val="bottom"/>
            <w:gridSpan w:val="3"/>
          </w:tcPr>
          <w:p>
            <w:pPr>
              <w:jc w:val="right"/>
              <w:spacing w:after="0"/>
              <w:rPr>
                <w:sz w:val="20"/>
                <w:szCs w:val="20"/>
                <w:color w:val="auto"/>
              </w:rPr>
            </w:pPr>
            <w:r>
              <w:rPr>
                <w:rFonts w:ascii="Arial" w:cs="Arial" w:eastAsia="Arial" w:hAnsi="Arial"/>
                <w:sz w:val="18"/>
                <w:szCs w:val="18"/>
                <w:color w:val="FF0000"/>
                <w:strike w:val="1"/>
              </w:rPr>
              <w:t>67</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0000FF"/>
                <w:w w:val="79"/>
              </w:rPr>
              <w:t>62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18"/>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9.01</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67</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62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9.02</w:t>
            </w:r>
          </w:p>
        </w:tc>
        <w:tc>
          <w:tcPr>
            <w:tcW w:w="1820" w:type="dxa"/>
            <w:vAlign w:val="bottom"/>
            <w:gridSpan w:val="9"/>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 R</w:t>
            </w:r>
            <w:r>
              <w:rPr>
                <w:rFonts w:ascii="Arial" w:cs="Arial" w:eastAsia="Arial" w:hAnsi="Arial"/>
                <w:sz w:val="12"/>
                <w:szCs w:val="12"/>
                <w:color w:val="auto"/>
              </w:rPr>
              <w:t>emedies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9.03</w:t>
            </w:r>
          </w:p>
        </w:tc>
        <w:tc>
          <w:tcPr>
            <w:tcW w:w="2900" w:type="dxa"/>
            <w:vAlign w:val="bottom"/>
            <w:gridSpan w:val="17"/>
          </w:tcPr>
          <w:p>
            <w:pPr>
              <w:ind w:left="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inding on</w:t>
            </w:r>
            <w:r>
              <w:rPr>
                <w:rFonts w:ascii="Arial" w:cs="Arial" w:eastAsia="Arial" w:hAnsi="Arial"/>
                <w:sz w:val="18"/>
                <w:szCs w:val="18"/>
                <w:color w:val="auto"/>
              </w:rPr>
              <w:t xml:space="preserve"> 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9.04</w:t>
            </w:r>
          </w:p>
        </w:tc>
        <w:tc>
          <w:tcPr>
            <w:tcW w:w="1820" w:type="dxa"/>
            <w:vAlign w:val="bottom"/>
            <w:gridSpan w:val="9"/>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urvival of</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69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9.05</w:t>
            </w:r>
          </w:p>
        </w:tc>
        <w:tc>
          <w:tcPr>
            <w:tcW w:w="3980" w:type="dxa"/>
            <w:vAlign w:val="bottom"/>
            <w:gridSpan w:val="23"/>
          </w:tcPr>
          <w:p>
            <w:pPr>
              <w:ind w:left="1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C</w:t>
            </w:r>
            <w:r>
              <w:rPr>
                <w:rFonts w:ascii="Arial" w:cs="Arial" w:eastAsia="Arial" w:hAnsi="Arial"/>
                <w:sz w:val="12"/>
                <w:szCs w:val="12"/>
                <w:color w:val="auto"/>
              </w:rPr>
              <w:t>osts and</w:t>
            </w:r>
            <w:r>
              <w:rPr>
                <w:rFonts w:ascii="Arial" w:cs="Arial" w:eastAsia="Arial" w:hAnsi="Arial"/>
                <w:sz w:val="18"/>
                <w:szCs w:val="18"/>
                <w:color w:val="auto"/>
              </w:rPr>
              <w:t xml:space="preserve"> E</w:t>
            </w:r>
            <w:r>
              <w:rPr>
                <w:rFonts w:ascii="Arial" w:cs="Arial" w:eastAsia="Arial" w:hAnsi="Arial"/>
                <w:sz w:val="12"/>
                <w:szCs w:val="12"/>
                <w:color w:val="auto"/>
              </w:rPr>
              <w:t>xpenses</w:t>
            </w:r>
            <w:r>
              <w:rPr>
                <w:rFonts w:ascii="Arial" w:cs="Arial" w:eastAsia="Arial" w:hAnsi="Arial"/>
                <w:sz w:val="18"/>
                <w:szCs w:val="18"/>
                <w:color w:val="auto"/>
              </w:rPr>
              <w:t>; I</w:t>
            </w:r>
            <w:r>
              <w:rPr>
                <w:rFonts w:ascii="Arial" w:cs="Arial" w:eastAsia="Arial" w:hAnsi="Arial"/>
                <w:sz w:val="12"/>
                <w:szCs w:val="12"/>
                <w:color w:val="auto"/>
              </w:rPr>
              <w:t>ndemnification</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9.06</w:t>
            </w:r>
          </w:p>
        </w:tc>
        <w:tc>
          <w:tcPr>
            <w:tcW w:w="4700" w:type="dxa"/>
            <w:vAlign w:val="bottom"/>
            <w:gridSpan w:val="26"/>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haracterization as</w:t>
            </w:r>
            <w:r>
              <w:rPr>
                <w:rFonts w:ascii="Arial" w:cs="Arial" w:eastAsia="Arial" w:hAnsi="Arial"/>
                <w:sz w:val="18"/>
                <w:szCs w:val="18"/>
                <w:color w:val="auto"/>
              </w:rPr>
              <w:t xml:space="preserve"> R</w:t>
            </w:r>
            <w:r>
              <w:rPr>
                <w:rFonts w:ascii="Arial" w:cs="Arial" w:eastAsia="Arial" w:hAnsi="Arial"/>
                <w:sz w:val="12"/>
                <w:szCs w:val="12"/>
                <w:color w:val="auto"/>
              </w:rPr>
              <w:t>elated</w:t>
            </w:r>
            <w:r>
              <w:rPr>
                <w:rFonts w:ascii="Arial" w:cs="Arial" w:eastAsia="Arial" w:hAnsi="Arial"/>
                <w:sz w:val="18"/>
                <w:szCs w:val="18"/>
                <w:color w:val="auto"/>
              </w:rPr>
              <w:t xml:space="preserve"> D</w:t>
            </w:r>
            <w:r>
              <w:rPr>
                <w:rFonts w:ascii="Arial" w:cs="Arial" w:eastAsia="Arial" w:hAnsi="Arial"/>
                <w:sz w:val="12"/>
                <w:szCs w:val="12"/>
                <w:color w:val="auto"/>
              </w:rPr>
              <w:t>ocument</w:t>
            </w:r>
            <w:r>
              <w:rPr>
                <w:rFonts w:ascii="Arial" w:cs="Arial" w:eastAsia="Arial" w:hAnsi="Arial"/>
                <w:sz w:val="18"/>
                <w:szCs w:val="18"/>
                <w:color w:val="auto"/>
              </w:rPr>
              <w:t>; E</w:t>
            </w:r>
            <w:r>
              <w:rPr>
                <w:rFonts w:ascii="Arial" w:cs="Arial" w:eastAsia="Arial" w:hAnsi="Arial"/>
                <w:sz w:val="12"/>
                <w:szCs w:val="12"/>
                <w:color w:val="auto"/>
              </w:rPr>
              <w:t>ntire</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72</w:t>
            </w:r>
          </w:p>
        </w:tc>
        <w:tc>
          <w:tcPr>
            <w:tcW w:w="800" w:type="dxa"/>
            <w:vAlign w:val="bottom"/>
            <w:gridSpan w:val="2"/>
          </w:tcPr>
          <w:p>
            <w:pPr>
              <w:jc w:val="right"/>
              <w:ind w:right="620"/>
              <w:spacing w:after="0"/>
              <w:rPr>
                <w:sz w:val="20"/>
                <w:szCs w:val="20"/>
                <w:color w:val="auto"/>
              </w:rPr>
            </w:pPr>
            <w:r>
              <w:rPr>
                <w:rFonts w:ascii="Arial" w:cs="Arial" w:eastAsia="Arial" w:hAnsi="Arial"/>
                <w:sz w:val="18"/>
                <w:szCs w:val="18"/>
                <w:color w:val="0000FF"/>
                <w:w w:val="79"/>
              </w:rPr>
              <w:t>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9.07</w:t>
            </w:r>
          </w:p>
        </w:tc>
        <w:tc>
          <w:tcPr>
            <w:tcW w:w="740" w:type="dxa"/>
            <w:vAlign w:val="bottom"/>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9.08</w:t>
            </w:r>
          </w:p>
        </w:tc>
        <w:tc>
          <w:tcPr>
            <w:tcW w:w="2180" w:type="dxa"/>
            <w:vAlign w:val="bottom"/>
            <w:gridSpan w:val="11"/>
          </w:tcPr>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everability of</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69</w:t>
            </w: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9.09</w:t>
            </w:r>
          </w:p>
        </w:tc>
        <w:tc>
          <w:tcPr>
            <w:tcW w:w="1820" w:type="dxa"/>
            <w:vAlign w:val="bottom"/>
            <w:gridSpan w:val="9"/>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w:t>
            </w:r>
            <w:r>
              <w:rPr>
                <w:rFonts w:ascii="Arial" w:cs="Arial" w:eastAsia="Arial" w:hAnsi="Arial"/>
                <w:sz w:val="18"/>
                <w:szCs w:val="18"/>
                <w:color w:val="auto"/>
              </w:rPr>
              <w:t xml:space="preserve"> C</w:t>
            </w:r>
            <w:r>
              <w:rPr>
                <w:rFonts w:ascii="Arial" w:cs="Arial" w:eastAsia="Arial" w:hAnsi="Arial"/>
                <w:sz w:val="12"/>
                <w:szCs w:val="12"/>
                <w:color w:val="auto"/>
              </w:rPr>
              <w:t>haracterization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9.10</w:t>
            </w:r>
          </w:p>
        </w:tc>
        <w:tc>
          <w:tcPr>
            <w:tcW w:w="2900" w:type="dxa"/>
            <w:vAlign w:val="bottom"/>
            <w:gridSpan w:val="17"/>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P</w:t>
            </w:r>
            <w:r>
              <w:rPr>
                <w:rFonts w:ascii="Arial" w:cs="Arial" w:eastAsia="Arial" w:hAnsi="Arial"/>
                <w:sz w:val="12"/>
                <w:szCs w:val="12"/>
                <w:color w:val="auto"/>
              </w:rPr>
              <w:t>roceedings</w:t>
            </w:r>
            <w:r>
              <w:rPr>
                <w:rFonts w:ascii="Arial" w:cs="Arial" w:eastAsia="Arial" w:hAnsi="Arial"/>
                <w:sz w:val="18"/>
                <w:szCs w:val="18"/>
                <w:color w:val="auto"/>
              </w:rPr>
              <w:t>; L</w:t>
            </w:r>
            <w:r>
              <w:rPr>
                <w:rFonts w:ascii="Arial" w:cs="Arial" w:eastAsia="Arial" w:hAnsi="Arial"/>
                <w:sz w:val="12"/>
                <w:szCs w:val="12"/>
                <w:color w:val="auto"/>
              </w:rPr>
              <w:t>imited</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9.11</w:t>
            </w:r>
          </w:p>
        </w:tc>
        <w:tc>
          <w:tcPr>
            <w:tcW w:w="1460" w:type="dxa"/>
            <w:vAlign w:val="bottom"/>
            <w:gridSpan w:val="6"/>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onfidentiality</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9.12</w:t>
            </w:r>
          </w:p>
        </w:tc>
        <w:tc>
          <w:tcPr>
            <w:tcW w:w="4700" w:type="dxa"/>
            <w:vAlign w:val="bottom"/>
            <w:gridSpan w:val="26"/>
          </w:tcPr>
          <w:p>
            <w:pPr>
              <w:ind w:left="120"/>
              <w:spacing w:after="0"/>
              <w:rPr>
                <w:sz w:val="20"/>
                <w:szCs w:val="20"/>
                <w:color w:val="auto"/>
              </w:rPr>
            </w:pPr>
            <w:r>
              <w:rPr>
                <w:rFonts w:ascii="Arial" w:cs="Arial" w:eastAsia="Arial" w:hAnsi="Arial"/>
                <w:sz w:val="18"/>
                <w:szCs w:val="18"/>
                <w:b w:val="1"/>
                <w:bCs w:val="1"/>
                <w:color w:val="auto"/>
              </w:rPr>
              <w:t>GOVERNING LAW; CONFLICTS WITH INDENTURE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800" w:type="dxa"/>
            <w:vAlign w:val="bottom"/>
            <w:gridSpan w:val="2"/>
          </w:tcPr>
          <w:p>
            <w:pPr>
              <w:jc w:val="right"/>
              <w:ind w:right="620"/>
              <w:spacing w:after="0"/>
              <w:rPr>
                <w:sz w:val="20"/>
                <w:szCs w:val="20"/>
                <w:color w:val="auto"/>
              </w:rPr>
            </w:pPr>
            <w:r>
              <w:rPr>
                <w:rFonts w:ascii="Arial" w:cs="Arial" w:eastAsia="Arial" w:hAnsi="Arial"/>
                <w:sz w:val="18"/>
                <w:szCs w:val="18"/>
                <w:color w:val="0000FF"/>
                <w:w w:val="79"/>
              </w:rPr>
              <w:t>71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9.13</w:t>
            </w:r>
          </w:p>
        </w:tc>
        <w:tc>
          <w:tcPr>
            <w:tcW w:w="1460" w:type="dxa"/>
            <w:vAlign w:val="bottom"/>
            <w:gridSpan w:val="6"/>
          </w:tcPr>
          <w:p>
            <w:pPr>
              <w:ind w:left="120"/>
              <w:spacing w:after="0"/>
              <w:rPr>
                <w:sz w:val="20"/>
                <w:szCs w:val="20"/>
                <w:color w:val="auto"/>
              </w:rPr>
            </w:pPr>
            <w:r>
              <w:rPr>
                <w:rFonts w:ascii="Arial" w:cs="Arial" w:eastAsia="Arial" w:hAnsi="Arial"/>
                <w:sz w:val="18"/>
                <w:szCs w:val="18"/>
                <w:b w:val="1"/>
                <w:bCs w:val="1"/>
                <w:color w:val="auto"/>
              </w:rPr>
              <w:t>JURISDICTION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9.14</w:t>
            </w:r>
          </w:p>
        </w:tc>
        <w:tc>
          <w:tcPr>
            <w:tcW w:w="2540" w:type="dxa"/>
            <w:vAlign w:val="bottom"/>
            <w:gridSpan w:val="13"/>
          </w:tcPr>
          <w:p>
            <w:pPr>
              <w:ind w:left="120"/>
              <w:spacing w:after="0"/>
              <w:rPr>
                <w:sz w:val="20"/>
                <w:szCs w:val="20"/>
                <w:color w:val="auto"/>
              </w:rPr>
            </w:pPr>
            <w:r>
              <w:rPr>
                <w:rFonts w:ascii="Arial" w:cs="Arial" w:eastAsia="Arial" w:hAnsi="Arial"/>
                <w:sz w:val="18"/>
                <w:szCs w:val="18"/>
                <w:b w:val="1"/>
                <w:bCs w:val="1"/>
                <w:color w:val="auto"/>
              </w:rPr>
              <w:t>WAIVER OF JURY TRIAL</w:t>
            </w:r>
          </w:p>
        </w:tc>
        <w:tc>
          <w:tcPr>
            <w:tcW w:w="180" w:type="dxa"/>
            <w:vAlign w:val="bottom"/>
          </w:tcPr>
          <w:p>
            <w:pPr>
              <w:spacing w:after="0"/>
              <w:rPr>
                <w:sz w:val="18"/>
                <w:szCs w:val="18"/>
                <w:color w:val="auto"/>
              </w:rPr>
            </w:pPr>
          </w:p>
        </w:tc>
        <w:tc>
          <w:tcPr>
            <w:tcW w:w="0" w:type="dxa"/>
            <w:vAlign w:val="bottom"/>
            <w:tcBorders>
              <w:bottom w:val="single" w:sz="8" w:color="0000FF"/>
            </w:tcBorders>
          </w:tcPr>
          <w:p>
            <w:pPr>
              <w:spacing w:after="0"/>
              <w:rPr>
                <w:sz w:val="20"/>
                <w:szCs w:val="20"/>
                <w:color w:val="auto"/>
              </w:rPr>
            </w:pPr>
            <w:r>
              <w:rPr>
                <w:rFonts w:ascii="Arial" w:cs="Arial" w:eastAsia="Arial" w:hAnsi="Arial"/>
                <w:sz w:val="2"/>
                <w:szCs w:val="2"/>
                <w:color w:val="FF0000"/>
                <w:strike w:val="1"/>
                <w:w w:val="87"/>
              </w:rPr>
              <w:t>75</w:t>
            </w: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9.15</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76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9.16</w:t>
            </w:r>
          </w:p>
        </w:tc>
        <w:tc>
          <w:tcPr>
            <w:tcW w:w="2180" w:type="dxa"/>
            <w:vAlign w:val="bottom"/>
            <w:gridSpan w:val="11"/>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hird</w:t>
            </w:r>
            <w:r>
              <w:rPr>
                <w:rFonts w:ascii="Arial" w:cs="Arial" w:eastAsia="Arial" w:hAnsi="Arial"/>
                <w:sz w:val="18"/>
                <w:szCs w:val="18"/>
                <w:color w:val="auto"/>
              </w:rPr>
              <w:t>-P</w:t>
            </w:r>
            <w:r>
              <w:rPr>
                <w:rFonts w:ascii="Arial" w:cs="Arial" w:eastAsia="Arial" w:hAnsi="Arial"/>
                <w:sz w:val="12"/>
                <w:szCs w:val="12"/>
                <w:color w:val="auto"/>
              </w:rPr>
              <w:t>arty</w:t>
            </w:r>
            <w:r>
              <w:rPr>
                <w:rFonts w:ascii="Arial" w:cs="Arial" w:eastAsia="Arial" w:hAnsi="Arial"/>
                <w:sz w:val="18"/>
                <w:szCs w:val="18"/>
                <w:color w:val="auto"/>
              </w:rPr>
              <w:t xml:space="preserve"> B</w:t>
            </w:r>
            <w:r>
              <w:rPr>
                <w:rFonts w:ascii="Arial" w:cs="Arial" w:eastAsia="Arial" w:hAnsi="Arial"/>
                <w:sz w:val="12"/>
                <w:szCs w:val="12"/>
                <w:color w:val="auto"/>
              </w:rPr>
              <w:t>eneficiary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72</w:t>
            </w: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9.17</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76</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9.18</w:t>
            </w:r>
          </w:p>
        </w:tc>
        <w:tc>
          <w:tcPr>
            <w:tcW w:w="1820" w:type="dxa"/>
            <w:vAlign w:val="bottom"/>
            <w:gridSpan w:val="9"/>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efaulting</w:t>
            </w:r>
            <w:r>
              <w:rPr>
                <w:rFonts w:ascii="Arial" w:cs="Arial" w:eastAsia="Arial" w:hAnsi="Arial"/>
                <w:sz w:val="18"/>
                <w:szCs w:val="18"/>
                <w:color w:val="auto"/>
              </w:rPr>
              <w:t xml:space="preserve"> I</w:t>
            </w:r>
            <w:r>
              <w:rPr>
                <w:rFonts w:ascii="Arial" w:cs="Arial" w:eastAsia="Arial" w:hAnsi="Arial"/>
                <w:sz w:val="12"/>
                <w:szCs w:val="12"/>
                <w:color w:val="auto"/>
              </w:rPr>
              <w:t>nvestors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9.19</w:t>
            </w:r>
          </w:p>
        </w:tc>
        <w:tc>
          <w:tcPr>
            <w:tcW w:w="1820" w:type="dxa"/>
            <w:vAlign w:val="bottom"/>
            <w:gridSpan w:val="9"/>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F</w:t>
            </w:r>
            <w:r>
              <w:rPr>
                <w:rFonts w:ascii="Arial" w:cs="Arial" w:eastAsia="Arial" w:hAnsi="Arial"/>
                <w:sz w:val="12"/>
                <w:szCs w:val="12"/>
                <w:color w:val="auto"/>
              </w:rPr>
              <w:t>iduciary</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9.20</w:t>
            </w:r>
          </w:p>
        </w:tc>
        <w:tc>
          <w:tcPr>
            <w:tcW w:w="2540" w:type="dxa"/>
            <w:vAlign w:val="bottom"/>
            <w:gridSpan w:val="13"/>
          </w:tcPr>
          <w:p>
            <w:pPr>
              <w:ind w:left="1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G</w:t>
            </w:r>
            <w:r>
              <w:rPr>
                <w:rFonts w:ascii="Arial" w:cs="Arial" w:eastAsia="Arial" w:hAnsi="Arial"/>
                <w:sz w:val="12"/>
                <w:szCs w:val="12"/>
                <w:color w:val="auto"/>
              </w:rPr>
              <w:t>uarantee by the</w:t>
            </w:r>
            <w:r>
              <w:rPr>
                <w:rFonts w:ascii="Arial" w:cs="Arial" w:eastAsia="Arial" w:hAnsi="Arial"/>
                <w:sz w:val="18"/>
                <w:szCs w:val="18"/>
                <w:color w:val="auto"/>
              </w:rPr>
              <w:t xml:space="preserve"> M</w:t>
            </w:r>
            <w:r>
              <w:rPr>
                <w:rFonts w:ascii="Arial" w:cs="Arial" w:eastAsia="Arial" w:hAnsi="Arial"/>
                <w:sz w:val="12"/>
                <w:szCs w:val="12"/>
                <w:color w:val="auto"/>
              </w:rPr>
              <w:t>anager</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0" w:type="dxa"/>
            <w:vAlign w:val="bottom"/>
            <w:tcBorders>
              <w:bottom w:val="single" w:sz="8" w:color="0000FF"/>
            </w:tcBorders>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9.21</w:t>
            </w:r>
          </w:p>
        </w:tc>
        <w:tc>
          <w:tcPr>
            <w:tcW w:w="2540" w:type="dxa"/>
            <w:vAlign w:val="bottom"/>
            <w:gridSpan w:val="13"/>
          </w:tcPr>
          <w:p>
            <w:pPr>
              <w:ind w:left="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w:t>
            </w:r>
            <w:r>
              <w:rPr>
                <w:rFonts w:ascii="Arial" w:cs="Arial" w:eastAsia="Arial" w:hAnsi="Arial"/>
                <w:sz w:val="18"/>
                <w:szCs w:val="18"/>
                <w:color w:val="auto"/>
              </w:rPr>
              <w:t>; T</w:t>
            </w:r>
            <w:r>
              <w:rPr>
                <w:rFonts w:ascii="Arial" w:cs="Arial" w:eastAsia="Arial" w:hAnsi="Arial"/>
                <w:sz w:val="12"/>
                <w:szCs w:val="12"/>
                <w:color w:val="auto"/>
              </w:rPr>
              <w:t>ermination of</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0" w:type="dxa"/>
            <w:vAlign w:val="bottom"/>
            <w:tcBorders>
              <w:bottom w:val="single" w:sz="8" w:color="0000FF"/>
            </w:tcBorders>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9.22</w:t>
            </w:r>
          </w:p>
        </w:tc>
        <w:tc>
          <w:tcPr>
            <w:tcW w:w="5680" w:type="dxa"/>
            <w:vAlign w:val="bottom"/>
            <w:gridSpan w:val="29"/>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cknowledgement and</w:t>
            </w:r>
            <w:r>
              <w:rPr>
                <w:rFonts w:ascii="Arial" w:cs="Arial" w:eastAsia="Arial" w:hAnsi="Arial"/>
                <w:sz w:val="18"/>
                <w:szCs w:val="18"/>
                <w:color w:val="auto"/>
              </w:rPr>
              <w:t xml:space="preserve"> C</w:t>
            </w:r>
            <w:r>
              <w:rPr>
                <w:rFonts w:ascii="Arial" w:cs="Arial" w:eastAsia="Arial" w:hAnsi="Arial"/>
                <w:sz w:val="12"/>
                <w:szCs w:val="12"/>
                <w:color w:val="auto"/>
              </w:rPr>
              <w:t>onsent to</w:t>
            </w:r>
            <w:r>
              <w:rPr>
                <w:rFonts w:ascii="Arial" w:cs="Arial" w:eastAsia="Arial" w:hAnsi="Arial"/>
                <w:sz w:val="18"/>
                <w:szCs w:val="18"/>
                <w:color w:val="auto"/>
              </w:rPr>
              <w:t xml:space="preserve"> B</w:t>
            </w:r>
            <w:r>
              <w:rPr>
                <w:rFonts w:ascii="Arial" w:cs="Arial" w:eastAsia="Arial" w:hAnsi="Arial"/>
                <w:sz w:val="12"/>
                <w:szCs w:val="12"/>
                <w:color w:val="auto"/>
              </w:rPr>
              <w:t>ail</w:t>
            </w:r>
            <w:r>
              <w:rPr>
                <w:rFonts w:ascii="Arial" w:cs="Arial" w:eastAsia="Arial" w:hAnsi="Arial"/>
                <w:sz w:val="18"/>
                <w:szCs w:val="18"/>
                <w:color w:val="auto"/>
              </w:rPr>
              <w:t>-I</w:t>
            </w:r>
            <w:r>
              <w:rPr>
                <w:rFonts w:ascii="Arial" w:cs="Arial" w:eastAsia="Arial" w:hAnsi="Arial"/>
                <w:sz w:val="12"/>
                <w:szCs w:val="12"/>
                <w:color w:val="auto"/>
              </w:rPr>
              <w:t>n of</w:t>
            </w:r>
            <w:r>
              <w:rPr>
                <w:rFonts w:ascii="Arial" w:cs="Arial" w:eastAsia="Arial" w:hAnsi="Arial"/>
                <w:sz w:val="18"/>
                <w:szCs w:val="18"/>
                <w:color w:val="auto"/>
              </w:rPr>
              <w:t xml:space="preserve"> EEA F</w:t>
            </w:r>
            <w:r>
              <w:rPr>
                <w:rFonts w:ascii="Arial" w:cs="Arial" w:eastAsia="Arial" w:hAnsi="Arial"/>
                <w:sz w:val="12"/>
                <w:szCs w:val="12"/>
                <w:color w:val="auto"/>
              </w:rPr>
              <w:t>inancial</w:t>
            </w:r>
            <w:r>
              <w:rPr>
                <w:rFonts w:ascii="Arial" w:cs="Arial" w:eastAsia="Arial" w:hAnsi="Arial"/>
                <w:sz w:val="18"/>
                <w:szCs w:val="18"/>
                <w:color w:val="auto"/>
              </w:rPr>
              <w:t xml:space="preserve"> I</w:t>
            </w:r>
            <w:r>
              <w:rPr>
                <w:rFonts w:ascii="Arial" w:cs="Arial" w:eastAsia="Arial" w:hAnsi="Arial"/>
                <w:sz w:val="12"/>
                <w:szCs w:val="12"/>
                <w:color w:val="auto"/>
              </w:rPr>
              <w:t>nstitutions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rPr>
              <w:t>82</w:t>
            </w:r>
          </w:p>
        </w:tc>
        <w:tc>
          <w:tcPr>
            <w:tcW w:w="3960" w:type="dxa"/>
            <w:vAlign w:val="bottom"/>
            <w:gridSpan w:val="2"/>
          </w:tcPr>
          <w:p>
            <w:pPr>
              <w:jc w:val="right"/>
              <w:ind w:right="3780"/>
              <w:spacing w:after="0"/>
              <w:rPr>
                <w:sz w:val="20"/>
                <w:szCs w:val="20"/>
                <w:color w:val="auto"/>
              </w:rPr>
            </w:pPr>
            <w:r>
              <w:rPr>
                <w:rFonts w:ascii="Arial" w:cs="Arial" w:eastAsia="Arial" w:hAnsi="Arial"/>
                <w:sz w:val="18"/>
                <w:szCs w:val="18"/>
                <w:color w:val="0000FF"/>
                <w:w w:val="79"/>
              </w:rPr>
              <w:t>77</w:t>
            </w:r>
          </w:p>
        </w:tc>
      </w:tr>
      <w:tr>
        <w:trPr>
          <w:trHeight w:val="210"/>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9.23</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780" w:type="dxa"/>
            <w:vAlign w:val="bottom"/>
          </w:tcPr>
          <w:p>
            <w:pPr>
              <w:spacing w:after="0"/>
              <w:rPr>
                <w:sz w:val="18"/>
                <w:szCs w:val="18"/>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9.24</w:t>
            </w:r>
          </w:p>
        </w:tc>
        <w:tc>
          <w:tcPr>
            <w:tcW w:w="1460" w:type="dxa"/>
            <w:vAlign w:val="bottom"/>
            <w:gridSpan w:val="6"/>
          </w:tcPr>
          <w:p>
            <w:pPr>
              <w:ind w:left="120"/>
              <w:spacing w:after="0"/>
              <w:rPr>
                <w:sz w:val="20"/>
                <w:szCs w:val="20"/>
                <w:color w:val="auto"/>
              </w:rPr>
            </w:pPr>
            <w:r>
              <w:rPr>
                <w:rFonts w:ascii="Arial" w:cs="Arial" w:eastAsia="Arial" w:hAnsi="Arial"/>
                <w:sz w:val="18"/>
                <w:szCs w:val="18"/>
                <w:color w:val="auto"/>
              </w:rPr>
              <w:t>USA 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1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1351"/>
        </w:trPr>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auto"/>
        </w:rPr>
        <w:t>SCHEDULES AND EXHIBITS</w:t>
      </w:r>
    </w:p>
    <w:p>
      <w:pPr>
        <w:sectPr>
          <w:pgSz w:w="11900" w:h="16838" w:orient="portrait"/>
          <w:cols w:equalWidth="0" w:num="1">
            <w:col w:w="11240"/>
          </w:cols>
          <w:pgMar w:left="320" w:top="388" w:right="339" w:bottom="1440" w:gutter="0" w:footer="0" w:header="0"/>
        </w:sectPr>
      </w:pPr>
    </w:p>
    <w:p>
      <w:pPr>
        <w:spacing w:after="0" w:line="26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SCHEDULE I SCHEDULE II SCHEDULE III SCHEDULE IV EXHIBIT A-1 EXHIBIT A-2 EXHIBIT B EXHIBIT C EXHIBIT D EXHIBIT 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Investor Groups and Commitments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Notice Addresses for Lender Parties, Agents, Co-Issuers and Manager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Additional Closing Conditions</w:t>
      </w:r>
    </w:p>
    <w:p>
      <w:pPr>
        <w:spacing w:after="0" w:line="230" w:lineRule="auto"/>
        <w:rPr>
          <w:sz w:val="20"/>
          <w:szCs w:val="20"/>
          <w:color w:val="auto"/>
        </w:rPr>
      </w:pPr>
      <w:r>
        <w:rPr>
          <w:rFonts w:ascii="Arial" w:cs="Arial" w:eastAsia="Arial" w:hAnsi="Arial"/>
          <w:sz w:val="22"/>
          <w:szCs w:val="22"/>
          <w:color w:val="auto"/>
        </w:rPr>
        <w:t>Letters of Credit</w:t>
      </w:r>
    </w:p>
    <w:p>
      <w:pPr>
        <w:spacing w:after="0" w:line="231" w:lineRule="auto"/>
        <w:rPr>
          <w:sz w:val="20"/>
          <w:szCs w:val="20"/>
          <w:color w:val="auto"/>
        </w:rPr>
      </w:pPr>
      <w:r>
        <w:rPr>
          <w:rFonts w:ascii="Arial" w:cs="Arial" w:eastAsia="Arial" w:hAnsi="Arial"/>
          <w:sz w:val="22"/>
          <w:szCs w:val="22"/>
          <w:color w:val="auto"/>
        </w:rPr>
        <w:t>Form of Advance Request</w:t>
      </w:r>
    </w:p>
    <w:p>
      <w:pPr>
        <w:spacing w:after="0" w:line="230" w:lineRule="auto"/>
        <w:rPr>
          <w:sz w:val="20"/>
          <w:szCs w:val="20"/>
          <w:color w:val="auto"/>
        </w:rPr>
      </w:pPr>
      <w:r>
        <w:rPr>
          <w:rFonts w:ascii="Arial" w:cs="Arial" w:eastAsia="Arial" w:hAnsi="Arial"/>
          <w:sz w:val="22"/>
          <w:szCs w:val="22"/>
          <w:color w:val="auto"/>
        </w:rPr>
        <w:t>Form of Swingline Loan Request</w:t>
      </w:r>
    </w:p>
    <w:p>
      <w:pPr>
        <w:spacing w:after="0" w:line="231" w:lineRule="auto"/>
        <w:rPr>
          <w:sz w:val="20"/>
          <w:szCs w:val="20"/>
          <w:color w:val="auto"/>
        </w:rPr>
      </w:pPr>
      <w:r>
        <w:rPr>
          <w:rFonts w:ascii="Arial" w:cs="Arial" w:eastAsia="Arial" w:hAnsi="Arial"/>
          <w:sz w:val="22"/>
          <w:szCs w:val="22"/>
          <w:color w:val="auto"/>
        </w:rPr>
        <w:t>Form of Assignment and Assumption Agreement</w:t>
      </w:r>
    </w:p>
    <w:p>
      <w:pPr>
        <w:spacing w:after="0" w:line="230" w:lineRule="auto"/>
        <w:rPr>
          <w:sz w:val="20"/>
          <w:szCs w:val="20"/>
          <w:color w:val="auto"/>
        </w:rPr>
      </w:pPr>
      <w:r>
        <w:rPr>
          <w:rFonts w:ascii="Arial" w:cs="Arial" w:eastAsia="Arial" w:hAnsi="Arial"/>
          <w:sz w:val="22"/>
          <w:szCs w:val="22"/>
          <w:color w:val="auto"/>
        </w:rPr>
        <w:t>Form of Investor Group Supplement</w:t>
      </w:r>
    </w:p>
    <w:p>
      <w:pPr>
        <w:spacing w:after="0" w:line="231" w:lineRule="auto"/>
        <w:rPr>
          <w:sz w:val="20"/>
          <w:szCs w:val="20"/>
          <w:color w:val="auto"/>
        </w:rPr>
      </w:pPr>
      <w:r>
        <w:rPr>
          <w:rFonts w:ascii="Arial" w:cs="Arial" w:eastAsia="Arial" w:hAnsi="Arial"/>
          <w:sz w:val="22"/>
          <w:szCs w:val="22"/>
          <w:color w:val="auto"/>
        </w:rPr>
        <w:t>Form of Purchaser’s Letter</w:t>
      </w:r>
    </w:p>
    <w:p>
      <w:pPr>
        <w:spacing w:after="0"/>
        <w:rPr>
          <w:sz w:val="20"/>
          <w:szCs w:val="20"/>
          <w:color w:val="auto"/>
        </w:rPr>
      </w:pPr>
      <w:r>
        <w:rPr>
          <w:rFonts w:ascii="Arial" w:cs="Arial" w:eastAsia="Arial" w:hAnsi="Arial"/>
          <w:sz w:val="22"/>
          <w:szCs w:val="22"/>
          <w:color w:val="auto"/>
        </w:rPr>
        <w:t>Form of Joinder Agreement</w:t>
      </w:r>
    </w:p>
    <w:p>
      <w:pPr>
        <w:spacing w:after="0" w:line="78" w:lineRule="exact"/>
        <w:rPr>
          <w:sz w:val="20"/>
          <w:szCs w:val="20"/>
          <w:color w:val="auto"/>
        </w:rPr>
      </w:pPr>
    </w:p>
    <w:p>
      <w:pPr>
        <w:sectPr>
          <w:pgSz w:w="11900" w:h="16838" w:orient="portrait"/>
          <w:cols w:equalWidth="0" w:num="2">
            <w:col w:w="1420" w:space="320"/>
            <w:col w:w="9500"/>
          </w:cols>
          <w:pgMar w:left="320" w:top="388"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b w:val="1"/>
          <w:bCs w:val="1"/>
          <w:color w:val="auto"/>
        </w:rPr>
        <w:t>CLASS A-1 NOTE PURCHASE AGREEMENT</w:t>
      </w:r>
    </w:p>
    <w:p>
      <w:pPr>
        <w:sectPr>
          <w:pgSz w:w="11900" w:h="16838" w:orient="portrait"/>
          <w:cols w:equalWidth="0" w:num="1">
            <w:col w:w="11240"/>
          </w:cols>
          <w:pgMar w:left="320" w:top="388" w:right="339" w:bottom="1440" w:gutter="0" w:footer="0" w:header="0"/>
          <w:type w:val="continuous"/>
        </w:sectPr>
      </w:pPr>
    </w:p>
    <w:p>
      <w:pPr>
        <w:spacing w:after="0" w:line="22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CLASS A-1 NOTE PURCHASE AGREEMENT, dated as of April 16, 2021 (as amended, supplemented, amended and restated or otherwise modified from time to time in accordance with the terms hereof,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among:</w:t>
      </w:r>
    </w:p>
    <w:p>
      <w:pPr>
        <w:spacing w:after="0" w:line="186" w:lineRule="exact"/>
        <w:rPr>
          <w:sz w:val="20"/>
          <w:szCs w:val="20"/>
          <w:color w:val="auto"/>
        </w:rPr>
      </w:pPr>
    </w:p>
    <w:p>
      <w:pPr>
        <w:jc w:val="both"/>
        <w:ind w:firstLine="1505"/>
        <w:spacing w:after="0" w:line="236" w:lineRule="auto"/>
        <w:tabs>
          <w:tab w:leader="none" w:pos="2036" w:val="left"/>
        </w:tabs>
        <w:numPr>
          <w:ilvl w:val="0"/>
          <w:numId w:val="12"/>
        </w:numPr>
        <w:rPr>
          <w:rFonts w:ascii="Arial" w:cs="Arial" w:eastAsia="Arial" w:hAnsi="Arial"/>
          <w:sz w:val="22"/>
          <w:szCs w:val="22"/>
          <w:color w:val="auto"/>
        </w:rPr>
      </w:pPr>
      <w:r>
        <w:rPr>
          <w:rFonts w:ascii="Arial" w:cs="Arial" w:eastAsia="Arial" w:hAnsi="Arial"/>
          <w:sz w:val="22"/>
          <w:szCs w:val="22"/>
          <w:color w:val="auto"/>
        </w:rPr>
        <w:t>DOMINO’S PIZZA MASTER ISSUER LLC, a Delaware limited liability company (the “</w:t>
      </w:r>
      <w:r>
        <w:rPr>
          <w:rFonts w:ascii="Arial" w:cs="Arial" w:eastAsia="Arial" w:hAnsi="Arial"/>
          <w:sz w:val="22"/>
          <w:szCs w:val="22"/>
          <w:u w:val="single" w:color="auto"/>
          <w:color w:val="auto"/>
        </w:rPr>
        <w:t>Master Issuer</w:t>
      </w:r>
      <w:r>
        <w:rPr>
          <w:rFonts w:ascii="Arial" w:cs="Arial" w:eastAsia="Arial" w:hAnsi="Arial"/>
          <w:sz w:val="22"/>
          <w:szCs w:val="22"/>
          <w:color w:val="auto"/>
        </w:rPr>
        <w:t>”), DOMINO’S SPV CANADIAN HOLDING COMPANY INC., a Delaware corporation (the “</w:t>
      </w:r>
      <w:r>
        <w:rPr>
          <w:rFonts w:ascii="Arial" w:cs="Arial" w:eastAsia="Arial" w:hAnsi="Arial"/>
          <w:sz w:val="22"/>
          <w:szCs w:val="22"/>
          <w:u w:val="single" w:color="auto"/>
          <w:color w:val="auto"/>
        </w:rPr>
        <w:t>SPV Canadian HoldCo</w:t>
      </w:r>
      <w:r>
        <w:rPr>
          <w:rFonts w:ascii="Arial" w:cs="Arial" w:eastAsia="Arial" w:hAnsi="Arial"/>
          <w:sz w:val="22"/>
          <w:szCs w:val="22"/>
          <w:color w:val="auto"/>
        </w:rPr>
        <w:t>”), DOMINO’S PIZZA DISTRIBUTION LLC, a Delaware limited liability company (the “</w:t>
      </w:r>
      <w:r>
        <w:rPr>
          <w:rFonts w:ascii="Arial" w:cs="Arial" w:eastAsia="Arial" w:hAnsi="Arial"/>
          <w:sz w:val="22"/>
          <w:szCs w:val="22"/>
          <w:u w:val="single" w:color="auto"/>
          <w:color w:val="auto"/>
        </w:rPr>
        <w:t>Domestic Distributor</w:t>
      </w:r>
      <w:r>
        <w:rPr>
          <w:rFonts w:ascii="Arial" w:cs="Arial" w:eastAsia="Arial" w:hAnsi="Arial"/>
          <w:sz w:val="22"/>
          <w:szCs w:val="22"/>
          <w:color w:val="auto"/>
        </w:rPr>
        <w:t>”), and DOMINO’S IP HOLDER LLC, a Delaware limited liability company (the “</w:t>
      </w:r>
      <w:r>
        <w:rPr>
          <w:rFonts w:ascii="Arial" w:cs="Arial" w:eastAsia="Arial" w:hAnsi="Arial"/>
          <w:sz w:val="22"/>
          <w:szCs w:val="22"/>
          <w:u w:val="single" w:color="auto"/>
          <w:color w:val="auto"/>
        </w:rPr>
        <w:t>IP Holder</w:t>
      </w:r>
      <w:r>
        <w:rPr>
          <w:rFonts w:ascii="Arial" w:cs="Arial" w:eastAsia="Arial" w:hAnsi="Arial"/>
          <w:sz w:val="22"/>
          <w:szCs w:val="22"/>
          <w:color w:val="auto"/>
        </w:rPr>
        <w:t>” and together with the Master Issuer, the SPV Canadian HoldCo and the Domestic Distributor, the “</w:t>
      </w:r>
      <w:r>
        <w:rPr>
          <w:rFonts w:ascii="Arial" w:cs="Arial" w:eastAsia="Arial" w:hAnsi="Arial"/>
          <w:sz w:val="22"/>
          <w:szCs w:val="22"/>
          <w:u w:val="single" w:color="auto"/>
          <w:color w:val="auto"/>
        </w:rPr>
        <w:t>Co-Issuers</w:t>
      </w:r>
      <w:r>
        <w:rPr>
          <w:rFonts w:ascii="Arial" w:cs="Arial" w:eastAsia="Arial" w:hAnsi="Arial"/>
          <w:sz w:val="22"/>
          <w:szCs w:val="22"/>
          <w:color w:val="auto"/>
        </w:rPr>
        <w:t>” and each a “</w:t>
      </w:r>
      <w:r>
        <w:rPr>
          <w:rFonts w:ascii="Arial" w:cs="Arial" w:eastAsia="Arial" w:hAnsi="Arial"/>
          <w:sz w:val="22"/>
          <w:szCs w:val="22"/>
          <w:u w:val="single" w:color="auto"/>
          <w:color w:val="auto"/>
        </w:rPr>
        <w:t>Co-Issuer</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05"/>
        <w:spacing w:after="0" w:line="245" w:lineRule="auto"/>
        <w:tabs>
          <w:tab w:leader="none" w:pos="2036" w:val="left"/>
        </w:tabs>
        <w:numPr>
          <w:ilvl w:val="0"/>
          <w:numId w:val="12"/>
        </w:numPr>
        <w:rPr>
          <w:rFonts w:ascii="Arial" w:cs="Arial" w:eastAsia="Arial" w:hAnsi="Arial"/>
          <w:sz w:val="21"/>
          <w:szCs w:val="21"/>
          <w:color w:val="auto"/>
        </w:rPr>
      </w:pPr>
      <w:r>
        <w:rPr>
          <w:rFonts w:ascii="Arial" w:cs="Arial" w:eastAsia="Arial" w:hAnsi="Arial"/>
          <w:sz w:val="21"/>
          <w:szCs w:val="21"/>
          <w:color w:val="auto"/>
        </w:rPr>
        <w:t>DOMINO’S PIZZA FRANCHISING LLC, a Delaware limited liability company and a wholly-owned subsidiary of the Master Issuer (the “</w:t>
      </w:r>
      <w:r>
        <w:rPr>
          <w:rFonts w:ascii="Arial" w:cs="Arial" w:eastAsia="Arial" w:hAnsi="Arial"/>
          <w:sz w:val="21"/>
          <w:szCs w:val="21"/>
          <w:u w:val="single" w:color="auto"/>
          <w:color w:val="auto"/>
        </w:rPr>
        <w:t>Domestic Franchisor</w:t>
      </w:r>
      <w:r>
        <w:rPr>
          <w:rFonts w:ascii="Arial" w:cs="Arial" w:eastAsia="Arial" w:hAnsi="Arial"/>
          <w:sz w:val="21"/>
          <w:szCs w:val="21"/>
          <w:color w:val="auto"/>
        </w:rPr>
        <w:t>”), DOMINO’S PIZZA INTERNATIONAL FRANCHISING INC., a Delaware corporation and a wholly-owned subsidiary of the Master Issuer (the “</w:t>
      </w:r>
      <w:r>
        <w:rPr>
          <w:rFonts w:ascii="Arial" w:cs="Arial" w:eastAsia="Arial" w:hAnsi="Arial"/>
          <w:sz w:val="21"/>
          <w:szCs w:val="21"/>
          <w:u w:val="single" w:color="auto"/>
          <w:color w:val="auto"/>
        </w:rPr>
        <w:t>International Franchisor</w:t>
      </w:r>
      <w:r>
        <w:rPr>
          <w:rFonts w:ascii="Arial" w:cs="Arial" w:eastAsia="Arial" w:hAnsi="Arial"/>
          <w:sz w:val="21"/>
          <w:szCs w:val="21"/>
          <w:color w:val="auto"/>
        </w:rPr>
        <w:t>”), DOMINO’S PIZZA CANADIAN DISTRIBUTION ULC, a Nova Scotia unlimited company and a wholly-owned subsidiary of the SPV Canadian HoldCo (the “</w:t>
      </w:r>
      <w:r>
        <w:rPr>
          <w:rFonts w:ascii="Arial" w:cs="Arial" w:eastAsia="Arial" w:hAnsi="Arial"/>
          <w:sz w:val="21"/>
          <w:szCs w:val="21"/>
          <w:u w:val="single" w:color="auto"/>
          <w:color w:val="auto"/>
        </w:rPr>
        <w:t>Canadian Distributor</w:t>
      </w:r>
      <w:r>
        <w:rPr>
          <w:rFonts w:ascii="Arial" w:cs="Arial" w:eastAsia="Arial" w:hAnsi="Arial"/>
          <w:sz w:val="21"/>
          <w:szCs w:val="21"/>
          <w:color w:val="auto"/>
        </w:rPr>
        <w:t>”), DOMINO’S RE LLC, a Delaware limited liability company and a wholly-owned subsidiary of the Domestic Franchisor (the “</w:t>
      </w:r>
      <w:r>
        <w:rPr>
          <w:rFonts w:ascii="Arial" w:cs="Arial" w:eastAsia="Arial" w:hAnsi="Arial"/>
          <w:sz w:val="21"/>
          <w:szCs w:val="21"/>
          <w:u w:val="single" w:color="auto"/>
          <w:color w:val="auto"/>
        </w:rPr>
        <w:t>Domestic Distribution Real Estate Holder</w:t>
      </w:r>
      <w:r>
        <w:rPr>
          <w:rFonts w:ascii="Arial" w:cs="Arial" w:eastAsia="Arial" w:hAnsi="Arial"/>
          <w:sz w:val="21"/>
          <w:szCs w:val="21"/>
          <w:color w:val="auto"/>
        </w:rPr>
        <w:t>”), DOMINO’S EQ LLC, a Delaware limited liability company and a wholly-owned subsidiary of the Domestic Distributor (the “</w:t>
      </w:r>
      <w:r>
        <w:rPr>
          <w:rFonts w:ascii="Arial" w:cs="Arial" w:eastAsia="Arial" w:hAnsi="Arial"/>
          <w:sz w:val="21"/>
          <w:szCs w:val="21"/>
          <w:u w:val="single" w:color="auto"/>
          <w:color w:val="auto"/>
        </w:rPr>
        <w:t>Domestic Distribution Equipment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Holder</w:t>
      </w:r>
      <w:r>
        <w:rPr>
          <w:rFonts w:ascii="Arial" w:cs="Arial" w:eastAsia="Arial" w:hAnsi="Arial"/>
          <w:sz w:val="21"/>
          <w:szCs w:val="21"/>
          <w:color w:val="auto"/>
        </w:rPr>
        <w:t>”) and DOMINO’S SPV GUARANTOR LLC, a Delaware limited liability company (the “</w:t>
      </w:r>
      <w:r>
        <w:rPr>
          <w:rFonts w:ascii="Arial" w:cs="Arial" w:eastAsia="Arial" w:hAnsi="Arial"/>
          <w:sz w:val="21"/>
          <w:szCs w:val="21"/>
          <w:u w:val="single" w:color="auto"/>
          <w:color w:val="auto"/>
        </w:rPr>
        <w:t>SPV Guarantor</w:t>
      </w:r>
      <w:r>
        <w:rPr>
          <w:rFonts w:ascii="Arial" w:cs="Arial" w:eastAsia="Arial" w:hAnsi="Arial"/>
          <w:sz w:val="21"/>
          <w:szCs w:val="21"/>
          <w:color w:val="auto"/>
        </w:rPr>
        <w:t>” and together with the Domestic Franchisor, the International Franchisor, the Domestic Distribution Real Estate Holder, the Domestic Distribution Equipment Holder and the Canadian Distributor, the “</w:t>
      </w:r>
      <w:r>
        <w:rPr>
          <w:rFonts w:ascii="Arial" w:cs="Arial" w:eastAsia="Arial" w:hAnsi="Arial"/>
          <w:sz w:val="21"/>
          <w:szCs w:val="21"/>
          <w:u w:val="single" w:color="auto"/>
          <w:color w:val="auto"/>
        </w:rPr>
        <w:t>Guarantors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2040" w:hanging="535"/>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DOMINO’S PIZZA LLC, a Michigan limited liability company, as the manager (the “</w:t>
      </w:r>
      <w:r>
        <w:rPr>
          <w:rFonts w:ascii="Arial" w:cs="Arial" w:eastAsia="Arial" w:hAnsi="Arial"/>
          <w:sz w:val="22"/>
          <w:szCs w:val="22"/>
          <w:u w:val="single" w:color="auto"/>
          <w:color w:val="auto"/>
        </w:rPr>
        <w:t>Manager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505"/>
        <w:spacing w:after="0" w:line="250" w:lineRule="auto"/>
        <w:tabs>
          <w:tab w:leader="none" w:pos="2036"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several commercial paper conduits listed on Schedule I as Conduit Investors and their respective permitted successors and assigns (each, a “</w:t>
      </w:r>
      <w:r>
        <w:rPr>
          <w:rFonts w:ascii="Arial" w:cs="Arial" w:eastAsia="Arial" w:hAnsi="Arial"/>
          <w:sz w:val="22"/>
          <w:szCs w:val="22"/>
          <w:u w:val="single" w:color="auto"/>
          <w:color w:val="auto"/>
        </w:rPr>
        <w:t>Conduit Investor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Conduit Investors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bookmarkStart w:id="42" w:name="page43"/>
    <w:bookmarkEnd w:id="42"/>
    <w:p>
      <w:pPr>
        <w:ind w:firstLine="1505"/>
        <w:spacing w:after="0" w:line="328" w:lineRule="auto"/>
        <w:tabs>
          <w:tab w:leader="none" w:pos="203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several financial institutions listed on Schedule I as Committed Note Purchasers and their respective permitted successors and assigns (each, a “</w:t>
      </w:r>
      <w:r>
        <w:rPr>
          <w:rFonts w:ascii="Arial" w:cs="Arial" w:eastAsia="Arial" w:hAnsi="Arial"/>
          <w:sz w:val="19"/>
          <w:szCs w:val="19"/>
          <w:u w:val="single" w:color="auto"/>
          <w:color w:val="auto"/>
        </w:rPr>
        <w:t>Committed Note Purchaser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Committed Note Purchasers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1505"/>
        <w:spacing w:after="0" w:line="257" w:lineRule="auto"/>
        <w:tabs>
          <w:tab w:leader="none" w:pos="2036" w:val="left"/>
        </w:tabs>
        <w:numPr>
          <w:ilvl w:val="0"/>
          <w:numId w:val="13"/>
        </w:numPr>
        <w:rPr>
          <w:rFonts w:ascii="Arial" w:cs="Arial" w:eastAsia="Arial" w:hAnsi="Arial"/>
          <w:sz w:val="21"/>
          <w:szCs w:val="21"/>
          <w:color w:val="auto"/>
        </w:rPr>
      </w:pPr>
      <w:r>
        <w:rPr>
          <w:rFonts w:ascii="Arial" w:cs="Arial" w:eastAsia="Arial" w:hAnsi="Arial"/>
          <w:sz w:val="21"/>
          <w:szCs w:val="21"/>
          <w:color w:val="auto"/>
        </w:rPr>
        <w:t>for each Investor Group, the financial institution entitled to act on behalf of the Investor Group set forth opposite the name of such Investor Group on Schedule I as Funding Agent and its permitted successors and assigns (each, the “</w:t>
      </w:r>
      <w:r>
        <w:rPr>
          <w:rFonts w:ascii="Arial" w:cs="Arial" w:eastAsia="Arial" w:hAnsi="Arial"/>
          <w:sz w:val="21"/>
          <w:szCs w:val="21"/>
          <w:u w:val="single" w:color="auto"/>
          <w:color w:val="auto"/>
        </w:rPr>
        <w:t>Funding Agent</w:t>
      </w:r>
      <w:r>
        <w:rPr>
          <w:rFonts w:ascii="Arial" w:cs="Arial" w:eastAsia="Arial" w:hAnsi="Arial"/>
          <w:sz w:val="21"/>
          <w:szCs w:val="21"/>
          <w:color w:val="auto"/>
        </w:rPr>
        <w:t>” with respect to such Investor Group and, collectively, the “</w:t>
      </w:r>
      <w:r>
        <w:rPr>
          <w:rFonts w:ascii="Arial" w:cs="Arial" w:eastAsia="Arial" w:hAnsi="Arial"/>
          <w:sz w:val="21"/>
          <w:szCs w:val="21"/>
          <w:u w:val="single" w:color="auto"/>
          <w:color w:val="auto"/>
        </w:rPr>
        <w:t>Funding Agents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2040" w:hanging="535"/>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COÖPERATIEVE RABOBANK U.A., NEW YORK BRANCH, as L/C Provider,</w:t>
      </w:r>
    </w:p>
    <w:p>
      <w:pPr>
        <w:spacing w:after="0" w:line="206" w:lineRule="exact"/>
        <w:rPr>
          <w:rFonts w:ascii="Arial" w:cs="Arial" w:eastAsia="Arial" w:hAnsi="Arial"/>
          <w:sz w:val="22"/>
          <w:szCs w:val="22"/>
          <w:color w:val="auto"/>
        </w:rPr>
      </w:pPr>
    </w:p>
    <w:p>
      <w:pPr>
        <w:ind w:left="2040" w:hanging="535"/>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COÖPERATIEVE RABOBANK U.A., NEW YORK BRANCH, as Swingline Lender, and</w:t>
      </w:r>
    </w:p>
    <w:p>
      <w:pPr>
        <w:spacing w:after="0" w:line="206" w:lineRule="exact"/>
        <w:rPr>
          <w:rFonts w:ascii="Arial" w:cs="Arial" w:eastAsia="Arial" w:hAnsi="Arial"/>
          <w:sz w:val="22"/>
          <w:szCs w:val="22"/>
          <w:color w:val="auto"/>
        </w:rPr>
      </w:pPr>
    </w:p>
    <w:p>
      <w:pPr>
        <w:jc w:val="both"/>
        <w:ind w:firstLine="1505"/>
        <w:spacing w:after="0"/>
        <w:tabs>
          <w:tab w:leader="none" w:pos="2036"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COÖPERATIEVE RABOBANK U.A., NEW YORK BRANCH, in its capacity as administrative agent for the Conduit Investors, the Committed Note Purchasers, the Funding Agents, the L/C Provider and the Swingline Lender (together with its permitted successors and assigns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17" w:lineRule="exact"/>
        <w:rPr>
          <w:sz w:val="20"/>
          <w:szCs w:val="20"/>
          <w:color w:val="auto"/>
        </w:rPr>
      </w:pPr>
    </w:p>
    <w:p>
      <w:pPr>
        <w:jc w:val="both"/>
        <w:ind w:firstLine="1505"/>
        <w:spacing w:after="0" w:line="275" w:lineRule="auto"/>
        <w:tabs>
          <w:tab w:leader="none" w:pos="2036" w:val="left"/>
        </w:tabs>
        <w:numPr>
          <w:ilvl w:val="0"/>
          <w:numId w:val="14"/>
        </w:numPr>
        <w:rPr>
          <w:rFonts w:ascii="Arial" w:cs="Arial" w:eastAsia="Arial" w:hAnsi="Arial"/>
          <w:sz w:val="19"/>
          <w:szCs w:val="19"/>
          <w:color w:val="auto"/>
        </w:rPr>
      </w:pPr>
      <w:r>
        <w:rPr>
          <w:rFonts w:ascii="Arial" w:cs="Arial" w:eastAsia="Arial" w:hAnsi="Arial"/>
          <w:sz w:val="19"/>
          <w:szCs w:val="19"/>
          <w:color w:val="auto"/>
        </w:rPr>
        <w:t>On or around April 16, 2021, the Co-Issuers and Citibank, N.A., as Trustee, expect to enter into the Series 2021-1 Supplement (as the same may be amended, supplemented, amended and restated or otherwise modified from time to time in accordance with the terms thereof, the “</w:t>
      </w:r>
      <w:r>
        <w:rPr>
          <w:rFonts w:ascii="Arial" w:cs="Arial" w:eastAsia="Arial" w:hAnsi="Arial"/>
          <w:sz w:val="19"/>
          <w:szCs w:val="19"/>
          <w:u w:val="single" w:color="auto"/>
          <w:color w:val="auto"/>
        </w:rPr>
        <w:t>Series 2021-1 Supplement</w:t>
      </w:r>
      <w:r>
        <w:rPr>
          <w:rFonts w:ascii="Arial" w:cs="Arial" w:eastAsia="Arial" w:hAnsi="Arial"/>
          <w:sz w:val="19"/>
          <w:szCs w:val="19"/>
          <w:color w:val="auto"/>
        </w:rPr>
        <w:t>”), to the Amended and Restated Base Indenture, dated as of March 15, 2012 (as the same may be further amended, supplemented, amended and restated or otherwise modified from time to time in accordance with the terms thereof,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and, together with the Series 2021-1 Supplement and any other supplement to the Base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among the Co-Issuers and the Trustee, pursuant to which the Co-Issuers will issue the Series 2021-1 Class A-1 Notes (as defined in the Series 2021-1 Supplement), which may be issued in the form of Uncertificated Notes (as defined in the Series 2021-1 Supplement), in accordance with the Indenture.</w:t>
      </w:r>
    </w:p>
    <w:p>
      <w:pPr>
        <w:spacing w:after="0" w:line="157" w:lineRule="exact"/>
        <w:rPr>
          <w:rFonts w:ascii="Arial" w:cs="Arial" w:eastAsia="Arial" w:hAnsi="Arial"/>
          <w:sz w:val="19"/>
          <w:szCs w:val="19"/>
          <w:color w:val="auto"/>
        </w:rPr>
      </w:pPr>
    </w:p>
    <w:p>
      <w:pPr>
        <w:jc w:val="both"/>
        <w:ind w:firstLine="1505"/>
        <w:spacing w:after="0" w:line="273" w:lineRule="auto"/>
        <w:tabs>
          <w:tab w:leader="none" w:pos="203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Co-Issuers wish to (a) issue the Series 2021-1 Class A-1 Advance Notes to each Funding Agent on behalf of the Investors in the related Investor Group, and obtain the agreement of the applicable Investors to make loans from time to time (each, an “</w:t>
      </w:r>
      <w:r>
        <w:rPr>
          <w:rFonts w:ascii="Arial" w:cs="Arial" w:eastAsia="Arial" w:hAnsi="Arial"/>
          <w:sz w:val="19"/>
          <w:szCs w:val="19"/>
          <w:u w:val="single" w:color="auto"/>
          <w:color w:val="auto"/>
        </w:rPr>
        <w:t>Advance</w:t>
      </w:r>
      <w:r>
        <w:rPr>
          <w:rFonts w:ascii="Arial" w:cs="Arial" w:eastAsia="Arial" w:hAnsi="Arial"/>
          <w:sz w:val="19"/>
          <w:szCs w:val="19"/>
          <w:color w:val="auto"/>
        </w:rPr>
        <w:t>” or a “</w:t>
      </w:r>
      <w:r>
        <w:rPr>
          <w:rFonts w:ascii="Arial" w:cs="Arial" w:eastAsia="Arial" w:hAnsi="Arial"/>
          <w:sz w:val="19"/>
          <w:szCs w:val="19"/>
          <w:u w:val="single" w:color="auto"/>
          <w:color w:val="auto"/>
        </w:rPr>
        <w:t>Series 2021-1 Class A-1 Advance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Advances</w:t>
      </w:r>
      <w:r>
        <w:rPr>
          <w:rFonts w:ascii="Arial" w:cs="Arial" w:eastAsia="Arial" w:hAnsi="Arial"/>
          <w:sz w:val="19"/>
          <w:szCs w:val="19"/>
          <w:color w:val="auto"/>
        </w:rPr>
        <w:t>” or the “</w:t>
      </w:r>
      <w:r>
        <w:rPr>
          <w:rFonts w:ascii="Arial" w:cs="Arial" w:eastAsia="Arial" w:hAnsi="Arial"/>
          <w:sz w:val="19"/>
          <w:szCs w:val="19"/>
          <w:u w:val="single" w:color="auto"/>
          <w:color w:val="auto"/>
        </w:rPr>
        <w:t>Series 2021-1 Class A-1 Advances</w:t>
      </w:r>
      <w:r>
        <w:rPr>
          <w:rFonts w:ascii="Arial" w:cs="Arial" w:eastAsia="Arial" w:hAnsi="Arial"/>
          <w:sz w:val="19"/>
          <w:szCs w:val="19"/>
          <w:color w:val="auto"/>
        </w:rPr>
        <w:t>”) that will constitute the purchase of Series 2021-1 Class A-1 Outstanding Principal Amounts on the terms and conditions set forth in this Agreement; (b) issue the Series 2021-1 Class A-1 Swingline Note to the Swingline Lender and obtain the agreement of the Swingline Lender to make Swingline Loans on the terms and conditions set forth in this Agreement; and (c) issue the Series 2021-1 Class A-1 L/C Note to the L/C Provider and obtain the agreement of the L/C Provider to provide Letters of Credit on the terms and conditions set forth in this Agreement. L/C Obligations in connection with Letters of Credit issued pursuant to the Series 2021-1 Class A-1 L/C Note will constitute purchases of Series 2021-1 Class A-1 Outstanding Principal Amounts upon the incurrence of such L/C Obligations. The Series 2021-1 Class A-1 Advance Notes,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22"/>
          <w:szCs w:val="22"/>
          <w:color w:val="auto"/>
        </w:rPr>
        <w:t>Series 2021-1 Class A-1 Swingline Note and the Series 2021-1 Class A-1 L/C Note constitute Series 2021-1 Class A-1 Notes. The Manager has joined in this Agreement to confirm certain representations, warranties and covenants made by it in favor of the Trustee for the benefit of the Noteholders in the Related Documents.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u w:val="single" w:color="auto"/>
          <w:color w:val="auto"/>
        </w:rPr>
        <w:t>Section 1.01Definitions</w:t>
      </w:r>
      <w:r>
        <w:rPr>
          <w:rFonts w:ascii="Arial" w:cs="Arial" w:eastAsia="Arial" w:hAnsi="Arial"/>
          <w:sz w:val="22"/>
          <w:szCs w:val="22"/>
          <w:color w:val="auto"/>
        </w:rPr>
        <w:t xml:space="preserve">. As used in this Agreement and unless the context requires a different meaning, capitalized terms used but not defined herein (including the preamble and the recitals hereto) shall have the meanings assigned to such terms in the Series 2021-1 Supplemental Definitions List attached to the Series 2021-1 Supplement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thereto or in the Base Indenture Definitions List attached to the Base Indenture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thereto, as applicable. Certain definitions in the Series 2021-1 Supplemental Definitions List are repeated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for convenience;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in the event of any conflict between the definitions in the Series 2021-1 Supplemental Definitions List and the definitions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 the Series 2021-1 Supplemental Definitions List shall govern except for the definition of “Change in Law”. Unless otherwise specified herein, all Article, Exhibit, Section or Subsection references herein shall refer to Articles, Exhibits, Sections or Subsections of this Agreement.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1.02Defined terms</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Acquiring Committed Note 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Acquiring Investor Group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9.17(c)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Committed Note 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u w:val="single" w:color="auto"/>
          <w:color w:val="0000FF"/>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Indemnified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9.05(c)</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4" w:name="page45"/>
    <w:bookmarkEnd w:id="44"/>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Unpaids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the laws, rules, and regulations of the jurisdictions applicable to any Co-Issuer or Guarantor or its subsidiaries from time to time concerning or relating to bribery or corruption, including the U.S. Foreign Corrupt Practices Act of 1977, as amended.</w:t>
      </w:r>
    </w:p>
    <w:p>
      <w:pPr>
        <w:spacing w:after="0" w:line="186"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means any laws, regulations, or orders of any Governmental Authority of the United States, the United Nations, the United Kingdom, the European Union or the Netherlands relating to terrorism financing or money laundering, including, but not limited to, the International Emergency Economic Powers Act (50 U.S.C. § 1701 et seq.), the Trading With the Enemy Act (50 U.S.C. § 5 et seq.), the International Security Development and Cooperation Act (22 U.S.C. § 2349aa-9 et seq.), the Executive Order No. 13224 on Terrorist Financing, effective September 24, 2001, the Uniting and Strengthening America by Providing Appropriate Tools Required to Intercept and Obstruct Terrorism Act of 2001, Public Law 107-56 (the “</w:t>
      </w:r>
      <w:r>
        <w:rPr>
          <w:rFonts w:ascii="Arial" w:cs="Arial" w:eastAsia="Arial" w:hAnsi="Arial"/>
          <w:sz w:val="22"/>
          <w:szCs w:val="22"/>
          <w:u w:val="single" w:color="auto"/>
          <w:color w:val="auto"/>
        </w:rPr>
        <w:t>USA Patriot Act</w:t>
      </w:r>
      <w:r>
        <w:rPr>
          <w:rFonts w:ascii="Arial" w:cs="Arial" w:eastAsia="Arial" w:hAnsi="Arial"/>
          <w:sz w:val="22"/>
          <w:szCs w:val="22"/>
          <w:color w:val="auto"/>
        </w:rPr>
        <w:t>”), and any rules or regulations promulgated pursuant to or under the authority of any of the foregoing.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Agent Indemnified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Agent 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9.05(d)</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Application</w:t>
      </w:r>
      <w:r>
        <w:rPr>
          <w:rFonts w:ascii="Arial" w:cs="Arial" w:eastAsia="Arial" w:hAnsi="Arial"/>
          <w:sz w:val="22"/>
          <w:szCs w:val="22"/>
          <w:color w:val="auto"/>
        </w:rPr>
        <w:t>” means an application, in such form as the applicable L/C Issuing Bank may specify from time to time, requesting such L/C Issuing Bank to issue a Letter of Credit.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9.17(a)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 means, as of any date of determination and with respect to the then-current Benchmark, </w:t>
      </w:r>
      <w:r>
        <w:rPr>
          <w:rFonts w:ascii="Arial" w:cs="Arial" w:eastAsia="Arial" w:hAnsi="Arial"/>
          <w:sz w:val="22"/>
          <w:szCs w:val="22"/>
          <w:color w:val="FF0000"/>
          <w:strike w:val="1"/>
        </w:rPr>
        <w:t>as</w:t>
      </w:r>
      <w:r>
        <w:rPr>
          <w:rFonts w:ascii="Arial" w:cs="Arial" w:eastAsia="Arial" w:hAnsi="Arial"/>
          <w:sz w:val="22"/>
          <w:szCs w:val="22"/>
          <w:color w:val="auto"/>
        </w:rPr>
        <w:t xml:space="preserve"> </w:t>
      </w:r>
      <w:r>
        <w:rPr>
          <w:rFonts w:ascii="Arial" w:cs="Arial" w:eastAsia="Arial" w:hAnsi="Arial"/>
          <w:sz w:val="22"/>
          <w:szCs w:val="22"/>
          <w:color w:val="FF0000"/>
          <w:strike w:val="1"/>
        </w:rPr>
        <w:t>applicable, any</w:t>
      </w:r>
      <w:r>
        <w:rPr>
          <w:rFonts w:ascii="Arial" w:cs="Arial" w:eastAsia="Arial" w:hAnsi="Arial"/>
          <w:sz w:val="22"/>
          <w:szCs w:val="22"/>
          <w:u w:val="single" w:color="auto"/>
          <w:color w:val="0000FF"/>
        </w:rPr>
        <w:t>the</w:t>
      </w:r>
      <w:r>
        <w:rPr>
          <w:rFonts w:ascii="Arial" w:cs="Arial" w:eastAsia="Arial" w:hAnsi="Arial"/>
          <w:sz w:val="22"/>
          <w:szCs w:val="22"/>
          <w:color w:val="FF0000"/>
        </w:rPr>
        <w:t xml:space="preserve"> </w:t>
      </w:r>
      <w:r>
        <w:rPr>
          <w:rFonts w:ascii="Arial" w:cs="Arial" w:eastAsia="Arial" w:hAnsi="Arial"/>
          <w:sz w:val="22"/>
          <w:szCs w:val="22"/>
          <w:color w:val="000000"/>
        </w:rPr>
        <w:t>tenor for such Benchmark</w:t>
      </w:r>
      <w:r>
        <w:rPr>
          <w:rFonts w:ascii="Arial" w:cs="Arial" w:eastAsia="Arial" w:hAnsi="Arial"/>
          <w:sz w:val="22"/>
          <w:szCs w:val="22"/>
          <w:color w:val="FF0000"/>
        </w:rPr>
        <w:t xml:space="preserve"> </w:t>
      </w:r>
      <w:r>
        <w:rPr>
          <w:rFonts w:ascii="Arial" w:cs="Arial" w:eastAsia="Arial" w:hAnsi="Arial"/>
          <w:sz w:val="22"/>
          <w:szCs w:val="22"/>
          <w:color w:val="FF0000"/>
          <w:strike w:val="1"/>
        </w:rPr>
        <w:t>or payment period for interest calculated with reference to such Benchmark, as</w:t>
      </w:r>
      <w:r>
        <w:rPr>
          <w:rFonts w:ascii="Arial" w:cs="Arial" w:eastAsia="Arial" w:hAnsi="Arial"/>
          <w:sz w:val="22"/>
          <w:szCs w:val="22"/>
          <w:color w:val="FF0000"/>
        </w:rPr>
        <w:t xml:space="preserve"> </w:t>
      </w:r>
      <w:r>
        <w:rPr>
          <w:rFonts w:ascii="Arial" w:cs="Arial" w:eastAsia="Arial" w:hAnsi="Arial"/>
          <w:sz w:val="22"/>
          <w:szCs w:val="22"/>
          <w:color w:val="FF0000"/>
          <w:strike w:val="1"/>
        </w:rPr>
        <w:t>applicable, that is or may be used for determining the length of an Interest Period</w:t>
      </w:r>
      <w:r>
        <w:rPr>
          <w:rFonts w:ascii="Arial" w:cs="Arial" w:eastAsia="Arial" w:hAnsi="Arial"/>
          <w:sz w:val="22"/>
          <w:szCs w:val="22"/>
          <w:color w:val="FF0000"/>
        </w:rPr>
        <w:t xml:space="preserve"> </w:t>
      </w:r>
      <w:r>
        <w:rPr>
          <w:rFonts w:ascii="Arial" w:cs="Arial" w:eastAsia="Arial" w:hAnsi="Arial"/>
          <w:sz w:val="22"/>
          <w:szCs w:val="22"/>
          <w:color w:val="000000"/>
        </w:rPr>
        <w:t>pursuant to this Agreement as of such date</w:t>
      </w:r>
      <w:r>
        <w:rPr>
          <w:rFonts w:ascii="Arial" w:cs="Arial" w:eastAsia="Arial" w:hAnsi="Arial"/>
          <w:sz w:val="22"/>
          <w:szCs w:val="22"/>
          <w:color w:val="FF0000"/>
        </w:rPr>
        <w:t xml:space="preserve"> and </w:t>
      </w:r>
      <w:r>
        <w:rPr>
          <w:rFonts w:ascii="Arial" w:cs="Arial" w:eastAsia="Arial" w:hAnsi="Arial"/>
          <w:sz w:val="22"/>
          <w:szCs w:val="22"/>
          <w:color w:val="FF0000"/>
          <w:strike w:val="1"/>
        </w:rPr>
        <w:t xml:space="preserve">not including, for the avoidance of doubt, any tenor for such Benchmark that is then-removed from the definition of “Eurodollar Interest Period” pursuant to </w:t>
      </w:r>
      <w:r>
        <w:rPr>
          <w:rFonts w:ascii="Arial" w:cs="Arial" w:eastAsia="Arial" w:hAnsi="Arial"/>
          <w:sz w:val="22"/>
          <w:szCs w:val="22"/>
          <w:u w:val="single" w:color="auto"/>
          <w:color w:val="FF0000"/>
          <w:strike w:val="1"/>
        </w:rPr>
        <w:t>Section 3.04(c)(iv)</w:t>
      </w:r>
      <w:r>
        <w:rPr>
          <w:rFonts w:ascii="Arial" w:cs="Arial" w:eastAsia="Arial" w:hAnsi="Arial"/>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6901180</wp:posOffset>
            </wp:positionH>
            <wp:positionV relativeFrom="paragraph">
              <wp:posOffset>-389890</wp:posOffset>
            </wp:positionV>
            <wp:extent cx="2705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0510" cy="8255"/>
                    </a:xfrm>
                    <a:prstGeom prst="rect">
                      <a:avLst/>
                    </a:prstGeom>
                    <a:noFill/>
                  </pic:spPr>
                </pic:pic>
              </a:graphicData>
            </a:graphic>
          </wp:anchor>
        </w:drawing>
      </w:r>
    </w:p>
    <w:p>
      <w:pPr>
        <w:spacing w:after="0" w:line="150"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Acton</w:t>
      </w:r>
      <w:r>
        <w:rPr>
          <w:rFonts w:ascii="Arial" w:cs="Arial" w:eastAsia="Arial" w:hAnsi="Arial"/>
          <w:sz w:val="20"/>
          <w:szCs w:val="20"/>
          <w:color w:val="auto"/>
        </w:rPr>
        <w:t>” means the exercise of any Write-Down and Conversion Powers by the applicable Resoluton Authority in respect of any liability of an Afected Financial Insttuton.</w:t>
      </w:r>
    </w:p>
    <w:p>
      <w:pPr>
        <w:spacing w:after="0" w:line="194"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5" w:name="page46"/>
    <w:bookmarkEnd w:id="45"/>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w:t>
      </w:r>
      <w:r>
        <w:rPr>
          <w:rFonts w:ascii="Arial" w:cs="Arial" w:eastAsia="Arial" w:hAnsi="Arial"/>
          <w:sz w:val="19"/>
          <w:szCs w:val="19"/>
          <w:u w:val="single" w:color="auto"/>
          <w:color w:val="0000FF"/>
        </w:rPr>
        <w:t>purposes of the Series 2021-1 Class A-1 Notes, on</w:t>
      </w:r>
      <w:r>
        <w:rPr>
          <w:rFonts w:ascii="Arial" w:cs="Arial" w:eastAsia="Arial" w:hAnsi="Arial"/>
          <w:sz w:val="19"/>
          <w:szCs w:val="19"/>
          <w:color w:val="auto"/>
        </w:rPr>
        <w:t xml:space="preserve"> any day</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 </w:t>
      </w:r>
      <w:r>
        <w:rPr>
          <w:rFonts w:ascii="Arial" w:cs="Arial" w:eastAsia="Arial" w:hAnsi="Arial"/>
          <w:sz w:val="19"/>
          <w:szCs w:val="19"/>
          <w:color w:val="FF0000"/>
          <w:strike w:val="1"/>
        </w:rPr>
        <w:t>fluctuating</w:t>
      </w:r>
      <w:r>
        <w:rPr>
          <w:rFonts w:ascii="Arial" w:cs="Arial" w:eastAsia="Arial" w:hAnsi="Arial"/>
          <w:sz w:val="19"/>
          <w:szCs w:val="19"/>
          <w:color w:val="auto"/>
        </w:rPr>
        <w:t xml:space="preserve"> rate per annum equal to </w:t>
      </w:r>
      <w:r>
        <w:rPr>
          <w:rFonts w:ascii="Arial" w:cs="Arial" w:eastAsia="Arial" w:hAnsi="Arial"/>
          <w:sz w:val="19"/>
          <w:szCs w:val="19"/>
          <w:color w:val="FF0000"/>
          <w:strike w:val="1"/>
        </w:rPr>
        <w:t>(i)</w:t>
      </w:r>
      <w:r>
        <w:rPr>
          <w:rFonts w:ascii="Arial" w:cs="Arial" w:eastAsia="Arial" w:hAnsi="Arial"/>
          <w:sz w:val="19"/>
          <w:szCs w:val="19"/>
          <w:color w:val="auto"/>
        </w:rPr>
        <w:t xml:space="preserve"> the </w:t>
      </w:r>
      <w:r>
        <w:rPr>
          <w:rFonts w:ascii="Arial" w:cs="Arial" w:eastAsia="Arial" w:hAnsi="Arial"/>
          <w:sz w:val="19"/>
          <w:szCs w:val="19"/>
          <w:color w:val="FF0000"/>
          <w:strike w:val="1"/>
        </w:rPr>
        <w:t>highest of (a) the Federal Funds Rate plus 1/2 of 1%, (b) the rate of interest in effect for such day as established</w:t>
      </w:r>
      <w:r>
        <w:rPr>
          <w:rFonts w:ascii="Arial" w:cs="Arial" w:eastAsia="Arial" w:hAnsi="Arial"/>
          <w:sz w:val="19"/>
          <w:szCs w:val="19"/>
          <w:color w:val="auto"/>
        </w:rPr>
        <w:t xml:space="preserve"> </w:t>
      </w:r>
      <w:r>
        <w:rPr>
          <w:rFonts w:ascii="Arial" w:cs="Arial" w:eastAsia="Arial" w:hAnsi="Arial"/>
          <w:sz w:val="19"/>
          <w:szCs w:val="19"/>
          <w:color w:val="FF0000"/>
          <w:strike w:val="1"/>
        </w:rPr>
        <w:t>from time to time by the Administrative Agent as its “prime rate” at its principal U.S. office, and (c) the Eurodollar Base Rate (Reserve Adjusted) applicable to one month Interest Periods on the date of determination of the Base Rate plus 0.50% plus (ii)</w:t>
      </w:r>
      <w:r>
        <w:rPr>
          <w:rFonts w:ascii="Arial" w:cs="Arial" w:eastAsia="Arial" w:hAnsi="Arial"/>
          <w:sz w:val="19"/>
          <w:szCs w:val="19"/>
          <w:u w:val="single" w:color="auto"/>
          <w:color w:val="0000FF"/>
          <w:strike w:val="1"/>
        </w:rPr>
        <w:t>sum of (a)</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1.50% for an Advance and 1.30% for a Swingline Loan</w:t>
      </w:r>
      <w:r>
        <w:rPr>
          <w:rFonts w:ascii="Arial" w:cs="Arial" w:eastAsia="Arial" w:hAnsi="Arial"/>
          <w:sz w:val="19"/>
          <w:szCs w:val="19"/>
          <w:color w:val="FF0000"/>
          <w:strike w:val="1"/>
        </w:rPr>
        <w:t xml:space="preserve"> </w:t>
      </w:r>
      <w:r>
        <w:rPr>
          <w:rFonts w:ascii="Arial" w:cs="Arial" w:eastAsia="Arial" w:hAnsi="Arial"/>
          <w:sz w:val="19"/>
          <w:szCs w:val="19"/>
          <w:color w:val="0000FF"/>
          <w:strike w:val="1"/>
        </w:rPr>
        <w:t>plus (b) the greater of (i) the Prime Rate in effect on such</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day, (ii) the Federal Funds Rate in effect on such day plus 0.50% and (iii) Adjusted Term SOFR in effect on such day plus 0.50%</w:t>
      </w:r>
      <w:r>
        <w:rPr>
          <w:rFonts w:ascii="Arial" w:cs="Arial" w:eastAsia="Arial" w:hAnsi="Arial"/>
          <w:sz w:val="19"/>
          <w:szCs w:val="19"/>
          <w:color w:val="000000"/>
          <w:strike w:val="1"/>
        </w:rPr>
        <w:t>;</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u w:val="single" w:color="auto"/>
          <w:color w:val="0000FF"/>
          <w:strike w:val="1"/>
        </w:rPr>
        <w:t>,</w:t>
      </w:r>
      <w:r>
        <w:rPr>
          <w:rFonts w:ascii="Arial" w:cs="Arial" w:eastAsia="Arial" w:hAnsi="Arial"/>
          <w:sz w:val="19"/>
          <w:szCs w:val="19"/>
          <w:color w:val="000000"/>
          <w:strike w:val="1"/>
        </w:rPr>
        <w:t xml:space="preserve"> that </w:t>
      </w:r>
      <w:r>
        <w:rPr>
          <w:rFonts w:ascii="Arial" w:cs="Arial" w:eastAsia="Arial" w:hAnsi="Arial"/>
          <w:sz w:val="19"/>
          <w:szCs w:val="19"/>
          <w:u w:val="single" w:color="auto"/>
          <w:color w:val="0000FF"/>
          <w:strike w:val="1"/>
        </w:rPr>
        <w:t>any change in</w:t>
      </w:r>
      <w:r>
        <w:rPr>
          <w:rFonts w:ascii="Arial" w:cs="Arial" w:eastAsia="Arial" w:hAnsi="Arial"/>
          <w:sz w:val="19"/>
          <w:szCs w:val="19"/>
          <w:color w:val="000000"/>
          <w:strike w:val="1"/>
        </w:rPr>
        <w:t xml:space="preserve"> the Base Rate </w:t>
      </w:r>
      <w:r>
        <w:rPr>
          <w:rFonts w:ascii="Arial" w:cs="Arial" w:eastAsia="Arial" w:hAnsi="Arial"/>
          <w:sz w:val="19"/>
          <w:szCs w:val="19"/>
          <w:color w:val="FF0000"/>
          <w:strike w:val="1"/>
        </w:rPr>
        <w:t>will in no event be higher than the maximum rate permitted by applicable Law. The</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established by the Administrative Agent shall take effect at</w:t>
      </w:r>
      <w:r>
        <w:rPr>
          <w:rFonts w:ascii="Arial" w:cs="Arial" w:eastAsia="Arial" w:hAnsi="Arial"/>
          <w:sz w:val="19"/>
          <w:szCs w:val="19"/>
          <w:u w:val="single" w:color="auto"/>
          <w:color w:val="0000FF"/>
          <w:strike w:val="1"/>
        </w:rPr>
        <w:t>due to a change in the Prime Rate, the Federal Funds Rate or Adjusted Term SOFR shall be effective as of</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the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opening of business on the </w:t>
      </w:r>
      <w:r>
        <w:rPr>
          <w:rFonts w:ascii="Arial" w:cs="Arial" w:eastAsia="Arial" w:hAnsi="Arial"/>
          <w:sz w:val="19"/>
          <w:szCs w:val="19"/>
          <w:u w:val="single" w:color="auto"/>
          <w:color w:val="0000FF"/>
          <w:strike w:val="1"/>
        </w:rPr>
        <w:t>effective</w:t>
      </w:r>
      <w:r>
        <w:rPr>
          <w:rFonts w:ascii="Arial" w:cs="Arial" w:eastAsia="Arial" w:hAnsi="Arial"/>
          <w:sz w:val="19"/>
          <w:szCs w:val="19"/>
          <w:color w:val="000000"/>
          <w:strike w:val="1"/>
        </w:rPr>
        <w:t xml:space="preserve"> day </w:t>
      </w:r>
      <w:r>
        <w:rPr>
          <w:rFonts w:ascii="Arial" w:cs="Arial" w:eastAsia="Arial" w:hAnsi="Arial"/>
          <w:sz w:val="19"/>
          <w:szCs w:val="19"/>
          <w:u w:val="single" w:color="auto"/>
          <w:color w:val="0000FF"/>
          <w:strike w:val="1"/>
        </w:rPr>
        <w:t>of</w:t>
      </w:r>
      <w:r>
        <w:rPr>
          <w:rFonts w:ascii="Arial" w:cs="Arial" w:eastAsia="Arial" w:hAnsi="Arial"/>
          <w:sz w:val="19"/>
          <w:szCs w:val="19"/>
          <w:color w:val="000000"/>
          <w:strike w:val="1"/>
        </w:rPr>
        <w:t xml:space="preserve"> such change </w:t>
      </w:r>
      <w:r>
        <w:rPr>
          <w:rFonts w:ascii="Arial" w:cs="Arial" w:eastAsia="Arial" w:hAnsi="Arial"/>
          <w:sz w:val="19"/>
          <w:szCs w:val="19"/>
          <w:color w:val="FF0000"/>
          <w:strike w:val="1"/>
        </w:rPr>
        <w:t>is effective.</w:t>
      </w:r>
      <w:r>
        <w:rPr>
          <w:rFonts w:ascii="Arial" w:cs="Arial" w:eastAsia="Arial" w:hAnsi="Arial"/>
          <w:sz w:val="19"/>
          <w:szCs w:val="19"/>
          <w:u w:val="single" w:color="auto"/>
          <w:color w:val="0000FF"/>
          <w:strike w:val="1"/>
        </w:rPr>
        <w:t>in the Prime Rate, the Federal Funds Rate or Adjusted Term</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SOFR, respectively; provided, further, that changes in any rate of interest calculated by reference to the Base Rate shall take effect simultaneously with each change in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-1433195</wp:posOffset>
            </wp:positionV>
            <wp:extent cx="32880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4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Advance</w:t>
      </w:r>
      <w:r>
        <w:rPr>
          <w:rFonts w:ascii="Arial" w:cs="Arial" w:eastAsia="Arial" w:hAnsi="Arial"/>
          <w:sz w:val="22"/>
          <w:szCs w:val="22"/>
          <w:color w:val="auto"/>
        </w:rPr>
        <w:t>” means an Advance that bears interest at a rate of interest determined by reference to the Base Rate during such time as it bears interest at such rate, as provided in this Agreement.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1"/>
          <w:szCs w:val="21"/>
          <w:u w:val="single" w:color="auto"/>
          <w:color w:val="0000FF"/>
        </w:rPr>
        <w:t>“Base Rate Term SOFR Determination Day” has the meaning specified in the definition of “Term SOFR”.</w:t>
      </w:r>
    </w:p>
    <w:p>
      <w:pPr>
        <w:spacing w:after="0" w:line="218"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means, initially, the </w:t>
      </w:r>
      <w:r>
        <w:rPr>
          <w:rFonts w:ascii="Arial" w:cs="Arial" w:eastAsia="Arial" w:hAnsi="Arial"/>
          <w:sz w:val="22"/>
          <w:szCs w:val="22"/>
          <w:color w:val="FF0000"/>
          <w:strike w:val="1"/>
        </w:rPr>
        <w:t>Eurodollar Funding</w:t>
      </w:r>
      <w:r>
        <w:rPr>
          <w:rFonts w:ascii="Arial" w:cs="Arial" w:eastAsia="Arial" w:hAnsi="Arial"/>
          <w:sz w:val="22"/>
          <w:szCs w:val="22"/>
          <w:u w:val="single" w:color="auto"/>
          <w:color w:val="0000FF"/>
        </w:rPr>
        <w:t>Term SOFR Reference</w:t>
      </w:r>
      <w:r>
        <w:rPr>
          <w:rFonts w:ascii="Arial" w:cs="Arial" w:eastAsia="Arial" w:hAnsi="Arial"/>
          <w:sz w:val="22"/>
          <w:szCs w:val="22"/>
          <w:color w:val="auto"/>
        </w:rPr>
        <w:t xml:space="preserv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w:t>
      </w:r>
      <w:r>
        <w:rPr>
          <w:rFonts w:ascii="Arial" w:cs="Arial" w:eastAsia="Arial" w:hAnsi="Arial"/>
          <w:sz w:val="22"/>
          <w:szCs w:val="22"/>
          <w:color w:val="FF0000"/>
          <w:strike w:val="1"/>
        </w:rPr>
        <w:t>or an Early Opt-in Election, as applicable, and its related Benchmark Replacement Date have</w:t>
      </w:r>
      <w:r>
        <w:rPr>
          <w:rFonts w:ascii="Arial" w:cs="Arial" w:eastAsia="Arial" w:hAnsi="Arial"/>
          <w:sz w:val="22"/>
          <w:szCs w:val="22"/>
          <w:u w:val="single" w:color="auto"/>
          <w:color w:val="0000FF"/>
        </w:rPr>
        <w:t>has</w:t>
      </w:r>
      <w:r>
        <w:rPr>
          <w:rFonts w:ascii="Arial" w:cs="Arial" w:eastAsia="Arial" w:hAnsi="Arial"/>
          <w:sz w:val="22"/>
          <w:szCs w:val="22"/>
          <w:color w:val="auto"/>
        </w:rPr>
        <w:t xml:space="preserve"> occurred with respect to the </w:t>
      </w:r>
      <w:r>
        <w:rPr>
          <w:rFonts w:ascii="Arial" w:cs="Arial" w:eastAsia="Arial" w:hAnsi="Arial"/>
          <w:sz w:val="22"/>
          <w:szCs w:val="22"/>
          <w:color w:val="FF0000"/>
          <w:strike w:val="1"/>
        </w:rPr>
        <w:t>Eurodollar Funding</w:t>
      </w:r>
      <w:r>
        <w:rPr>
          <w:rFonts w:ascii="Arial" w:cs="Arial" w:eastAsia="Arial" w:hAnsi="Arial"/>
          <w:sz w:val="22"/>
          <w:szCs w:val="22"/>
          <w:u w:val="single" w:color="auto"/>
          <w:color w:val="0000FF"/>
        </w:rPr>
        <w:t>Term SOFR Reference</w:t>
      </w:r>
      <w:r>
        <w:rPr>
          <w:rFonts w:ascii="Arial" w:cs="Arial" w:eastAsia="Arial" w:hAnsi="Arial"/>
          <w:sz w:val="22"/>
          <w:szCs w:val="22"/>
          <w:color w:val="auto"/>
        </w:rPr>
        <w:t xml:space="preserve"> Rate or the then-current Benchmark, then “Benchmark” means the applicable Benchmark Replacement to the extent that such Benchmark Replacement has replaced such prior benchmark rate pursuant to </w:t>
      </w:r>
      <w:r>
        <w:rPr>
          <w:rFonts w:ascii="Arial" w:cs="Arial" w:eastAsia="Arial" w:hAnsi="Arial"/>
          <w:sz w:val="22"/>
          <w:szCs w:val="22"/>
          <w:u w:val="single" w:color="auto"/>
          <w:color w:val="auto"/>
        </w:rPr>
        <w:t>Section 3.04(</w:t>
      </w:r>
      <w:r>
        <w:rPr>
          <w:rFonts w:ascii="Arial" w:cs="Arial" w:eastAsia="Arial" w:hAnsi="Arial"/>
          <w:sz w:val="22"/>
          <w:szCs w:val="22"/>
          <w:u w:val="single" w:color="auto"/>
          <w:color w:val="FF0000"/>
          <w:strike w:val="1"/>
        </w:rPr>
        <w:t>c)(i</w:t>
      </w:r>
      <w:r>
        <w:rPr>
          <w:rFonts w:ascii="Arial" w:cs="Arial" w:eastAsia="Arial" w:hAnsi="Arial"/>
          <w:sz w:val="22"/>
          <w:szCs w:val="22"/>
          <w:u w:val="single" w:color="auto"/>
          <w:color w:val="0000FF"/>
        </w:rPr>
        <w:t>a</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87" w:lineRule="exact"/>
        <w:rPr>
          <w:sz w:val="20"/>
          <w:szCs w:val="20"/>
          <w:color w:val="auto"/>
        </w:rPr>
      </w:pPr>
    </w:p>
    <w:p>
      <w:pPr>
        <w:ind w:right="360" w:firstLine="149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Benchmark Cessation Changes</w:t>
      </w:r>
      <w:r>
        <w:rPr>
          <w:rFonts w:ascii="Arial" w:cs="Arial" w:eastAsia="Arial" w:hAnsi="Arial"/>
          <w:sz w:val="22"/>
          <w:szCs w:val="22"/>
          <w:color w:val="FF0000"/>
          <w:strike w:val="1"/>
        </w:rPr>
        <w:t xml:space="preserve">” means any replacement of a Benchmark hereunder and all documents, instruments, and amendments executed, delivered or otherwise implemented or effected (automatically or otherwise) after the date hereof in accordance with or in furtherance of </w:t>
      </w:r>
      <w:r>
        <w:rPr>
          <w:rFonts w:ascii="Arial" w:cs="Arial" w:eastAsia="Arial" w:hAnsi="Arial"/>
          <w:sz w:val="22"/>
          <w:szCs w:val="22"/>
          <w:u w:val="single" w:color="auto"/>
          <w:color w:val="FF0000"/>
          <w:strike w:val="1"/>
        </w:rPr>
        <w:t>Section 3.04(c)</w:t>
      </w:r>
      <w:r>
        <w:rPr>
          <w:rFonts w:ascii="Arial" w:cs="Arial" w:eastAsia="Arial" w:hAnsi="Arial"/>
          <w:sz w:val="22"/>
          <w:szCs w:val="22"/>
          <w:color w:val="FF0000"/>
          <w:strike w:val="1"/>
        </w:rPr>
        <w: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w:t>
      </w:r>
      <w:r>
        <w:rPr>
          <w:rFonts w:ascii="Arial" w:cs="Arial" w:eastAsia="Arial" w:hAnsi="Arial"/>
          <w:sz w:val="22"/>
          <w:szCs w:val="22"/>
          <w:color w:val="FF0000"/>
          <w:strike w:val="1"/>
        </w:rPr>
        <w:t>means, for any Available Tenor</w:t>
      </w:r>
      <w:r>
        <w:rPr>
          <w:rFonts w:ascii="Arial" w:cs="Arial" w:eastAsia="Arial" w:hAnsi="Arial"/>
          <w:sz w:val="22"/>
          <w:szCs w:val="22"/>
          <w:u w:val="single" w:color="auto"/>
          <w:color w:val="0000FF"/>
        </w:rPr>
        <w:t>” means with respect to any Benchmark Transition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Event</w:t>
      </w:r>
      <w:r>
        <w:rPr>
          <w:rFonts w:ascii="Arial" w:cs="Arial" w:eastAsia="Arial" w:hAnsi="Arial"/>
          <w:sz w:val="22"/>
          <w:szCs w:val="22"/>
          <w:color w:val="000000"/>
        </w:rPr>
        <w:t>, the first alternative set forth in the order below that can be determined by the Administrative Agent</w:t>
      </w:r>
      <w:r>
        <w:rPr>
          <w:rFonts w:ascii="Arial" w:cs="Arial" w:eastAsia="Arial" w:hAnsi="Arial"/>
          <w:sz w:val="22"/>
          <w:szCs w:val="22"/>
          <w:color w:val="0000FF"/>
        </w:rPr>
        <w:t xml:space="preserve"> </w:t>
      </w:r>
      <w:r>
        <w:rPr>
          <w:rFonts w:ascii="Arial" w:cs="Arial" w:eastAsia="Arial" w:hAnsi="Arial"/>
          <w:sz w:val="22"/>
          <w:szCs w:val="22"/>
          <w:color w:val="FF0000"/>
        </w:rPr>
        <w:t>for the applicable</w:t>
      </w:r>
      <w:r>
        <w:rPr>
          <w:rFonts w:ascii="Arial" w:cs="Arial" w:eastAsia="Arial" w:hAnsi="Arial"/>
          <w:sz w:val="22"/>
          <w:szCs w:val="22"/>
          <w:color w:val="0000FF"/>
        </w:rPr>
        <w:t xml:space="preserve"> </w:t>
      </w:r>
      <w:r>
        <w:rPr>
          <w:rFonts w:ascii="Arial" w:cs="Arial" w:eastAsia="Arial" w:hAnsi="Arial"/>
          <w:sz w:val="22"/>
          <w:szCs w:val="22"/>
          <w:color w:val="FF0000"/>
          <w:strike w:val="1"/>
        </w:rPr>
        <w:t>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6094730</wp:posOffset>
            </wp:positionH>
            <wp:positionV relativeFrom="paragraph">
              <wp:posOffset>-236220</wp:posOffset>
            </wp:positionV>
            <wp:extent cx="10769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66" w:lineRule="exact"/>
        <w:rPr>
          <w:sz w:val="20"/>
          <w:szCs w:val="20"/>
          <w:color w:val="auto"/>
        </w:rPr>
      </w:pPr>
    </w:p>
    <w:p>
      <w:pPr>
        <w:ind w:left="1300" w:hanging="419"/>
        <w:spacing w:after="0" w:line="250" w:lineRule="auto"/>
        <w:tabs>
          <w:tab w:leader="none" w:pos="1219" w:val="left"/>
        </w:tabs>
        <w:numPr>
          <w:ilvl w:val="0"/>
          <w:numId w:val="15"/>
        </w:numPr>
        <w:rPr>
          <w:rFonts w:ascii="Arial" w:cs="Arial" w:eastAsia="Arial" w:hAnsi="Arial"/>
          <w:sz w:val="22"/>
          <w:szCs w:val="22"/>
          <w:color w:val="FF0000"/>
          <w:strike w:val="1"/>
        </w:rPr>
      </w:pPr>
      <w:r>
        <w:rPr>
          <w:rFonts w:ascii="Arial" w:cs="Arial" w:eastAsia="Arial" w:hAnsi="Arial"/>
          <w:sz w:val="22"/>
          <w:szCs w:val="22"/>
          <w:u w:val="single" w:color="auto"/>
          <w:color w:val="0000FF"/>
        </w:rPr>
        <w:t xml:space="preserve">: (a) Daily Simple SOFR, and (b) the </w:t>
      </w:r>
      <w:r>
        <w:rPr>
          <w:rFonts w:ascii="Arial" w:cs="Arial" w:eastAsia="Arial" w:hAnsi="Arial"/>
          <w:sz w:val="22"/>
          <w:szCs w:val="22"/>
          <w:color w:val="FF0000"/>
          <w:strike w:val="1"/>
        </w:rPr>
        <w:t>the sum of: (a) Term SOFR and (b) the related Benchmark Replacement</w:t>
      </w:r>
      <w:r>
        <w:rPr>
          <w:rFonts w:ascii="Arial" w:cs="Arial" w:eastAsia="Arial" w:hAnsi="Arial"/>
          <w:sz w:val="22"/>
          <w:szCs w:val="22"/>
          <w:u w:val="single" w:color="auto"/>
          <w:color w:val="0000FF"/>
        </w:rPr>
        <w:t xml:space="preserve"> </w:t>
      </w:r>
      <w:r>
        <w:rPr>
          <w:rFonts w:ascii="Arial" w:cs="Arial" w:eastAsia="Arial" w:hAnsi="Arial"/>
          <w:sz w:val="22"/>
          <w:szCs w:val="22"/>
          <w:color w:val="FF0000"/>
          <w:strike w:val="1"/>
        </w:rPr>
        <w:t>Adjustment;</w:t>
      </w:r>
    </w:p>
    <w:p>
      <w:pPr>
        <w:spacing w:after="0" w:line="107" w:lineRule="exact"/>
        <w:rPr>
          <w:rFonts w:ascii="Arial" w:cs="Arial" w:eastAsia="Arial" w:hAnsi="Arial"/>
          <w:sz w:val="22"/>
          <w:szCs w:val="22"/>
          <w:color w:val="FF0000"/>
          <w:strike w:val="1"/>
        </w:rPr>
      </w:pPr>
    </w:p>
    <w:p>
      <w:pPr>
        <w:ind w:left="1180" w:hanging="299"/>
        <w:spacing w:after="0"/>
        <w:tabs>
          <w:tab w:leader="none" w:pos="1180" w:val="left"/>
        </w:tabs>
        <w:numPr>
          <w:ilvl w:val="0"/>
          <w:numId w:val="15"/>
        </w:numPr>
        <w:rPr>
          <w:rFonts w:ascii="Arial" w:cs="Arial" w:eastAsia="Arial" w:hAnsi="Arial"/>
          <w:sz w:val="22"/>
          <w:szCs w:val="22"/>
          <w:color w:val="FF0000"/>
          <w:strike w:val="1"/>
        </w:rPr>
      </w:pPr>
      <w:r>
        <w:rPr>
          <w:rFonts w:ascii="Arial" w:cs="Arial" w:eastAsia="Arial" w:hAnsi="Arial"/>
          <w:sz w:val="22"/>
          <w:szCs w:val="22"/>
          <w:color w:val="FF0000"/>
          <w:strike w:val="1"/>
        </w:rPr>
        <w:t>the sum of: (a) Daily Simple SOFR and (b) the related Benchmark Replacement Adjustment;</w:t>
      </w:r>
    </w:p>
    <w:p>
      <w:pPr>
        <w:spacing w:after="0" w:line="206" w:lineRule="exact"/>
        <w:rPr>
          <w:rFonts w:ascii="Arial" w:cs="Arial" w:eastAsia="Arial" w:hAnsi="Arial"/>
          <w:sz w:val="22"/>
          <w:szCs w:val="22"/>
          <w:color w:val="FF0000"/>
          <w:strike w:val="1"/>
        </w:rPr>
      </w:pPr>
    </w:p>
    <w:p>
      <w:pPr>
        <w:jc w:val="both"/>
        <w:ind w:firstLine="1505"/>
        <w:spacing w:after="0" w:line="297" w:lineRule="auto"/>
        <w:tabs>
          <w:tab w:leader="none" w:pos="1806" w:val="left"/>
        </w:tabs>
        <w:numPr>
          <w:ilvl w:val="1"/>
          <w:numId w:val="15"/>
        </w:numPr>
        <w:rPr>
          <w:rFonts w:ascii="Arial" w:cs="Arial" w:eastAsia="Arial" w:hAnsi="Arial"/>
          <w:sz w:val="19"/>
          <w:szCs w:val="19"/>
          <w:color w:val="FF0000"/>
          <w:strike w:val="1"/>
        </w:rPr>
      </w:pPr>
      <w:r>
        <w:rPr>
          <w:rFonts w:ascii="Arial" w:cs="Arial" w:eastAsia="Arial" w:hAnsi="Arial"/>
          <w:sz w:val="19"/>
          <w:szCs w:val="19"/>
          <w:color w:val="FF0000"/>
          <w:strike w:val="1"/>
        </w:rPr>
        <w:t>the</w:t>
      </w:r>
      <w:r>
        <w:rPr>
          <w:rFonts w:ascii="Arial" w:cs="Arial" w:eastAsia="Arial" w:hAnsi="Arial"/>
          <w:sz w:val="19"/>
          <w:szCs w:val="19"/>
          <w:color w:val="FF0000"/>
        </w:rPr>
        <w:t xml:space="preserve"> </w:t>
      </w:r>
      <w:r>
        <w:rPr>
          <w:rFonts w:ascii="Arial" w:cs="Arial" w:eastAsia="Arial" w:hAnsi="Arial"/>
          <w:sz w:val="19"/>
          <w:szCs w:val="19"/>
          <w:color w:val="000000"/>
        </w:rPr>
        <w:t>sum of: (</w:t>
      </w:r>
      <w:r>
        <w:rPr>
          <w:rFonts w:ascii="Arial" w:cs="Arial" w:eastAsia="Arial" w:hAnsi="Arial"/>
          <w:sz w:val="19"/>
          <w:szCs w:val="19"/>
          <w:color w:val="FF0000"/>
          <w:strike w:val="1"/>
        </w:rPr>
        <w:t>a</w:t>
      </w:r>
      <w:r>
        <w:rPr>
          <w:rFonts w:ascii="Arial" w:cs="Arial" w:eastAsia="Arial" w:hAnsi="Arial"/>
          <w:sz w:val="19"/>
          <w:szCs w:val="19"/>
          <w:u w:val="single" w:color="auto"/>
          <w:color w:val="0000FF"/>
        </w:rPr>
        <w:t>x</w:t>
      </w:r>
      <w:r>
        <w:rPr>
          <w:rFonts w:ascii="Arial" w:cs="Arial" w:eastAsia="Arial" w:hAnsi="Arial"/>
          <w:sz w:val="19"/>
          <w:szCs w:val="19"/>
          <w:color w:val="000000"/>
        </w:rPr>
        <w:t xml:space="preserve">) the alternate benchmark rate that has been selected by the Administrative Agent and the Co-Issuers </w:t>
      </w:r>
      <w:r>
        <w:rPr>
          <w:rFonts w:ascii="Arial" w:cs="Arial" w:eastAsia="Arial" w:hAnsi="Arial"/>
          <w:sz w:val="19"/>
          <w:szCs w:val="19"/>
          <w:color w:val="FF0000"/>
          <w:strike w:val="1"/>
        </w:rPr>
        <w:t>as the replacement for the then-current Benchmark for the applicable Corresponding Tenor</w:t>
      </w:r>
      <w:r>
        <w:rPr>
          <w:rFonts w:ascii="Arial" w:cs="Arial" w:eastAsia="Arial" w:hAnsi="Arial"/>
          <w:sz w:val="19"/>
          <w:szCs w:val="19"/>
          <w:color w:val="000000"/>
        </w:rPr>
        <w:t xml:space="preserve"> giving due consideration to (i) any selection or recommendation of a replacement benchmark rate or the mechanism for determining such a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6" w:name="page47"/>
    <w:bookmarkEnd w:id="46"/>
    <w:p>
      <w:pPr>
        <w:jc w:val="both"/>
        <w:spacing w:after="0" w:line="236" w:lineRule="auto"/>
        <w:rPr>
          <w:sz w:val="20"/>
          <w:szCs w:val="20"/>
          <w:color w:val="auto"/>
        </w:rPr>
      </w:pPr>
      <w:r>
        <w:rPr>
          <w:rFonts w:ascii="Arial" w:cs="Arial" w:eastAsia="Arial" w:hAnsi="Arial"/>
          <w:sz w:val="22"/>
          <w:szCs w:val="22"/>
          <w:color w:val="auto"/>
        </w:rPr>
        <w:t xml:space="preserve">by the Relevant Governmental Body or (ii) any evolving or then-prevailing market convention for determining a benchmark rate as a replacement </w:t>
      </w:r>
      <w:r>
        <w:rPr>
          <w:rFonts w:ascii="Arial" w:cs="Arial" w:eastAsia="Arial" w:hAnsi="Arial"/>
          <w:sz w:val="22"/>
          <w:szCs w:val="22"/>
          <w:color w:val="FF0000"/>
          <w:strike w:val="1"/>
        </w:rPr>
        <w:t>for</w:t>
      </w:r>
      <w:r>
        <w:rPr>
          <w:rFonts w:ascii="Arial" w:cs="Arial" w:eastAsia="Arial" w:hAnsi="Arial"/>
          <w:sz w:val="22"/>
          <w:szCs w:val="22"/>
          <w:u w:val="single" w:color="auto"/>
          <w:color w:val="0000FF"/>
        </w:rPr>
        <w:t>to</w:t>
      </w:r>
      <w:r>
        <w:rPr>
          <w:rFonts w:ascii="Arial" w:cs="Arial" w:eastAsia="Arial" w:hAnsi="Arial"/>
          <w:sz w:val="22"/>
          <w:szCs w:val="22"/>
          <w:color w:val="auto"/>
        </w:rPr>
        <w:t xml:space="preserve"> the then-current Benchmark for </w:t>
      </w:r>
      <w:r>
        <w:rPr>
          <w:rFonts w:ascii="Arial" w:cs="Arial" w:eastAsia="Arial" w:hAnsi="Arial"/>
          <w:sz w:val="22"/>
          <w:szCs w:val="22"/>
          <w:color w:val="FF0000"/>
          <w:strike w:val="1"/>
        </w:rPr>
        <w:t>U.S. dollar-denominated</w:t>
      </w:r>
      <w:r>
        <w:rPr>
          <w:rFonts w:ascii="Arial" w:cs="Arial" w:eastAsia="Arial" w:hAnsi="Arial"/>
          <w:sz w:val="22"/>
          <w:szCs w:val="22"/>
          <w:u w:val="single" w:color="auto"/>
          <w:color w:val="0000FF"/>
        </w:rPr>
        <w:t>Dollar-denominated</w:t>
      </w:r>
      <w:r>
        <w:rPr>
          <w:rFonts w:ascii="Arial" w:cs="Arial" w:eastAsia="Arial" w:hAnsi="Arial"/>
          <w:sz w:val="22"/>
          <w:szCs w:val="22"/>
          <w:color w:val="auto"/>
        </w:rPr>
        <w:t xml:space="preserve"> syndicated credit facilities </w:t>
      </w:r>
      <w:r>
        <w:rPr>
          <w:rFonts w:ascii="Arial" w:cs="Arial" w:eastAsia="Arial" w:hAnsi="Arial"/>
          <w:sz w:val="22"/>
          <w:szCs w:val="22"/>
          <w:color w:val="FF0000"/>
        </w:rPr>
        <w:t>at</w:t>
      </w:r>
      <w:r>
        <w:rPr>
          <w:rFonts w:ascii="Arial" w:cs="Arial" w:eastAsia="Arial" w:hAnsi="Arial"/>
          <w:sz w:val="22"/>
          <w:szCs w:val="22"/>
          <w:color w:val="auto"/>
        </w:rPr>
        <w:t xml:space="preserve"> </w:t>
      </w:r>
      <w:r>
        <w:rPr>
          <w:rFonts w:ascii="Arial" w:cs="Arial" w:eastAsia="Arial" w:hAnsi="Arial"/>
          <w:sz w:val="22"/>
          <w:szCs w:val="22"/>
          <w:color w:val="FF0000"/>
          <w:strike w:val="1"/>
        </w:rPr>
        <w:t>such time</w:t>
      </w:r>
      <w:r>
        <w:rPr>
          <w:rFonts w:ascii="Arial" w:cs="Arial" w:eastAsia="Arial" w:hAnsi="Arial"/>
          <w:sz w:val="22"/>
          <w:szCs w:val="22"/>
          <w:color w:val="FF0000"/>
        </w:rPr>
        <w:t xml:space="preserve"> </w:t>
      </w:r>
      <w:r>
        <w:rPr>
          <w:rFonts w:ascii="Arial" w:cs="Arial" w:eastAsia="Arial" w:hAnsi="Arial"/>
          <w:sz w:val="22"/>
          <w:szCs w:val="22"/>
          <w:color w:val="000000"/>
        </w:rPr>
        <w:t>and (</w:t>
      </w:r>
      <w:r>
        <w:rPr>
          <w:rFonts w:ascii="Arial" w:cs="Arial" w:eastAsia="Arial" w:hAnsi="Arial"/>
          <w:sz w:val="22"/>
          <w:szCs w:val="22"/>
          <w:color w:val="FF0000"/>
          <w:strike w:val="1"/>
        </w:rPr>
        <w:t>b</w:t>
      </w:r>
      <w:r>
        <w:rPr>
          <w:rFonts w:ascii="Arial" w:cs="Arial" w:eastAsia="Arial" w:hAnsi="Arial"/>
          <w:sz w:val="22"/>
          <w:szCs w:val="22"/>
          <w:u w:val="single" w:color="auto"/>
          <w:color w:val="0000FF"/>
        </w:rPr>
        <w:t>y</w:t>
      </w:r>
      <w:r>
        <w:rPr>
          <w:rFonts w:ascii="Arial" w:cs="Arial" w:eastAsia="Arial" w:hAnsi="Arial"/>
          <w:sz w:val="22"/>
          <w:szCs w:val="22"/>
          <w:color w:val="000000"/>
        </w:rPr>
        <w:t>) the related Benchmark Replacement Adjustment;</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provided that, if such Benchmark Replacement as so</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determined would be less than the Floor, such Benchmark Replacement will be deemed to be the Floor for the purposes of this Agreement and the other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7002780</wp:posOffset>
            </wp:positionH>
            <wp:positionV relativeFrom="paragraph">
              <wp:posOffset>-544195</wp:posOffset>
            </wp:positionV>
            <wp:extent cx="1695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9545" cy="8255"/>
                    </a:xfrm>
                    <a:prstGeom prst="rect">
                      <a:avLst/>
                    </a:prstGeom>
                    <a:noFill/>
                  </pic:spPr>
                </pic:pic>
              </a:graphicData>
            </a:graphic>
          </wp:anchor>
        </w:drawing>
      </w:r>
    </w:p>
    <w:p>
      <w:pPr>
        <w:spacing w:after="0" w:line="167"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u w:val="single" w:color="auto"/>
          <w:color w:val="FF0000"/>
          <w:strike w:val="1"/>
        </w:rPr>
        <w:t xml:space="preserve">provided </w:t>
      </w:r>
      <w:r>
        <w:rPr>
          <w:rFonts w:ascii="Arial" w:cs="Arial" w:eastAsia="Arial" w:hAnsi="Arial"/>
          <w:sz w:val="21"/>
          <w:szCs w:val="21"/>
          <w:color w:val="FF0000"/>
          <w:strike w:val="1"/>
        </w:rPr>
        <w:t>that, in the case of clause (1), such Unadjusted Benchmark Replacement is displayed on a screen or other information</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 xml:space="preserve">service that publishes such rate from time to time as selected by the Administrative Agent in its reasonable discretion. If the Benchmark Replacement as determined pursuant to clause (1), (2) or (3) above would be less than the Floor, the Benchmark Replacement will be deemed to be the Floor for the purposes of this Agreement and the other Related Documents;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 xml:space="preserve">further </w:t>
      </w:r>
      <w:r>
        <w:rPr>
          <w:rFonts w:ascii="Arial" w:cs="Arial" w:eastAsia="Arial" w:hAnsi="Arial"/>
          <w:sz w:val="21"/>
          <w:szCs w:val="21"/>
          <w:color w:val="FF0000"/>
          <w:strike w:val="1"/>
        </w:rPr>
        <w:t>that, notwithstanding anything to the contrary in this Agreement or in any other Related Document, upon the occurrence</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of a Term SOFR Transition Event, and the delivery of a Term SOFR Notice, on the applicable Benchmark Replacement Date the “Benchmark Replacement” shall revert to and shall be deemed to be the sum of (a) Term SOFR and (b) the Term SOFR Adjustment, as set forth in clause (1) of this definition (subject to the first proviso above regarding such rate being displayed on a screen or other information service).</w:t>
      </w:r>
    </w:p>
    <w:p>
      <w:pPr>
        <w:spacing w:after="0" w:line="184" w:lineRule="exact"/>
        <w:rPr>
          <w:sz w:val="20"/>
          <w:szCs w:val="20"/>
          <w:color w:val="auto"/>
        </w:rPr>
      </w:pPr>
    </w:p>
    <w:p>
      <w:pPr>
        <w:ind w:right="80" w:firstLine="149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Benchmark Replacement Adjustment</w:t>
      </w:r>
      <w:r>
        <w:rPr>
          <w:rFonts w:ascii="Arial" w:cs="Arial" w:eastAsia="Arial" w:hAnsi="Arial"/>
          <w:sz w:val="22"/>
          <w:szCs w:val="22"/>
          <w:color w:val="FF0000"/>
          <w:strike w:val="1"/>
        </w:rPr>
        <w:t>” means, with respect to any replacement of the then- current Benchmark with an Unadjusted Benchmark Replacement for any applicable Interest Period and Available Tenor for any setting of such Unadjusted Benchmark Replacement:</w:t>
      </w:r>
    </w:p>
    <w:p>
      <w:pPr>
        <w:spacing w:after="0" w:line="186" w:lineRule="exact"/>
        <w:rPr>
          <w:sz w:val="20"/>
          <w:szCs w:val="20"/>
          <w:color w:val="auto"/>
        </w:rPr>
      </w:pPr>
    </w:p>
    <w:p>
      <w:pPr>
        <w:ind w:left="920" w:hanging="406"/>
        <w:spacing w:after="0" w:line="250" w:lineRule="auto"/>
        <w:tabs>
          <w:tab w:leader="none" w:pos="841" w:val="left"/>
        </w:tabs>
        <w:numPr>
          <w:ilvl w:val="0"/>
          <w:numId w:val="16"/>
        </w:numPr>
        <w:rPr>
          <w:rFonts w:ascii="Arial" w:cs="Arial" w:eastAsia="Arial" w:hAnsi="Arial"/>
          <w:sz w:val="22"/>
          <w:szCs w:val="22"/>
          <w:color w:val="FF0000"/>
          <w:strike w:val="1"/>
        </w:rPr>
      </w:pPr>
      <w:r>
        <w:rPr>
          <w:rFonts w:ascii="Arial" w:cs="Arial" w:eastAsia="Arial" w:hAnsi="Arial"/>
          <w:sz w:val="22"/>
          <w:szCs w:val="22"/>
          <w:color w:val="FF0000"/>
          <w:strike w:val="1"/>
        </w:rPr>
        <w:t>for purposes of clauses (1) and (2) of the definition of “Benchmark Replacement,” the first alternative set forth in the order below that can be determined by the Administrative Agent:</w:t>
      </w:r>
    </w:p>
    <w:p>
      <w:pPr>
        <w:spacing w:after="0" w:line="107" w:lineRule="exact"/>
        <w:rPr>
          <w:rFonts w:ascii="Arial" w:cs="Arial" w:eastAsia="Arial" w:hAnsi="Arial"/>
          <w:sz w:val="22"/>
          <w:szCs w:val="22"/>
          <w:color w:val="FF0000"/>
          <w:strike w:val="1"/>
        </w:rPr>
      </w:pPr>
    </w:p>
    <w:p>
      <w:pPr>
        <w:ind w:left="2020" w:hanging="390"/>
        <w:spacing w:after="0" w:line="236" w:lineRule="auto"/>
        <w:tabs>
          <w:tab w:leader="none" w:pos="1942" w:val="left"/>
        </w:tabs>
        <w:numPr>
          <w:ilvl w:val="2"/>
          <w:numId w:val="16"/>
        </w:numPr>
        <w:rPr>
          <w:rFonts w:ascii="Arial" w:cs="Arial" w:eastAsia="Arial" w:hAnsi="Arial"/>
          <w:sz w:val="22"/>
          <w:szCs w:val="22"/>
          <w:color w:val="FF0000"/>
          <w:strike w:val="1"/>
        </w:rPr>
      </w:pPr>
      <w:r>
        <w:rPr>
          <w:rFonts w:ascii="Arial" w:cs="Arial" w:eastAsia="Arial" w:hAnsi="Arial"/>
          <w:sz w:val="22"/>
          <w:szCs w:val="22"/>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19" w:lineRule="exact"/>
        <w:rPr>
          <w:rFonts w:ascii="Arial" w:cs="Arial" w:eastAsia="Arial" w:hAnsi="Arial"/>
          <w:sz w:val="22"/>
          <w:szCs w:val="22"/>
          <w:color w:val="FF0000"/>
          <w:strike w:val="1"/>
        </w:rPr>
      </w:pPr>
    </w:p>
    <w:p>
      <w:pPr>
        <w:ind w:left="2100" w:hanging="470"/>
        <w:spacing w:after="0" w:line="287" w:lineRule="auto"/>
        <w:tabs>
          <w:tab w:leader="none" w:pos="1954" w:val="left"/>
        </w:tabs>
        <w:numPr>
          <w:ilvl w:val="2"/>
          <w:numId w:val="16"/>
        </w:numPr>
        <w:rPr>
          <w:rFonts w:ascii="Arial" w:cs="Arial" w:eastAsia="Arial" w:hAnsi="Arial"/>
          <w:sz w:val="19"/>
          <w:szCs w:val="19"/>
          <w:color w:val="FF0000"/>
          <w:strike w:val="1"/>
        </w:rPr>
      </w:pPr>
      <w:r>
        <w:rPr>
          <w:rFonts w:ascii="Arial" w:cs="Arial" w:eastAsia="Arial" w:hAnsi="Arial"/>
          <w:sz w:val="19"/>
          <w:szCs w:val="19"/>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2" w:lineRule="exact"/>
        <w:rPr>
          <w:rFonts w:ascii="Arial" w:cs="Arial" w:eastAsia="Arial" w:hAnsi="Arial"/>
          <w:sz w:val="19"/>
          <w:szCs w:val="19"/>
          <w:color w:val="FF0000"/>
          <w:strike w:val="1"/>
        </w:rPr>
      </w:pPr>
    </w:p>
    <w:p>
      <w:pPr>
        <w:jc w:val="both"/>
        <w:ind w:firstLine="1505"/>
        <w:spacing w:after="0" w:line="235" w:lineRule="auto"/>
        <w:tabs>
          <w:tab w:leader="none" w:pos="1814" w:val="left"/>
        </w:tabs>
        <w:numPr>
          <w:ilvl w:val="1"/>
          <w:numId w:val="16"/>
        </w:numPr>
        <w:rPr>
          <w:rFonts w:ascii="Arial" w:cs="Arial" w:eastAsia="Arial" w:hAnsi="Arial"/>
          <w:sz w:val="22"/>
          <w:szCs w:val="22"/>
          <w:color w:val="FF0000"/>
          <w:strike w:val="1"/>
        </w:rPr>
      </w:pPr>
      <w:r>
        <w:rPr>
          <w:rFonts w:ascii="Arial" w:cs="Arial" w:eastAsia="Arial" w:hAnsi="Arial"/>
          <w:sz w:val="22"/>
          <w:szCs w:val="22"/>
          <w:color w:val="FF0000"/>
          <w:strike w:val="1"/>
        </w:rPr>
        <w:t>for purposes of clause (3) of the definition of</w:t>
      </w:r>
      <w:r>
        <w:rPr>
          <w:rFonts w:ascii="Arial" w:cs="Arial" w:eastAsia="Arial" w:hAnsi="Arial"/>
          <w:sz w:val="22"/>
          <w:szCs w:val="22"/>
          <w:color w:val="FF0000"/>
        </w:rPr>
        <w:t xml:space="preserve"> </w:t>
      </w:r>
      <w:r>
        <w:rPr>
          <w:rFonts w:ascii="Arial" w:cs="Arial" w:eastAsia="Arial" w:hAnsi="Arial"/>
          <w:sz w:val="22"/>
          <w:szCs w:val="22"/>
          <w:color w:val="000000"/>
        </w:rPr>
        <w:t>“</w:t>
      </w:r>
      <w:r>
        <w:rPr>
          <w:rFonts w:ascii="Arial" w:cs="Arial" w:eastAsia="Arial" w:hAnsi="Arial"/>
          <w:sz w:val="22"/>
          <w:szCs w:val="22"/>
          <w:u w:val="single" w:color="auto"/>
          <w:color w:val="000000"/>
        </w:rPr>
        <w:t>Benchmark Replacement</w:t>
      </w:r>
      <w:r>
        <w:rPr>
          <w:rFonts w:ascii="Arial" w:cs="Arial" w:eastAsia="Arial" w:hAnsi="Arial"/>
          <w:sz w:val="22"/>
          <w:szCs w:val="22"/>
          <w:color w:val="FF0000"/>
          <w:strike w:val="1"/>
        </w:rPr>
        <w:t>,”</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Adjustment” means, with respect</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to any replacement of the then-current Benchmark with an Unadjusted Benchmark Replacement,</w:t>
      </w:r>
      <w:r>
        <w:rPr>
          <w:rFonts w:ascii="Arial" w:cs="Arial" w:eastAsia="Arial" w:hAnsi="Arial"/>
          <w:sz w:val="22"/>
          <w:szCs w:val="22"/>
          <w:color w:val="0000FF"/>
        </w:rPr>
        <w:t xml:space="preserve"> </w:t>
      </w:r>
      <w:r>
        <w:rPr>
          <w:rFonts w:ascii="Arial" w:cs="Arial" w:eastAsia="Arial" w:hAnsi="Arial"/>
          <w:sz w:val="22"/>
          <w:szCs w:val="22"/>
          <w:color w:val="000000"/>
        </w:rPr>
        <w:t>the spread adjustment, or</w:t>
      </w:r>
      <w:r>
        <w:rPr>
          <w:rFonts w:ascii="Arial" w:cs="Arial" w:eastAsia="Arial" w:hAnsi="Arial"/>
          <w:sz w:val="22"/>
          <w:szCs w:val="22"/>
          <w:color w:val="0000FF"/>
        </w:rPr>
        <w:t xml:space="preserve"> </w:t>
      </w:r>
      <w:r>
        <w:rPr>
          <w:rFonts w:ascii="Arial" w:cs="Arial" w:eastAsia="Arial" w:hAnsi="Arial"/>
          <w:sz w:val="22"/>
          <w:szCs w:val="22"/>
          <w:color w:val="000000"/>
        </w:rPr>
        <w:t xml:space="preserve">method for calculating or determining such spread adjustment, (which may be a positive or negative value or zero) that has been selected by the Administrative Agent and the Co-Issuers </w:t>
      </w:r>
      <w:r>
        <w:rPr>
          <w:rFonts w:ascii="Arial" w:cs="Arial" w:eastAsia="Arial" w:hAnsi="Arial"/>
          <w:sz w:val="22"/>
          <w:szCs w:val="22"/>
          <w:color w:val="FF0000"/>
          <w:strike w:val="1"/>
        </w:rPr>
        <w:t>for the applicable Corresponding Tenor</w:t>
      </w:r>
      <w:r>
        <w:rPr>
          <w:rFonts w:ascii="Arial" w:cs="Arial" w:eastAsia="Arial" w:hAnsi="Arial"/>
          <w:sz w:val="22"/>
          <w:szCs w:val="22"/>
          <w:color w:val="000000"/>
        </w:rPr>
        <w:t xml:space="preserve"> giving due consideration to (</w:t>
      </w:r>
      <w:r>
        <w:rPr>
          <w:rFonts w:ascii="Arial" w:cs="Arial" w:eastAsia="Arial" w:hAnsi="Arial"/>
          <w:sz w:val="22"/>
          <w:szCs w:val="22"/>
          <w:color w:val="FF0000"/>
          <w:strike w:val="1"/>
        </w:rPr>
        <w:t>i</w:t>
      </w:r>
      <w:r>
        <w:rPr>
          <w:rFonts w:ascii="Arial" w:cs="Arial" w:eastAsia="Arial" w:hAnsi="Arial"/>
          <w:sz w:val="22"/>
          <w:szCs w:val="22"/>
          <w:u w:val="single" w:color="auto"/>
          <w:color w:val="0000FF"/>
        </w:rPr>
        <w:t>a</w:t>
      </w:r>
      <w:r>
        <w:rPr>
          <w:rFonts w:ascii="Arial" w:cs="Arial" w:eastAsia="Arial" w:hAnsi="Arial"/>
          <w:sz w:val="22"/>
          <w:szCs w:val="22"/>
          <w:color w:val="000000"/>
        </w:rPr>
        <w:t>) any selection or recommendation of a spread adjustment, or method for calculating or determining such spread adjustment, for the replacement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-800735</wp:posOffset>
            </wp:positionV>
            <wp:extent cx="336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9"/>
          <w:szCs w:val="19"/>
          <w:color w:val="auto"/>
        </w:rPr>
        <w:t xml:space="preserve">Benchmark with the applicable Unadjusted Benchmark Replacement by the Relevant Governmental Body </w:t>
      </w:r>
      <w:r>
        <w:rPr>
          <w:rFonts w:ascii="Arial" w:cs="Arial" w:eastAsia="Arial" w:hAnsi="Arial"/>
          <w:sz w:val="19"/>
          <w:szCs w:val="19"/>
          <w:color w:val="FF0000"/>
          <w:strike w:val="1"/>
        </w:rPr>
        <w:t>on the applicable</w:t>
      </w:r>
      <w:r>
        <w:rPr>
          <w:rFonts w:ascii="Arial" w:cs="Arial" w:eastAsia="Arial" w:hAnsi="Arial"/>
          <w:sz w:val="19"/>
          <w:szCs w:val="19"/>
          <w:color w:val="auto"/>
        </w:rPr>
        <w:t xml:space="preserve"> </w:t>
      </w:r>
      <w:r>
        <w:rPr>
          <w:rFonts w:ascii="Arial" w:cs="Arial" w:eastAsia="Arial" w:hAnsi="Arial"/>
          <w:sz w:val="19"/>
          <w:szCs w:val="19"/>
          <w:color w:val="FF0000"/>
          <w:strike w:val="1"/>
        </w:rPr>
        <w:t>Benchmark Replacement Date</w:t>
      </w:r>
      <w:r>
        <w:rPr>
          <w:rFonts w:ascii="Arial" w:cs="Arial" w:eastAsia="Arial" w:hAnsi="Arial"/>
          <w:sz w:val="19"/>
          <w:szCs w:val="19"/>
          <w:color w:val="FF0000"/>
        </w:rPr>
        <w:t xml:space="preserve"> </w:t>
      </w:r>
      <w:r>
        <w:rPr>
          <w:rFonts w:ascii="Arial" w:cs="Arial" w:eastAsia="Arial" w:hAnsi="Arial"/>
          <w:sz w:val="19"/>
          <w:szCs w:val="19"/>
          <w:color w:val="000000"/>
        </w:rPr>
        <w:t>or (</w:t>
      </w:r>
      <w:r>
        <w:rPr>
          <w:rFonts w:ascii="Arial" w:cs="Arial" w:eastAsia="Arial" w:hAnsi="Arial"/>
          <w:sz w:val="19"/>
          <w:szCs w:val="19"/>
          <w:color w:val="FF0000"/>
          <w:strike w:val="1"/>
        </w:rPr>
        <w:t>ii</w:t>
      </w:r>
      <w:r>
        <w:rPr>
          <w:rFonts w:ascii="Arial" w:cs="Arial" w:eastAsia="Arial" w:hAnsi="Arial"/>
          <w:sz w:val="19"/>
          <w:szCs w:val="19"/>
          <w:u w:val="single" w:color="auto"/>
          <w:color w:val="0000FF"/>
        </w:rPr>
        <w:t>b</w:t>
      </w:r>
      <w:r>
        <w:rPr>
          <w:rFonts w:ascii="Arial" w:cs="Arial" w:eastAsia="Arial" w:hAnsi="Arial"/>
          <w:sz w:val="19"/>
          <w:szCs w:val="19"/>
          <w:color w:val="000000"/>
        </w:rPr>
        <w:t>) any evolving or then-prevailing market convention for determining a spread adjustment, or</w:t>
      </w:r>
      <w:r>
        <w:rPr>
          <w:rFonts w:ascii="Arial" w:cs="Arial" w:eastAsia="Arial" w:hAnsi="Arial"/>
          <w:sz w:val="19"/>
          <w:szCs w:val="19"/>
          <w:color w:val="FF0000"/>
        </w:rPr>
        <w:t xml:space="preserve"> </w:t>
      </w:r>
      <w:r>
        <w:rPr>
          <w:rFonts w:ascii="Arial" w:cs="Arial" w:eastAsia="Arial" w:hAnsi="Arial"/>
          <w:sz w:val="19"/>
          <w:szCs w:val="19"/>
          <w:color w:val="000000"/>
        </w:rPr>
        <w:t xml:space="preserve">method for calculating or determining such spread adjustment, for the replacement of such Benchmark with the applicable Unadjusted Benchmark Replacement for </w:t>
      </w:r>
      <w:r>
        <w:rPr>
          <w:rFonts w:ascii="Arial" w:cs="Arial" w:eastAsia="Arial" w:hAnsi="Arial"/>
          <w:sz w:val="19"/>
          <w:szCs w:val="19"/>
          <w:color w:val="FF0000"/>
          <w:strike w:val="1"/>
        </w:rPr>
        <w:t>U.S. dollar-denominated</w:t>
      </w:r>
      <w:r>
        <w:rPr>
          <w:rFonts w:ascii="Arial" w:cs="Arial" w:eastAsia="Arial" w:hAnsi="Arial"/>
          <w:sz w:val="19"/>
          <w:szCs w:val="19"/>
          <w:u w:val="single" w:color="auto"/>
          <w:color w:val="0000FF"/>
        </w:rPr>
        <w:t>Dollar-denominated</w:t>
      </w:r>
      <w:r>
        <w:rPr>
          <w:rFonts w:ascii="Arial" w:cs="Arial" w:eastAsia="Arial" w:hAnsi="Arial"/>
          <w:sz w:val="19"/>
          <w:szCs w:val="19"/>
          <w:color w:val="000000"/>
        </w:rPr>
        <w:t xml:space="preserve"> syndicated credit facilities</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143" w:lineRule="exact"/>
        <w:rPr>
          <w:sz w:val="20"/>
          <w:szCs w:val="20"/>
          <w:color w:val="auto"/>
        </w:rPr>
      </w:pPr>
    </w:p>
    <w:p>
      <w:pPr>
        <w:jc w:val="both"/>
        <w:ind w:right="40"/>
        <w:spacing w:after="0" w:line="276" w:lineRule="auto"/>
        <w:rPr>
          <w:sz w:val="20"/>
          <w:szCs w:val="20"/>
          <w:color w:val="auto"/>
        </w:rPr>
      </w:pPr>
      <w:r>
        <w:rPr>
          <w:rFonts w:ascii="Arial" w:cs="Arial" w:eastAsia="Arial" w:hAnsi="Arial"/>
          <w:sz w:val="19"/>
          <w:szCs w:val="19"/>
          <w:u w:val="single" w:color="auto"/>
          <w:color w:val="FF0000"/>
          <w:strike w:val="1"/>
        </w:rPr>
        <w:t xml:space="preserve">provided </w:t>
      </w:r>
      <w:r>
        <w:rPr>
          <w:rFonts w:ascii="Arial" w:cs="Arial" w:eastAsia="Arial" w:hAnsi="Arial"/>
          <w:sz w:val="19"/>
          <w:szCs w:val="19"/>
          <w:color w:val="FF0000"/>
          <w:strike w:val="1"/>
        </w:rPr>
        <w:t>that, in the case of clause (1) above, such adjustment is displayed on a screen or other information service that publishes</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such Benchmark Replacement Adjustment from time to time as selected by the Administrative Agent in its reasonable discretion.</w:t>
      </w:r>
    </w:p>
    <w:p>
      <w:pPr>
        <w:spacing w:after="0" w:line="1" w:lineRule="exact"/>
        <w:rPr>
          <w:sz w:val="20"/>
          <w:szCs w:val="20"/>
          <w:color w:val="auto"/>
        </w:rPr>
      </w:pPr>
    </w:p>
    <w:p>
      <w:pPr>
        <w:ind w:right="80" w:firstLine="1497"/>
        <w:spacing w:after="0" w:line="270"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Benchmark Replacement Conforming Changes</w:t>
      </w:r>
      <w:r>
        <w:rPr>
          <w:rFonts w:ascii="Arial" w:cs="Arial" w:eastAsia="Arial" w:hAnsi="Arial"/>
          <w:sz w:val="19"/>
          <w:szCs w:val="19"/>
          <w:color w:val="FF0000"/>
          <w:strike w:val="1"/>
        </w:rPr>
        <w:t>” means, with respect to any Benchmark Replacement, any technical, administrative or operational changes (including changes to the definitions of “Base Rate”, “CP Funding Rate”, “Eurodollar Advance”, “Eurodollar Business Day”, “Eurodollar Funding Rate”, “Eurodollar Funding Rate (Reserve Adjusted)”, “Eurodollar Interest Period”, “Eurodollar Rate”, “Eurodollar Reserve Percentage”, “Eurodollar Tranche” and “Series 2019-1 Class A-1 Note Rate”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after consultation with the Co-Issuers,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Related Documents).</w:t>
      </w:r>
    </w:p>
    <w:p>
      <w:pPr>
        <w:spacing w:after="0" w:line="200" w:lineRule="exact"/>
        <w:rPr>
          <w:sz w:val="20"/>
          <w:szCs w:val="20"/>
          <w:color w:val="auto"/>
        </w:rPr>
      </w:pPr>
    </w:p>
    <w:p>
      <w:pPr>
        <w:spacing w:after="0" w:line="234" w:lineRule="exact"/>
        <w:rPr>
          <w:sz w:val="20"/>
          <w:szCs w:val="20"/>
          <w:color w:val="auto"/>
        </w:rPr>
      </w:pPr>
    </w:p>
    <w:p>
      <w:pPr>
        <w:ind w:right="3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75" w:lineRule="exact"/>
        <w:rPr>
          <w:sz w:val="20"/>
          <w:szCs w:val="20"/>
          <w:color w:val="auto"/>
        </w:rPr>
      </w:pPr>
    </w:p>
    <w:p>
      <w:pPr>
        <w:ind w:left="760" w:firstLine="745"/>
        <w:spacing w:after="0" w:line="252" w:lineRule="auto"/>
        <w:tabs>
          <w:tab w:leader="none" w:pos="1815" w:val="left"/>
        </w:tabs>
        <w:numPr>
          <w:ilvl w:val="0"/>
          <w:numId w:val="17"/>
        </w:numPr>
        <w:rPr>
          <w:rFonts w:ascii="Arial" w:cs="Arial" w:eastAsia="Arial" w:hAnsi="Arial"/>
          <w:sz w:val="21"/>
          <w:szCs w:val="21"/>
          <w:color w:val="FF0000"/>
          <w:strike w:val="1"/>
        </w:rPr>
      </w:pP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in the case of clause (</w:t>
      </w:r>
      <w:r>
        <w:rPr>
          <w:rFonts w:ascii="Arial" w:cs="Arial" w:eastAsia="Arial" w:hAnsi="Arial"/>
          <w:sz w:val="21"/>
          <w:szCs w:val="21"/>
          <w:color w:val="FF0000"/>
          <w:strike w:val="1"/>
        </w:rPr>
        <w:t>1</w:t>
      </w:r>
      <w:r>
        <w:rPr>
          <w:rFonts w:ascii="Arial" w:cs="Arial" w:eastAsia="Arial" w:hAnsi="Arial"/>
          <w:sz w:val="21"/>
          <w:szCs w:val="21"/>
          <w:u w:val="single" w:color="auto"/>
          <w:color w:val="0000FF"/>
        </w:rPr>
        <w:t>a</w:t>
      </w:r>
      <w:r>
        <w:rPr>
          <w:rFonts w:ascii="Arial" w:cs="Arial" w:eastAsia="Arial" w:hAnsi="Arial"/>
          <w:sz w:val="21"/>
          <w:szCs w:val="21"/>
          <w:color w:val="000000"/>
        </w:rPr>
        <w:t>) or (</w:t>
      </w:r>
      <w:r>
        <w:rPr>
          <w:rFonts w:ascii="Arial" w:cs="Arial" w:eastAsia="Arial" w:hAnsi="Arial"/>
          <w:sz w:val="21"/>
          <w:szCs w:val="21"/>
          <w:color w:val="FF0000"/>
          <w:strike w:val="1"/>
        </w:rPr>
        <w:t>2</w:t>
      </w:r>
      <w:r>
        <w:rPr>
          <w:rFonts w:ascii="Arial" w:cs="Arial" w:eastAsia="Arial" w:hAnsi="Arial"/>
          <w:sz w:val="21"/>
          <w:szCs w:val="21"/>
          <w:u w:val="single" w:color="auto"/>
          <w:color w:val="0000FF"/>
        </w:rPr>
        <w:t>b</w:t>
      </w:r>
      <w:r>
        <w:rPr>
          <w:rFonts w:ascii="Arial" w:cs="Arial" w:eastAsia="Arial" w:hAnsi="Arial"/>
          <w:sz w:val="21"/>
          <w:szCs w:val="21"/>
          <w:color w:val="000000"/>
        </w:rPr>
        <w:t>) of the definition of “Benchmark Transition Event</w:t>
      </w:r>
      <w:r>
        <w:rPr>
          <w:rFonts w:ascii="Arial" w:cs="Arial" w:eastAsia="Arial" w:hAnsi="Arial"/>
          <w:sz w:val="21"/>
          <w:szCs w:val="21"/>
          <w:color w:val="FF0000"/>
          <w:strike w:val="1"/>
        </w:rPr>
        <w:t>,</w:t>
      </w:r>
      <w:r>
        <w:rPr>
          <w:rFonts w:ascii="Arial" w:cs="Arial" w:eastAsia="Arial" w:hAnsi="Arial"/>
          <w:sz w:val="21"/>
          <w:szCs w:val="21"/>
          <w:color w:val="000000"/>
        </w:rPr>
        <w:t>”</w:t>
      </w:r>
      <w:r>
        <w:rPr>
          <w:rFonts w:ascii="Arial" w:cs="Arial" w:eastAsia="Arial" w:hAnsi="Arial"/>
          <w:sz w:val="21"/>
          <w:szCs w:val="21"/>
          <w:u w:val="single" w:color="auto"/>
          <w:color w:val="0000FF"/>
        </w:rPr>
        <w:t>,</w:t>
      </w:r>
      <w:r>
        <w:rPr>
          <w:rFonts w:ascii="Arial" w:cs="Arial" w:eastAsia="Arial" w:hAnsi="Arial"/>
          <w:sz w:val="21"/>
          <w:szCs w:val="21"/>
          <w:color w:val="0000FF"/>
        </w:rPr>
        <w:t xml:space="preserve"> </w:t>
      </w:r>
      <w:r>
        <w:rPr>
          <w:rFonts w:ascii="Arial" w:cs="Arial" w:eastAsia="Arial" w:hAnsi="Arial"/>
          <w:sz w:val="21"/>
          <w:szCs w:val="21"/>
          <w:color w:val="000000"/>
        </w:rPr>
        <w:t>the later of (</w:t>
      </w:r>
      <w:r>
        <w:rPr>
          <w:rFonts w:ascii="Arial" w:cs="Arial" w:eastAsia="Arial" w:hAnsi="Arial"/>
          <w:sz w:val="21"/>
          <w:szCs w:val="21"/>
          <w:color w:val="FF0000"/>
          <w:strike w:val="1"/>
        </w:rPr>
        <w:t>a</w:t>
      </w:r>
      <w:r>
        <w:rPr>
          <w:rFonts w:ascii="Arial" w:cs="Arial" w:eastAsia="Arial" w:hAnsi="Arial"/>
          <w:sz w:val="21"/>
          <w:szCs w:val="21"/>
          <w:u w:val="single" w:color="auto"/>
          <w:color w:val="0000FF"/>
        </w:rPr>
        <w:t>A</w:t>
      </w:r>
      <w:r>
        <w:rPr>
          <w:rFonts w:ascii="Arial" w:cs="Arial" w:eastAsia="Arial" w:hAnsi="Arial"/>
          <w:sz w:val="21"/>
          <w:szCs w:val="21"/>
          <w:color w:val="000000"/>
        </w:rPr>
        <w:t>)</w:t>
      </w:r>
      <w:r>
        <w:rPr>
          <w:rFonts w:ascii="Arial" w:cs="Arial" w:eastAsia="Arial" w:hAnsi="Arial"/>
          <w:sz w:val="21"/>
          <w:szCs w:val="21"/>
          <w:color w:val="0000FF"/>
        </w:rPr>
        <w:t xml:space="preserve"> </w:t>
      </w:r>
      <w:r>
        <w:rPr>
          <w:rFonts w:ascii="Arial" w:cs="Arial" w:eastAsia="Arial" w:hAnsi="Arial"/>
          <w:sz w:val="21"/>
          <w:szCs w:val="21"/>
          <w:color w:val="000000"/>
        </w:rPr>
        <w:t>the date of the public statement or publication of information referenced therein and (</w:t>
      </w:r>
      <w:r>
        <w:rPr>
          <w:rFonts w:ascii="Arial" w:cs="Arial" w:eastAsia="Arial" w:hAnsi="Arial"/>
          <w:sz w:val="21"/>
          <w:szCs w:val="21"/>
          <w:color w:val="FF0000"/>
          <w:strike w:val="1"/>
        </w:rPr>
        <w:t>b</w:t>
      </w:r>
      <w:r>
        <w:rPr>
          <w:rFonts w:ascii="Arial" w:cs="Arial" w:eastAsia="Arial" w:hAnsi="Arial"/>
          <w:sz w:val="21"/>
          <w:szCs w:val="21"/>
          <w:u w:val="single" w:color="auto"/>
          <w:color w:val="0000FF"/>
        </w:rPr>
        <w:t>B</w:t>
      </w:r>
      <w:r>
        <w:rPr>
          <w:rFonts w:ascii="Arial" w:cs="Arial" w:eastAsia="Arial" w:hAnsi="Arial"/>
          <w:sz w:val="21"/>
          <w:szCs w:val="21"/>
          <w:color w:val="000000"/>
        </w:rPr>
        <w:t xml:space="preserve">)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1"/>
          <w:szCs w:val="21"/>
          <w:color w:val="0000FF"/>
        </w:rPr>
        <w:t>or</w:t>
      </w:r>
    </w:p>
    <w:p>
      <w:pPr>
        <w:spacing w:after="0" w:line="173" w:lineRule="exact"/>
        <w:rPr>
          <w:rFonts w:ascii="Arial" w:cs="Arial" w:eastAsia="Arial" w:hAnsi="Arial"/>
          <w:sz w:val="21"/>
          <w:szCs w:val="21"/>
          <w:color w:val="FF0000"/>
          <w:strike w:val="1"/>
        </w:rPr>
      </w:pPr>
    </w:p>
    <w:p>
      <w:pPr>
        <w:ind w:left="760" w:right="120" w:firstLine="745"/>
        <w:spacing w:after="0" w:line="277" w:lineRule="auto"/>
        <w:tabs>
          <w:tab w:leader="none" w:pos="1815" w:val="left"/>
        </w:tabs>
        <w:numPr>
          <w:ilvl w:val="0"/>
          <w:numId w:val="17"/>
        </w:numPr>
        <w:rPr>
          <w:rFonts w:ascii="Arial" w:cs="Arial" w:eastAsia="Arial" w:hAnsi="Arial"/>
          <w:sz w:val="19"/>
          <w:szCs w:val="19"/>
          <w:color w:val="FF0000"/>
          <w:strike w:val="1"/>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in the case of clause (</w:t>
      </w:r>
      <w:r>
        <w:rPr>
          <w:rFonts w:ascii="Arial" w:cs="Arial" w:eastAsia="Arial" w:hAnsi="Arial"/>
          <w:sz w:val="19"/>
          <w:szCs w:val="19"/>
          <w:color w:val="FF0000"/>
          <w:strike w:val="1"/>
        </w:rPr>
        <w:t>3</w:t>
      </w:r>
      <w:r>
        <w:rPr>
          <w:rFonts w:ascii="Arial" w:cs="Arial" w:eastAsia="Arial" w:hAnsi="Arial"/>
          <w:sz w:val="19"/>
          <w:szCs w:val="19"/>
          <w:u w:val="single" w:color="auto"/>
          <w:color w:val="0000FF"/>
        </w:rPr>
        <w:t>c</w:t>
      </w:r>
      <w:r>
        <w:rPr>
          <w:rFonts w:ascii="Arial" w:cs="Arial" w:eastAsia="Arial" w:hAnsi="Arial"/>
          <w:sz w:val="19"/>
          <w:szCs w:val="19"/>
          <w:color w:val="000000"/>
        </w:rPr>
        <w:t>) of the definition of “Benchmark Transition Event</w:t>
      </w:r>
      <w:r>
        <w:rPr>
          <w:rFonts w:ascii="Arial" w:cs="Arial" w:eastAsia="Arial" w:hAnsi="Arial"/>
          <w:sz w:val="19"/>
          <w:szCs w:val="19"/>
          <w:color w:val="FF0000"/>
          <w:strike w:val="1"/>
        </w:rPr>
        <w:t>,</w:t>
      </w:r>
      <w:r>
        <w:rPr>
          <w:rFonts w:ascii="Arial" w:cs="Arial" w:eastAsia="Arial" w:hAnsi="Arial"/>
          <w:sz w:val="19"/>
          <w:szCs w:val="19"/>
          <w:color w:val="000000"/>
        </w:rPr>
        <w:t>”</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first</w:t>
      </w:r>
      <w:r>
        <w:rPr>
          <w:rFonts w:ascii="Arial" w:cs="Arial" w:eastAsia="Arial" w:hAnsi="Arial"/>
          <w:sz w:val="19"/>
          <w:szCs w:val="19"/>
          <w:color w:val="0000FF"/>
        </w:rPr>
        <w:t xml:space="preserve"> </w:t>
      </w:r>
      <w:r>
        <w:rPr>
          <w:rFonts w:ascii="Arial" w:cs="Arial" w:eastAsia="Arial" w:hAnsi="Arial"/>
          <w:sz w:val="19"/>
          <w:szCs w:val="19"/>
          <w:color w:val="000000"/>
        </w:rPr>
        <w:t>date</w:t>
      </w:r>
      <w:r>
        <w:rPr>
          <w:rFonts w:ascii="Arial" w:cs="Arial" w:eastAsia="Arial" w:hAnsi="Arial"/>
          <w:sz w:val="19"/>
          <w:szCs w:val="19"/>
          <w:color w:val="0000FF"/>
        </w:rPr>
        <w:t xml:space="preserve"> </w:t>
      </w:r>
      <w:r>
        <w:rPr>
          <w:rFonts w:ascii="Arial" w:cs="Arial" w:eastAsia="Arial" w:hAnsi="Arial"/>
          <w:sz w:val="19"/>
          <w:szCs w:val="19"/>
          <w:color w:val="FF0000"/>
          <w:strike w:val="1"/>
        </w:rPr>
        <w:t>of the</w:t>
      </w:r>
      <w:r>
        <w:rPr>
          <w:rFonts w:ascii="Arial" w:cs="Arial" w:eastAsia="Arial" w:hAnsi="Arial"/>
          <w:sz w:val="19"/>
          <w:szCs w:val="19"/>
          <w:color w:val="0000FF"/>
        </w:rPr>
        <w:t xml:space="preserve"> </w:t>
      </w:r>
      <w:r>
        <w:rPr>
          <w:rFonts w:ascii="Arial" w:cs="Arial" w:eastAsia="Arial" w:hAnsi="Arial"/>
          <w:sz w:val="19"/>
          <w:szCs w:val="19"/>
          <w:color w:val="FF0000"/>
          <w:strike w:val="1"/>
        </w:rPr>
        <w:t>public</w:t>
      </w:r>
      <w:r>
        <w:rPr>
          <w:rFonts w:ascii="Arial" w:cs="Arial" w:eastAsia="Arial" w:hAnsi="Arial"/>
          <w:sz w:val="19"/>
          <w:szCs w:val="19"/>
          <w:u w:val="single" w:color="auto"/>
          <w:color w:val="0000FF"/>
          <w:strike w:val="1"/>
        </w:rPr>
        <w:t>on which such Benchmark (or the published component used in the calculation thereof) has been determined and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 xml:space="preserve">announced by or on behalf of the administrator of such Benchmark (or such component thereof) or the regulatory supervisor for the administrator of such Benchmark (or such component thereof) to be non-representative; provided that such non-representativeness, non-compliance or non-alignment will be determined by reference to the most recent </w:t>
      </w:r>
      <w:r>
        <w:rPr>
          <w:rFonts w:ascii="Arial" w:cs="Arial" w:eastAsia="Arial" w:hAnsi="Arial"/>
          <w:sz w:val="19"/>
          <w:szCs w:val="19"/>
          <w:color w:val="000000"/>
          <w:strike w:val="1"/>
        </w:rPr>
        <w:t xml:space="preserve">statement or publication </w:t>
      </w:r>
      <w:r>
        <w:rPr>
          <w:rFonts w:ascii="Arial" w:cs="Arial" w:eastAsia="Arial" w:hAnsi="Arial"/>
          <w:sz w:val="19"/>
          <w:szCs w:val="19"/>
          <w:color w:val="FF0000"/>
          <w:strike w:val="1"/>
        </w:rPr>
        <w:t>of information</w:t>
      </w:r>
      <w:r>
        <w:rPr>
          <w:rFonts w:ascii="Arial" w:cs="Arial" w:eastAsia="Arial" w:hAnsi="Arial"/>
          <w:sz w:val="19"/>
          <w:szCs w:val="19"/>
          <w:color w:val="000000"/>
          <w:strike w:val="1"/>
        </w:rPr>
        <w:t xml:space="preserve"> referenced </w:t>
      </w:r>
      <w:r>
        <w:rPr>
          <w:rFonts w:ascii="Arial" w:cs="Arial" w:eastAsia="Arial" w:hAnsi="Arial"/>
          <w:sz w:val="19"/>
          <w:szCs w:val="19"/>
          <w:color w:val="FF0000"/>
          <w:strike w:val="1"/>
        </w:rPr>
        <w:t>therein;</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in such clause (c) and even if any Available Tenor of such</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-1269365</wp:posOffset>
            </wp:positionV>
            <wp:extent cx="1485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8" w:name="page49"/>
    <w:bookmarkEnd w:id="48"/>
    <w:p>
      <w:pPr>
        <w:ind w:left="920" w:hanging="406"/>
        <w:spacing w:after="0" w:line="250" w:lineRule="auto"/>
        <w:tabs>
          <w:tab w:leader="none" w:pos="848" w:val="left"/>
        </w:tabs>
        <w:numPr>
          <w:ilvl w:val="0"/>
          <w:numId w:val="18"/>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in the case of a Term SOFR Transition Event, the date that is thirty (30) days after the date a Term SOFR Notice is provided to the Investors and the Co-Issuers pursuant to </w:t>
      </w:r>
      <w:r>
        <w:rPr>
          <w:rFonts w:ascii="Arial" w:cs="Arial" w:eastAsia="Arial" w:hAnsi="Arial"/>
          <w:sz w:val="22"/>
          <w:szCs w:val="22"/>
          <w:u w:val="single" w:color="auto"/>
          <w:color w:val="FF0000"/>
          <w:strike w:val="1"/>
        </w:rPr>
        <w:t>Section 3.04(c)(ii)</w:t>
      </w:r>
      <w:r>
        <w:rPr>
          <w:rFonts w:ascii="Arial" w:cs="Arial" w:eastAsia="Arial" w:hAnsi="Arial"/>
          <w:sz w:val="22"/>
          <w:szCs w:val="22"/>
          <w:color w:val="FF0000"/>
          <w:strike w:val="1"/>
        </w:rPr>
        <w:t>; or</w:t>
      </w:r>
    </w:p>
    <w:p>
      <w:pPr>
        <w:spacing w:after="0" w:line="93" w:lineRule="exact"/>
        <w:rPr>
          <w:rFonts w:ascii="Arial" w:cs="Arial" w:eastAsia="Arial" w:hAnsi="Arial"/>
          <w:sz w:val="22"/>
          <w:szCs w:val="22"/>
          <w:color w:val="FF0000"/>
          <w:strike w:val="1"/>
        </w:rPr>
      </w:pPr>
    </w:p>
    <w:p>
      <w:pPr>
        <w:ind w:left="920" w:hanging="406"/>
        <w:spacing w:after="0" w:line="252" w:lineRule="auto"/>
        <w:tabs>
          <w:tab w:leader="none" w:pos="835" w:val="left"/>
        </w:tabs>
        <w:numPr>
          <w:ilvl w:val="0"/>
          <w:numId w:val="18"/>
        </w:numPr>
        <w:rPr>
          <w:rFonts w:ascii="Arial" w:cs="Arial" w:eastAsia="Arial" w:hAnsi="Arial"/>
          <w:sz w:val="21"/>
          <w:szCs w:val="21"/>
          <w:color w:val="FF0000"/>
          <w:strike w:val="1"/>
        </w:rPr>
      </w:pPr>
      <w:r>
        <w:rPr>
          <w:rFonts w:ascii="Arial" w:cs="Arial" w:eastAsia="Arial" w:hAnsi="Arial"/>
          <w:sz w:val="21"/>
          <w:szCs w:val="21"/>
          <w:color w:val="FF0000"/>
          <w:strike w:val="1"/>
        </w:rPr>
        <w:t>in the case of an Early Opt-in Election, the sixth (6th) Business Day after the date notice of such Early Opt-in Election is provided to the Investors, so long as the Administrative Agent has not received, by 5:00 p.m. (New York City time) on the fifth (5th) Business Day after the date notice of such Early Opt-in Election is provided to the Investors, written notice of objection to such Early Opt-in Election from the Required Investor Groups.</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For the avoidance of doubt, </w:t>
      </w:r>
      <w:r>
        <w:rPr>
          <w:rFonts w:ascii="Arial" w:cs="Arial" w:eastAsia="Arial" w:hAnsi="Arial"/>
          <w:sz w:val="22"/>
          <w:szCs w:val="22"/>
          <w:color w:val="FF0000"/>
          <w:strike w:val="1"/>
        </w:rPr>
        <w:t>(i) if the event giving rise to the Benchmark Replacement Date occurs on the same day as, but earlier</w:t>
      </w:r>
      <w:r>
        <w:rPr>
          <w:rFonts w:ascii="Arial" w:cs="Arial" w:eastAsia="Arial" w:hAnsi="Arial"/>
          <w:sz w:val="22"/>
          <w:szCs w:val="22"/>
          <w:color w:val="auto"/>
        </w:rPr>
        <w:t xml:space="preserve"> </w:t>
      </w:r>
      <w:r>
        <w:rPr>
          <w:rFonts w:ascii="Arial" w:cs="Arial" w:eastAsia="Arial" w:hAnsi="Arial"/>
          <w:sz w:val="22"/>
          <w:szCs w:val="22"/>
          <w:color w:val="FF0000"/>
          <w:strike w:val="1"/>
        </w:rPr>
        <w:t xml:space="preserve">than, the Reference Time in respect of any determination, the Benchmark Replacement Date will be deemed to have occurred prior to the Reference Time for such determination and (ii) </w:t>
      </w:r>
      <w:r>
        <w:rPr>
          <w:rFonts w:ascii="Arial" w:cs="Arial" w:eastAsia="Arial" w:hAnsi="Arial"/>
          <w:sz w:val="22"/>
          <w:szCs w:val="22"/>
          <w:color w:val="000000"/>
          <w:strike w:val="1"/>
        </w:rPr>
        <w:t>the “Benchmark Replacement Date” will be deemed to have occurred</w:t>
      </w:r>
      <w:r>
        <w:rPr>
          <w:rFonts w:ascii="Arial" w:cs="Arial" w:eastAsia="Arial" w:hAnsi="Arial"/>
          <w:sz w:val="22"/>
          <w:szCs w:val="22"/>
          <w:color w:val="FF0000"/>
          <w:strike w:val="1"/>
        </w:rPr>
        <w:t xml:space="preserve"> </w:t>
      </w:r>
      <w:r>
        <w:rPr>
          <w:rFonts w:ascii="Arial" w:cs="Arial" w:eastAsia="Arial" w:hAnsi="Arial"/>
          <w:sz w:val="22"/>
          <w:szCs w:val="22"/>
          <w:color w:val="000000"/>
          <w:strike w:val="1"/>
        </w:rPr>
        <w:t>in the case of clause (</w:t>
      </w:r>
      <w:r>
        <w:rPr>
          <w:rFonts w:ascii="Arial" w:cs="Arial" w:eastAsia="Arial" w:hAnsi="Arial"/>
          <w:sz w:val="22"/>
          <w:szCs w:val="22"/>
          <w:color w:val="FF0000"/>
          <w:strike w:val="1"/>
        </w:rPr>
        <w:t>1</w:t>
      </w:r>
      <w:r>
        <w:rPr>
          <w:rFonts w:ascii="Arial" w:cs="Arial" w:eastAsia="Arial" w:hAnsi="Arial"/>
          <w:sz w:val="22"/>
          <w:szCs w:val="22"/>
          <w:u w:val="single" w:color="auto"/>
          <w:color w:val="0000FF"/>
          <w:strike w:val="1"/>
        </w:rPr>
        <w:t>a</w:t>
      </w:r>
      <w:r>
        <w:rPr>
          <w:rFonts w:ascii="Arial" w:cs="Arial" w:eastAsia="Arial" w:hAnsi="Arial"/>
          <w:sz w:val="22"/>
          <w:szCs w:val="22"/>
          <w:color w:val="000000"/>
          <w:strike w:val="1"/>
        </w:rPr>
        <w:t>) or (</w:t>
      </w:r>
      <w:r>
        <w:rPr>
          <w:rFonts w:ascii="Arial" w:cs="Arial" w:eastAsia="Arial" w:hAnsi="Arial"/>
          <w:sz w:val="22"/>
          <w:szCs w:val="22"/>
          <w:color w:val="FF0000"/>
          <w:strike w:val="1"/>
        </w:rPr>
        <w:t>2</w:t>
      </w:r>
      <w:r>
        <w:rPr>
          <w:rFonts w:ascii="Arial" w:cs="Arial" w:eastAsia="Arial" w:hAnsi="Arial"/>
          <w:sz w:val="22"/>
          <w:szCs w:val="22"/>
          <w:u w:val="single" w:color="auto"/>
          <w:color w:val="0000FF"/>
          <w:strike w:val="1"/>
        </w:rPr>
        <w:t>b</w:t>
      </w:r>
      <w:r>
        <w:rPr>
          <w:rFonts w:ascii="Arial" w:cs="Arial" w:eastAsia="Arial" w:hAnsi="Arial"/>
          <w:sz w:val="22"/>
          <w:szCs w:val="22"/>
          <w:color w:val="000000"/>
          <w:strike w:val="1"/>
        </w:rPr>
        <w:t>)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ind w:right="3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75" w:lineRule="exact"/>
        <w:rPr>
          <w:sz w:val="20"/>
          <w:szCs w:val="20"/>
          <w:color w:val="auto"/>
        </w:rPr>
      </w:pPr>
    </w:p>
    <w:p>
      <w:pPr>
        <w:ind w:left="760" w:right="160" w:firstLine="745"/>
        <w:spacing w:after="0" w:line="282" w:lineRule="auto"/>
        <w:tabs>
          <w:tab w:leader="none" w:pos="1815" w:val="left"/>
        </w:tabs>
        <w:numPr>
          <w:ilvl w:val="0"/>
          <w:numId w:val="19"/>
        </w:numPr>
        <w:rPr>
          <w:rFonts w:ascii="Arial" w:cs="Arial" w:eastAsia="Arial" w:hAnsi="Arial"/>
          <w:sz w:val="19"/>
          <w:szCs w:val="19"/>
          <w:color w:val="FF0000"/>
          <w:strike w:val="1"/>
        </w:rPr>
      </w:pPr>
      <w:r>
        <w:rPr>
          <w:rFonts w:ascii="Arial" w:cs="Arial" w:eastAsia="Arial" w:hAnsi="Arial"/>
          <w:sz w:val="19"/>
          <w:szCs w:val="19"/>
          <w:u w:val="single" w:color="auto"/>
          <w:color w:val="0000FF"/>
        </w:rPr>
        <w:t>(a)</w:t>
      </w:r>
      <w:r>
        <w:rPr>
          <w:rFonts w:ascii="Arial" w:cs="Arial" w:eastAsia="Arial" w:hAnsi="Arial"/>
          <w:sz w:val="19"/>
          <w:szCs w:val="19"/>
          <w:color w:val="0000FF"/>
        </w:rPr>
        <w:t xml:space="preserve"> </w:t>
      </w:r>
      <w:r>
        <w:rPr>
          <w:rFonts w:ascii="Arial" w:cs="Arial" w:eastAsia="Arial" w:hAnsi="Arial"/>
          <w:sz w:val="19"/>
          <w:szCs w:val="19"/>
          <w:color w:val="000000"/>
        </w:rPr>
        <w:t>a public statement or publication of information by or on behalf of the administrator of such</w:t>
      </w:r>
      <w:r>
        <w:rPr>
          <w:rFonts w:ascii="Arial" w:cs="Arial" w:eastAsia="Arial" w:hAnsi="Arial"/>
          <w:sz w:val="19"/>
          <w:szCs w:val="19"/>
          <w:color w:val="0000FF"/>
        </w:rPr>
        <w:t xml:space="preserve"> </w:t>
      </w:r>
      <w:r>
        <w:rPr>
          <w:rFonts w:ascii="Arial" w:cs="Arial" w:eastAsia="Arial" w:hAnsi="Arial"/>
          <w:sz w:val="19"/>
          <w:szCs w:val="19"/>
          <w:color w:val="000000"/>
        </w:rPr>
        <w:t>Benchmark (or the published component used in the calculation thereof) announcing that such administrator has ceased or will cease to provide all Available Tenors of such Benchmark (or such component thereof), permanently or indefinitely</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at the time of such statement or publication, there is no successor administrator that will continue to provide any Available Tenor of such Benchmark (or such component thereof);</w:t>
      </w:r>
    </w:p>
    <w:p>
      <w:pPr>
        <w:spacing w:after="0" w:line="147" w:lineRule="exact"/>
        <w:rPr>
          <w:rFonts w:ascii="Arial" w:cs="Arial" w:eastAsia="Arial" w:hAnsi="Arial"/>
          <w:sz w:val="19"/>
          <w:szCs w:val="19"/>
          <w:color w:val="FF0000"/>
          <w:strike w:val="1"/>
        </w:rPr>
      </w:pPr>
    </w:p>
    <w:p>
      <w:pPr>
        <w:ind w:left="760" w:right="60" w:firstLine="745"/>
        <w:spacing w:after="0" w:line="274" w:lineRule="auto"/>
        <w:tabs>
          <w:tab w:leader="none" w:pos="1815" w:val="left"/>
        </w:tabs>
        <w:numPr>
          <w:ilvl w:val="0"/>
          <w:numId w:val="19"/>
        </w:numPr>
        <w:rPr>
          <w:rFonts w:ascii="Arial" w:cs="Arial" w:eastAsia="Arial" w:hAnsi="Arial"/>
          <w:sz w:val="19"/>
          <w:szCs w:val="19"/>
          <w:color w:val="FF0000"/>
          <w:strike w:val="1"/>
        </w:rPr>
      </w:pPr>
      <w:r>
        <w:rPr>
          <w:rFonts w:ascii="Arial" w:cs="Arial" w:eastAsia="Arial" w:hAnsi="Arial"/>
          <w:sz w:val="19"/>
          <w:szCs w:val="19"/>
          <w:u w:val="single" w:color="auto"/>
          <w:color w:val="0000FF"/>
        </w:rPr>
        <w:t>(b)</w:t>
      </w:r>
      <w:r>
        <w:rPr>
          <w:rFonts w:ascii="Arial" w:cs="Arial" w:eastAsia="Arial" w:hAnsi="Arial"/>
          <w:sz w:val="19"/>
          <w:szCs w:val="19"/>
          <w:color w:val="0000FF"/>
        </w:rPr>
        <w:t xml:space="preserve"> </w:t>
      </w:r>
      <w:r>
        <w:rPr>
          <w:rFonts w:ascii="Arial" w:cs="Arial" w:eastAsia="Arial" w:hAnsi="Arial"/>
          <w:sz w:val="19"/>
          <w:szCs w:val="19"/>
          <w:color w:val="000000"/>
        </w:rPr>
        <w:t>a public statement or publication of information by the regulatory supervisor for the administrator of</w:t>
      </w:r>
      <w:r>
        <w:rPr>
          <w:rFonts w:ascii="Arial" w:cs="Arial" w:eastAsia="Arial" w:hAnsi="Arial"/>
          <w:sz w:val="19"/>
          <w:szCs w:val="19"/>
          <w:color w:val="0000FF"/>
        </w:rPr>
        <w:t xml:space="preserve"> </w:t>
      </w:r>
      <w:r>
        <w:rPr>
          <w:rFonts w:ascii="Arial" w:cs="Arial" w:eastAsia="Arial" w:hAnsi="Arial"/>
          <w:sz w:val="19"/>
          <w:szCs w:val="19"/>
          <w:color w:val="000000"/>
        </w:rPr>
        <w:t xml:space="preserve">such Benchmark (or the published component used in the calculation thereof), the </w:t>
      </w:r>
      <w:r>
        <w:rPr>
          <w:rFonts w:ascii="Arial" w:cs="Arial" w:eastAsia="Arial" w:hAnsi="Arial"/>
          <w:sz w:val="19"/>
          <w:szCs w:val="19"/>
          <w:color w:val="FF0000"/>
          <w:strike w:val="1"/>
        </w:rPr>
        <w:t>Board of Governors of the</w:t>
      </w:r>
      <w:r>
        <w:rPr>
          <w:rFonts w:ascii="Arial" w:cs="Arial" w:eastAsia="Arial" w:hAnsi="Arial"/>
          <w:sz w:val="19"/>
          <w:szCs w:val="19"/>
          <w:color w:val="000000"/>
        </w:rPr>
        <w:t xml:space="preserve"> Federal Reserve </w:t>
      </w:r>
      <w:r>
        <w:rPr>
          <w:rFonts w:ascii="Arial" w:cs="Arial" w:eastAsia="Arial" w:hAnsi="Arial"/>
          <w:sz w:val="19"/>
          <w:szCs w:val="19"/>
          <w:color w:val="FF0000"/>
          <w:strike w:val="1"/>
        </w:rPr>
        <w:t>System</w:t>
      </w:r>
      <w:r>
        <w:rPr>
          <w:rFonts w:ascii="Arial" w:cs="Arial" w:eastAsia="Arial" w:hAnsi="Arial"/>
          <w:sz w:val="19"/>
          <w:szCs w:val="19"/>
          <w:u w:val="single" w:color="auto"/>
          <w:color w:val="0000FF"/>
        </w:rPr>
        <w:t>Board</w:t>
      </w:r>
      <w:r>
        <w:rPr>
          <w:rFonts w:ascii="Arial" w:cs="Arial" w:eastAsia="Arial" w:hAnsi="Arial"/>
          <w:sz w:val="19"/>
          <w:szCs w:val="19"/>
          <w:color w:val="000000"/>
        </w:rPr>
        <w:t>,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19"/>
          <w:szCs w:val="19"/>
          <w:color w:val="FF0000"/>
          <w:strike w:val="1"/>
        </w:rPr>
      </w:pPr>
    </w:p>
    <w:p>
      <w:pPr>
        <w:ind w:left="760" w:right="240" w:firstLine="745"/>
        <w:spacing w:after="0"/>
        <w:tabs>
          <w:tab w:leader="none" w:pos="1815" w:val="left"/>
        </w:tabs>
        <w:numPr>
          <w:ilvl w:val="0"/>
          <w:numId w:val="19"/>
        </w:numPr>
        <w:rPr>
          <w:rFonts w:ascii="Arial" w:cs="Arial" w:eastAsia="Arial" w:hAnsi="Arial"/>
          <w:sz w:val="22"/>
          <w:szCs w:val="22"/>
          <w:color w:val="FF0000"/>
          <w:strike w:val="1"/>
        </w:rPr>
      </w:pPr>
      <w:r>
        <w:rPr>
          <w:rFonts w:ascii="Arial" w:cs="Arial" w:eastAsia="Arial" w:hAnsi="Arial"/>
          <w:sz w:val="22"/>
          <w:szCs w:val="22"/>
          <w:u w:val="single" w:color="auto"/>
          <w:color w:val="0000FF"/>
        </w:rPr>
        <w:t>(c)</w:t>
      </w:r>
      <w:r>
        <w:rPr>
          <w:rFonts w:ascii="Arial" w:cs="Arial" w:eastAsia="Arial" w:hAnsi="Arial"/>
          <w:sz w:val="22"/>
          <w:szCs w:val="22"/>
          <w:color w:val="0000FF"/>
        </w:rPr>
        <w:t xml:space="preserve"> </w:t>
      </w:r>
      <w:r>
        <w:rPr>
          <w:rFonts w:ascii="Arial" w:cs="Arial" w:eastAsia="Arial" w:hAnsi="Arial"/>
          <w:sz w:val="22"/>
          <w:szCs w:val="22"/>
          <w:color w:val="000000"/>
        </w:rPr>
        <w:t>a public statement or publication of information by</w:t>
      </w:r>
      <w:r>
        <w:rPr>
          <w:rFonts w:ascii="Arial" w:cs="Arial" w:eastAsia="Arial" w:hAnsi="Arial"/>
          <w:sz w:val="22"/>
          <w:szCs w:val="22"/>
          <w:color w:val="0000FF"/>
        </w:rPr>
        <w:t xml:space="preserve"> </w:t>
      </w:r>
      <w:r>
        <w:rPr>
          <w:rFonts w:ascii="Arial" w:cs="Arial" w:eastAsia="Arial" w:hAnsi="Arial"/>
          <w:sz w:val="22"/>
          <w:szCs w:val="22"/>
          <w:color w:val="FF0000"/>
          <w:strike w:val="1"/>
        </w:rPr>
        <w:t>the regulatory supervisor for</w:t>
      </w:r>
      <w:r>
        <w:rPr>
          <w:rFonts w:ascii="Arial" w:cs="Arial" w:eastAsia="Arial" w:hAnsi="Arial"/>
          <w:sz w:val="22"/>
          <w:szCs w:val="22"/>
          <w:u w:val="single" w:color="auto"/>
          <w:color w:val="0000FF"/>
        </w:rPr>
        <w:t>or on behalf of</w:t>
      </w:r>
      <w:r>
        <w:rPr>
          <w:rFonts w:ascii="Arial" w:cs="Arial" w:eastAsia="Arial" w:hAnsi="Arial"/>
          <w:sz w:val="22"/>
          <w:szCs w:val="22"/>
          <w:color w:val="0000FF"/>
        </w:rPr>
        <w:t xml:space="preserve"> </w:t>
      </w:r>
      <w:r>
        <w:rPr>
          <w:rFonts w:ascii="Arial" w:cs="Arial" w:eastAsia="Arial" w:hAnsi="Arial"/>
          <w:sz w:val="22"/>
          <w:szCs w:val="22"/>
          <w:color w:val="000000"/>
        </w:rPr>
        <w:t>the</w:t>
      </w:r>
      <w:r>
        <w:rPr>
          <w:rFonts w:ascii="Arial" w:cs="Arial" w:eastAsia="Arial" w:hAnsi="Arial"/>
          <w:sz w:val="22"/>
          <w:szCs w:val="22"/>
          <w:color w:val="0000FF"/>
        </w:rPr>
        <w:t xml:space="preserve"> </w:t>
      </w:r>
      <w:r>
        <w:rPr>
          <w:rFonts w:ascii="Arial" w:cs="Arial" w:eastAsia="Arial" w:hAnsi="Arial"/>
          <w:sz w:val="22"/>
          <w:szCs w:val="22"/>
          <w:color w:val="000000"/>
        </w:rPr>
        <w:t xml:space="preserve">administrator of such Benchmark (or the published component used in the calculation </w:t>
      </w:r>
      <w:r>
        <w:rPr>
          <w:rFonts w:ascii="Arial" w:cs="Arial" w:eastAsia="Arial" w:hAnsi="Arial"/>
          <w:sz w:val="22"/>
          <w:szCs w:val="22"/>
          <w:u w:val="single" w:color="auto"/>
          <w:color w:val="0000FF"/>
        </w:rPr>
        <w:t>thereof) or the regulatory</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supervisor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9" w:name="page50"/>
    <w:bookmarkEnd w:id="49"/>
    <w:p>
      <w:pPr>
        <w:ind w:left="760" w:right="140"/>
        <w:spacing w:after="0" w:line="328" w:lineRule="auto"/>
        <w:rPr>
          <w:sz w:val="20"/>
          <w:szCs w:val="20"/>
          <w:color w:val="auto"/>
        </w:rPr>
      </w:pPr>
      <w:r>
        <w:rPr>
          <w:rFonts w:ascii="Arial" w:cs="Arial" w:eastAsia="Arial" w:hAnsi="Arial"/>
          <w:sz w:val="19"/>
          <w:szCs w:val="19"/>
          <w:u w:val="single" w:color="auto"/>
          <w:color w:val="0000FF"/>
        </w:rPr>
        <w:t>administrator of such Benchmark (or such component</w:t>
      </w:r>
      <w:r>
        <w:rPr>
          <w:rFonts w:ascii="Arial" w:cs="Arial" w:eastAsia="Arial" w:hAnsi="Arial"/>
          <w:sz w:val="19"/>
          <w:szCs w:val="19"/>
          <w:color w:val="0000FF"/>
        </w:rPr>
        <w:t xml:space="preserve"> </w:t>
      </w:r>
      <w:r>
        <w:rPr>
          <w:rFonts w:ascii="Arial" w:cs="Arial" w:eastAsia="Arial" w:hAnsi="Arial"/>
          <w:sz w:val="19"/>
          <w:szCs w:val="19"/>
          <w:color w:val="000000"/>
        </w:rPr>
        <w:t>thereof) announcing that all Available Tenors of such Benchmark</w:t>
      </w:r>
      <w:r>
        <w:rPr>
          <w:rFonts w:ascii="Arial" w:cs="Arial" w:eastAsia="Arial" w:hAnsi="Arial"/>
          <w:sz w:val="19"/>
          <w:szCs w:val="19"/>
          <w:color w:val="0000FF"/>
        </w:rPr>
        <w:t xml:space="preserve"> </w:t>
      </w:r>
      <w:r>
        <w:rPr>
          <w:rFonts w:ascii="Arial" w:cs="Arial" w:eastAsia="Arial" w:hAnsi="Arial"/>
          <w:sz w:val="19"/>
          <w:szCs w:val="19"/>
          <w:color w:val="000000"/>
        </w:rPr>
        <w:t xml:space="preserve">(or such component thereof) are </w:t>
      </w:r>
      <w:r>
        <w:rPr>
          <w:rFonts w:ascii="Arial" w:cs="Arial" w:eastAsia="Arial" w:hAnsi="Arial"/>
          <w:sz w:val="19"/>
          <w:szCs w:val="19"/>
          <w:color w:val="FF0000"/>
          <w:strike w:val="1"/>
        </w:rPr>
        <w:t>no longer</w:t>
      </w:r>
      <w:r>
        <w:rPr>
          <w:rFonts w:ascii="Arial" w:cs="Arial" w:eastAsia="Arial" w:hAnsi="Arial"/>
          <w:sz w:val="19"/>
          <w:szCs w:val="19"/>
          <w:u w:val="single" w:color="auto"/>
          <w:color w:val="0000FF"/>
        </w:rPr>
        <w:t>not, or as of a specified future date will not be,</w:t>
      </w:r>
      <w:r>
        <w:rPr>
          <w:rFonts w:ascii="Arial" w:cs="Arial" w:eastAsia="Arial" w:hAnsi="Arial"/>
          <w:sz w:val="19"/>
          <w:szCs w:val="19"/>
          <w:color w:val="000000"/>
        </w:rPr>
        <w:t xml:space="preserve"> representative.</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13" w:lineRule="exact"/>
        <w:rPr>
          <w:sz w:val="20"/>
          <w:szCs w:val="20"/>
          <w:color w:val="auto"/>
        </w:rPr>
      </w:pPr>
    </w:p>
    <w:p>
      <w:pPr>
        <w:ind w:right="200" w:firstLine="1497"/>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the period (if any) (</w:t>
      </w:r>
      <w:r>
        <w:rPr>
          <w:rFonts w:ascii="Arial" w:cs="Arial" w:eastAsia="Arial" w:hAnsi="Arial"/>
          <w:sz w:val="19"/>
          <w:szCs w:val="19"/>
          <w:color w:val="FF0000"/>
          <w:strike w:val="1"/>
        </w:rPr>
        <w:t>x</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beginning at the time that a Benchmark Replacement Date </w:t>
      </w:r>
      <w:r>
        <w:rPr>
          <w:rFonts w:ascii="Arial" w:cs="Arial" w:eastAsia="Arial" w:hAnsi="Arial"/>
          <w:sz w:val="19"/>
          <w:szCs w:val="19"/>
          <w:color w:val="FF0000"/>
          <w:strike w:val="1"/>
        </w:rPr>
        <w:t>pursuant to clauses (1) or (2) of that definition</w:t>
      </w:r>
      <w:r>
        <w:rPr>
          <w:rFonts w:ascii="Arial" w:cs="Arial" w:eastAsia="Arial" w:hAnsi="Arial"/>
          <w:sz w:val="19"/>
          <w:szCs w:val="19"/>
          <w:color w:val="auto"/>
        </w:rPr>
        <w:t xml:space="preserve"> has occurred if, at such time, no Benchmark Replacement has replaced the then-current Benchmark for all purposes hereunder and under any Related Document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u w:val="single" w:color="auto"/>
          <w:color w:val="FF0000"/>
          <w:strike w:val="1"/>
        </w:rPr>
        <w:t>(c)</w:t>
      </w:r>
      <w:r>
        <w:rPr>
          <w:rFonts w:ascii="Arial" w:cs="Arial" w:eastAsia="Arial" w:hAnsi="Arial"/>
          <w:sz w:val="19"/>
          <w:szCs w:val="19"/>
          <w:color w:val="auto"/>
        </w:rPr>
        <w:t xml:space="preserve"> and (</w:t>
      </w:r>
      <w:r>
        <w:rPr>
          <w:rFonts w:ascii="Arial" w:cs="Arial" w:eastAsia="Arial" w:hAnsi="Arial"/>
          <w:sz w:val="19"/>
          <w:szCs w:val="19"/>
          <w:color w:val="FF0000"/>
          <w:strike w:val="1"/>
        </w:rPr>
        <w:t>y</w:t>
      </w:r>
      <w:r>
        <w:rPr>
          <w:rFonts w:ascii="Arial" w:cs="Arial" w:eastAsia="Arial" w:hAnsi="Arial"/>
          <w:sz w:val="19"/>
          <w:szCs w:val="19"/>
          <w:u w:val="single" w:color="auto"/>
          <w:color w:val="0000FF"/>
        </w:rPr>
        <w:t>b</w:t>
      </w:r>
      <w:r>
        <w:rPr>
          <w:rFonts w:ascii="Arial" w:cs="Arial" w:eastAsia="Arial" w:hAnsi="Arial"/>
          <w:sz w:val="19"/>
          <w:szCs w:val="19"/>
          <w:color w:val="auto"/>
        </w:rPr>
        <w:t xml:space="preserve">) ending at the time that a Benchmark Replacement has replaced the then-current Benchmark for all purposes hereunder and under any Related Document in accordance with </w:t>
      </w:r>
      <w:r>
        <w:rPr>
          <w:rFonts w:ascii="Arial" w:cs="Arial" w:eastAsia="Arial" w:hAnsi="Arial"/>
          <w:sz w:val="19"/>
          <w:szCs w:val="19"/>
          <w:u w:val="single" w:color="auto"/>
          <w:color w:val="auto"/>
        </w:rPr>
        <w:t>Section 3.04</w:t>
      </w:r>
      <w:r>
        <w:rPr>
          <w:rFonts w:ascii="Arial" w:cs="Arial" w:eastAsia="Arial" w:hAnsi="Arial"/>
          <w:sz w:val="19"/>
          <w:szCs w:val="19"/>
          <w:u w:val="single" w:color="auto"/>
          <w:color w:val="FF0000"/>
          <w:strike w:val="1"/>
        </w:rPr>
        <w:t>(c)</w:t>
      </w:r>
      <w:r>
        <w:rPr>
          <w:rFonts w:ascii="Arial" w:cs="Arial" w:eastAsia="Arial" w:hAnsi="Arial"/>
          <w:sz w:val="19"/>
          <w:szCs w:val="19"/>
          <w:color w:val="auto"/>
        </w:rPr>
        <w:t>.</w:t>
      </w:r>
    </w:p>
    <w:p>
      <w:pPr>
        <w:spacing w:after="0" w:line="1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Rule.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Rule</w:t>
      </w:r>
      <w:r>
        <w:rPr>
          <w:rFonts w:ascii="Arial" w:cs="Arial" w:eastAsia="Arial" w:hAnsi="Arial"/>
          <w:sz w:val="22"/>
          <w:szCs w:val="22"/>
          <w:color w:val="auto"/>
        </w:rPr>
        <w:t>” means 31 C.F.R. § 1010.230.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Breakage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3.06</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4.03(b)</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any law, rule or regulation or any change therein or in the interpretation or application thereof (whether or not having the force of law), in each case, adopted, issued or occurring after the Series 2021-1 Closing Date or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a Governmental Authority) which is responsible for the establishment or interpretation of national or international accounting principles, in each case, whether foreign or domestic (each, an “</w:t>
      </w:r>
      <w:r>
        <w:rPr>
          <w:rFonts w:ascii="Arial" w:cs="Arial" w:eastAsia="Arial" w:hAnsi="Arial"/>
          <w:sz w:val="19"/>
          <w:szCs w:val="19"/>
          <w:u w:val="single" w:color="auto"/>
          <w:color w:val="auto"/>
        </w:rPr>
        <w:t>Official Body</w:t>
      </w:r>
      <w:r>
        <w:rPr>
          <w:rFonts w:ascii="Arial" w:cs="Arial" w:eastAsia="Arial" w:hAnsi="Arial"/>
          <w:sz w:val="19"/>
          <w:szCs w:val="19"/>
          <w:color w:val="auto"/>
        </w:rPr>
        <w:t xml:space="preserve">”) charged with the administration, interpretation or application thereof, or the compliance with any request or directive of any Official Body (whether or not having the force of law) made, issued or occurring after the Series 2021-1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purposes of this definition, (i) the Dodd-Frank Wall Street Reform and Consumer Protection Act and all regulations, requests, guidelines or directives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are deemed to have gone into effect and been adopted subsequent to the date hereof.</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A-1 Amendment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9.05(a)(ii</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A-1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3.08(a)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0" w:name="page51"/>
    <w:bookmarkEnd w:id="50"/>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Commercial Paper</w:t>
      </w:r>
      <w:r>
        <w:rPr>
          <w:rFonts w:ascii="Arial" w:cs="Arial" w:eastAsia="Arial" w:hAnsi="Arial"/>
          <w:sz w:val="22"/>
          <w:szCs w:val="22"/>
          <w:color w:val="auto"/>
        </w:rPr>
        <w:t>” means, with respect to any Conduit Investor, the promissory notes issued in the commercial paper market by or for the benefit of such Conduit Investor.</w:t>
      </w:r>
    </w:p>
    <w:p>
      <w:pPr>
        <w:spacing w:after="0" w:line="17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Amount</w:t>
      </w:r>
      <w:r>
        <w:rPr>
          <w:rFonts w:ascii="Arial" w:cs="Arial" w:eastAsia="Arial" w:hAnsi="Arial"/>
          <w:sz w:val="19"/>
          <w:szCs w:val="19"/>
          <w:color w:val="auto"/>
        </w:rPr>
        <w:t xml:space="preserve">” means, as to each Committed Note Purchaser, the amount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opposite such Committed Note Purchaser’s name as its Commitment Amount or, in the case of a Committed Note Purchaser that becomes a party to this Agreement pursuant to an Assignment and Assumption Agreement, an Investor Group Supplement or a Joinder Agreement, the amount set forth therein as such Committed Note Purchaser’s Commitment Amount, in each case, as such amount may be (i) reduced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or (ii) increased or reduced by any Assignment and Assumption Agreement or Investor Group Supplement entered into by such Committed Note Purchaser in accordance with the terms of this Agreement.</w:t>
      </w:r>
    </w:p>
    <w:p>
      <w:pPr>
        <w:spacing w:after="0" w:line="15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Percentage</w:t>
      </w:r>
      <w:r>
        <w:rPr>
          <w:rFonts w:ascii="Arial" w:cs="Arial" w:eastAsia="Arial" w:hAnsi="Arial"/>
          <w:sz w:val="22"/>
          <w:szCs w:val="22"/>
          <w:color w:val="auto"/>
        </w:rPr>
        <w:t>” means, on any date of determination, with respect to any Investor Group, the ratio, expressed as a percentage, which such Investor Group’s Maximum Investor Group Principal Amount bears to the Series 2021-1 Class A-1 Maximum Principal Amount on such date.</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means the obligations of each Committed Note Purchaser included in each Investor Group to fund Advances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and to participate in Swingline Loans and Letters of Credit pursuant to </w:t>
      </w:r>
      <w:r>
        <w:rPr>
          <w:rFonts w:ascii="Arial" w:cs="Arial" w:eastAsia="Arial" w:hAnsi="Arial"/>
          <w:sz w:val="22"/>
          <w:szCs w:val="22"/>
          <w:u w:val="single" w:color="auto"/>
          <w:color w:val="auto"/>
        </w:rPr>
        <w:t>Sections 2.06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2.08,</w:t>
      </w:r>
      <w:r>
        <w:rPr>
          <w:rFonts w:ascii="Arial" w:cs="Arial" w:eastAsia="Arial" w:hAnsi="Arial"/>
          <w:sz w:val="22"/>
          <w:szCs w:val="22"/>
          <w:color w:val="auto"/>
        </w:rPr>
        <w:t xml:space="preserve"> respectively, in an aggregate stated amount up to its Commitment Amount.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w:t>
      </w:r>
      <w:r>
        <w:rPr>
          <w:rFonts w:ascii="Arial" w:cs="Arial" w:eastAsia="Arial" w:hAnsi="Arial"/>
          <w:sz w:val="22"/>
          <w:szCs w:val="22"/>
          <w:color w:val="auto"/>
        </w:rPr>
        <w:t>” means the period from and including the Series 2021-1 Closing Date to but excluding the earlier of (a) the Commitment Termination Date and (b) the date on which the Commitments are terminated or reduced to zero in accordance with this Agreement.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Series 2021-1 Class A-1 Senior Notes Renewal Date (as such date may be extended pursuant to Section 3.06(b) of the Series 2021-1 Supplement).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Note Purchaser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Committed Note Purchaser Percentage</w:t>
      </w:r>
      <w:r>
        <w:rPr>
          <w:rFonts w:ascii="Arial" w:cs="Arial" w:eastAsia="Arial" w:hAnsi="Arial"/>
          <w:sz w:val="19"/>
          <w:szCs w:val="19"/>
          <w:color w:val="auto"/>
        </w:rPr>
        <w:t>” means, on any date of determination, with respect to any Committed Note Purchaser in any Investor Group, the ratio, expressed as a percentage, which the Commitment Amount of such Committed Note Purchaser bears to such Investor Group’s Maximum Investor Group Principal Amount on such date.</w:t>
      </w:r>
    </w:p>
    <w:p>
      <w:pPr>
        <w:spacing w:after="0" w:line="134"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Conduit Assignee</w:t>
      </w:r>
      <w:r>
        <w:rPr>
          <w:rFonts w:ascii="Arial" w:cs="Arial" w:eastAsia="Arial" w:hAnsi="Arial"/>
          <w:sz w:val="22"/>
          <w:szCs w:val="22"/>
          <w:color w:val="auto"/>
        </w:rPr>
        <w:t xml:space="preserve">” means, with respect to any Conduit Investor, any commercial paper conduit whose Commercial Paper is rated by at least two of the Specified Rating Agencies and is rated at least “A-1” from S&amp;P Global Ratings, “P-1” from Moody’s and/or “F1” from Fitch, as applicable, that is administered by the Funding Agent with respect to such Conduit Investor or any Affiliate of such Funding Agent, in each case, designated by such Funding Agent to accept an assignment from such Conduit Investor of the Investor Group Principal Amount or a portion thereof with respect to such Conduit Investor pursuant to </w:t>
      </w:r>
      <w:r>
        <w:rPr>
          <w:rFonts w:ascii="Arial" w:cs="Arial" w:eastAsia="Arial" w:hAnsi="Arial"/>
          <w:sz w:val="22"/>
          <w:szCs w:val="22"/>
          <w:u w:val="single" w:color="auto"/>
          <w:color w:val="auto"/>
        </w:rPr>
        <w:t>Section 9.17(b).</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Conduit Investor</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for the purposes of this Agreement has the meaning set forth in </w:t>
      </w:r>
      <w:r>
        <w:rPr>
          <w:rFonts w:ascii="Arial" w:cs="Arial" w:eastAsia="Arial" w:hAnsi="Arial"/>
          <w:sz w:val="21"/>
          <w:szCs w:val="21"/>
          <w:u w:val="single" w:color="auto"/>
          <w:color w:val="auto"/>
        </w:rPr>
        <w:t>Section 9.11</w:t>
      </w:r>
      <w:r>
        <w:rPr>
          <w:rFonts w:ascii="Arial" w:cs="Arial" w:eastAsia="Arial" w:hAnsi="Arial"/>
          <w:sz w:val="21"/>
          <w:szCs w:val="21"/>
          <w:color w:val="auto"/>
        </w:rPr>
        <w:t>.</w:t>
      </w:r>
    </w:p>
    <w:p>
      <w:pPr>
        <w:spacing w:after="0" w:line="21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u w:val="single" w:color="auto"/>
          <w:color w:val="0000FF"/>
        </w:rPr>
        <w:t>“Conforming Changes” means, with respect to either the use, administration, adoption or implementation of any Benchmark Replacement, any technical, administrative or operational changes (including changes to the definition of “Base Rate”, “CP Funding Rate”, “Term SOFR Reference Rate”, “SOFR Interest Accrual Period” or any similar or analogous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9"/>
          <w:szCs w:val="19"/>
          <w:u w:val="single" w:color="auto"/>
          <w:color w:val="0000FF"/>
        </w:rPr>
        <w:t>definition (or the addition of a concept of “interest period”) and “Adjusted Term SOFR”, timing and frequency of determining rates and making payments of interest, timing of borrowing requests or prepayment, conversion or continuation notices, the applicability and length of lookback periods, the applicability of Section 3.06 and other technical, administrative or operational matters) that the Administrative Agent, in consultation with the Co-Issuers, decides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and in consultation with the Co-Issuers that no market practice for the administration of any such rate exists, in such other manner of administration as the Administrative Agent decides is reasonably necessary in connection with the administration of this Agreement and the other Related Documents).</w:t>
      </w:r>
    </w:p>
    <w:p>
      <w:pPr>
        <w:spacing w:after="0" w:line="161" w:lineRule="exact"/>
        <w:rPr>
          <w:sz w:val="20"/>
          <w:szCs w:val="20"/>
          <w:color w:val="auto"/>
        </w:rPr>
      </w:pPr>
    </w:p>
    <w:p>
      <w:pPr>
        <w:ind w:right="280" w:firstLine="149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Corresponding Tenor</w:t>
      </w:r>
      <w:r>
        <w:rPr>
          <w:rFonts w:ascii="Arial" w:cs="Arial" w:eastAsia="Arial" w:hAnsi="Arial"/>
          <w:sz w:val="22"/>
          <w:szCs w:val="22"/>
          <w:color w:val="FF0000"/>
          <w:strike w:val="1"/>
        </w:rPr>
        <w:t>” with respect to any Available Tenor means,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ind w:right="120" w:firstLine="149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CP Advance</w:t>
      </w:r>
      <w:r>
        <w:rPr>
          <w:rFonts w:ascii="Arial" w:cs="Arial" w:eastAsia="Arial" w:hAnsi="Arial"/>
          <w:sz w:val="22"/>
          <w:szCs w:val="22"/>
          <w:color w:val="FF0000"/>
          <w:strike w:val="1"/>
        </w:rPr>
        <w:t>” means an Advance that bears interest at a rate of interest determined by reference to the CP Rate during such time as it bears interest at such rate, as provided in this Agreement.</w:t>
      </w:r>
    </w:p>
    <w:p>
      <w:pPr>
        <w:spacing w:after="0" w:line="17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 Funding Rate</w:t>
      </w:r>
      <w:r>
        <w:rPr>
          <w:rFonts w:ascii="Arial" w:cs="Arial" w:eastAsia="Arial" w:hAnsi="Arial"/>
          <w:sz w:val="19"/>
          <w:szCs w:val="19"/>
          <w:color w:val="auto"/>
        </w:rPr>
        <w:t>” means, with respect to each Conduit Investor, for any day during any Interest Period, for any portion of the Advances funded or maintained through the issuance of Commercial Paper by such Conduit Investor, the per annum rate equivalent to the weighted average cost (as determined by the related Funding Agent, and which shall include (without duplication) the fees and commissions of placement agents and dealers, incremental carrying costs incurred with respect to Commercial Paper maturing on dates other than those on which corresponding funds are received by such Conduit Investor, other borrowings by such Conduit Investor and any other costs associated with the issuance of Commercial Paper) of or related to the issuance of Commercial Paper that are allocated, in whole or in part, by such Conduit Investor or its related Funding Agent to fund or maintain such Advances for such Interest Period (and which may also be allocated in part to the funding of other assets of the Conduit Investor); provided, however, that if any component of any such rate is a discount rate, in calculating the “CP Funding Rate” for such Advances for such Interest Period, the related Funding Agent shall for such component use the rate resulting from converting such discount rate to an interest bearing equivalent rate per annum.</w:t>
      </w:r>
    </w:p>
    <w:p>
      <w:pPr>
        <w:spacing w:after="0" w:line="15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 Rate</w:t>
      </w:r>
      <w:r>
        <w:rPr>
          <w:rFonts w:ascii="Arial" w:cs="Arial" w:eastAsia="Arial" w:hAnsi="Arial"/>
          <w:sz w:val="22"/>
          <w:szCs w:val="22"/>
          <w:color w:val="auto"/>
        </w:rPr>
        <w:t xml:space="preserve"> ” means, on any day during any Interest Period, an interest rate per annum equal to the sum of (i) the CP Funding Rate for such Interest Period plus (ii) 1.50% for an Advance and 1.30% for a Swingline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CP Rate will in no event be higher than the maximum rate permitted by applicable law.</w:t>
      </w:r>
    </w:p>
    <w:p>
      <w:pPr>
        <w:spacing w:after="0" w:line="18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xml:space="preserve">” means, for any day, SOFR, with the conventions for this rate (which </w:t>
      </w:r>
      <w:r>
        <w:rPr>
          <w:rFonts w:ascii="Arial" w:cs="Arial" w:eastAsia="Arial" w:hAnsi="Arial"/>
          <w:sz w:val="22"/>
          <w:szCs w:val="22"/>
          <w:color w:val="FF0000"/>
          <w:strike w:val="1"/>
        </w:rPr>
        <w:t>will</w:t>
      </w:r>
      <w:r>
        <w:rPr>
          <w:rFonts w:ascii="Arial" w:cs="Arial" w:eastAsia="Arial" w:hAnsi="Arial"/>
          <w:sz w:val="22"/>
          <w:szCs w:val="22"/>
          <w:u w:val="single" w:color="auto"/>
          <w:color w:val="0000FF"/>
        </w:rPr>
        <w:t>may</w:t>
      </w:r>
      <w:r>
        <w:rPr>
          <w:rFonts w:ascii="Arial" w:cs="Arial" w:eastAsia="Arial" w:hAnsi="Arial"/>
          <w:sz w:val="22"/>
          <w:szCs w:val="22"/>
          <w:color w:val="auto"/>
        </w:rPr>
        <w:t xml:space="preserve">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2"/>
          <w:szCs w:val="22"/>
          <w:color w:val="0000FF"/>
        </w:rPr>
        <w:t>at such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times</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FF0000"/>
          <w:strike w:val="1"/>
        </w:rPr>
        <w:t>,</w:t>
      </w:r>
      <w:r>
        <w:rPr>
          <w:rFonts w:ascii="Arial" w:cs="Arial" w:eastAsia="Arial" w:hAnsi="Arial"/>
          <w:sz w:val="22"/>
          <w:szCs w:val="22"/>
          <w:color w:val="0000FF"/>
        </w:rPr>
        <w:t xml:space="preserve"> </w:t>
      </w:r>
      <w:r>
        <w:rPr>
          <w:rFonts w:ascii="Arial" w:cs="Arial" w:eastAsia="Arial" w:hAnsi="Arial"/>
          <w:sz w:val="22"/>
          <w:szCs w:val="22"/>
          <w:color w:val="000000"/>
        </w:rPr>
        <w:t>that if the Administrative Agent decides that any such convention is not administratively feasible for the</w:t>
      </w:r>
      <w:r>
        <w:rPr>
          <w:rFonts w:ascii="Arial" w:cs="Arial" w:eastAsia="Arial" w:hAnsi="Arial"/>
          <w:sz w:val="22"/>
          <w:szCs w:val="22"/>
          <w:color w:val="0000FF"/>
        </w:rPr>
        <w:t xml:space="preserve"> </w:t>
      </w:r>
      <w:r>
        <w:rPr>
          <w:rFonts w:ascii="Arial" w:cs="Arial" w:eastAsia="Arial" w:hAnsi="Arial"/>
          <w:sz w:val="22"/>
          <w:szCs w:val="22"/>
          <w:color w:val="FF0000"/>
          <w:strike w:val="1"/>
        </w:rPr>
        <w:t>Administrative Agent</w:t>
      </w:r>
      <w:r>
        <w:rPr>
          <w:rFonts w:ascii="Arial" w:cs="Arial" w:eastAsia="Arial" w:hAnsi="Arial"/>
          <w:sz w:val="22"/>
          <w:szCs w:val="22"/>
          <w:u w:val="single" w:color="auto"/>
          <w:color w:val="0000FF"/>
        </w:rPr>
        <w:t>Investor Groups</w:t>
      </w:r>
      <w:r>
        <w:rPr>
          <w:rFonts w:ascii="Arial" w:cs="Arial" w:eastAsia="Arial" w:hAnsi="Arial"/>
          <w:sz w:val="22"/>
          <w:szCs w:val="22"/>
          <w:color w:val="000000"/>
        </w:rPr>
        <w:t>, then the Administrative Agent may establish another convention in its reasonable</w:t>
      </w:r>
      <w:r>
        <w:rPr>
          <w:rFonts w:ascii="Arial" w:cs="Arial" w:eastAsia="Arial" w:hAnsi="Arial"/>
          <w:sz w:val="22"/>
          <w:szCs w:val="22"/>
          <w:color w:val="FF0000"/>
        </w:rPr>
        <w:t xml:space="preserve"> </w:t>
      </w:r>
      <w:r>
        <w:rPr>
          <w:rFonts w:ascii="Arial" w:cs="Arial" w:eastAsia="Arial" w:hAnsi="Arial"/>
          <w:sz w:val="22"/>
          <w:szCs w:val="22"/>
          <w:color w:val="000000"/>
        </w:rPr>
        <w:t>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6706235</wp:posOffset>
            </wp:positionH>
            <wp:positionV relativeFrom="paragraph">
              <wp:posOffset>-492125</wp:posOffset>
            </wp:positionV>
            <wp:extent cx="4660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Administrative Agent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5.07(b)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2" w:name="page53"/>
    <w:bookmarkEnd w:id="52"/>
    <w:p>
      <w:pPr>
        <w:jc w:val="both"/>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Investor</w:t>
      </w:r>
      <w:r>
        <w:rPr>
          <w:rFonts w:ascii="Arial" w:cs="Arial" w:eastAsia="Arial" w:hAnsi="Arial"/>
          <w:sz w:val="21"/>
          <w:szCs w:val="21"/>
          <w:color w:val="auto"/>
        </w:rPr>
        <w:t>” means any Investor that has (a) failed to make a payment required to be made by it under the terms of this Agreement within one (1) Business Day of the day such payment is required to be made by such Investor thereunder, (b) notified the Administrative Agent in writing that it does not intend to make any payment required to be made by it under the terms of this Agreement within one (1) Business Day of the day such payment is required to be made by such Investor thereunder or (c) become the subject of an Event of Bankruptcy.</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Early Opt-in Election</w:t>
      </w:r>
      <w:r>
        <w:rPr>
          <w:rFonts w:ascii="Arial" w:cs="Arial" w:eastAsia="Arial" w:hAnsi="Arial"/>
          <w:sz w:val="19"/>
          <w:szCs w:val="19"/>
          <w:color w:val="FF0000"/>
          <w:strike w:val="1"/>
        </w:rPr>
        <w:t>” means, if the then-current Benchmark is the Eurodollar Funding Rate, the occurrence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of:</w:t>
      </w:r>
    </w:p>
    <w:p>
      <w:pPr>
        <w:spacing w:after="0" w:line="188" w:lineRule="exact"/>
        <w:rPr>
          <w:sz w:val="20"/>
          <w:szCs w:val="20"/>
          <w:color w:val="auto"/>
        </w:rPr>
      </w:pPr>
    </w:p>
    <w:p>
      <w:pPr>
        <w:jc w:val="both"/>
        <w:ind w:left="920" w:hanging="406"/>
        <w:spacing w:after="0" w:line="249" w:lineRule="auto"/>
        <w:tabs>
          <w:tab w:leader="none" w:pos="846" w:val="left"/>
        </w:tabs>
        <w:numPr>
          <w:ilvl w:val="0"/>
          <w:numId w:val="20"/>
        </w:numPr>
        <w:rPr>
          <w:rFonts w:ascii="Arial" w:cs="Arial" w:eastAsia="Arial" w:hAnsi="Arial"/>
          <w:sz w:val="21"/>
          <w:szCs w:val="21"/>
          <w:color w:val="FF0000"/>
          <w:strike w:val="1"/>
        </w:rPr>
      </w:pPr>
      <w:r>
        <w:rPr>
          <w:rFonts w:ascii="Arial" w:cs="Arial" w:eastAsia="Arial" w:hAnsi="Arial"/>
          <w:sz w:val="21"/>
          <w:szCs w:val="21"/>
          <w:color w:val="FF0000"/>
          <w:strike w:val="1"/>
        </w:rPr>
        <w:t>a notification by the Administrative Agent to (or the request by the Co-Issuers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8" w:lineRule="exact"/>
        <w:rPr>
          <w:rFonts w:ascii="Arial" w:cs="Arial" w:eastAsia="Arial" w:hAnsi="Arial"/>
          <w:sz w:val="21"/>
          <w:szCs w:val="21"/>
          <w:color w:val="FF0000"/>
          <w:strike w:val="1"/>
        </w:rPr>
      </w:pPr>
    </w:p>
    <w:p>
      <w:pPr>
        <w:ind w:left="920" w:hanging="406"/>
        <w:spacing w:after="0" w:line="274" w:lineRule="auto"/>
        <w:tabs>
          <w:tab w:leader="none" w:pos="827" w:val="left"/>
        </w:tabs>
        <w:numPr>
          <w:ilvl w:val="0"/>
          <w:numId w:val="20"/>
        </w:numPr>
        <w:rPr>
          <w:rFonts w:ascii="Arial" w:cs="Arial" w:eastAsia="Arial" w:hAnsi="Arial"/>
          <w:sz w:val="21"/>
          <w:szCs w:val="21"/>
          <w:color w:val="FF0000"/>
          <w:strike w:val="1"/>
        </w:rPr>
      </w:pPr>
      <w:r>
        <w:rPr>
          <w:rFonts w:ascii="Arial" w:cs="Arial" w:eastAsia="Arial" w:hAnsi="Arial"/>
          <w:sz w:val="21"/>
          <w:szCs w:val="21"/>
          <w:color w:val="FF0000"/>
          <w:strike w:val="1"/>
        </w:rPr>
        <w:t>the joint election by the Administrative Agent and the Co-Issuers to trigger a fallback from Eurodollar Funding Rate and the provision by the Administrative Agent of written notice of such election to the Investors.</w:t>
      </w:r>
    </w:p>
    <w:p>
      <w:pPr>
        <w:spacing w:after="0" w:line="151"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9" w:lineRule="exact"/>
        <w:rPr>
          <w:sz w:val="20"/>
          <w:szCs w:val="20"/>
          <w:color w:val="auto"/>
        </w:rPr>
      </w:pPr>
    </w:p>
    <w:p>
      <w:pPr>
        <w:ind w:right="100" w:firstLine="1497"/>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Conduit Investor</w:t>
      </w:r>
      <w:r>
        <w:rPr>
          <w:rFonts w:ascii="Arial" w:cs="Arial" w:eastAsia="Arial" w:hAnsi="Arial"/>
          <w:sz w:val="20"/>
          <w:szCs w:val="20"/>
          <w:color w:val="auto"/>
        </w:rPr>
        <w:t>” means, at any tme, any Conduit Investor whose Commercial Paper at such tme is rated by at least two of the Specifed Ratng Agencies and is rated at least “A-1” from S&amp;P Global Ratngs, “P-1” from Moody’s and/or “F1” from Fitch, as applicable.</w:t>
      </w:r>
    </w:p>
    <w:p>
      <w:pPr>
        <w:spacing w:after="0" w:line="186" w:lineRule="exact"/>
        <w:rPr>
          <w:sz w:val="20"/>
          <w:szCs w:val="20"/>
          <w:color w:val="auto"/>
        </w:rPr>
      </w:pPr>
    </w:p>
    <w:p>
      <w:pPr>
        <w:ind w:right="60"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Legislaton Schedule</w:t>
      </w:r>
      <w:r>
        <w:rPr>
          <w:rFonts w:ascii="Arial" w:cs="Arial" w:eastAsia="Arial" w:hAnsi="Arial"/>
          <w:sz w:val="20"/>
          <w:szCs w:val="20"/>
          <w:color w:val="auto"/>
        </w:rPr>
        <w:t>” means the EU Bail-In Legislaton Schedule published by the Loan Market Associaton (or any successor person), as in efect from tme to tme.</w:t>
      </w:r>
    </w:p>
    <w:p>
      <w:pPr>
        <w:spacing w:after="0" w:line="194" w:lineRule="exact"/>
        <w:rPr>
          <w:sz w:val="20"/>
          <w:szCs w:val="20"/>
          <w:color w:val="auto"/>
        </w:rPr>
      </w:pPr>
    </w:p>
    <w:p>
      <w:pPr>
        <w:ind w:right="200" w:firstLine="149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Advance</w:t>
      </w:r>
      <w:r>
        <w:rPr>
          <w:rFonts w:ascii="Arial" w:cs="Arial" w:eastAsia="Arial" w:hAnsi="Arial"/>
          <w:sz w:val="22"/>
          <w:szCs w:val="22"/>
          <w:color w:val="FF0000"/>
          <w:strike w:val="1"/>
        </w:rPr>
        <w:t xml:space="preserve"> ” means an Advance that bears interest at a rate of interest determined by reference to the Eurodollar Rate during such time as it bears interest at such rate, as provided in this Agreement.</w:t>
      </w:r>
    </w:p>
    <w:p>
      <w:pPr>
        <w:spacing w:after="0" w:line="175" w:lineRule="exact"/>
        <w:rPr>
          <w:sz w:val="20"/>
          <w:szCs w:val="20"/>
          <w:color w:val="auto"/>
        </w:rPr>
      </w:pPr>
    </w:p>
    <w:p>
      <w:pPr>
        <w:ind w:right="640" w:firstLine="149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Business Day</w:t>
      </w:r>
      <w:r>
        <w:rPr>
          <w:rFonts w:ascii="Arial" w:cs="Arial" w:eastAsia="Arial" w:hAnsi="Arial"/>
          <w:sz w:val="22"/>
          <w:szCs w:val="22"/>
          <w:color w:val="FF0000"/>
          <w:strike w:val="1"/>
        </w:rPr>
        <w:t>” means any Business Day on which dealings are also carried on in the London interbank market and banks are open for business in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3" w:name="page54"/>
    <w:bookmarkEnd w:id="53"/>
    <w:p>
      <w:pPr>
        <w:ind w:firstLine="1497"/>
        <w:spacing w:after="0" w:line="270"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Eurodollar Funding Rate</w:t>
      </w:r>
      <w:r>
        <w:rPr>
          <w:rFonts w:ascii="Arial" w:cs="Arial" w:eastAsia="Arial" w:hAnsi="Arial"/>
          <w:sz w:val="19"/>
          <w:szCs w:val="19"/>
          <w:color w:val="FF0000"/>
          <w:strike w:val="1"/>
        </w:rPr>
        <w:t xml:space="preserve">” means, for any Eurodollar Interest Period, the rate per annum determined by the Administrative Agent at approximately 11:00 a.m. (London time) on the date that is two (2) Eurodollar Business Days prior to the beginning of such Eurodollar Interest Period by reference to the London interbank offered rate administered by ICE Benchmark Administration (or any other Person that takes over the administration of such rate) for U.S. Dollars for a period equal in length to such Eurodollar Interest Period as displayed on pages LIBOR01 or LIBOR02 of the Reuters screen or, in the event such rate does not appear on either of such Reuters pages, on any successor or substitute page on such screen that displays such rate, or on the appropriate page of such other information service that publishes such rate as shall be selected by the Administrative Agent from time to time in its reasonable discretion;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to the extent that an interest rate is not ascertainable pursuant to the foregoing provisions of this definition, the “Eurodollar Funding Rate” shall be the rate (rounded upward, if necessary, to the nearest one hundred-thousandth of a percentage point), determined by the Administrative Agent to be the average of the offered rates for deposits in U.S. Dollars in the amount of $1,000,000 for a period of time comparable to such Eurodollar Interest Period which are offered by three leading banks in the London interbank market at approximately 11:00 a.m. (London time) on the date that is two (2) Eurodollar Business Days prior to the beginning of such Eurodollar Interest Period as selected by the Administrative Agent (unless the Administrative Agent is unable to obtain such rates from such banks, in which case it will be deemed that a Eurodollar Funding Rate cannot be ascertained for purposes of </w:t>
      </w:r>
      <w:r>
        <w:rPr>
          <w:rFonts w:ascii="Arial" w:cs="Arial" w:eastAsia="Arial" w:hAnsi="Arial"/>
          <w:sz w:val="19"/>
          <w:szCs w:val="19"/>
          <w:u w:val="single" w:color="auto"/>
          <w:color w:val="FF0000"/>
          <w:strike w:val="1"/>
        </w:rPr>
        <w:t>Section 3.04).</w:t>
      </w:r>
      <w:r>
        <w:rPr>
          <w:rFonts w:ascii="Arial" w:cs="Arial" w:eastAsia="Arial" w:hAnsi="Arial"/>
          <w:sz w:val="19"/>
          <w:szCs w:val="19"/>
          <w:color w:val="FF0000"/>
          <w:strike w:val="1"/>
        </w:rPr>
        <w:t xml:space="preserve"> In respect of any Eurodollar Interest Period that is less than one (1) month in duration and if no Eurodollar Funding Rate is otherwise determinable with respect thereto in accordance with the preceding sentence of this definition, the Eurodollar Funding Rate shall be determined through the use of straight-line interpolation by reference to two rates calculated in accordance with the preceding sentence, one of which shall be determined as if the maturity of the U.S. Dollar deposits referred to therein were the period of time for which rates are available next shorter than the Eurodollar Interest Period and the other of which shall be determined as if such maturity were the period of time for which rates are available next longer than the Eurodollar Interest Period.</w:t>
      </w:r>
    </w:p>
    <w:p>
      <w:pPr>
        <w:spacing w:after="0" w:line="157" w:lineRule="exact"/>
        <w:rPr>
          <w:sz w:val="20"/>
          <w:szCs w:val="20"/>
          <w:color w:val="auto"/>
        </w:rPr>
      </w:pPr>
    </w:p>
    <w:p>
      <w:pPr>
        <w:ind w:right="340" w:firstLine="1497"/>
        <w:spacing w:after="0" w:line="304"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Funding Rate (Reserve Adjusted)</w:t>
      </w:r>
      <w:r>
        <w:rPr>
          <w:rFonts w:ascii="Arial" w:cs="Arial" w:eastAsia="Arial" w:hAnsi="Arial"/>
          <w:sz w:val="21"/>
          <w:szCs w:val="21"/>
          <w:color w:val="FF0000"/>
          <w:strike w:val="1"/>
        </w:rPr>
        <w:t>” means, for any Eurodollar Interest Period, an interest rate per annum (rounded upward to the nearest 1/100</w:t>
      </w:r>
      <w:r>
        <w:rPr>
          <w:rFonts w:ascii="Arial" w:cs="Arial" w:eastAsia="Arial" w:hAnsi="Arial"/>
          <w:sz w:val="27"/>
          <w:szCs w:val="27"/>
          <w:color w:val="FF0000"/>
          <w:strike w:val="1"/>
          <w:vertAlign w:val="superscript"/>
        </w:rPr>
        <w:t>th</w:t>
      </w:r>
      <w:r>
        <w:rPr>
          <w:rFonts w:ascii="Arial" w:cs="Arial" w:eastAsia="Arial" w:hAnsi="Arial"/>
          <w:sz w:val="21"/>
          <w:szCs w:val="21"/>
          <w:color w:val="FF0000"/>
          <w:strike w:val="1"/>
        </w:rPr>
        <w:t xml:space="preserve"> of 1%) determined pursuant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-189865</wp:posOffset>
            </wp:positionV>
            <wp:extent cx="29864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p>
      <w:pPr>
        <w:spacing w:after="0" w:line="57" w:lineRule="exact"/>
        <w:rPr>
          <w:sz w:val="20"/>
          <w:szCs w:val="20"/>
          <w:color w:val="auto"/>
        </w:rPr>
      </w:pPr>
    </w:p>
    <w:p>
      <w:pPr>
        <w:ind w:left="540"/>
        <w:spacing w:after="0"/>
        <w:rPr>
          <w:sz w:val="20"/>
          <w:szCs w:val="20"/>
          <w:color w:val="auto"/>
        </w:rPr>
      </w:pPr>
      <w:r>
        <w:rPr>
          <w:rFonts w:ascii="Arial" w:cs="Arial" w:eastAsia="Arial" w:hAnsi="Arial"/>
          <w:sz w:val="19"/>
          <w:szCs w:val="19"/>
          <w:color w:val="FF0000"/>
          <w:strike w:val="1"/>
        </w:rPr>
        <w:t>Eurodollar Funding Rate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Eurodollar Funding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106045</wp:posOffset>
            </wp:positionV>
            <wp:extent cx="32918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3">
            <w:col w:w="4640" w:space="720"/>
            <w:col w:w="1500" w:space="720"/>
            <w:col w:w="3660"/>
          </w:cols>
          <w:pgMar w:left="320" w:top="604" w:right="339" w:bottom="1440" w:gutter="0" w:footer="0" w:header="0"/>
          <w:type w:val="continuous"/>
        </w:sectPr>
      </w:pPr>
    </w:p>
    <w:p>
      <w:pPr>
        <w:ind w:left="540"/>
        <w:spacing w:after="0"/>
        <w:rPr>
          <w:sz w:val="20"/>
          <w:szCs w:val="20"/>
          <w:color w:val="auto"/>
        </w:rPr>
      </w:pPr>
      <w:r>
        <w:rPr>
          <w:rFonts w:ascii="Arial" w:cs="Arial" w:eastAsia="Arial" w:hAnsi="Arial"/>
          <w:sz w:val="19"/>
          <w:szCs w:val="19"/>
          <w:color w:val="FF0000"/>
          <w:strike w:val="1"/>
        </w:rPr>
        <w:t>(Reserve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strike w:val="1"/>
        </w:rPr>
        <w:t>1.00 - Eurodollar Reserve Percentage</w:t>
      </w:r>
    </w:p>
    <w:p>
      <w:pPr>
        <w:spacing w:after="0" w:line="200" w:lineRule="exact"/>
        <w:rPr>
          <w:sz w:val="20"/>
          <w:szCs w:val="20"/>
          <w:color w:val="auto"/>
        </w:rPr>
      </w:pPr>
    </w:p>
    <w:p>
      <w:pPr>
        <w:sectPr>
          <w:pgSz w:w="11900" w:h="16838" w:orient="portrait"/>
          <w:cols w:equalWidth="0" w:num="2">
            <w:col w:w="5440" w:space="720"/>
            <w:col w:w="5080"/>
          </w:cols>
          <w:pgMar w:left="320" w:top="604" w:right="339" w:bottom="1440" w:gutter="0" w:footer="0" w:header="0"/>
          <w:type w:val="continuous"/>
        </w:sectPr>
      </w:pPr>
    </w:p>
    <w:p>
      <w:pPr>
        <w:spacing w:after="0" w:line="176" w:lineRule="exact"/>
        <w:rPr>
          <w:sz w:val="20"/>
          <w:szCs w:val="20"/>
          <w:color w:val="auto"/>
        </w:rPr>
      </w:pPr>
    </w:p>
    <w:p>
      <w:pPr>
        <w:jc w:val="both"/>
        <w:ind w:right="260" w:firstLine="1497"/>
        <w:spacing w:after="0"/>
        <w:rPr>
          <w:sz w:val="20"/>
          <w:szCs w:val="20"/>
          <w:color w:val="auto"/>
        </w:rPr>
      </w:pPr>
      <w:r>
        <w:rPr>
          <w:rFonts w:ascii="Arial" w:cs="Arial" w:eastAsia="Arial" w:hAnsi="Arial"/>
          <w:sz w:val="22"/>
          <w:szCs w:val="22"/>
          <w:color w:val="FF0000"/>
          <w:strike w:val="1"/>
        </w:rPr>
        <w:t>The Eurodollar Funding Rate (Reserve Adjusted) for any Eurodollar Interest Period will be determined by the Administrative Agent on the basis of the Eurodollar Reserve Percentage in effect two (2) Eurodollar Business Days before the first day of such Eurodollar Interest Period.</w:t>
      </w:r>
    </w:p>
    <w:p>
      <w:pPr>
        <w:spacing w:after="0" w:line="186" w:lineRule="exact"/>
        <w:rPr>
          <w:sz w:val="20"/>
          <w:szCs w:val="20"/>
          <w:color w:val="auto"/>
        </w:rPr>
      </w:pPr>
    </w:p>
    <w:p>
      <w:pPr>
        <w:ind w:right="40" w:firstLine="1497"/>
        <w:spacing w:after="0" w:line="29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Eurodollar Interest Period</w:t>
      </w:r>
      <w:r>
        <w:rPr>
          <w:rFonts w:ascii="Arial" w:cs="Arial" w:eastAsia="Arial" w:hAnsi="Arial"/>
          <w:sz w:val="19"/>
          <w:szCs w:val="19"/>
          <w:color w:val="FF0000"/>
          <w:strike w:val="1"/>
        </w:rPr>
        <w:t xml:space="preserve">” means, with respect to any Eurodollar Advance, the period commencing on and including the Eurodollar Business Day such Advance first becomes a Eurodollar Advance in accordance with </w:t>
      </w:r>
      <w:r>
        <w:rPr>
          <w:rFonts w:ascii="Arial" w:cs="Arial" w:eastAsia="Arial" w:hAnsi="Arial"/>
          <w:sz w:val="19"/>
          <w:szCs w:val="19"/>
          <w:u w:val="single" w:color="auto"/>
          <w:color w:val="FF0000"/>
          <w:strike w:val="1"/>
        </w:rPr>
        <w:t>Section 3.01(b)</w:t>
      </w:r>
      <w:r>
        <w:rPr>
          <w:rFonts w:ascii="Arial" w:cs="Arial" w:eastAsia="Arial" w:hAnsi="Arial"/>
          <w:sz w:val="19"/>
          <w:szCs w:val="19"/>
          <w:color w:val="FF0000"/>
          <w:strike w:val="1"/>
        </w:rPr>
        <w:t xml:space="preserve"> and ending on but excluding a date, as elected by the Master Issuer pursuant to such </w:t>
      </w:r>
      <w:r>
        <w:rPr>
          <w:rFonts w:ascii="Arial" w:cs="Arial" w:eastAsia="Arial" w:hAnsi="Arial"/>
          <w:sz w:val="19"/>
          <w:szCs w:val="19"/>
          <w:u w:val="single" w:color="auto"/>
          <w:color w:val="FF0000"/>
          <w:strike w:val="1"/>
        </w:rPr>
        <w:t>Section 3.01(b)</w:t>
      </w:r>
      <w:r>
        <w:rPr>
          <w:rFonts w:ascii="Arial" w:cs="Arial" w:eastAsia="Arial" w:hAnsi="Arial"/>
          <w:sz w:val="19"/>
          <w:szCs w:val="19"/>
          <w:color w:val="FF0000"/>
          <w:strike w:val="1"/>
        </w:rPr>
        <w:t>, that is either (i) one (1)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type w:val="continuous"/>
        </w:sectPr>
      </w:pPr>
    </w:p>
    <w:bookmarkStart w:id="54" w:name="page55"/>
    <w:bookmarkEnd w:id="54"/>
    <w:p>
      <w:pPr>
        <w:ind w:right="60"/>
        <w:spacing w:after="0" w:line="273" w:lineRule="auto"/>
        <w:rPr>
          <w:sz w:val="20"/>
          <w:szCs w:val="20"/>
          <w:color w:val="auto"/>
        </w:rPr>
      </w:pPr>
      <w:r>
        <w:rPr>
          <w:rFonts w:ascii="Arial" w:cs="Arial" w:eastAsia="Arial" w:hAnsi="Arial"/>
          <w:sz w:val="19"/>
          <w:szCs w:val="19"/>
          <w:color w:val="FF0000"/>
          <w:strike w:val="1"/>
        </w:rPr>
        <w:t xml:space="preserve">subsequent to such date, (ii) two (2) months subsequent to such date, (iii) three (3) months subsequent to such date or (iv) six (6) months subsequent to such date, or such other time period subsequent to such date not to exceed six months as agreed upon by the Master Issuer and the Administrative Agent;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however</w:t>
      </w:r>
      <w:r>
        <w:rPr>
          <w:rFonts w:ascii="Arial" w:cs="Arial" w:eastAsia="Arial" w:hAnsi="Arial"/>
          <w:sz w:val="19"/>
          <w:szCs w:val="19"/>
          <w:color w:val="FF0000"/>
          <w:strike w:val="1"/>
        </w:rPr>
        <w:t>, that (i) no Eurodollar Interest Period may end subsequent to the second Business Day before the Accounting Date occurring immediately prior to the then-current Series 2021-1 Class A-1 Senior Notes Renewal Date and (ii) upon the occurrence and during the continuation of any Rapid Amortization Period or any Event of Default, any Eurodollar Interest Period with respect to the Eurodollar Advances of all Investor Groups may be terminated at the end of the then-current Eurodollar Interest Period (or, if the Class A-1 Senior Notes have been accelerated in accordance with Section 9.2 of the Base Indenture, immediately), at the election of the Administrative Agent or Investor Groups holding in the aggregate more than 50% of the Eurodollar Tranche, by notice to the Co-Issuers, the Manager, the Control Party and the Funding Agents, and upon such election the Eurodollar Advances in respect of which interest was calculated by reference to such terminated Eurodollar Interest Period shall be converted to Base Rate Advances.</w:t>
      </w:r>
    </w:p>
    <w:p>
      <w:pPr>
        <w:spacing w:after="0" w:line="155" w:lineRule="exact"/>
        <w:rPr>
          <w:sz w:val="20"/>
          <w:szCs w:val="20"/>
          <w:color w:val="auto"/>
        </w:rPr>
      </w:pPr>
    </w:p>
    <w:p>
      <w:pPr>
        <w:ind w:right="60" w:firstLine="1497"/>
        <w:spacing w:after="0" w:line="238"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Rate</w:t>
      </w:r>
      <w:r>
        <w:rPr>
          <w:rFonts w:ascii="Arial" w:cs="Arial" w:eastAsia="Arial" w:hAnsi="Arial"/>
          <w:sz w:val="22"/>
          <w:szCs w:val="22"/>
          <w:color w:val="FF0000"/>
          <w:strike w:val="1"/>
        </w:rPr>
        <w:t xml:space="preserve">” means, on any day during any Eurodollar Interest Period, an interest rate per annum equal to the sum of (i) the Eurodollar Funding Rate (Reserve Adjusted) for such Eurodollar Interest Period plus (ii) 1.50% for an Advance and 1.30% for a Swingline Loan;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the Eurodollar Rate will in no event be higher than the maximum rate permitted by applicable Law.</w:t>
      </w:r>
    </w:p>
    <w:p>
      <w:pPr>
        <w:spacing w:after="0" w:line="185" w:lineRule="exact"/>
        <w:rPr>
          <w:sz w:val="20"/>
          <w:szCs w:val="20"/>
          <w:color w:val="auto"/>
        </w:rPr>
      </w:pPr>
    </w:p>
    <w:p>
      <w:pPr>
        <w:ind w:right="80" w:firstLine="1497"/>
        <w:spacing w:after="0" w:line="248"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Eurodollar Reserve Percentage</w:t>
      </w:r>
      <w:r>
        <w:rPr>
          <w:rFonts w:ascii="Arial" w:cs="Arial" w:eastAsia="Arial" w:hAnsi="Arial"/>
          <w:sz w:val="21"/>
          <w:szCs w:val="21"/>
          <w:color w:val="FF0000"/>
          <w:strike w:val="1"/>
        </w:rPr>
        <w:t>” means, for any Eurodollar Interest Period, the reserve percentage (expressed as a decimal) equal to the maximum aggregate reserve requirements (including all basic, emergency, supplemental, marginal and other reserves and taking into account any transitional adjustments or other scheduled changes in reserve requirements) specified under regulations issued from time to time by the F.R.S. Board and then applicable to liabilities or assets constituting “Eurocurrency Liabilities,” as currently defined in Regulation D of the F.R.S. Board, having a term approximately equal or comparable to such Eurodollar Interest Period.</w:t>
      </w:r>
    </w:p>
    <w:p>
      <w:pPr>
        <w:spacing w:after="0" w:line="177" w:lineRule="exact"/>
        <w:rPr>
          <w:sz w:val="20"/>
          <w:szCs w:val="20"/>
          <w:color w:val="auto"/>
        </w:rPr>
      </w:pPr>
    </w:p>
    <w:p>
      <w:pPr>
        <w:ind w:right="180" w:firstLine="149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Tranche</w:t>
      </w:r>
      <w:r>
        <w:rPr>
          <w:rFonts w:ascii="Arial" w:cs="Arial" w:eastAsia="Arial" w:hAnsi="Arial"/>
          <w:sz w:val="22"/>
          <w:szCs w:val="22"/>
          <w:color w:val="FF0000"/>
          <w:strike w:val="1"/>
        </w:rPr>
        <w:t>” means any portion of the Series 2021-1 Class A-1 Outstanding Principal Amount funded or maintained with Eurodollar Advances.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Fees</w:t>
      </w:r>
      <w:r>
        <w:rPr>
          <w:rFonts w:ascii="Arial" w:cs="Arial" w:eastAsia="Arial" w:hAnsi="Arial"/>
          <w:sz w:val="22"/>
          <w:szCs w:val="22"/>
          <w:color w:val="auto"/>
        </w:rPr>
        <w:t>” has the meaning given to such term in the Class A-1 VFN Fee Letter.</w:t>
      </w:r>
    </w:p>
    <w:p>
      <w:pPr>
        <w:spacing w:after="0" w:line="20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(a) Sections 1471 through 1474 of the Code as of the date of this Agreement (or any amended or successor version that is substantively comparable and not materially more onerous to comply with) and any current or future Treasury regulations thereunder or official interpretations thereof, (b) any treaty, law, regulation or other official guidance enacted in any other jurisdiction, or relating to an intergovernmental agreement between the United States and any other jurisdiction with the purpose (in either case) of facilitating the implementation of (a) above, or (c) any agreement pursuant to the implementation of paragraphs (a) or (b) above with the U.S. Internal Revenue Service or any other Governmental Authority in the United States.</w:t>
      </w:r>
    </w:p>
    <w:p>
      <w:pPr>
        <w:spacing w:after="0" w:line="15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means, for any specified period, a fluctuating interest rate per annum equal for each day during such period to the weighted average of the overnight federal funds rates as published in Federal Reserve Board Statistical Release H.15(519) or any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22"/>
          <w:szCs w:val="22"/>
          <w:color w:val="auto"/>
        </w:rPr>
        <w:t>or substitute publication selected by the Administrative Agent (or, if such day is not a Business Day, for the next preceding Business Day), or if, for any reason, such rate is not available on any day, the rate determined, in the reasonable opinion of the Administrative Agent, to be the rate at which overnight federal funds are being offered in the national federal funds market at 9:00 a.m. (New York City time).</w:t>
      </w:r>
    </w:p>
    <w:p>
      <w:pPr>
        <w:spacing w:after="0" w:line="185"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Fitch</w:t>
      </w:r>
      <w:r>
        <w:rPr>
          <w:rFonts w:ascii="Arial" w:cs="Arial" w:eastAsia="Arial" w:hAnsi="Arial"/>
          <w:sz w:val="19"/>
          <w:szCs w:val="19"/>
          <w:color w:val="auto"/>
        </w:rPr>
        <w:t>” means Fitch, Inc., doing business as Fitch Ratings, or any successor thereto. “F.R.S. Board” means the Board of Governors of the Federal Reserve System. “Funding Agent” has the meaning set forth in the preamble.</w:t>
      </w:r>
    </w:p>
    <w:p>
      <w:pPr>
        <w:spacing w:after="0" w:line="105" w:lineRule="exact"/>
        <w:rPr>
          <w:sz w:val="20"/>
          <w:szCs w:val="20"/>
          <w:color w:val="auto"/>
        </w:rPr>
      </w:pPr>
    </w:p>
    <w:p>
      <w:pPr>
        <w:ind w:right="160" w:firstLine="149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Floor</w:t>
      </w:r>
      <w:r>
        <w:rPr>
          <w:rFonts w:ascii="Arial" w:cs="Arial" w:eastAsia="Arial" w:hAnsi="Arial"/>
          <w:sz w:val="22"/>
          <w:szCs w:val="22"/>
          <w:color w:val="FF0000"/>
          <w:strike w:val="1"/>
        </w:rPr>
        <w:t>” means the benchmark rate floor, if any, provided in this Agreement initially (as of the execution of this Agreement, the modification, amendment or renewal of this Agreement or otherwise) with respect to the Eurodollar Funding Rate. As of the Series 2021-1 Closing Date, “Floor” means 0.0%.</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“Floor” means 0.0%.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Capital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Tax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3.08</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9.05(b)</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9.05(b)</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Reserve Letter of Credit</w:t>
      </w:r>
      <w:r>
        <w:rPr>
          <w:rFonts w:ascii="Arial" w:cs="Arial" w:eastAsia="Arial" w:hAnsi="Arial"/>
          <w:sz w:val="22"/>
          <w:szCs w:val="22"/>
          <w:color w:val="auto"/>
        </w:rPr>
        <w:t>” means any letter of credit issued hereunder for the benefit of the Trustee and the Senior Noteholders or the Senior Subordinated Noteholders, as applicable.</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means any one of the Conduit Investors and the Committed Note Purchasers and “Investors” means the Conduit Investors and the Committed Note Purchasers collectively.</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Investor Group</w:t>
      </w:r>
      <w:r>
        <w:rPr>
          <w:rFonts w:ascii="Arial" w:cs="Arial" w:eastAsia="Arial" w:hAnsi="Arial"/>
          <w:sz w:val="21"/>
          <w:szCs w:val="21"/>
          <w:color w:val="auto"/>
        </w:rPr>
        <w:t xml:space="preserve">” means (i) for each Conduit Investor, collectively, such Conduit Investor, the related Committed Note Purchaser(s) set forth opposite the name of such Conduit Investor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(or, if applicable, set forth for such Conduit Investor in the Assignment and Assumption Agreement, Investor Group Supplement or Joinder Agreement pursuant to which such Conduit Investor or Committed Note Purchaser becomes a party thereto), any related Program Support Provider(s) and the related Funding Agent (which shall constitute the Series 2021-1 Class A-1 Noteholder for such Investor Group) and (ii) for each other Committed Note Purchaser that is not related to a Conduit Investor, collectively, such Committed Note Purchaser, any related Program Support Provider(s) and the related Funding Agent (which shall constitute the Series 2021-1 Class A-1 Noteholder for such Investor Group).</w:t>
      </w:r>
    </w:p>
    <w:p>
      <w:pPr>
        <w:spacing w:after="0" w:line="18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Group Increase Amount</w:t>
      </w:r>
      <w:r>
        <w:rPr>
          <w:rFonts w:ascii="Arial" w:cs="Arial" w:eastAsia="Arial" w:hAnsi="Arial"/>
          <w:sz w:val="22"/>
          <w:szCs w:val="22"/>
          <w:color w:val="auto"/>
        </w:rPr>
        <w:t>” means, with respect to any Investor Group, for any Business Day, the portion of the Increase, if any, actually funded by such Investor Group on such Business Day.</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Group Principal Amount</w:t>
      </w:r>
      <w:r>
        <w:rPr>
          <w:rFonts w:ascii="Arial" w:cs="Arial" w:eastAsia="Arial" w:hAnsi="Arial"/>
          <w:sz w:val="22"/>
          <w:szCs w:val="22"/>
          <w:color w:val="auto"/>
        </w:rPr>
        <w:t>” means, with respect to any Investor Group, (a) when used with respect to the Series 2021-1 Closing Date, an amount equal to (i) such Investor Group’s Commitment Percentage of the Series 2021-1 Class A-1 Initial Advance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9"/>
          <w:szCs w:val="19"/>
          <w:color w:val="auto"/>
        </w:rPr>
        <w:t xml:space="preserve">Amount,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such Investor Group’s Commitment Percentage of the Series 2021-1 Class A-1 Outstanding Subfacility Amount outstanding on the Series 2021-1 Closing Date, and (b) when used with respect to any other date, an amount equal to (i) the Investor Group Principal Amount with respect to such Investor Group on the immediately preceding Business Day (excluding any Series 2021-1 Class A-1 Outstanding Subfacility Amount included therein),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Investor Group Increase Amount with respect to such Investor Group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the amount of principal payments made to such Investor Group on the Series 2021-1 Class A-1 Advance Notes on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such Investor Group’s Commitment Percentage of the Series 2021-1 Class A-1 Outstanding Subfacility Amount outstanding on such date.</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Group Supplement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9.17(c)</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ISP</w:t>
      </w:r>
      <w:r>
        <w:rPr>
          <w:rFonts w:ascii="Arial" w:cs="Arial" w:eastAsia="Arial" w:hAnsi="Arial"/>
          <w:sz w:val="22"/>
          <w:szCs w:val="22"/>
          <w:color w:val="auto"/>
        </w:rPr>
        <w:t>” means “International Standby Practices 1998” published by the Institute of International Banking Law &amp;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Practice, Inc.</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means a Joinder Agreement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the obligation of the L/C Provider to provide Letters of Credit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2.07</w:t>
      </w:r>
      <w:r>
        <w:rPr>
          <w:rFonts w:ascii="Arial" w:cs="Arial" w:eastAsia="Arial" w:hAnsi="Arial"/>
          <w:sz w:val="22"/>
          <w:szCs w:val="22"/>
          <w:color w:val="auto"/>
        </w:rPr>
        <w:t xml:space="preserve">, in an aggregate Undrawn L/C Face Amount, together with any Unreimbursed L/C Drawings, at any one time outstanding not to exceed $100,000,000, as such amount may be reduced or increased pursuant to </w:t>
      </w:r>
      <w:r>
        <w:rPr>
          <w:rFonts w:ascii="Arial" w:cs="Arial" w:eastAsia="Arial" w:hAnsi="Arial"/>
          <w:sz w:val="22"/>
          <w:szCs w:val="22"/>
          <w:u w:val="single" w:color="auto"/>
          <w:color w:val="auto"/>
        </w:rPr>
        <w:t>Section 2.07(g)</w:t>
      </w:r>
      <w:r>
        <w:rPr>
          <w:rFonts w:ascii="Arial" w:cs="Arial" w:eastAsia="Arial" w:hAnsi="Arial"/>
          <w:sz w:val="22"/>
          <w:szCs w:val="22"/>
          <w:color w:val="auto"/>
        </w:rPr>
        <w:t xml:space="preserve"> or reduced pursuant to </w:t>
      </w:r>
      <w:r>
        <w:rPr>
          <w:rFonts w:ascii="Arial" w:cs="Arial" w:eastAsia="Arial" w:hAnsi="Arial"/>
          <w:sz w:val="22"/>
          <w:szCs w:val="22"/>
          <w:u w:val="single" w:color="auto"/>
          <w:color w:val="auto"/>
        </w:rPr>
        <w:t>Section 2.05(b)</w:t>
      </w:r>
      <w:r>
        <w:rPr>
          <w:rFonts w:ascii="Arial" w:cs="Arial" w:eastAsia="Arial" w:hAnsi="Arial"/>
          <w:sz w:val="22"/>
          <w:szCs w:val="22"/>
          <w:color w:val="auto"/>
        </w:rPr>
        <w: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Issuing Bank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2.07(h)</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means, at any time, an amount equal to the sum of (i) any Undrawn L/C Face Amounts outstanding at such time and (ii) any Unreimbursed L/C Drawings outstanding at such time.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L/C Other Reimbursement Amounts</w:t>
      </w:r>
      <w:r>
        <w:rPr>
          <w:rFonts w:ascii="Arial" w:cs="Arial" w:eastAsia="Arial" w:hAnsi="Arial"/>
          <w:sz w:val="22"/>
          <w:szCs w:val="22"/>
          <w:color w:val="FF0000"/>
          <w:strike w:val="1"/>
        </w:rPr>
        <w:t xml:space="preserve">” has the meaning set forth in </w:t>
      </w:r>
      <w:r>
        <w:rPr>
          <w:rFonts w:ascii="Arial" w:cs="Arial" w:eastAsia="Arial" w:hAnsi="Arial"/>
          <w:sz w:val="22"/>
          <w:szCs w:val="22"/>
          <w:u w:val="single" w:color="auto"/>
          <w:color w:val="FF0000"/>
          <w:strike w:val="1"/>
        </w:rPr>
        <w:t>Section 2.08(a)</w:t>
      </w:r>
      <w:r>
        <w:rPr>
          <w:rFonts w:ascii="Arial" w:cs="Arial" w:eastAsia="Arial" w:hAnsi="Arial"/>
          <w:sz w:val="22"/>
          <w:szCs w:val="22"/>
          <w:color w:val="FF0000"/>
          <w:strike w:val="1"/>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Provider</w:t>
      </w:r>
      <w:r>
        <w:rPr>
          <w:rFonts w:ascii="Arial" w:cs="Arial" w:eastAsia="Arial" w:hAnsi="Arial"/>
          <w:sz w:val="22"/>
          <w:szCs w:val="22"/>
          <w:color w:val="auto"/>
        </w:rPr>
        <w:t>” means Coöperatieve Rabobank U.A., New York Branch, in its capacity as provider of any Letter of Credit under this Agreement, and its permitted successors and assigns in such capacity.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Quarterly Fees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2.07(d)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Reimbursement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2.08(a)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Party</w:t>
      </w:r>
      <w:r>
        <w:rPr>
          <w:rFonts w:ascii="Arial" w:cs="Arial" w:eastAsia="Arial" w:hAnsi="Arial"/>
          <w:sz w:val="22"/>
          <w:szCs w:val="22"/>
          <w:color w:val="auto"/>
        </w:rPr>
        <w:t>” means any Investor, the Swingline Lender or the L/C Provider and “</w:t>
      </w:r>
      <w:r>
        <w:rPr>
          <w:rFonts w:ascii="Arial" w:cs="Arial" w:eastAsia="Arial" w:hAnsi="Arial"/>
          <w:sz w:val="22"/>
          <w:szCs w:val="22"/>
          <w:u w:val="single" w:color="auto"/>
          <w:color w:val="auto"/>
        </w:rPr>
        <w:t>Lender Parties</w:t>
      </w:r>
      <w:r>
        <w:rPr>
          <w:rFonts w:ascii="Arial" w:cs="Arial" w:eastAsia="Arial" w:hAnsi="Arial"/>
          <w:sz w:val="22"/>
          <w:szCs w:val="22"/>
          <w:color w:val="auto"/>
        </w:rPr>
        <w:t>” means the Investors, the Swingline Lender and the L/C Provider, collectively.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2.07(a)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7" w:name="page58"/>
    <w:bookmarkEnd w:id="57"/>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means “margin stock” as defined in Regulation U of the F.R.S. Board, as amended from time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88"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Investor Group Principal Amount</w:t>
      </w:r>
      <w:r>
        <w:rPr>
          <w:rFonts w:ascii="Arial" w:cs="Arial" w:eastAsia="Arial" w:hAnsi="Arial"/>
          <w:sz w:val="22"/>
          <w:szCs w:val="22"/>
          <w:color w:val="auto"/>
        </w:rPr>
        <w:t xml:space="preserve">” means, as to each Investor Group existing on the Series 2021-1 Closing Date, the amount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this Agreement as such Investor Group’s Maximum Investor Group Principal Amount or, in the case of any other Investor Group, the amount set forth as such Investor Group’s Maximum Investor Group Principal Amount in the Assignment and Assumption Agreement, Investor Group Supplement or Joinder Agreement by which the members of such Investor Group become parties to this Agreement, in each case, as such amount may be (i) reduced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of this Agreement or (ii) increased or reduced by any Assignment and Assumption Agreement, Investor Group Supplement or Joinder Agreement entered into by the members of such Investor Group in accordance with the terms of this Agreement.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Money Laundering Laws</w:t>
      </w:r>
      <w:r>
        <w:rPr>
          <w:rFonts w:ascii="Arial" w:cs="Arial" w:eastAsia="Arial" w:hAnsi="Arial"/>
          <w:sz w:val="22"/>
          <w:szCs w:val="22"/>
          <w:color w:val="FF0000"/>
          <w:strike w:val="1"/>
        </w:rPr>
        <w:t xml:space="preserve">” has the meaning set forth in </w:t>
      </w:r>
      <w:r>
        <w:rPr>
          <w:rFonts w:ascii="Arial" w:cs="Arial" w:eastAsia="Arial" w:hAnsi="Arial"/>
          <w:sz w:val="22"/>
          <w:szCs w:val="22"/>
          <w:u w:val="single" w:color="auto"/>
          <w:color w:val="FF0000"/>
          <w:strike w:val="1"/>
        </w:rPr>
        <w:t>Section 6.01(i)</w:t>
      </w:r>
      <w:r>
        <w:rPr>
          <w:rFonts w:ascii="Arial" w:cs="Arial" w:eastAsia="Arial" w:hAnsi="Arial"/>
          <w:sz w:val="22"/>
          <w:szCs w:val="22"/>
          <w:color w:val="FF0000"/>
          <w:strike w:val="1"/>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3.08(a)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Non-Funding Committed Notes 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OFAC</w:t>
      </w:r>
      <w:r>
        <w:rPr>
          <w:rFonts w:ascii="Arial" w:cs="Arial" w:eastAsia="Arial" w:hAnsi="Arial"/>
          <w:sz w:val="22"/>
          <w:szCs w:val="22"/>
          <w:color w:val="FF0000"/>
          <w:strike w:val="1"/>
        </w:rPr>
        <w:t xml:space="preserve">” has the meaning set forth in </w:t>
      </w:r>
      <w:r>
        <w:rPr>
          <w:rFonts w:ascii="Arial" w:cs="Arial" w:eastAsia="Arial" w:hAnsi="Arial"/>
          <w:sz w:val="22"/>
          <w:szCs w:val="22"/>
          <w:u w:val="single" w:color="auto"/>
          <w:color w:val="FF0000"/>
          <w:strike w:val="1"/>
        </w:rPr>
        <w:t>Section 6.01(j)</w:t>
      </w:r>
      <w:r>
        <w:rPr>
          <w:rFonts w:ascii="Arial" w:cs="Arial" w:eastAsia="Arial" w:hAnsi="Arial"/>
          <w:sz w:val="22"/>
          <w:szCs w:val="22"/>
          <w:color w:val="FF0000"/>
          <w:strike w:val="1"/>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Official Body</w:t>
      </w:r>
      <w:r>
        <w:rPr>
          <w:rFonts w:ascii="Arial" w:cs="Arial" w:eastAsia="Arial" w:hAnsi="Arial"/>
          <w:sz w:val="22"/>
          <w:szCs w:val="22"/>
          <w:color w:val="auto"/>
        </w:rPr>
        <w:t>” has the meaning set forth in the definition of “Change in Law.”</w:t>
      </w:r>
    </w:p>
    <w:p>
      <w:pPr>
        <w:spacing w:after="0" w:line="20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Class A-1 Transaction Expenses</w:t>
      </w:r>
      <w:r>
        <w:rPr>
          <w:rFonts w:ascii="Arial" w:cs="Arial" w:eastAsia="Arial" w:hAnsi="Arial"/>
          <w:sz w:val="19"/>
          <w:szCs w:val="19"/>
          <w:color w:val="auto"/>
        </w:rPr>
        <w:t xml:space="preserve">” means all amounts payable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including Pre-Closing Costs, Out-of-Pocket Expenses and Other Post-Closing Expenses, but excluding Class A-1 Amendment Expenses.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Post-Closing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Out-of-Pocket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Companies</w:t>
      </w:r>
      <w:r>
        <w:rPr>
          <w:rFonts w:ascii="Arial" w:cs="Arial" w:eastAsia="Arial" w:hAnsi="Arial"/>
          <w:sz w:val="22"/>
          <w:szCs w:val="22"/>
          <w:color w:val="auto"/>
        </w:rPr>
        <w:t>” means, collectively, Domino’s Pizza, Inc., a Delaware corporation, and Domino’s Inc., a Delaware corporation.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9.05(a)(i)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0000FF"/>
        </w:rPr>
        <w:t>“Prime Rate” means the rate of interest in effect from time to time as established by the Administrative Agent as its “prime rate” at its principal U.S. office.</w:t>
      </w:r>
    </w:p>
    <w:p>
      <w:pPr>
        <w:spacing w:after="0" w:line="175"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Program Support Agreement</w:t>
      </w:r>
      <w:r>
        <w:rPr>
          <w:rFonts w:ascii="Arial" w:cs="Arial" w:eastAsia="Arial" w:hAnsi="Arial"/>
          <w:sz w:val="19"/>
          <w:szCs w:val="19"/>
          <w:color w:val="auto"/>
        </w:rPr>
        <w:t>” means, with respect to any Investor, any agreement entered into by any Program Support Provider in respect of any Commercial Paper and/or Series 2021-1 Class A-1 Note of such Investor providing for the issuance of one or more letters of credit for the account of such Investor, the issuance of one or more insurance policies for which such Investor is obligated to reimburse the applicable Program Support Provider for any drawings thereunder, the sale by such Investor to any Program Support Provider of the Series 2021-1 Class A-1 Notes (or portions thereof or interests therein) and/or the making of loans and/or other extensions of credit to such Investor in connection with such Investor’s securitization program, together with any letter of credit, insurance policy or other instrument issued thereunder or guaranty thereof (but excluding any discretionary advance facility provided by a Committed Note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8" w:name="page59"/>
    <w:bookmarkEnd w:id="58"/>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Program Support Provider</w:t>
      </w:r>
      <w:r>
        <w:rPr>
          <w:rFonts w:ascii="Arial" w:cs="Arial" w:eastAsia="Arial" w:hAnsi="Arial"/>
          <w:sz w:val="22"/>
          <w:szCs w:val="22"/>
          <w:color w:val="auto"/>
        </w:rPr>
        <w:t>” means, with respect to any Investor, any financial institutions and any other or additional Person now or hereafter extending credit or having a commitment to extend credit to or for the account of, and/or agreeing to make purchases from, such Investor in respect of such Investor’s Commercial Paper and/or Series 2021-1 Class A-1 Note, and/or agreeing to issue a letter of credit or insurance policy or other instrument to support any obligations arising under or in connection with such Investor’s securitization program as it relates to any Commercial Paper issued by such Investor, and/or holding equity interests in such Investor, in each case pursuant to a Program Support Agreement, and any guarantor of any such Person.</w:t>
      </w:r>
    </w:p>
    <w:p>
      <w:pPr>
        <w:spacing w:after="0" w:line="191"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Reference Time</w:t>
      </w:r>
      <w:r>
        <w:rPr>
          <w:rFonts w:ascii="Arial" w:cs="Arial" w:eastAsia="Arial" w:hAnsi="Arial"/>
          <w:sz w:val="22"/>
          <w:szCs w:val="22"/>
          <w:color w:val="FF0000"/>
          <w:strike w:val="1"/>
        </w:rPr>
        <w:t>” with respect to any setting of the then-current Benchmark means (1) if such Benchmark is the Eurodollar Funding Rate, 11:00 a.m. (London time) on the day that is two London banking days preceding the date of such setting, and (2) if such Benchmark is not the Eurodollar Funding Rate, the time determined by the Administrative Agent in its reasonable discretion.</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Obligation</w:t>
      </w:r>
      <w:r>
        <w:rPr>
          <w:rFonts w:ascii="Arial" w:cs="Arial" w:eastAsia="Arial" w:hAnsi="Arial"/>
          <w:sz w:val="22"/>
          <w:szCs w:val="22"/>
          <w:color w:val="auto"/>
        </w:rPr>
        <w:t xml:space="preserve">” means the obligation of the Co-Issuers to reimburse the L/C Provider pursuant to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for amounts drawn under Letters of Credit.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Expiration Date</w:t>
      </w:r>
      <w:r>
        <w:rPr>
          <w:rFonts w:ascii="Arial" w:cs="Arial" w:eastAsia="Arial" w:hAnsi="Arial"/>
          <w:sz w:val="22"/>
          <w:szCs w:val="22"/>
          <w:color w:val="auto"/>
        </w:rPr>
        <w:t xml:space="preserve">” had the meaning set forth in </w:t>
      </w:r>
      <w:r>
        <w:rPr>
          <w:rFonts w:ascii="Arial" w:cs="Arial" w:eastAsia="Arial" w:hAnsi="Arial"/>
          <w:sz w:val="22"/>
          <w:szCs w:val="22"/>
          <w:u w:val="single" w:color="auto"/>
          <w:color w:val="auto"/>
        </w:rPr>
        <w:t>Section 2.07(a)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Investor Groups</w:t>
      </w:r>
      <w:r>
        <w:rPr>
          <w:rFonts w:ascii="Arial" w:cs="Arial" w:eastAsia="Arial" w:hAnsi="Arial"/>
          <w:sz w:val="19"/>
          <w:szCs w:val="19"/>
          <w:color w:val="auto"/>
        </w:rPr>
        <w:t>” means the Investor Groups holding more than (i) if no single Investor Group holds more than 50% of the Commitments, 50% of the Commitments or (ii) if a single Investor Group holds more than 50% of the Commitments, three-fourths of the Commitments (provided, in either case, that the Commitment of any Defaulting Investor shall be disregarded in the determination of whether such threshold percentage of Commitments has been met).</w:t>
      </w:r>
    </w:p>
    <w:p>
      <w:pPr>
        <w:spacing w:after="0" w:line="14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9.18(b)</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“Sanctioned Person” has the meaning set forth in Section 6.01(j).</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sanctions administered by or enforced by the U.S. Department of the Treasury’s Office of Foreign Assets Control, the U.S. Department of State, the United Nations Security Council, the European Union, Her Majesty’s Treasury, the Netherlands, or other relevant sanctions authority.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Sanctioned Person</w:t>
      </w:r>
      <w:r>
        <w:rPr>
          <w:rFonts w:ascii="Arial" w:cs="Arial" w:eastAsia="Arial" w:hAnsi="Arial"/>
          <w:sz w:val="22"/>
          <w:szCs w:val="22"/>
          <w:color w:val="FF0000"/>
          <w:strike w:val="1"/>
        </w:rPr>
        <w:t xml:space="preserve">” has the meaning set forth in </w:t>
      </w:r>
      <w:r>
        <w:rPr>
          <w:rFonts w:ascii="Arial" w:cs="Arial" w:eastAsia="Arial" w:hAnsi="Arial"/>
          <w:sz w:val="22"/>
          <w:szCs w:val="22"/>
          <w:u w:val="single" w:color="auto"/>
          <w:color w:val="FF0000"/>
          <w:strike w:val="1"/>
        </w:rPr>
        <w:t>Section 6.01(j)</w:t>
      </w:r>
      <w:r>
        <w:rPr>
          <w:rFonts w:ascii="Arial" w:cs="Arial" w:eastAsia="Arial" w:hAnsi="Arial"/>
          <w:sz w:val="22"/>
          <w:szCs w:val="22"/>
          <w:color w:val="FF0000"/>
          <w:strike w:val="1"/>
        </w:rPr>
        <w: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2021-1 Class A-1 Allocated Payment 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2.05(b)</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(iv)</w:t>
      </w:r>
      <w:r>
        <w:rPr>
          <w:rFonts w:ascii="Arial" w:cs="Arial" w:eastAsia="Arial" w:hAnsi="Arial"/>
          <w:sz w:val="22"/>
          <w:szCs w:val="22"/>
          <w:color w:val="auto"/>
        </w:rPr>
        <w:t>.</w:t>
      </w:r>
    </w:p>
    <w:p>
      <w:pPr>
        <w:spacing w:after="0" w:line="18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2021-1 Class A-1 Senior Notes Other Amounts</w:t>
      </w:r>
      <w:r>
        <w:rPr>
          <w:rFonts w:ascii="Arial" w:cs="Arial" w:eastAsia="Arial" w:hAnsi="Arial"/>
          <w:sz w:val="19"/>
          <w:szCs w:val="19"/>
          <w:color w:val="auto"/>
        </w:rPr>
        <w:t>” means, as of any date of determination, the aggregate unpaid Breakage Amount, Indemnified Liabilities, Agent Indemnified Liabilities, Increased Capital Costs, Increased Costs, Increased Tax Costs, Pre-Closing Costs, Other Post-Closing Expenses, Out-of-Pocket Expenses, Upfront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9" w:name="page60"/>
    <w:bookmarkEnd w:id="59"/>
    <w:p>
      <w:pPr>
        <w:jc w:val="both"/>
        <w:spacing w:after="0" w:line="250" w:lineRule="auto"/>
        <w:rPr>
          <w:sz w:val="20"/>
          <w:szCs w:val="20"/>
          <w:color w:val="auto"/>
        </w:rPr>
      </w:pPr>
      <w:r>
        <w:rPr>
          <w:rFonts w:ascii="Arial" w:cs="Arial" w:eastAsia="Arial" w:hAnsi="Arial"/>
          <w:sz w:val="22"/>
          <w:szCs w:val="22"/>
          <w:color w:val="auto"/>
        </w:rPr>
        <w:t>and Extension Fees then due and payable. For purposes of the Base Indenture, the “Series 2021-1 Class A-1 Senior Notes Other Amounts” shall be deemed to be “Class A-1 Notes Other Amounts.”</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w:t>
      </w:r>
      <w:r>
        <w:rPr>
          <w:rFonts w:ascii="Arial" w:cs="Arial" w:eastAsia="Arial" w:hAnsi="Arial"/>
          <w:sz w:val="22"/>
          <w:szCs w:val="22"/>
          <w:color w:val="FF0000"/>
          <w:strike w:val="1"/>
        </w:rPr>
        <w:t>, with respect to any Business Day,</w:t>
      </w:r>
      <w:r>
        <w:rPr>
          <w:rFonts w:ascii="Arial" w:cs="Arial" w:eastAsia="Arial" w:hAnsi="Arial"/>
          <w:sz w:val="22"/>
          <w:szCs w:val="22"/>
          <w:color w:val="auto"/>
        </w:rPr>
        <w:t xml:space="preserve"> a rate </w:t>
      </w:r>
      <w:r>
        <w:rPr>
          <w:rFonts w:ascii="Arial" w:cs="Arial" w:eastAsia="Arial" w:hAnsi="Arial"/>
          <w:sz w:val="22"/>
          <w:szCs w:val="22"/>
          <w:color w:val="FF0000"/>
          <w:strike w:val="1"/>
        </w:rPr>
        <w:t>per annum</w:t>
      </w:r>
      <w:r>
        <w:rPr>
          <w:rFonts w:ascii="Arial" w:cs="Arial" w:eastAsia="Arial" w:hAnsi="Arial"/>
          <w:sz w:val="22"/>
          <w:szCs w:val="22"/>
          <w:color w:val="auto"/>
        </w:rPr>
        <w:t xml:space="preserve"> equal to the secured overnight financing rate </w:t>
      </w:r>
      <w:r>
        <w:rPr>
          <w:rFonts w:ascii="Arial" w:cs="Arial" w:eastAsia="Arial" w:hAnsi="Arial"/>
          <w:sz w:val="22"/>
          <w:szCs w:val="22"/>
          <w:color w:val="FF0000"/>
          <w:strike w:val="1"/>
        </w:rPr>
        <w:t>for such Business Day published</w:t>
      </w:r>
      <w:r>
        <w:rPr>
          <w:rFonts w:ascii="Arial" w:cs="Arial" w:eastAsia="Arial" w:hAnsi="Arial"/>
          <w:sz w:val="22"/>
          <w:szCs w:val="22"/>
          <w:u w:val="single" w:color="auto"/>
          <w:color w:val="0000FF"/>
        </w:rPr>
        <w:t>as administered</w:t>
      </w:r>
      <w:r>
        <w:rPr>
          <w:rFonts w:ascii="Arial" w:cs="Arial" w:eastAsia="Arial" w:hAnsi="Arial"/>
          <w:sz w:val="22"/>
          <w:szCs w:val="22"/>
          <w:color w:val="auto"/>
        </w:rPr>
        <w:t xml:space="preserve"> by the SOFR Administrator </w:t>
      </w:r>
      <w:r>
        <w:rPr>
          <w:rFonts w:ascii="Arial" w:cs="Arial" w:eastAsia="Arial" w:hAnsi="Arial"/>
          <w:sz w:val="22"/>
          <w:szCs w:val="22"/>
          <w:color w:val="FF0000"/>
        </w:rPr>
        <w:t>on the SOFR Administrator’s Website on the</w:t>
      </w:r>
      <w:r>
        <w:rPr>
          <w:rFonts w:ascii="Arial" w:cs="Arial" w:eastAsia="Arial" w:hAnsi="Arial"/>
          <w:sz w:val="22"/>
          <w:szCs w:val="22"/>
          <w:color w:val="auto"/>
        </w:rPr>
        <w:t xml:space="preserve"> </w:t>
      </w:r>
      <w:r>
        <w:rPr>
          <w:rFonts w:ascii="Arial" w:cs="Arial" w:eastAsia="Arial" w:hAnsi="Arial"/>
          <w:sz w:val="22"/>
          <w:szCs w:val="22"/>
          <w:color w:val="FF0000"/>
          <w:strike w:val="1"/>
        </w:rPr>
        <w:t>immediately succeeding Business Day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-236220</wp:posOffset>
            </wp:positionV>
            <wp:extent cx="26054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5405" cy="8255"/>
                    </a:xfrm>
                    <a:prstGeom prst="rect">
                      <a:avLst/>
                    </a:prstGeom>
                    <a:noFill/>
                  </pic:spPr>
                </pic:pic>
              </a:graphicData>
            </a:graphic>
          </wp:anchor>
        </w:drawing>
      </w:r>
    </w:p>
    <w:p>
      <w:pPr>
        <w:spacing w:after="0" w:line="16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75" w:lineRule="exact"/>
        <w:rPr>
          <w:sz w:val="20"/>
          <w:szCs w:val="20"/>
          <w:color w:val="auto"/>
        </w:rPr>
      </w:pPr>
    </w:p>
    <w:p>
      <w:pPr>
        <w:jc w:val="both"/>
        <w:ind w:right="440" w:firstLine="1497"/>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SOFR Administrator’s Website</w:t>
      </w:r>
      <w:r>
        <w:rPr>
          <w:rFonts w:ascii="Arial" w:cs="Arial" w:eastAsia="Arial" w:hAnsi="Arial"/>
          <w:sz w:val="22"/>
          <w:szCs w:val="22"/>
          <w:color w:val="FF0000"/>
          <w:strike w:val="1"/>
        </w:rPr>
        <w:t>” means the website of the Federal Reserve Bank of New York,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u w:val="single" w:color="auto"/>
          <w:color w:val="0000FF"/>
        </w:rPr>
        <w:t>“SOFR Interest Accrual Period” means, as to any SOFR Advance, the period commencing on the date of such Advance and ending on the numerically corresponding day in the calendar month that is one (1), three (3) or six (6) months thereafter (subject to the availability thereof), as specified by the Co-Issuers; provided that (i) if any SOFR Interest Accrual Period would end on a day other than a Business Day, such SOFR Interest Accrual Period shall be extended to the next succeeding Business Day unless such next succeeding Business Day would fall in the next calendar month, in which case such SOFR Interest Accrual Period shall end on the immediately preceding Business Day, (ii) any SOFR Interest Accrual Period that commences on the last Business Day of a calendar month (or on a day for which there is no numerically corresponding day in the last calendar month of such SOFR Interest Accrual Period) shall end on the last Business Day of the last calendar month of such SOFR Interest Accrual Period, (iii) no SOFR Interest Accrual Period shall extend beyond the Rated Maturity Date and (iv) no tenor that has been removed from this definition pursuant to the terms hereof shall be available for specification in any Advance Request. For purposes hereof, the date of an Advance initially shall be the date on which such Advance is made and thereafter shall be the effective date of the most recent conversion or continuation of such Advance.</w:t>
      </w:r>
    </w:p>
    <w:p>
      <w:pPr>
        <w:spacing w:after="0" w:line="16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with respect to any Person as of any date of determination, that on such date (i) the present fair market value (or present fair saleable value) of the assets of such Person are not less than the total amount required to pay the liabilities of such Person on its total existing debts and liabilities (including contingent liabilities) as they become absolute and matured,</w:t>
      </w:r>
    </w:p>
    <w:p>
      <w:pPr>
        <w:spacing w:after="0" w:line="185" w:lineRule="exact"/>
        <w:rPr>
          <w:sz w:val="20"/>
          <w:szCs w:val="20"/>
          <w:color w:val="auto"/>
        </w:rPr>
      </w:pPr>
    </w:p>
    <w:p>
      <w:pPr>
        <w:ind w:firstLine="1505"/>
        <w:spacing w:after="0" w:line="250" w:lineRule="auto"/>
        <w:tabs>
          <w:tab w:leader="none" w:pos="21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Person is able to realize upon its assets and pay its debts and other liabilities, contingent obligations and commitments as they mature and become due in the normal course of business,</w:t>
      </w:r>
    </w:p>
    <w:p>
      <w:pPr>
        <w:spacing w:after="0" w:line="174" w:lineRule="exact"/>
        <w:rPr>
          <w:rFonts w:ascii="Arial" w:cs="Arial" w:eastAsia="Arial" w:hAnsi="Arial"/>
          <w:sz w:val="22"/>
          <w:szCs w:val="22"/>
          <w:color w:val="auto"/>
        </w:rPr>
      </w:pPr>
    </w:p>
    <w:p>
      <w:pPr>
        <w:jc w:val="both"/>
        <w:ind w:firstLine="1505"/>
        <w:spacing w:after="0" w:line="235" w:lineRule="auto"/>
        <w:tabs>
          <w:tab w:leader="none" w:pos="217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assuming the completion of the transactions contemplated by the Related Documents, the Person is not incurring debts or liabilities beyond its ability to pay as such debts and liabilities mature, (iv) the Person is not engaged in any business or transaction, and is not about to engage in any business or transaction, for which its property would constitute unreasonably small capital after giving due consideration to the prevailing practice in the industry in which such entity is engaged, and (v) the Person is not a defendant in any civil action that would result in a judgment that such Person is or would become unable to satisfy.</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Rating Agencies</w:t>
      </w:r>
      <w:r>
        <w:rPr>
          <w:rFonts w:ascii="Arial" w:cs="Arial" w:eastAsia="Arial" w:hAnsi="Arial"/>
          <w:sz w:val="22"/>
          <w:szCs w:val="22"/>
          <w:color w:val="auto"/>
        </w:rPr>
        <w:t>” means any of S&amp;P Global Ratings, Moody’s or Fitch,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0" w:name="page61"/>
    <w:bookmarkEnd w:id="60"/>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Commitment</w:t>
      </w:r>
      <w:r>
        <w:rPr>
          <w:rFonts w:ascii="Arial" w:cs="Arial" w:eastAsia="Arial" w:hAnsi="Arial"/>
          <w:sz w:val="22"/>
          <w:szCs w:val="22"/>
          <w:color w:val="auto"/>
        </w:rPr>
        <w:t xml:space="preserve">” means the obligation of the Swingline Lender to make Swingline Loans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in an aggregate principal amount at any one time outstanding not to exceed $30,000,000, as such amount may be reduced or increased pursuant to </w:t>
      </w:r>
      <w:r>
        <w:rPr>
          <w:rFonts w:ascii="Arial" w:cs="Arial" w:eastAsia="Arial" w:hAnsi="Arial"/>
          <w:sz w:val="22"/>
          <w:szCs w:val="22"/>
          <w:u w:val="single" w:color="auto"/>
          <w:color w:val="auto"/>
        </w:rPr>
        <w:t>Section 2.06(i)</w:t>
      </w:r>
      <w:r>
        <w:rPr>
          <w:rFonts w:ascii="Arial" w:cs="Arial" w:eastAsia="Arial" w:hAnsi="Arial"/>
          <w:sz w:val="22"/>
          <w:szCs w:val="22"/>
          <w:color w:val="auto"/>
        </w:rPr>
        <w:t xml:space="preserve"> or reduced pursuant to </w:t>
      </w:r>
      <w:r>
        <w:rPr>
          <w:rFonts w:ascii="Arial" w:cs="Arial" w:eastAsia="Arial" w:hAnsi="Arial"/>
          <w:sz w:val="22"/>
          <w:szCs w:val="22"/>
          <w:u w:val="single" w:color="auto"/>
          <w:color w:val="auto"/>
        </w:rPr>
        <w:t>Section 2.05(b)</w:t>
      </w:r>
      <w:r>
        <w:rPr>
          <w:rFonts w:ascii="Arial" w:cs="Arial" w:eastAsia="Arial" w:hAnsi="Arial"/>
          <w:sz w:val="22"/>
          <w:szCs w:val="22"/>
          <w:color w:val="auto"/>
        </w:rPr>
        <w:t>.</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Coöperatieve Rabobank U.A., New York Branch, in its capacity as maker of Swingline Loans, and its permitted successors and assigns in such capacity.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2.06(a)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2.06(b)</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Participation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2.06(f).</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0000FF"/>
        </w:rPr>
        <w:t>“Term SOFR” means,</w:t>
      </w:r>
    </w:p>
    <w:p>
      <w:pPr>
        <w:spacing w:after="0" w:line="206" w:lineRule="exact"/>
        <w:rPr>
          <w:sz w:val="20"/>
          <w:szCs w:val="20"/>
          <w:color w:val="auto"/>
        </w:rPr>
      </w:pPr>
    </w:p>
    <w:p>
      <w:pPr>
        <w:ind w:right="40" w:firstLine="757"/>
        <w:spacing w:after="0" w:line="273" w:lineRule="auto"/>
        <w:tabs>
          <w:tab w:leader="none" w:pos="1296" w:val="left"/>
        </w:tabs>
        <w:numPr>
          <w:ilvl w:val="0"/>
          <w:numId w:val="2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 SOFR Advance, the Term SOFR Reference Rate for a tenor comparable to the applicable SOFR Interest Accrual Period on the day (such day, the “Periodic Term SOFR Determination Day”) that is two (2) U.S. Government Securities Business Days prior to the first day of such SOFR Interest Accrual Period, as such rate is published by the SOFR Administrator; provided, however, that if as of 5:00 p.m. (New York City time) on any Periodic Term SOFR Determination Day the Term SOFR Reference Rate for the applicable tenor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three (3) U.S. Government Securities Business Days prior to such Periodic Term SOFR Determination Day, and</w:t>
      </w:r>
    </w:p>
    <w:p>
      <w:pPr>
        <w:spacing w:after="0" w:line="160" w:lineRule="exact"/>
        <w:rPr>
          <w:rFonts w:ascii="Arial" w:cs="Arial" w:eastAsia="Arial" w:hAnsi="Arial"/>
          <w:sz w:val="19"/>
          <w:szCs w:val="19"/>
          <w:u w:val="single" w:color="auto"/>
          <w:color w:val="0000FF"/>
        </w:rPr>
      </w:pPr>
    </w:p>
    <w:p>
      <w:pPr>
        <w:ind w:right="20" w:firstLine="757"/>
        <w:spacing w:after="0" w:line="245" w:lineRule="auto"/>
        <w:tabs>
          <w:tab w:leader="none" w:pos="1296" w:val="left"/>
        </w:tabs>
        <w:numPr>
          <w:ilvl w:val="0"/>
          <w:numId w:val="22"/>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for any calculation with respect to an Base Rate Advance on any day, the Term SOFR Reference Rate for a tenor of three (3) months on the day (such day, the “Base Rate Term SOFR Determination Day”) that is two (2) U.S. Government Securities Business Days prior to such day, as such rate is published by the SOFR Administrator; provided, however, that if as of 5:00 p.m. (New York City time) on any Base Rate Term SOFR Determination Day the Term SOFR Reference Rate for the applicable tenor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for such tenor was published by the SOFR Administrator so long as such first preceding U.S. Government Securities Business Day is not more than three (3) U.S. Government Securities Business Days prior to such Base Rate Term SOFR Determination Day.</w:t>
      </w:r>
    </w:p>
    <w:p>
      <w:pPr>
        <w:spacing w:after="0" w:line="181" w:lineRule="exact"/>
        <w:rPr>
          <w:sz w:val="20"/>
          <w:szCs w:val="20"/>
          <w:color w:val="auto"/>
        </w:rPr>
      </w:pPr>
    </w:p>
    <w:p>
      <w:pPr>
        <w:ind w:right="280" w:firstLine="1497"/>
        <w:spacing w:after="0"/>
        <w:rPr>
          <w:sz w:val="20"/>
          <w:szCs w:val="20"/>
          <w:color w:val="auto"/>
        </w:rPr>
      </w:pPr>
      <w:r>
        <w:rPr>
          <w:rFonts w:ascii="Arial" w:cs="Arial" w:eastAsia="Arial" w:hAnsi="Arial"/>
          <w:sz w:val="22"/>
          <w:szCs w:val="22"/>
          <w:u w:val="single" w:color="auto"/>
          <w:color w:val="0000FF"/>
        </w:rPr>
        <w:t>“Term SOFR Adjustment” means, 0.10% (10 basis points) for an Available Tenor of one-month’s duration, 0.15% (15 basis points) for an Available Tenor of three-months’ duration and 0.25% (25 basis points) for an Available Tenor of six-months’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1" w:name="page62"/>
    <w:bookmarkEnd w:id="61"/>
    <w:p>
      <w:pPr>
        <w:jc w:val="both"/>
        <w:ind w:firstLine="1497"/>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Term SOFR</w:t>
      </w:r>
      <w:r>
        <w:rPr>
          <w:rFonts w:ascii="Arial" w:cs="Arial" w:eastAsia="Arial" w:hAnsi="Arial"/>
          <w:sz w:val="22"/>
          <w:szCs w:val="22"/>
          <w:color w:val="FF0000"/>
          <w:strike w:val="1"/>
        </w:rPr>
        <w:t>” means, for the applicable Corresponding Tenor as of the applicable Reference Time,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Reference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Rate” means</w:t>
      </w:r>
      <w:r>
        <w:rPr>
          <w:rFonts w:ascii="Arial" w:cs="Arial" w:eastAsia="Arial" w:hAnsi="Arial"/>
          <w:sz w:val="22"/>
          <w:szCs w:val="22"/>
          <w:color w:val="0000FF"/>
        </w:rPr>
        <w:t xml:space="preserve"> </w:t>
      </w:r>
      <w:r>
        <w:rPr>
          <w:rFonts w:ascii="Arial" w:cs="Arial" w:eastAsia="Arial" w:hAnsi="Arial"/>
          <w:sz w:val="22"/>
          <w:szCs w:val="22"/>
          <w:color w:val="000000"/>
        </w:rPr>
        <w:t>the forward-looking term rate based on SOFR</w:t>
      </w:r>
      <w:r>
        <w:rPr>
          <w:rFonts w:ascii="Arial" w:cs="Arial" w:eastAsia="Arial" w:hAnsi="Arial"/>
          <w:sz w:val="22"/>
          <w:szCs w:val="22"/>
          <w:color w:val="0000FF"/>
        </w:rPr>
        <w:t xml:space="preserve"> </w:t>
      </w:r>
      <w:r>
        <w:rPr>
          <w:rFonts w:ascii="Arial" w:cs="Arial" w:eastAsia="Arial" w:hAnsi="Arial"/>
          <w:sz w:val="22"/>
          <w:szCs w:val="22"/>
          <w:color w:val="FF0000"/>
        </w:rPr>
        <w:t>that has been selected or recommended by the Relevant</w:t>
      </w:r>
      <w:r>
        <w:rPr>
          <w:rFonts w:ascii="Arial" w:cs="Arial" w:eastAsia="Arial" w:hAnsi="Arial"/>
          <w:sz w:val="22"/>
          <w:szCs w:val="22"/>
          <w:color w:val="0000FF"/>
        </w:rPr>
        <w:t xml:space="preserve"> </w:t>
      </w:r>
      <w:r>
        <w:rPr>
          <w:rFonts w:ascii="Arial" w:cs="Arial" w:eastAsia="Arial" w:hAnsi="Arial"/>
          <w:sz w:val="22"/>
          <w:szCs w:val="22"/>
          <w:color w:val="FF0000"/>
          <w:strike w:val="1"/>
        </w:rPr>
        <w:t>Governmental Body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6536055</wp:posOffset>
            </wp:positionH>
            <wp:positionV relativeFrom="paragraph">
              <wp:posOffset>-339090</wp:posOffset>
            </wp:positionV>
            <wp:extent cx="457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720" cy="889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-236220</wp:posOffset>
            </wp:positionV>
            <wp:extent cx="35382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66" w:lineRule="exact"/>
        <w:rPr>
          <w:sz w:val="20"/>
          <w:szCs w:val="20"/>
          <w:color w:val="auto"/>
        </w:rPr>
      </w:pPr>
    </w:p>
    <w:p>
      <w:pPr>
        <w:ind w:right="20" w:firstLine="1497"/>
        <w:spacing w:after="0" w:line="273"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Term SOFR Adjustment</w:t>
      </w:r>
      <w:r>
        <w:rPr>
          <w:rFonts w:ascii="Arial" w:cs="Arial" w:eastAsia="Arial" w:hAnsi="Arial"/>
          <w:sz w:val="19"/>
          <w:szCs w:val="19"/>
          <w:color w:val="FF0000"/>
          <w:strike w:val="1"/>
        </w:rPr>
        <w:t>” means, the Benchmark Replacement Adjustment which can be determined as of the Benchmark Replacement Date for the Term SOFR Transition Event and if no such Benchmark Replacement Adjustment can be determined, the spread adjustment, or method for calculating or determining such spread adjustment, (which may be a positive or negative value or zero) that has been selected by the Administrative Agent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provided, that, the Administrative Agent shall provide the Investors with notice of the Benchmark Replacement Adjustment so identified at least five (5) Business Days prior to the Benchmark Replacement Date for the Term SOFR Transition Event.</w:t>
      </w:r>
    </w:p>
    <w:p>
      <w:pPr>
        <w:spacing w:after="0" w:line="155" w:lineRule="exact"/>
        <w:rPr>
          <w:sz w:val="20"/>
          <w:szCs w:val="20"/>
          <w:color w:val="auto"/>
        </w:rPr>
      </w:pPr>
    </w:p>
    <w:p>
      <w:pPr>
        <w:ind w:right="280" w:firstLine="1497"/>
        <w:spacing w:after="0" w:line="250"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Term SOFR Notice</w:t>
      </w:r>
      <w:r>
        <w:rPr>
          <w:rFonts w:ascii="Arial" w:cs="Arial" w:eastAsia="Arial" w:hAnsi="Arial"/>
          <w:sz w:val="22"/>
          <w:szCs w:val="22"/>
          <w:color w:val="FF0000"/>
          <w:strike w:val="1"/>
        </w:rPr>
        <w:t>” means a notification by the Administrative Agent to the Investors and the Co-Issuers of the occurrence of a Term SOFR Transition Event.</w:t>
      </w:r>
    </w:p>
    <w:p>
      <w:pPr>
        <w:spacing w:after="0" w:line="175"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Term SOFR Transition Event</w:t>
      </w:r>
      <w:r>
        <w:rPr>
          <w:rFonts w:ascii="Arial" w:cs="Arial" w:eastAsia="Arial" w:hAnsi="Arial"/>
          <w:sz w:val="22"/>
          <w:szCs w:val="22"/>
          <w:color w:val="FF0000"/>
          <w:strike w:val="1"/>
        </w:rPr>
        <w:t xml:space="preserve">” means the determination by the Administrative Agent that (a) Term SOFR has been recommended for use by the Relevant Governmental Body, (b) the administration of Term SOFR is administratively feasible for the Administrative Agent in its sole discretion, and (c) a Benchmark Transition Event or an Early Opt-in Election, as applicable, has previously occurred resulting in a Benchmark Replacement in accordance with </w:t>
      </w:r>
      <w:r>
        <w:rPr>
          <w:rFonts w:ascii="Arial" w:cs="Arial" w:eastAsia="Arial" w:hAnsi="Arial"/>
          <w:sz w:val="22"/>
          <w:szCs w:val="22"/>
          <w:u w:val="single" w:color="auto"/>
          <w:color w:val="FF0000"/>
          <w:strike w:val="1"/>
        </w:rPr>
        <w:t>Section 3.04(c)</w:t>
      </w:r>
      <w:r>
        <w:rPr>
          <w:rFonts w:ascii="Arial" w:cs="Arial" w:eastAsia="Arial" w:hAnsi="Arial"/>
          <w:sz w:val="22"/>
          <w:szCs w:val="22"/>
          <w:color w:val="FF0000"/>
          <w:strike w:val="1"/>
        </w:rPr>
        <w:t xml:space="preserve"> that is not Term SOFR.</w:t>
      </w:r>
    </w:p>
    <w:p>
      <w:pPr>
        <w:spacing w:after="0" w:line="170"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u w:val="single" w:color="auto"/>
          <w:color w:val="000000"/>
        </w:rPr>
        <w:t>UK Financial Insttuton</w:t>
      </w:r>
      <w:r>
        <w:rPr>
          <w:rFonts w:ascii="Arial" w:cs="Arial" w:eastAsia="Arial" w:hAnsi="Arial"/>
          <w:sz w:val="19"/>
          <w:szCs w:val="19"/>
          <w:color w:val="000000"/>
        </w:rPr>
        <w:t>” means any BRRD Undertaking (as such term is defned under the PRA Rulebook (as amended</w:t>
      </w:r>
      <w:r>
        <w:rPr>
          <w:rFonts w:ascii="Arial" w:cs="Arial" w:eastAsia="Arial" w:hAnsi="Arial"/>
          <w:sz w:val="19"/>
          <w:szCs w:val="19"/>
          <w:color w:val="0000FF"/>
        </w:rPr>
        <w:t xml:space="preserve"> </w:t>
      </w:r>
      <w:r>
        <w:rPr>
          <w:rFonts w:ascii="Arial" w:cs="Arial" w:eastAsia="Arial" w:hAnsi="Arial"/>
          <w:sz w:val="19"/>
          <w:szCs w:val="19"/>
          <w:color w:val="000000"/>
        </w:rPr>
        <w:t>from tme to tme) promulgated by the United Kingdom Prudental Regulaton Authority) or any person falling within IFPRU 11.6 of the FCA Handbook (as amended from tme to tme) promulgated by the United Kingdom Financial Conduct Authority, which includes certain credit insttutons and investment frms, and certain afliates of such credit insttutons or investment frms.</w:t>
      </w:r>
    </w:p>
    <w:p>
      <w:pPr>
        <w:spacing w:after="0" w:line="19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Benchmark Replacement excluding the related Benchmark Replacement Adjustment.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Commitment Fees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L/C Face Amounts</w:t>
      </w:r>
      <w:r>
        <w:rPr>
          <w:rFonts w:ascii="Arial" w:cs="Arial" w:eastAsia="Arial" w:hAnsi="Arial"/>
          <w:sz w:val="22"/>
          <w:szCs w:val="22"/>
          <w:color w:val="auto"/>
        </w:rPr>
        <w:t>” means, at any time, the aggregate then undrawn and unexpired face amount of any Letters of Credit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2" w:name="page63"/>
    <w:bookmarkEnd w:id="62"/>
    <w:p>
      <w:pPr>
        <w:jc w:val="both"/>
        <w:ind w:firstLine="1497"/>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Unreimbursed L/C Drawings</w:t>
      </w:r>
      <w:r>
        <w:rPr>
          <w:rFonts w:ascii="Arial" w:cs="Arial" w:eastAsia="Arial" w:hAnsi="Arial"/>
          <w:sz w:val="22"/>
          <w:szCs w:val="22"/>
          <w:color w:val="auto"/>
        </w:rPr>
        <w:t xml:space="preserve">” means, at any time, the aggregate amount of any L/C Reimbursement Amounts that have not then been reimbursed pursuant to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Upfront Commitment Fee</w:t>
      </w:r>
      <w:r>
        <w:rPr>
          <w:rFonts w:ascii="Arial" w:cs="Arial" w:eastAsia="Arial" w:hAnsi="Arial"/>
          <w:sz w:val="22"/>
          <w:szCs w:val="22"/>
          <w:color w:val="auto"/>
        </w:rPr>
        <w:t>” has the meaning given to such term in the Class A-1 VFN Fee Letter.</w:t>
      </w:r>
    </w:p>
    <w:p>
      <w:pPr>
        <w:spacing w:after="0" w:line="20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u w:val="single" w:color="auto"/>
          <w:color w:val="0000FF"/>
        </w:rPr>
        <w:t>“U.S. Government Securities Business Day”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9.24</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Voluntary Cash 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1.03</w:t>
      </w:r>
      <w:r>
        <w:rPr>
          <w:rFonts w:ascii="Arial" w:cs="Arial" w:eastAsia="Arial" w:hAnsi="Arial"/>
          <w:sz w:val="22"/>
          <w:szCs w:val="22"/>
          <w:u w:val="single" w:color="auto"/>
          <w:color w:val="0000FF"/>
        </w:rPr>
        <w:t>Benchmark Calculations.</w:t>
      </w:r>
    </w:p>
    <w:p>
      <w:pPr>
        <w:spacing w:after="0" w:line="206" w:lineRule="exact"/>
        <w:rPr>
          <w:sz w:val="20"/>
          <w:szCs w:val="20"/>
          <w:color w:val="auto"/>
        </w:rPr>
      </w:pPr>
    </w:p>
    <w:p>
      <w:pPr>
        <w:jc w:val="both"/>
        <w:ind w:firstLine="1505"/>
        <w:spacing w:after="0" w:line="269" w:lineRule="auto"/>
        <w:tabs>
          <w:tab w:leader="none" w:pos="2036"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0000FF"/>
        </w:rPr>
        <w:t>None of the Administrative Agent or any Funding Agent warrants or accepts any responsibility for, and shall not have any liability with respect to, the continuation of, administration of, submission of, calculation of, or any other matter related to “Base Rate”, “SOFR”, “Term SOFR”, “Term SOFR Reference Rate” or “Adjusted Term SOFR”, any component definition thereof or rates referenced in the definition thereof or any alternative or successor rate thereto, or replacement rate thereof (including, without limitation, (i) any then-current Benchmark or any Benchmark Replacement, (ii) any alternative, successor or replacement rate implemented pursuant to Section 3.04, whether upon the occurrence of a Benchmark Transition Event and (iii) the effect, implementation or composition of any Conforming Changes, including without limitation,</w:t>
      </w:r>
    </w:p>
    <w:p>
      <w:pPr>
        <w:spacing w:after="0" w:line="4" w:lineRule="exact"/>
        <w:rPr>
          <w:rFonts w:ascii="Arial" w:cs="Arial" w:eastAsia="Arial" w:hAnsi="Arial"/>
          <w:sz w:val="19"/>
          <w:szCs w:val="19"/>
          <w:color w:val="auto"/>
        </w:rPr>
      </w:pPr>
    </w:p>
    <w:p>
      <w:pPr>
        <w:jc w:val="both"/>
        <w:ind w:firstLine="8"/>
        <w:spacing w:after="0" w:line="272" w:lineRule="auto"/>
        <w:tabs>
          <w:tab w:leader="none" w:pos="378" w:val="left"/>
        </w:tabs>
        <w:numPr>
          <w:ilvl w:val="0"/>
          <w:numId w:val="2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whether the composition or characteristics of any such alternative, successor or replacement reference rate (including any Benchmark Replacement) will be similar to, or produce the same value or economic equivalence of, or have the same volume or liquidity as the Base Rate, the existing Benchmark or any subsequent Replacement Benchmark prior to its discontinuance or unavailability (including Adjusted Term SOFR, the Term SOFR Reference Rate or any other Benchmark), and (B) the impact or effect of such alternative, successor or replacement reference rate or Conforming Changes on any other financial products or agreements in effect or offered by or to the Co-Issuers, any Guarantor or Investor or any of their respective Affiliates). The Administrative Agent may select information sources or services in its reasonable discretion to ascertain any Base Rate, Term SOFR Reference Rate, Term SOFR, Adjusted Term SOFR or any Benchmark, in each case pursuant to the terms of this Agreement, and shall have no liability to the Co-Issuers, the Manager, any Investor, Funding Agents,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3" w:name="page64"/>
    <w:bookmarkEnd w:id="63"/>
    <w:p>
      <w:pPr>
        <w:jc w:val="both"/>
        <w:spacing w:after="0" w:line="246" w:lineRule="auto"/>
        <w:rPr>
          <w:sz w:val="20"/>
          <w:szCs w:val="20"/>
          <w:color w:val="auto"/>
        </w:rPr>
      </w:pPr>
      <w:r>
        <w:rPr>
          <w:rFonts w:ascii="Arial" w:cs="Arial" w:eastAsia="Arial" w:hAnsi="Arial"/>
          <w:sz w:val="21"/>
          <w:szCs w:val="21"/>
          <w:u w:val="single" w:color="auto"/>
          <w:color w:val="0000FF"/>
        </w:rPr>
        <w:t>Support Providers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The Administrative Agent and its affiliates or other related entities may engage in transactions unrelated to this Agreement that affect the calculation of Base Rate, Term SOFR Reference Rate, Term SOFR, Adjusted Term SOFR or any Benchmark, any alternative, successor or replacement rate (including any Benchmark Replacement) and any relevant adjustments thereto, in each case, in a manner adverse to the Co-Issuers.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w:t>
      </w:r>
    </w:p>
    <w:p>
      <w:pPr>
        <w:spacing w:after="0" w:line="233" w:lineRule="exact"/>
        <w:rPr>
          <w:sz w:val="20"/>
          <w:szCs w:val="20"/>
          <w:color w:val="auto"/>
        </w:rPr>
      </w:pPr>
    </w:p>
    <w:p>
      <w:pPr>
        <w:ind w:left="760" w:right="2580" w:firstLine="1835"/>
        <w:spacing w:after="0" w:line="438" w:lineRule="auto"/>
        <w:rPr>
          <w:sz w:val="20"/>
          <w:szCs w:val="20"/>
          <w:color w:val="auto"/>
        </w:rPr>
      </w:pPr>
      <w:r>
        <w:rPr>
          <w:rFonts w:ascii="Arial" w:cs="Arial" w:eastAsia="Arial" w:hAnsi="Arial"/>
          <w:sz w:val="22"/>
          <w:szCs w:val="22"/>
          <w:b w:val="1"/>
          <w:bCs w:val="1"/>
          <w:u w:val="single" w:color="auto"/>
          <w:color w:val="auto"/>
        </w:rPr>
        <w:t xml:space="preserve">PURCHASE AND SALE OF SERIES 2021-1 CLASS A-1 NOTES </w:t>
      </w:r>
      <w:r>
        <w:rPr>
          <w:rFonts w:ascii="Arial" w:cs="Arial" w:eastAsia="Arial" w:hAnsi="Arial"/>
          <w:sz w:val="22"/>
          <w:szCs w:val="22"/>
          <w:u w:val="single" w:color="auto"/>
          <w:color w:val="auto"/>
        </w:rPr>
        <w:t>Section 2.01The Advance Notes</w:t>
      </w:r>
      <w:r>
        <w:rPr>
          <w:rFonts w:ascii="Arial" w:cs="Arial" w:eastAsia="Arial" w:hAnsi="Arial"/>
          <w:sz w:val="22"/>
          <w:szCs w:val="22"/>
          <w:color w:val="auto"/>
        </w:rPr>
        <w:t>.</w:t>
      </w:r>
    </w:p>
    <w:p>
      <w:pPr>
        <w:spacing w:after="0" w:line="1" w:lineRule="exact"/>
        <w:rPr>
          <w:sz w:val="20"/>
          <w:szCs w:val="20"/>
          <w:color w:val="auto"/>
        </w:rPr>
      </w:pPr>
    </w:p>
    <w:p>
      <w:pPr>
        <w:jc w:val="both"/>
        <w:ind w:firstLine="1505"/>
        <w:spacing w:after="0" w:line="243" w:lineRule="auto"/>
        <w:tabs>
          <w:tab w:leader="none" w:pos="2036" w:val="left"/>
        </w:tabs>
        <w:numPr>
          <w:ilvl w:val="0"/>
          <w:numId w:val="25"/>
        </w:numPr>
        <w:rPr>
          <w:rFonts w:ascii="Arial" w:cs="Arial" w:eastAsia="Arial" w:hAnsi="Arial"/>
          <w:sz w:val="21"/>
          <w:szCs w:val="21"/>
          <w:color w:val="auto"/>
        </w:rPr>
      </w:pPr>
      <w:r>
        <w:rPr>
          <w:rFonts w:ascii="Arial" w:cs="Arial" w:eastAsia="Arial" w:hAnsi="Arial"/>
          <w:sz w:val="21"/>
          <w:szCs w:val="21"/>
          <w:color w:val="auto"/>
        </w:rPr>
        <w:t>On the terms and conditions set forth in the Indenture and this Agreement, and in reliance on the covenants, representations and agreements set forth herein and therein, the Co-Issuers shall issue and shall request the Trustee to authenticate (in the case of Series 2021-1 Class A-1 Advance Notes in the form of definitive notes) or register as described in Section 4.01(f) of the Series 2021-1 Supplement (in the case of Uncertificated Notes) (i) the initial Series 2021-1 Class A-1 Advance Notes, which (in the case of Series 2021-1 Class A-1 Advance Notes in the form of definitive notes) the Co-Issuers shall deliver to each Funding Agent on behalf of the Investors in the related Investor Group on the Series 2021-1 Closing Date, and (ii) additional Series 2021-1 Class A-1 Advance Notes, which (in the case of Series 2021-1 Class A-1 Advance Notes in the form of definitive notes) the Co-Issuers shall deliver to each Funding Agent on behalf of the Investors in the related Investor Group that become a party to this Agreement by executing a Joinder Agreement upon execution thereof and satisfaction of the additional conditions set forth in Section 2.03 of the Series 2021-1 Supplement. Each Series 2021-1 Class A-1 Advance Note for each Investor Group shall be dated their date of authentication or, if an Uncertificated Note, registration, shall be registered in the name of the related Funding Agent or its nominee, as agent for the related Investors, or in such other name or nominee as such Funding Agent may request, shall have a maximum principal amount equal to the Maximum Investor Group Principal Amount for such Investor Group and (other than any Uncertificated Notes) shall be duly authenticated in accordance with the provisions of the Indenture.</w:t>
      </w:r>
    </w:p>
    <w:p>
      <w:pPr>
        <w:spacing w:after="0" w:line="193" w:lineRule="exact"/>
        <w:rPr>
          <w:rFonts w:ascii="Arial" w:cs="Arial" w:eastAsia="Arial" w:hAnsi="Arial"/>
          <w:sz w:val="21"/>
          <w:szCs w:val="21"/>
          <w:color w:val="auto"/>
        </w:rPr>
      </w:pPr>
    </w:p>
    <w:p>
      <w:pPr>
        <w:jc w:val="both"/>
        <w:ind w:firstLine="1505"/>
        <w:spacing w:after="0" w:line="275" w:lineRule="auto"/>
        <w:tabs>
          <w:tab w:leader="none" w:pos="2036" w:val="left"/>
        </w:tabs>
        <w:numPr>
          <w:ilvl w:val="0"/>
          <w:numId w:val="25"/>
        </w:numPr>
        <w:rPr>
          <w:rFonts w:ascii="Arial" w:cs="Arial" w:eastAsia="Arial" w:hAnsi="Arial"/>
          <w:sz w:val="19"/>
          <w:szCs w:val="19"/>
          <w:color w:val="auto"/>
        </w:rPr>
      </w:pPr>
      <w:r>
        <w:rPr>
          <w:rFonts w:ascii="Arial" w:cs="Arial" w:eastAsia="Arial" w:hAnsi="Arial"/>
          <w:sz w:val="19"/>
          <w:szCs w:val="19"/>
          <w:color w:val="auto"/>
        </w:rPr>
        <w:t>Each Series 2021-1 Class A-1 Noteholder shall, acting solely for this purpose as an agent of the Master Issuer, maintain a register on which it enters the name and address of each related Lender Party (and, if applicable, Program Support Provider) and the applicable portions of the Series 2021-1 Class A-1 Outstanding Principal Amount (and stated interest) with respect to such Series 2021-1 Class A-1 Noteholder of each Lender Party (and, if applicable, Program Support Provider) that has an interest in such Series 2021-1 Class A-1 Noteholder’s Series 2021-1 Class A-1 Notes (the “</w:t>
      </w:r>
      <w:r>
        <w:rPr>
          <w:rFonts w:ascii="Arial" w:cs="Arial" w:eastAsia="Arial" w:hAnsi="Arial"/>
          <w:sz w:val="19"/>
          <w:szCs w:val="19"/>
          <w:u w:val="single" w:color="auto"/>
          <w:color w:val="auto"/>
        </w:rPr>
        <w:t>Series 2021-1 Class A-1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provided that no Series 2021-1 Class A-1 Noteholder shall have any obligation to disclose all or any portion of the Series 2021-1 Class A-1 Notes Register to any Person except to the extent such that such disclosure is necessary to establish that such Series 2021-1 Class A-1 Notes are in registered form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u w:val="single" w:color="auto"/>
          <w:color w:val="auto"/>
        </w:rPr>
        <w:t>Section 2.02Advances</w:t>
      </w:r>
      <w:r>
        <w:rPr>
          <w:rFonts w:ascii="Arial" w:cs="Arial" w:eastAsia="Arial" w:hAnsi="Arial"/>
          <w:sz w:val="22"/>
          <w:szCs w:val="22"/>
          <w:color w:val="auto"/>
        </w:rPr>
        <w:t>.</w:t>
      </w:r>
    </w:p>
    <w:p>
      <w:pPr>
        <w:spacing w:after="0" w:line="206" w:lineRule="exact"/>
        <w:rPr>
          <w:sz w:val="20"/>
          <w:szCs w:val="20"/>
          <w:color w:val="auto"/>
        </w:rPr>
      </w:pPr>
    </w:p>
    <w:p>
      <w:pPr>
        <w:jc w:val="both"/>
        <w:ind w:left="-760" w:firstLine="1505"/>
        <w:spacing w:after="0" w:line="269" w:lineRule="auto"/>
        <w:tabs>
          <w:tab w:leader="none" w:pos="1276"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and the Indenture, each Eligible Conduit Investor, if any, may and, if such Conduit Investor determines that it will not make (or it does not in fact make) an Advance or any portion of an Advance, its related Committed Note Purchaser(s) shall or, if there is no Eligible Conduit Investor with respect to any Investor Group, the Committed Note Purchaser(s) with respect to such Investor Group shall, upon the Co-Issuers’ request delivered in accordance with the provisions of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the satisfaction of all conditions precedent thereto (or under the circumstances set forth in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make Advances from time to time during the Commitment Term;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Advances shall be made ratably by each Investor Group based on their respective Commitment Percentages and the portion of any such Advance made by any Committed Note Purchaser in such Investor Group shall be its Committed Note Purchaser Percentage of the Advances to be made by such Investor Group (or the portion thereof not being made by any Conduit Investor in such Investor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as a result of any Committed Note Purchaser (a “</w:t>
      </w:r>
      <w:r>
        <w:rPr>
          <w:rFonts w:ascii="Arial" w:cs="Arial" w:eastAsia="Arial" w:hAnsi="Arial"/>
          <w:sz w:val="19"/>
          <w:szCs w:val="19"/>
          <w:u w:val="single" w:color="auto"/>
          <w:color w:val="auto"/>
        </w:rPr>
        <w:t>Non-Funding Committed Note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Purchaser</w:t>
      </w:r>
      <w:r>
        <w:rPr>
          <w:rFonts w:ascii="Arial" w:cs="Arial" w:eastAsia="Arial" w:hAnsi="Arial"/>
          <w:sz w:val="19"/>
          <w:szCs w:val="19"/>
          <w:color w:val="auto"/>
        </w:rPr>
        <w:t>”) failing to make any previous Advance that such Non-Funding Committed Note Purchaser was required to make, or as a result of the addition of Investor Groups pursuant to Joinder Agreements (“</w:t>
      </w:r>
      <w:r>
        <w:rPr>
          <w:rFonts w:ascii="Arial" w:cs="Arial" w:eastAsia="Arial" w:hAnsi="Arial"/>
          <w:sz w:val="19"/>
          <w:szCs w:val="19"/>
          <w:u w:val="single" w:color="auto"/>
          <w:color w:val="auto"/>
        </w:rPr>
        <w:t>Additional Committed Note Purchasers</w:t>
      </w:r>
      <w:r>
        <w:rPr>
          <w:rFonts w:ascii="Arial" w:cs="Arial" w:eastAsia="Arial" w:hAnsi="Arial"/>
          <w:sz w:val="19"/>
          <w:szCs w:val="19"/>
          <w:color w:val="auto"/>
        </w:rPr>
        <w:t xml:space="preserve">”), outstanding Advances are not held ratably by each Investor Group based on their respective Commitment Percentages and among the Committed Note Purchasers within each Investor Group based on their respective Committed Note Purchaser Percentages at the time a request for Advances is made, (x) such Non-Funding Committed Note Purchaser or Additional Committed Note Purchasers, as applicable, shall make all of such Advances until outstanding Advances are held ratably by each Investor Group based on their respective Commitment Percentages and among the Committed Note Purchasers within each Investor Group based on their respective Committed Note Purchaser Percentages and (y) further Advances shall be made ratably by each Investor Group based on their respective Commitment Percentages and the portion of any such Advance made by any Committed Note Purchaser in such Investor Group shall be its Committed Note Purchaser Percentage of the Advances to be made by such Investor Group (or the portion thereof not being made by any Conduit Investor in such Investor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failure of a Non-Funding Committed Note Purchaser to make Advances pursuant to the immediately preceding proviso shall not, subject to the immediately following proviso, relieve any other Committed Note Purchaser of its obligation hereunder, if any, to make Advances in accordance with </w:t>
      </w:r>
      <w:r>
        <w:rPr>
          <w:rFonts w:ascii="Arial" w:cs="Arial" w:eastAsia="Arial" w:hAnsi="Arial"/>
          <w:sz w:val="19"/>
          <w:szCs w:val="19"/>
          <w:u w:val="single" w:color="auto"/>
          <w:color w:val="auto"/>
        </w:rPr>
        <w:t>Section 2.03(b)(i)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subject,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below, to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no Advance shall be required or permitted to be made by any Investor on any date to the extent that, after giving effect to such Advance, (i) the related Investor Group Principal Amount would exceed the related Maximum Investor Group Principal Amount or (ii) the Series 2021-1 Class A-1 Outstanding Principal Amount would exceed the Series 2021-1 Class A-1 Maximum Principal Amount.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760" w:firstLine="1505"/>
        <w:spacing w:after="0" w:line="238" w:lineRule="auto"/>
        <w:tabs>
          <w:tab w:leader="none" w:pos="12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Notwithstanding anything herein or in any other Related Document to the contrary, at no time will a Conduit Investor be obligated to make Advances hereunder. If at any time any Conduit Investor is not an Eligible Conduit Investor, such Conduit Investor shall promptly notify the Administrative Agent (who shall promptly notify the related Funding Agent and the Master Issuer (on behalf of the Co-Issuers)) thereof.</w:t>
      </w:r>
    </w:p>
    <w:p>
      <w:pPr>
        <w:spacing w:after="0" w:line="184" w:lineRule="exact"/>
        <w:rPr>
          <w:rFonts w:ascii="Arial" w:cs="Arial" w:eastAsia="Arial" w:hAnsi="Arial"/>
          <w:sz w:val="22"/>
          <w:szCs w:val="22"/>
          <w:color w:val="auto"/>
        </w:rPr>
      </w:pPr>
    </w:p>
    <w:p>
      <w:pPr>
        <w:ind w:left="-760" w:firstLine="1505"/>
        <w:spacing w:after="0" w:line="250" w:lineRule="auto"/>
        <w:tabs>
          <w:tab w:leader="none" w:pos="12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Each of the Advances to be made on any date shall be made as part of a single borrowing (each such single borrowing being a “</w:t>
      </w:r>
      <w:r>
        <w:rPr>
          <w:rFonts w:ascii="Arial" w:cs="Arial" w:eastAsia="Arial" w:hAnsi="Arial"/>
          <w:sz w:val="22"/>
          <w:szCs w:val="22"/>
          <w:u w:val="single" w:color="auto"/>
          <w:color w:val="auto"/>
        </w:rPr>
        <w:t>Borrowing</w:t>
      </w:r>
      <w:r>
        <w:rPr>
          <w:rFonts w:ascii="Arial" w:cs="Arial" w:eastAsia="Arial" w:hAnsi="Arial"/>
          <w:sz w:val="22"/>
          <w:szCs w:val="22"/>
          <w:color w:val="auto"/>
        </w:rPr>
        <w:t>”). The Advances made as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506095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04" w:right="339" w:bottom="1440" w:gutter="0" w:footer="0" w:header="0"/>
        </w:sectPr>
      </w:pPr>
    </w:p>
    <w:bookmarkStart w:id="65" w:name="page66"/>
    <w:bookmarkEnd w:id="65"/>
    <w:p>
      <w:pPr>
        <w:jc w:val="both"/>
        <w:spacing w:after="0" w:line="249" w:lineRule="auto"/>
        <w:rPr>
          <w:sz w:val="20"/>
          <w:szCs w:val="20"/>
          <w:color w:val="auto"/>
        </w:rPr>
      </w:pPr>
      <w:r>
        <w:rPr>
          <w:rFonts w:ascii="Arial" w:cs="Arial" w:eastAsia="Arial" w:hAnsi="Arial"/>
          <w:sz w:val="21"/>
          <w:szCs w:val="21"/>
          <w:color w:val="auto"/>
        </w:rPr>
        <w:t>initial Borrowing on the Series 2021-1 Closing Date, if any, will be evidenced by the Series 2021-1 Class A-1 Advance Notes issued in connection herewith and will constitute purchases of Series 2021-1 Class A-1 Initial Advance Principal Amounts corresponding to the amount of such Advances. All of the other Advances will constitute Increases evidenced by the Series 2021-1 Class A-1 Advance Notes issued in connection herewith and will constitute purchases of Series 2021-1 Class A-1 Outstanding Principal Amounts corresponding to the amount of such Advances.</w:t>
      </w:r>
    </w:p>
    <w:p>
      <w:pPr>
        <w:spacing w:after="0" w:line="178" w:lineRule="exact"/>
        <w:rPr>
          <w:sz w:val="20"/>
          <w:szCs w:val="20"/>
          <w:color w:val="auto"/>
        </w:rPr>
      </w:pPr>
    </w:p>
    <w:p>
      <w:pPr>
        <w:jc w:val="both"/>
        <w:ind w:firstLine="1505"/>
        <w:spacing w:after="0" w:line="236" w:lineRule="auto"/>
        <w:tabs>
          <w:tab w:leader="none" w:pos="20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2.02(b) of the Series 2021-1 Supplement specifies the procedures to be followed in connection with any Voluntary Decrease of the Series 2021-1 Class A-1 Outstanding Principal Amount. Each such Voluntary Decrease in respect of any Advances shall be either (i) in an aggregate minimum principal amount of $200,000 and integral multiples of $100,000 in excess thereof or (ii) in such other amount necessary to reduce the Series 2021-1 Class A-1 Outstanding Principal Amount to zero.</w:t>
      </w:r>
    </w:p>
    <w:p>
      <w:pPr>
        <w:spacing w:after="0" w:line="187" w:lineRule="exact"/>
        <w:rPr>
          <w:rFonts w:ascii="Arial" w:cs="Arial" w:eastAsia="Arial" w:hAnsi="Arial"/>
          <w:sz w:val="22"/>
          <w:szCs w:val="22"/>
          <w:color w:val="auto"/>
        </w:rPr>
      </w:pPr>
    </w:p>
    <w:p>
      <w:pPr>
        <w:jc w:val="both"/>
        <w:ind w:firstLine="1505"/>
        <w:spacing w:after="0"/>
        <w:tabs>
          <w:tab w:leader="none" w:pos="20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Subject to the terms of this Agreement and the Series 2021-1 Supplement, the aggregate principal amount of the Advances evidenced by the Series 2021-1 Class A-1 Advance Notes may be increased by Borrowings or decreased by Voluntary Decreases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2.03Borrowing Procedures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203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Whenever the Co-Issuers wish to make a Borrowing, the Co-Issuers shall (or shall cause the Manager on their behalf to) notify the Administrative Agent (who shall promptly, and in any event by 4:00 p.m. (New York City time) on the same Business Day as its receipt of the same, notify each Funding Agent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(or other required share, as required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and notify the Trustee, the Control Party, the Swingline Lender and the L/C Provider in writing of such Borrowing) by written notice in the form of an Advance Request delivered to the Administrative Agent no later than 12:00 p.m. (New York City time) two (2) Business Days (or, in the case of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Advances for purposes of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three (3)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U.S. Government Securities</w:t>
      </w:r>
      <w:r>
        <w:rPr>
          <w:rFonts w:ascii="Arial" w:cs="Arial" w:eastAsia="Arial" w:hAnsi="Arial"/>
          <w:sz w:val="19"/>
          <w:szCs w:val="19"/>
          <w:color w:val="auto"/>
        </w:rPr>
        <w:t xml:space="preserve"> Business Days) prior to the date of Borrowing (unless a shorter period is agreed upon by the Administrative Agent and the L/C Provider, the L/C Issuing Bank, the Swingline Lender or the Funding Agents, as applicable), which date of Borrowing shall be a Business Day during the Commitment Term. Each such notice shall be irrevocable and shall in each case refer to this Agreement and specify (i) the Borrowing date, (ii) the aggregate amount of the requested Borrowing to be made on such date, (iii) the amount of outstanding Swingline Loans and Unreimbursed L/C Drawings (if applicable) to be repaid with the proceeds of such Borrowing on the Borrowing date, which amount shall constitute all outstanding Swingline Loans and Unreimbursed L/C Drawings outstanding on the date of such notice that are not prepaid with other funds of the Co-Issuers available for such purpose, and (iv) sufficient instructions for application of the balance, if any, of the proceeds of such Borrowing on the Borrowing date (which proceeds shall be made available to the Master Issuer (on behalf of the Co-Issuers)). Requests for any Borrowing may not be made in an aggregate principal amount of less than $1,000,000 or in an aggregate principal amount that is not an integral multiple of $500,000 in excess thereof (except as otherwise provided herein with respect to Borrowings for the purpose of repaying then-outstanding Swingline Loans or Unreimbursed L/C Drawings). The Co-Issuers agree to cause requests for Borrowings to be made automatically (to the extent not deemed made pursuant to </w:t>
      </w:r>
      <w:r>
        <w:rPr>
          <w:rFonts w:ascii="Arial" w:cs="Arial" w:eastAsia="Arial" w:hAnsi="Arial"/>
          <w:sz w:val="19"/>
          <w:szCs w:val="19"/>
          <w:u w:val="single" w:color="auto"/>
          <w:color w:val="auto"/>
        </w:rPr>
        <w:t>Sections 2.05(b)(i)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w:t>
      </w:r>
      <w:r>
        <w:rPr>
          <w:rFonts w:ascii="Arial" w:cs="Arial" w:eastAsia="Arial" w:hAnsi="Arial"/>
          <w:sz w:val="19"/>
          <w:szCs w:val="19"/>
          <w:color w:val="auto"/>
        </w:rPr>
        <w:t>) upon notice of any drawing under a Letter of Credit and in any event at least one time per week if any Swingline Loans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6" w:name="page67"/>
    <w:bookmarkEnd w:id="66"/>
    <w:p>
      <w:pPr>
        <w:jc w:val="both"/>
        <w:spacing w:after="0" w:line="269" w:lineRule="auto"/>
        <w:rPr>
          <w:sz w:val="20"/>
          <w:szCs w:val="20"/>
          <w:color w:val="auto"/>
        </w:rPr>
      </w:pPr>
      <w:r>
        <w:rPr>
          <w:rFonts w:ascii="Arial" w:cs="Arial" w:eastAsia="Arial" w:hAnsi="Arial"/>
          <w:sz w:val="19"/>
          <w:szCs w:val="19"/>
          <w:color w:val="auto"/>
        </w:rPr>
        <w:t xml:space="preserve">Unreimbursed L/C Drawings are outstanding, in each case, in an amount at least sufficient to repay in full all Swingline Loans and Unreimbursed L/C Drawings outstanding on the date of the applicable request. Subject to the provisos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each Borrowing shall be ratably allocated among the Investor Groups’ respective Maximum Investor Group Principal Amounts. Each Funding Agent shall promptly advise its related Conduit Investor, if any, of any notice given pursuant to this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and shall promptly thereafter (but in no event later than 10:00 a.m. (New York City time) on the date of Borrowing) notify the Administrative Agent, the Master Issuer (on behalf of the Co-Issuers) and the related Committed Note Purchaser(s) whether such Conduit Investor has determined to make all or any portion of the Advances in such Borrowing that are to be made by its Investor Group. On the date of each Borrowing and subject to the other conditions set forth herein and in the Series 2021-1 Supplement (and, if requested by the Administrative Agent, confirmation from the Swingline Lender and the L/C Provider, as applicable, as to</w:t>
      </w:r>
    </w:p>
    <w:p>
      <w:pPr>
        <w:spacing w:after="0" w:line="1" w:lineRule="exact"/>
        <w:rPr>
          <w:sz w:val="20"/>
          <w:szCs w:val="20"/>
          <w:color w:val="auto"/>
        </w:rPr>
      </w:pPr>
    </w:p>
    <w:p>
      <w:pPr>
        <w:jc w:val="both"/>
        <w:ind w:firstLine="8"/>
        <w:spacing w:after="0" w:line="271" w:lineRule="auto"/>
        <w:tabs>
          <w:tab w:leader="none" w:pos="355"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the amount of outstanding Swingline Loans and Unreimbursed L/C Drawings to be repaid with the proceeds of such Borrowing on the Borrowing date, (y) the Undrawn L/C Face Amount of all Letters of Credit then outstanding and (z) the principal amount of any other Swingline Loans or Unreimbursed L/C Drawings then outstanding), the applicable Investors in each Investor Group shall make available to the Administrative Agent the amount of the Advances in such Borrowing that are to be made by such Investor Group by wire transfer in U.S. Dollars of such amount in same day funds no later than 10:00 a.m. (New York City time) on the date of such Borrowing, and upon receipt thereof the Administrative Agent shall make such proceeds available by 3:00 p.m. (New York City time),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Swingline Lender and the L/C Provider for application to repayment of the amount of outstanding Swingline Loans and Unreimbursed L/C Drawings as set forth in the applicable Advance Request, if applicable, ratably in proportion to such respective amounts,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Master Issuer (on behalf of the Co-Issuers) or the Manager, if directed by the Master Issuer, as instructed in the applicable Advance Request.</w:t>
      </w:r>
    </w:p>
    <w:p>
      <w:pPr>
        <w:spacing w:after="0" w:line="160" w:lineRule="exact"/>
        <w:rPr>
          <w:rFonts w:ascii="Arial" w:cs="Arial" w:eastAsia="Arial" w:hAnsi="Arial"/>
          <w:sz w:val="19"/>
          <w:szCs w:val="19"/>
          <w:color w:val="auto"/>
        </w:rPr>
      </w:pPr>
    </w:p>
    <w:p>
      <w:pPr>
        <w:jc w:val="both"/>
        <w:ind w:firstLine="1505"/>
        <w:spacing w:after="0" w:line="271" w:lineRule="auto"/>
        <w:tabs>
          <w:tab w:leader="none" w:pos="2036" w:val="left"/>
        </w:tabs>
        <w:numPr>
          <w:ilvl w:val="1"/>
          <w:numId w:val="29"/>
        </w:numPr>
        <w:rPr>
          <w:rFonts w:ascii="Arial" w:cs="Arial" w:eastAsia="Arial" w:hAnsi="Arial"/>
          <w:sz w:val="19"/>
          <w:szCs w:val="19"/>
          <w:color w:val="auto"/>
        </w:rPr>
      </w:pPr>
      <w:r>
        <w:rPr>
          <w:rFonts w:ascii="Arial" w:cs="Arial" w:eastAsia="Arial" w:hAnsi="Arial"/>
          <w:sz w:val="19"/>
          <w:szCs w:val="19"/>
          <w:color w:val="auto"/>
        </w:rPr>
        <w:t>(i) The failure of any Committed Note Purchaser to make the Advance to be made by it as part of any Borrowing shall not relieve any other Committed Note Purchaser (whether or not in the same Investor Group) of its obligation, if any, hereunder to make its Advance on the date of such Borrowing, but no Committed Note Purchaser shall be responsible for the failure of any other Committed Note Purchaser to make the Advance to be made by such other Committed Note Purchaser on the date of any Borrowing and (ii) in the event that one or more Committed Note Purchasers fails to make its Advance by 11:00 a.m. (New York City time) on the date of such Borrowing, the Administrative Agent shall notify each of the other Committed Note Purchasers not later than 1:00 p.m. (New York City time) on such date, and each of the other Committed Note Purchasers shall make available to the Administrative Agent a supplemental Advance in a principal amount (such amount, the “</w:t>
      </w:r>
      <w:r>
        <w:rPr>
          <w:rFonts w:ascii="Arial" w:cs="Arial" w:eastAsia="Arial" w:hAnsi="Arial"/>
          <w:sz w:val="19"/>
          <w:szCs w:val="19"/>
          <w:u w:val="single" w:color="auto"/>
          <w:color w:val="auto"/>
        </w:rPr>
        <w:t>reference amount</w:t>
      </w:r>
      <w:r>
        <w:rPr>
          <w:rFonts w:ascii="Arial" w:cs="Arial" w:eastAsia="Arial" w:hAnsi="Arial"/>
          <w:sz w:val="19"/>
          <w:szCs w:val="19"/>
          <w:color w:val="auto"/>
        </w:rPr>
        <w:t xml:space="preserve">”) equal to the lesser of (a) the aggregate principal Advance that was unfunded multiplied by a fraction, the numerator of which is the Commitment Amount of such Committed Note Purchaser and the denominator of which is the aggregate Commitment Amounts of all Committed Note Purchasers (less the aggregate Commitment Amount of the Committed Note Purchasers failing to make Advances on such date) and (b) the excess of (i) such Committed Note Purchaser’s Commitment Amount over (ii) the product of such Committed Note Purchaser’s related Investor Group Principal Amount multiplied by such Committed Note Purchaser’s Committed Note Purchaser Percentage (after giving effect to all prior Advances on such date of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Committed Note Purchaser may (but shall not be obligated to), on terms and conditions to be agreed upon by such Committed Note Purchaser and the Co-Issuers, make available to the Administrative Agent a supplemental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7" w:name="page68"/>
    <w:bookmarkEnd w:id="67"/>
    <w:p>
      <w:pPr>
        <w:jc w:val="both"/>
        <w:spacing w:after="0" w:line="244" w:lineRule="auto"/>
        <w:rPr>
          <w:sz w:val="20"/>
          <w:szCs w:val="20"/>
          <w:color w:val="auto"/>
        </w:rPr>
      </w:pPr>
      <w:r>
        <w:rPr>
          <w:rFonts w:ascii="Arial" w:cs="Arial" w:eastAsia="Arial" w:hAnsi="Arial"/>
          <w:sz w:val="21"/>
          <w:szCs w:val="21"/>
          <w:color w:val="auto"/>
        </w:rPr>
        <w:t xml:space="preserve">in a principal amount in excess of the reference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 such supplemental Advance shall be permitted to be made to the extent that, after giving effect to such Advance, the Series 2021-1 Class A-1 Outstanding Principal Amount would exceed the Series 2021-1 Class A-1 Maximum Principal Amount). Such supplemental Advances shall be made by wire transfer in U.S. Dollars in same day funds no later than 3:00 p.m. (New York City time) one (1) Business Day following the date of such Borrowing, and upon receipt thereof the Administrative Agent shall immediately make such proceeds available,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the Swingline Lender and the L/C Provider for application to repayment of the amount of outstanding Swingline Loans and Unreimbursed L/C Drawings as set forth in the applicable Advance Request, if applicable, ratably in proportion to such respective amounts, and,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the Master Issuer (on behalf of the Co-Issuers), as instructed in the applicable Advance Request. If any Committed Note Purchaser which shall have so failed to fund its Advance shall subsequently pay such amount, the Administrative Agent shall apply such amount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to repay any supplemental Advances made by the other Committed Note Purchasers pursuant to this </w:t>
      </w:r>
      <w:r>
        <w:rPr>
          <w:rFonts w:ascii="Arial" w:cs="Arial" w:eastAsia="Arial" w:hAnsi="Arial"/>
          <w:sz w:val="21"/>
          <w:szCs w:val="21"/>
          <w:u w:val="single" w:color="auto"/>
          <w:color w:val="auto"/>
        </w:rPr>
        <w:t>Section 2.03(b)</w:t>
      </w:r>
      <w:r>
        <w:rPr>
          <w:rFonts w:ascii="Arial" w:cs="Arial" w:eastAsia="Arial" w:hAnsi="Arial"/>
          <w:sz w:val="21"/>
          <w:szCs w:val="21"/>
          <w:color w:val="auto"/>
        </w:rPr>
        <w:t>.</w:t>
      </w:r>
    </w:p>
    <w:p>
      <w:pPr>
        <w:spacing w:after="0" w:line="188" w:lineRule="exact"/>
        <w:rPr>
          <w:sz w:val="20"/>
          <w:szCs w:val="20"/>
          <w:color w:val="auto"/>
        </w:rPr>
      </w:pPr>
    </w:p>
    <w:p>
      <w:pPr>
        <w:jc w:val="both"/>
        <w:ind w:firstLine="1505"/>
        <w:spacing w:after="0" w:line="270" w:lineRule="auto"/>
        <w:tabs>
          <w:tab w:leader="none" w:pos="203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Funding Agent prior to the date of any Borrowing that an applicable Investor in the related Investor Group will not make available to the Administrative Agent such Investor’s share of the Advances to be made by such Investor Group as part of such Borrowing, the Administrative Agent may (but shall not be obligated to) assume that such Investor has made such share available to the Administrative Agent on the date of such Borrowing in accordance with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and the Administrative Agent may (but shall not be obligated to), in reliance upon such assumption, make available to the Swingline Lender, the L/C Provider and/or the Master Issuer, as applicable, on such date a corresponding amount, and shall, if such corresponding amount has not been made available by the Administrative Agent, make available to the Swingline Lender, the L/C Provider and/or the Master Issuer, as applicable, on such date a corresponding amount once such Investor has made such portion available to the Administrative Agent. If and to the extent that any Investor shall not have so made such amount available to the Administrative Agent, such Investor and the Co-Issuers jointly and severally agree to repay (without duplication) to the Administrative Agent on the next Weekly Allocation Date such corresponding amount (in the case of the Co-Issuers, in accordance with the Priority of Payments), together with interest thereon, for each day from the date such amount is made available to the Master Issuer until the date such amount is repaid to the Administrative Agent, at (i) in the case of the Co-Issuers, the interest rate applicable at the time to the Advances comprising such Borrowing and (ii) in the case of such Investor, the Federal Funds Rate and without deduction by such Investor for any withholding Taxes. If such Investor shall repay to the Administrative Agent such corresponding amount, such amount so repaid shall constitute such Investor’s Advance as part of such Borrowing for purposes of this Agreement.</w:t>
      </w:r>
    </w:p>
    <w:p>
      <w:pPr>
        <w:spacing w:after="0" w:line="16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u w:val="single" w:color="auto"/>
          <w:color w:val="auto"/>
        </w:rPr>
        <w:t>Section 2.04The Series 2021-1 Class A-1 Notes</w:t>
      </w:r>
      <w:r>
        <w:rPr>
          <w:rFonts w:ascii="Arial" w:cs="Arial" w:eastAsia="Arial" w:hAnsi="Arial"/>
          <w:sz w:val="19"/>
          <w:szCs w:val="19"/>
          <w:color w:val="auto"/>
        </w:rPr>
        <w:t>. On each date an Advance or Swingline Loan is made or a Letter of Credit is issued hereunder, and on each date the outstanding amount thereof is reduced, a duly authorized officer, employee or agent of the related Series 2021-1 Class A-1 Noteholder shall make appropriate notations in its books and records of the amount, evidenced by the related Series 2021-1 Class A-1 Advance Note, Series 2021-1 Class A-1 Swingline Note or Series 2021-1 Class A-1 L/C Note, of such Advance, Swingline Loan or Letter of Credit, as applicable, and the amount of such reduction, as applicable. The Co-Issuers hereby authorize each duly authorized officer, employee and agent of such Series 2021-1 Class A-1 Noteholder to make such notations on the books and records as aforesaid and every such notation made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8" w:name="page69"/>
    <w:bookmarkEnd w:id="68"/>
    <w:p>
      <w:pPr>
        <w:jc w:val="both"/>
        <w:spacing w:after="0" w:line="274" w:lineRule="auto"/>
        <w:rPr>
          <w:sz w:val="20"/>
          <w:szCs w:val="20"/>
          <w:color w:val="auto"/>
        </w:rPr>
      </w:pPr>
      <w:r>
        <w:rPr>
          <w:rFonts w:ascii="Arial" w:cs="Arial" w:eastAsia="Arial" w:hAnsi="Arial"/>
          <w:sz w:val="19"/>
          <w:szCs w:val="19"/>
          <w:color w:val="auto"/>
        </w:rPr>
        <w:t xml:space="preserve">with the foregoing authority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accuracy of the information so recorded;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 discrepancy between the books and records of such Series 2021-1 Class A-1 Noteholder and the records maintained by the Trustee pursuant to the Indenture, (x) such discrepancy shall be resolved by such Series 2021-1 Class A-1 Noteholder, the Control Party and the Trustee, in consultation with the Co-Issuers (provided that such consultation with the Co-Issuers will not in any way limit or delay such Series 2021-1 Class A-1 Noteholder’s, the Control Party’s and the Trustee’s ability to resolve such discrepancy), and such resolution shall control in the absence of manifest error and the Note Register shall be corrected as appropriate and (y) until any such discrepancy is resolved pursuant to clause (x), the Note Register shall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failure of any such notation to be made, or any finding that a notation is incorrect, in any such records shall not limit or otherwise affect the obligations of the Co-Issuers under this Agreement or the Indenture.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2.05Reduction in Commitments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2" w:lineRule="auto"/>
        <w:tabs>
          <w:tab w:leader="none" w:pos="20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Co-Issuers may, upon three (3) Business Days’ notice to the Administrative Agent (who shall promptly notify the Trustee, the Control Party, each Funding Agent and each Investor), effect a permanent reduction in the Series 2021-1 Class A-1 Maximum Principal Amount and a corresponding reduction in each Commitment Amount and Maximum Investor Group Principal Amount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reduction will be limited to the undrawn portion of the Commitments, although any such reduction may be combined with a Voluntary Decrease effected pursuant to and in accordance with Section 2.02(b) of the Series 2021-1 Supplement, (ii) any such reduction must be in a minimum amount of $5,000,000, (iii) after giving effect to such reduction, the Series 2021-1 Class A-1 Maximum Principal Amount equals or exceeds $5,000,000, unless reduced to zero, and (iv) no such reduction shall be permitted if, after giving effect thereto, (x) the aggregate Commitment Amounts would be less than the Series 2021-1 Class A-1 Outstanding Principal Amount (excluding any Undrawn L/C Face Amounts with respect to which cash collateral is held by the L/C Provider pursuant to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or (y) the aggregate Commitment Amounts would be less than the sum of the Swingline Commitment and the L/C Commitment. Any reduction made pursuant to this Section 2.05(a) shall be made ratably among the Investor Groups on the basis of their respective Maximum Investor Group Principal Amounts.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any of the following events shall occur, then the Commitment Amounts shall be automatically reduced on the dates and in the amounts set forth below with respect to the applicable event and the other consequences set forth below with respect to the applicable event shall ensue (and the Co-Issuers shall give the Trustee, the Control Party, each Funding Agent and the Administrative Agent prompt written notice thereof):</w:t>
      </w:r>
    </w:p>
    <w:p>
      <w:pPr>
        <w:spacing w:after="0" w:line="167" w:lineRule="exact"/>
        <w:rPr>
          <w:rFonts w:ascii="Arial" w:cs="Arial" w:eastAsia="Arial" w:hAnsi="Arial"/>
          <w:sz w:val="22"/>
          <w:szCs w:val="22"/>
          <w:color w:val="auto"/>
        </w:rPr>
      </w:pPr>
    </w:p>
    <w:p>
      <w:pPr>
        <w:jc w:val="both"/>
        <w:ind w:left="760" w:firstLine="1494"/>
        <w:spacing w:after="0" w:line="257" w:lineRule="auto"/>
        <w:tabs>
          <w:tab w:leader="none" w:pos="2557"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(A) if the Outstanding Principal Amount of the Series 2021-1 Class A-1 Notes has not been paid in full or otherwise refnanced in full (which refnancing may also include an extension thereof) by the Business Day immediately preceding the Series 2021-1 Class A-1 Senior Notes Renewal Date, on such Business Day, (x) the principal amount of all then-outstanding Swingline Loans and Unreimbursed L/C Drawings shall be repaid in full with proceeds of Advances made on such date (and the Co-Issuers shall be deemed to have delivered such Advance Requests under </w:t>
      </w:r>
      <w:r>
        <w:rPr>
          <w:rFonts w:ascii="Arial" w:cs="Arial" w:eastAsia="Arial" w:hAnsi="Arial"/>
          <w:sz w:val="20"/>
          <w:szCs w:val="20"/>
          <w:u w:val="single" w:color="auto"/>
          <w:color w:val="auto"/>
        </w:rPr>
        <w:t>Secton 2.03</w:t>
      </w:r>
      <w:r>
        <w:rPr>
          <w:rFonts w:ascii="Arial" w:cs="Arial" w:eastAsia="Arial" w:hAnsi="Arial"/>
          <w:sz w:val="20"/>
          <w:szCs w:val="20"/>
          <w:color w:val="auto"/>
        </w:rPr>
        <w:t xml:space="preserve"> as may be necessary to cause such Advances to be made), and (y) the Swingline Commitment and the L/C Commitment shall both be automatcally and permanently reduced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9" w:name="page70"/>
    <w:bookmarkEnd w:id="69"/>
    <w:p>
      <w:pPr>
        <w:jc w:val="both"/>
        <w:ind w:left="3"/>
        <w:spacing w:after="0" w:line="257" w:lineRule="auto"/>
        <w:rPr>
          <w:sz w:val="20"/>
          <w:szCs w:val="20"/>
          <w:color w:val="auto"/>
        </w:rPr>
      </w:pPr>
      <w:r>
        <w:rPr>
          <w:rFonts w:ascii="Arial" w:cs="Arial" w:eastAsia="Arial" w:hAnsi="Arial"/>
          <w:sz w:val="20"/>
          <w:szCs w:val="20"/>
          <w:color w:val="auto"/>
        </w:rPr>
        <w:t xml:space="preserve">zero; and (B) upon a Series 2021-1 Class A-1 Senior Notes Amortzaton Event, (x) the Commitments with respect to all undrawn Commitment Amounts shall automatcally and permanently terminate and the Maximum Investor Group Principal Amounts shall be automatcally and permanently reduced by a corresponding amount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and (y) each payment of principal on the Series 2021-1 Class A-1 Outstanding Principal Amount occurring following such Series 2021-1 Class A-1 Senior Notes Amortzaton Event shall result automatcally and permanently in a dollar-for-dollar reducton of the Series 2021-1 Class A-1 Maximum Principal Amount and a corresponding reducton in each Commitment Amount and each Maximum Investor Group Principal Amount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w:t>
      </w:r>
    </w:p>
    <w:p>
      <w:pPr>
        <w:spacing w:after="0" w:line="193" w:lineRule="exact"/>
        <w:rPr>
          <w:sz w:val="20"/>
          <w:szCs w:val="20"/>
          <w:color w:val="auto"/>
        </w:rPr>
      </w:pPr>
    </w:p>
    <w:p>
      <w:pPr>
        <w:ind w:left="1803" w:hanging="306"/>
        <w:spacing w:after="0"/>
        <w:tabs>
          <w:tab w:leader="none" w:pos="18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a Rapid Amortzaton Event occurs prior to the Series 2021-1 Class A-1 Senior Notes Renewal Date, then</w:t>
      </w:r>
    </w:p>
    <w:p>
      <w:pPr>
        <w:spacing w:after="0" w:line="43" w:lineRule="exact"/>
        <w:rPr>
          <w:rFonts w:ascii="Arial" w:cs="Arial" w:eastAsia="Arial" w:hAnsi="Arial"/>
          <w:sz w:val="18"/>
          <w:szCs w:val="18"/>
          <w:color w:val="auto"/>
        </w:rPr>
      </w:pPr>
    </w:p>
    <w:p>
      <w:pPr>
        <w:jc w:val="both"/>
        <w:ind w:left="3" w:hanging="3"/>
        <w:spacing w:after="0" w:line="268" w:lineRule="auto"/>
        <w:tabs>
          <w:tab w:leader="none" w:pos="290"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on the date such Rapid Amortzaton Event occurs, the Commitments with respect to all undrawn Commitment Amounts shall automatcally terminate, which terminaton shall be deemed to have occurred immediately following the making of Advances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and the Maximum Investor Group Principal Amounts shall be automatcally reduced by a corresponding amount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 no later than the second Business Day afer the occurrence of such Rapid Amortzaton Event, the principal amount of all then-outstanding Swingline Loans and Unreimbursed L/C Drawings (to the extent not repaid pursuant to </w:t>
      </w:r>
      <w:r>
        <w:rPr>
          <w:rFonts w:ascii="Arial" w:cs="Arial" w:eastAsia="Arial" w:hAnsi="Arial"/>
          <w:sz w:val="19"/>
          <w:szCs w:val="19"/>
          <w:u w:val="single" w:color="auto"/>
          <w:color w:val="auto"/>
        </w:rPr>
        <w:t>Secton 2.08(a)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Secton 4.03(b))</w:t>
      </w:r>
      <w:r>
        <w:rPr>
          <w:rFonts w:ascii="Arial" w:cs="Arial" w:eastAsia="Arial" w:hAnsi="Arial"/>
          <w:sz w:val="19"/>
          <w:szCs w:val="19"/>
          <w:color w:val="auto"/>
        </w:rPr>
        <w:t xml:space="preserve"> shall be repaid in full with proceeds of Advances (and the Co-Issuers shall be deemed to have delivered such Advance Requests under </w:t>
      </w:r>
      <w:r>
        <w:rPr>
          <w:rFonts w:ascii="Arial" w:cs="Arial" w:eastAsia="Arial" w:hAnsi="Arial"/>
          <w:sz w:val="19"/>
          <w:szCs w:val="19"/>
          <w:u w:val="single" w:color="auto"/>
          <w:color w:val="auto"/>
        </w:rPr>
        <w:t>Secton 2.03</w:t>
      </w:r>
      <w:r>
        <w:rPr>
          <w:rFonts w:ascii="Arial" w:cs="Arial" w:eastAsia="Arial" w:hAnsi="Arial"/>
          <w:sz w:val="19"/>
          <w:szCs w:val="19"/>
          <w:color w:val="auto"/>
        </w:rPr>
        <w:t xml:space="preserve"> as may be necessary to cause such Advances to be made) and the Swingline Commitment shall be automatcally reduced to zero and the L/C Commitment shall be automatcally reduced by such amount of Unreimbursed L/C Drawings repaid by such Advances; and (C) each payment of principal (which, for the avoidance of doubt, shall include cash collateralizaton of Undrawn L/C Face Amounts pursuant to </w:t>
      </w:r>
      <w:r>
        <w:rPr>
          <w:rFonts w:ascii="Arial" w:cs="Arial" w:eastAsia="Arial" w:hAnsi="Arial"/>
          <w:sz w:val="19"/>
          <w:szCs w:val="19"/>
          <w:u w:val="single" w:color="auto"/>
          <w:color w:val="auto"/>
        </w:rPr>
        <w:t>Sectons Secton 4.02(b)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Secton 4.03(a)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Secton 4.03(b)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Secton 9.18(c)(ii)</w:t>
      </w:r>
      <w:r>
        <w:rPr>
          <w:rFonts w:ascii="Arial" w:cs="Arial" w:eastAsia="Arial" w:hAnsi="Arial"/>
          <w:sz w:val="19"/>
          <w:szCs w:val="19"/>
          <w:color w:val="auto"/>
        </w:rPr>
        <w:t xml:space="preserve">) on the Series 2021-1 Class A-1 Outstanding Principal Amount occurring on or afer the date of such Rapid Amortzaton Event (excluding the repayment of any outstanding Swingline Loans and Unreimbursed L/C Drawings with proceeds of Advances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shall result automatcally in a dollar-for-dollar reducton of the Series 2021-1 Class A-1 Maximum Principal Amount and a corresponding reducton in each Commitment Amount and each Maximum Investor Group Principal Amount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Rapid Amortzaton Event shall cease to be in efect pursuant to Secton 9.1(e) of the Base Indenture, then the Commitments, Commitment Amounts, Swingline Commitment, L/C Commitment, Series 2021-1 Class A-1 Maximum Principal Amount and the Maximum Investor Group Principal Amounts shall be restored to the amounts in efect immediately prior to the occurrence of such Rapid Amortzaton Event;</w:t>
      </w:r>
    </w:p>
    <w:p>
      <w:pPr>
        <w:spacing w:after="0" w:line="190" w:lineRule="exact"/>
        <w:rPr>
          <w:rFonts w:ascii="Arial" w:cs="Arial" w:eastAsia="Arial" w:hAnsi="Arial"/>
          <w:sz w:val="19"/>
          <w:szCs w:val="19"/>
          <w:color w:val="auto"/>
        </w:rPr>
      </w:pPr>
    </w:p>
    <w:p>
      <w:pPr>
        <w:ind w:left="1803" w:hanging="306"/>
        <w:spacing w:after="0"/>
        <w:tabs>
          <w:tab w:leader="none" w:pos="18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 Change of Control occurs (unless the Control Party has provided its prior writen consent thereto), then</w:t>
      </w:r>
    </w:p>
    <w:p>
      <w:pPr>
        <w:spacing w:after="0" w:line="43" w:lineRule="exact"/>
        <w:rPr>
          <w:rFonts w:ascii="Arial" w:cs="Arial" w:eastAsia="Arial" w:hAnsi="Arial"/>
          <w:sz w:val="18"/>
          <w:szCs w:val="18"/>
          <w:color w:val="auto"/>
        </w:rPr>
      </w:pPr>
    </w:p>
    <w:p>
      <w:pPr>
        <w:jc w:val="both"/>
        <w:ind w:left="3" w:hanging="3"/>
        <w:spacing w:after="0" w:line="281" w:lineRule="auto"/>
        <w:tabs>
          <w:tab w:leader="none" w:pos="2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on the date such Change of Control occurs, (x) all undrawn portons of the Commitments shall automatcally and permanently terminate, which terminaton shall be deemed to have occurred immediately following the making of Advances pursuant to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jc w:val="both"/>
        <w:ind w:left="3" w:hanging="3"/>
        <w:spacing w:after="0" w:line="256" w:lineRule="auto"/>
        <w:tabs>
          <w:tab w:leader="none" w:pos="346" w:val="left"/>
        </w:tabs>
        <w:numPr>
          <w:ilvl w:val="0"/>
          <w:numId w:val="34"/>
        </w:numPr>
        <w:rPr>
          <w:rFonts w:ascii="Arial" w:cs="Arial" w:eastAsia="Arial" w:hAnsi="Arial"/>
          <w:sz w:val="20"/>
          <w:szCs w:val="20"/>
          <w:u w:val="single" w:color="auto"/>
          <w:color w:val="auto"/>
        </w:rPr>
      </w:pPr>
      <w:r>
        <w:rPr>
          <w:rFonts w:ascii="Arial" w:cs="Arial" w:eastAsia="Arial" w:hAnsi="Arial"/>
          <w:sz w:val="20"/>
          <w:szCs w:val="20"/>
          <w:color w:val="auto"/>
        </w:rPr>
        <w:t xml:space="preserve">below, and the Maximum Investor Group Principal Amounts shall be automatcally and permanently reduced by a corresponding amount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(y) the Commitment Amounts shall automatcally and permanently be reduced to zero, which reducton shall be deemed to have occurred immediately following the making of Advances pursuant to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below, and (z) the Swingline Commitment and the L/C Commitment shall both be automatcally and permanently reduced to zero; (B) if the Series 2021-1 Prepayment Date specifed in the applicable Prepayment Notce is scheduled to occur more than two Business Days afer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529590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87" w:right="3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9"/>
          <w:szCs w:val="19"/>
          <w:color w:val="auto"/>
        </w:rPr>
        <w:t xml:space="preserve">occurrence, then no later than the second Business Day afer the occurrence of such Change of Control, the principal amount of all then outstanding Swingline Loans and Unreimbursed L/C Drawings shall be repaid in full with proceeds of Advances (and the Co-Issuers shall be deemed to have delivered such Advance Requests under </w:t>
      </w:r>
      <w:r>
        <w:rPr>
          <w:rFonts w:ascii="Arial" w:cs="Arial" w:eastAsia="Arial" w:hAnsi="Arial"/>
          <w:sz w:val="19"/>
          <w:szCs w:val="19"/>
          <w:u w:val="single" w:color="auto"/>
          <w:color w:val="auto"/>
        </w:rPr>
        <w:t>Secton 2.03</w:t>
      </w:r>
      <w:r>
        <w:rPr>
          <w:rFonts w:ascii="Arial" w:cs="Arial" w:eastAsia="Arial" w:hAnsi="Arial"/>
          <w:sz w:val="19"/>
          <w:szCs w:val="19"/>
          <w:color w:val="auto"/>
        </w:rPr>
        <w:t xml:space="preserve"> as may be necessary to cause such Advances to be made); and (C) on the Series 2021-1 Prepayment Date specifed in the applicable Prepayment Notce, (x) the Commitment Amounts and the Maximum Investor Group Principal Amounts shall all be automatcally and permanently reduced to zero, and (y) the Co-Issuers shall cause the Series 2021-1 Class A-1 Outstanding Principal Amount to be paid in full (or, in the case of any then-outstanding Undrawn L/C Face Amounts, to be fully cash collateralized pursuant to </w:t>
      </w:r>
      <w:r>
        <w:rPr>
          <w:rFonts w:ascii="Arial" w:cs="Arial" w:eastAsia="Arial" w:hAnsi="Arial"/>
          <w:sz w:val="19"/>
          <w:szCs w:val="19"/>
          <w:u w:val="single" w:color="auto"/>
          <w:color w:val="auto"/>
        </w:rPr>
        <w:t>Secton 4.02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Secton 4.03</w:t>
      </w:r>
      <w:r>
        <w:rPr>
          <w:rFonts w:ascii="Arial" w:cs="Arial" w:eastAsia="Arial" w:hAnsi="Arial"/>
          <w:sz w:val="19"/>
          <w:szCs w:val="19"/>
          <w:color w:val="auto"/>
        </w:rPr>
        <w:t>), together with accrued interest and fees and all other amounts then due and payable to the Lender Partes, the Administratve Agent and the Funding Agents under this Agreement and the other Related Documents and any unreimbursed Servicing Advances and Manager Advances (in each case, with interest thereon at the Advance Interest Rate), subject to and in accordance with the Priority of Payments;</w:t>
      </w:r>
    </w:p>
    <w:p>
      <w:pPr>
        <w:spacing w:after="0" w:line="185" w:lineRule="exact"/>
        <w:rPr>
          <w:sz w:val="20"/>
          <w:szCs w:val="20"/>
          <w:color w:val="auto"/>
        </w:rPr>
      </w:pPr>
    </w:p>
    <w:p>
      <w:pPr>
        <w:jc w:val="both"/>
        <w:ind w:firstLine="1494"/>
        <w:spacing w:after="0" w:line="284" w:lineRule="auto"/>
        <w:tabs>
          <w:tab w:leader="none" w:pos="17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Indemnifcaton Payments or Real Estate Dispositon Proceeds are allocated to and deposited in the Series 2021-1 Class A-1 Distributon Account in accordance with Secton 3.06(j) of the Series 2021-1 Supplement at a tme when either (i) no Senior Notes other than Series 2021-1 Class A-1 Notes are Outstanding or (ii) if a Series 2021-1 Class A-1 Senior Notes Amortzaton Period is contnuing, then the Series 2021-1 Class A-1 Maximum Principal Amount shall be automatcally and permanently reduced on the date of such deposit by an amount (the “</w:t>
      </w:r>
      <w:r>
        <w:rPr>
          <w:rFonts w:ascii="Arial" w:cs="Arial" w:eastAsia="Arial" w:hAnsi="Arial"/>
          <w:sz w:val="18"/>
          <w:szCs w:val="18"/>
          <w:u w:val="single" w:color="auto"/>
          <w:color w:val="auto"/>
        </w:rPr>
        <w:t>Series 2021-1 Class A-1 Allocated Payment Reducton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equal to the amount of such deposit, and there shall be a corresponding reducton in each Commitment Amount and each Maximum Investor Group Principal Amount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if afer giving efect to such reducton the Series 2021-1 Class A-1 Maximum Principal Amount would be less than the sum of the Swingline Commitment and the L/C Commitment, then the aggregate amount of the Swingline Commitment and the L/C Commitment shall be reduced by the amount of such diference, with such reducton to be allocated between them in accordance with the writen instructons of the Co-Issuers delivered prior to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afer giving efect thereto the aggregate amount of the Swingline Loans and the L/C Obligatons do not exceed the Swingline Commitment and the L/C Commitment, respectvely, as so reduced;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absence of such instructons, such reducton shall be allocated </w:t>
      </w:r>
      <w:r>
        <w:rPr>
          <w:rFonts w:ascii="Arial" w:cs="Arial" w:eastAsia="Arial" w:hAnsi="Arial"/>
          <w:sz w:val="18"/>
          <w:szCs w:val="18"/>
          <w:u w:val="single" w:color="auto"/>
          <w:color w:val="auto"/>
        </w:rPr>
        <w:t>frst</w:t>
      </w:r>
      <w:r>
        <w:rPr>
          <w:rFonts w:ascii="Arial" w:cs="Arial" w:eastAsia="Arial" w:hAnsi="Arial"/>
          <w:sz w:val="18"/>
          <w:szCs w:val="18"/>
          <w:color w:val="auto"/>
        </w:rPr>
        <w:t xml:space="preserve"> to the Swingline Commitment and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to the L/C Commitment) and the Series 2021-1 Class A-1 Outstanding Principal Amount shall be repaid or prepaid (which, for the avoidance of doubt, shall include cash collateralizaton of Undrawn L/C Face Amounts pursuant to </w:t>
      </w:r>
      <w:r>
        <w:rPr>
          <w:rFonts w:ascii="Arial" w:cs="Arial" w:eastAsia="Arial" w:hAnsi="Arial"/>
          <w:sz w:val="18"/>
          <w:szCs w:val="18"/>
          <w:u w:val="single" w:color="auto"/>
          <w:color w:val="auto"/>
        </w:rPr>
        <w:t>Sectons 4.02(b)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9.18(c)(ii)</w:t>
      </w:r>
      <w:r>
        <w:rPr>
          <w:rFonts w:ascii="Arial" w:cs="Arial" w:eastAsia="Arial" w:hAnsi="Arial"/>
          <w:sz w:val="18"/>
          <w:szCs w:val="18"/>
          <w:color w:val="auto"/>
        </w:rPr>
        <w:t>) in an aggregate amount equal to such Series 2021-1 Class A-1 Allocated Payment Reducton Amount on the date and in the order required by Secton 3.06(j) of the Series 2021-1 Supplement; and</w:t>
      </w:r>
    </w:p>
    <w:p>
      <w:pPr>
        <w:spacing w:after="0" w:line="183" w:lineRule="exact"/>
        <w:rPr>
          <w:rFonts w:ascii="Arial" w:cs="Arial" w:eastAsia="Arial" w:hAnsi="Arial"/>
          <w:sz w:val="18"/>
          <w:szCs w:val="18"/>
          <w:color w:val="auto"/>
        </w:rPr>
      </w:pPr>
    </w:p>
    <w:p>
      <w:pPr>
        <w:jc w:val="both"/>
        <w:ind w:firstLine="1494"/>
        <w:spacing w:after="0" w:line="271" w:lineRule="auto"/>
        <w:tabs>
          <w:tab w:leader="none" w:pos="1797"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if any </w:t>
      </w:r>
      <w:r>
        <w:rPr>
          <w:rFonts w:ascii="Arial" w:cs="Arial" w:eastAsia="Arial" w:hAnsi="Arial"/>
          <w:sz w:val="19"/>
          <w:szCs w:val="19"/>
          <w:b w:val="1"/>
          <w:bCs w:val="1"/>
          <w:color w:val="auto"/>
        </w:rPr>
        <w:t>Event of Default</w:t>
      </w:r>
      <w:r>
        <w:rPr>
          <w:rFonts w:ascii="Arial" w:cs="Arial" w:eastAsia="Arial" w:hAnsi="Arial"/>
          <w:sz w:val="19"/>
          <w:szCs w:val="19"/>
          <w:color w:val="auto"/>
        </w:rPr>
        <w:t xml:space="preserve"> shall occur and be contnuing (and shall not have been waived in accordance with the Base Indenture) and as a result the payment of the Series 2021-1 Class A-1 Notes is accelerated pursuant to the terms of the Base Indenture (and such acceleraton shall not have been rescinded in accordance with the Base Indenture), then in additon to the consequences set forth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in respect of the Rapid Amortzaton Event resultng from such Event of Default, the Commitment Amounts, the Swingline Commitment, the L/C Commitment and the Maximum Investor Group Principal Amounts shall all be automatcally and permanently reduced to zero upon such acceleraton and the Co-Issuers shall cause (in accordance with the Series 2021-1 Supplement) the Series 2021-1 Class A-1 Outstanding Principal Amount to be paid in full (which, for the avoidance of doubt, shall include cash collateralizaton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524510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7" w:right="339" w:bottom="1440" w:gutter="0" w:footer="0" w:header="0"/>
        </w:sectPr>
      </w:pPr>
    </w:p>
    <w:bookmarkStart w:id="71" w:name="page72"/>
    <w:bookmarkEnd w:id="71"/>
    <w:p>
      <w:pPr>
        <w:jc w:val="both"/>
        <w:ind w:left="752"/>
        <w:spacing w:after="0" w:line="275" w:lineRule="auto"/>
        <w:rPr>
          <w:sz w:val="20"/>
          <w:szCs w:val="20"/>
          <w:color w:val="auto"/>
        </w:rPr>
      </w:pPr>
      <w:r>
        <w:rPr>
          <w:rFonts w:ascii="Arial" w:cs="Arial" w:eastAsia="Arial" w:hAnsi="Arial"/>
          <w:sz w:val="19"/>
          <w:szCs w:val="19"/>
          <w:color w:val="auto"/>
        </w:rPr>
        <w:t xml:space="preserve">of Undrawn L/C Face Amounts pursuant to </w:t>
      </w:r>
      <w:r>
        <w:rPr>
          <w:rFonts w:ascii="Arial" w:cs="Arial" w:eastAsia="Arial" w:hAnsi="Arial"/>
          <w:sz w:val="19"/>
          <w:szCs w:val="19"/>
          <w:u w:val="single" w:color="auto"/>
          <w:color w:val="auto"/>
        </w:rPr>
        <w:t>Sectons 4.02(b)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4.03(a)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4.03(b)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9.18(c)(ii)</w:t>
      </w:r>
      <w:r>
        <w:rPr>
          <w:rFonts w:ascii="Arial" w:cs="Arial" w:eastAsia="Arial" w:hAnsi="Arial"/>
          <w:sz w:val="19"/>
          <w:szCs w:val="19"/>
          <w:color w:val="auto"/>
        </w:rPr>
        <w:t>), together with accrued interest, Series 2021-1 Class A-1 Quarterly Commitment Fees, Series 2021-1 Class A-1 Other Amounts and all other amounts then due and payable to the Lender Partes, the Administratve Agent and the Funding Agents under this Agreement and the other Related Documents and any unreimbursed Servicing Advances and Manager Advances (in each case, with interest thereon at the Advance Interest Rate) subject to and in accordance with the Priority of Payments.</w:t>
      </w:r>
    </w:p>
    <w:p>
      <w:pPr>
        <w:spacing w:after="0" w:line="196" w:lineRule="exact"/>
        <w:rPr>
          <w:sz w:val="20"/>
          <w:szCs w:val="20"/>
          <w:color w:val="auto"/>
        </w:rPr>
      </w:pPr>
    </w:p>
    <w:p>
      <w:pPr>
        <w:ind w:left="752"/>
        <w:spacing w:after="0"/>
        <w:rPr>
          <w:sz w:val="20"/>
          <w:szCs w:val="20"/>
          <w:color w:val="auto"/>
        </w:rPr>
      </w:pPr>
      <w:r>
        <w:rPr>
          <w:rFonts w:ascii="Arial" w:cs="Arial" w:eastAsia="Arial" w:hAnsi="Arial"/>
          <w:sz w:val="22"/>
          <w:szCs w:val="22"/>
          <w:u w:val="single" w:color="auto"/>
          <w:color w:val="auto"/>
        </w:rPr>
        <w:t>Section 2.06Swingline Commitment</w:t>
      </w:r>
      <w:r>
        <w:rPr>
          <w:rFonts w:ascii="Arial" w:cs="Arial" w:eastAsia="Arial" w:hAnsi="Arial"/>
          <w:sz w:val="22"/>
          <w:szCs w:val="22"/>
          <w:color w:val="auto"/>
        </w:rPr>
        <w:t>.</w:t>
      </w:r>
    </w:p>
    <w:p>
      <w:pPr>
        <w:spacing w:after="0" w:line="206" w:lineRule="exact"/>
        <w:rPr>
          <w:sz w:val="20"/>
          <w:szCs w:val="20"/>
          <w:color w:val="auto"/>
        </w:rPr>
      </w:pPr>
    </w:p>
    <w:p>
      <w:pPr>
        <w:jc w:val="both"/>
        <w:ind w:left="-8" w:firstLine="1505"/>
        <w:spacing w:after="0" w:line="268" w:lineRule="auto"/>
        <w:tabs>
          <w:tab w:leader="none" w:pos="2028"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On the terms and conditions set forth in the Indenture and this Agreement, and in reliance on the covenants, representations and agreements set forth herein and therein, the Co-Issuers shall issue and shall cause the Trustee to authenticate the initial Series 2021-1 Class A-1 Swingline Note, which the Co-Issuers shall deliver to the Swingline Lender on the Series 2021-1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Series 2021-1 Class A-1 Swingline Note is an Uncertificated Note, the Trustee shall instead register it as described in Section 4.01(f) of the Series 2021-1 Supplement. Such initial Series 2021-1 Class A-1 Swingline Note shall be dated the Series 2021-1 Closing Date, shall be registered in the name of the Swingline Lender or its nominee, or in such other name as the Swingline Lender may request, shall have a maximum principal amount equal to the Swingline Commitment, shall have an initial outstanding principal amount equal to the Series 2021-1 Class A-1 Initial Swingline Principal Amount, and (unless it is an Uncertificated Note) shall be duly authenticated in accordance with the provisions of the Indenture. Subject to the terms and conditions hereof, the Swingline Lender, in reliance on the agreements of the Committed Note Purchasers set forth in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agrees to make swingline loans (each, a “</w:t>
      </w:r>
      <w:r>
        <w:rPr>
          <w:rFonts w:ascii="Arial" w:cs="Arial" w:eastAsia="Arial" w:hAnsi="Arial"/>
          <w:sz w:val="19"/>
          <w:szCs w:val="19"/>
          <w:u w:val="single" w:color="auto"/>
          <w:color w:val="auto"/>
        </w:rPr>
        <w:t>Swingline Loan</w:t>
      </w:r>
      <w:r>
        <w:rPr>
          <w:rFonts w:ascii="Arial" w:cs="Arial" w:eastAsia="Arial" w:hAnsi="Arial"/>
          <w:sz w:val="19"/>
          <w:szCs w:val="19"/>
          <w:color w:val="auto"/>
        </w:rPr>
        <w:t>” or a “</w:t>
      </w:r>
      <w:r>
        <w:rPr>
          <w:rFonts w:ascii="Arial" w:cs="Arial" w:eastAsia="Arial" w:hAnsi="Arial"/>
          <w:sz w:val="19"/>
          <w:szCs w:val="19"/>
          <w:u w:val="single" w:color="auto"/>
          <w:color w:val="auto"/>
        </w:rPr>
        <w:t>Series 2021-1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Class A-1 Swingline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Swingline Loans</w:t>
      </w:r>
      <w:r>
        <w:rPr>
          <w:rFonts w:ascii="Arial" w:cs="Arial" w:eastAsia="Arial" w:hAnsi="Arial"/>
          <w:sz w:val="19"/>
          <w:szCs w:val="19"/>
          <w:color w:val="auto"/>
        </w:rPr>
        <w:t>” or the “</w:t>
      </w:r>
      <w:r>
        <w:rPr>
          <w:rFonts w:ascii="Arial" w:cs="Arial" w:eastAsia="Arial" w:hAnsi="Arial"/>
          <w:sz w:val="19"/>
          <w:szCs w:val="19"/>
          <w:u w:val="single" w:color="auto"/>
          <w:color w:val="auto"/>
        </w:rPr>
        <w:t>Series 2021-1 Class A-1 Swingline Loans</w:t>
      </w:r>
      <w:r>
        <w:rPr>
          <w:rFonts w:ascii="Arial" w:cs="Arial" w:eastAsia="Arial" w:hAnsi="Arial"/>
          <w:sz w:val="19"/>
          <w:szCs w:val="19"/>
          <w:color w:val="auto"/>
        </w:rPr>
        <w:t>”) to the Co-Issuers from time to time during the period commencing on the Series 2021-1 Closing Date and ending on the date that is two</w:t>
      </w:r>
    </w:p>
    <w:p>
      <w:pPr>
        <w:spacing w:after="0" w:line="5" w:lineRule="exact"/>
        <w:rPr>
          <w:rFonts w:ascii="Arial" w:cs="Arial" w:eastAsia="Arial" w:hAnsi="Arial"/>
          <w:sz w:val="19"/>
          <w:szCs w:val="19"/>
          <w:color w:val="auto"/>
        </w:rPr>
      </w:pPr>
    </w:p>
    <w:p>
      <w:pPr>
        <w:jc w:val="both"/>
        <w:ind w:left="-8" w:firstLine="8"/>
        <w:spacing w:after="0" w:line="243" w:lineRule="auto"/>
        <w:tabs>
          <w:tab w:leader="none" w:pos="318"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Business Days prior to the Commitment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Swingline Lender shall have no obligation or right to make any Swingline Loan if, after giving effect thereto, (i) the aggregate principal amount of Swingline Loans outstanding would exceed the Swingline Commitment then in effect (notwithstanding that the Swingline Loans outstanding at any time, when aggregated with the Swingline Lender’s other outstanding Advances hereunder, may exceed the Swingline Commitment then in effect) or (ii) the Series 2021-1 Class A-1 Outstanding Principal Amount would exceed the Series 2021-1 Class A-1 Maximum Principal Amount. Each such borrowing of a Swingline Loan will constitute a Subfacility Increase in the outstanding principal amount evidenced by the Series 2021-1 Class A-1 Swingline Note in an amount corresponding to such borrowing. Subject to the terms of this Agreement and the Series 2021-1 Supplement, the outstanding principal amount evidenced by the Series 2021-1 Class A-1 Swingline Note may be increased by borrowings of Swingline Loans or decreased by payments of principal thereon from time to time.</w:t>
      </w:r>
    </w:p>
    <w:p>
      <w:pPr>
        <w:spacing w:after="0" w:line="182" w:lineRule="exact"/>
        <w:rPr>
          <w:rFonts w:ascii="Arial" w:cs="Arial" w:eastAsia="Arial" w:hAnsi="Arial"/>
          <w:sz w:val="21"/>
          <w:szCs w:val="21"/>
          <w:color w:val="auto"/>
        </w:rPr>
      </w:pPr>
    </w:p>
    <w:p>
      <w:pPr>
        <w:jc w:val="both"/>
        <w:ind w:left="-8" w:firstLine="1505"/>
        <w:spacing w:after="0" w:line="236" w:lineRule="auto"/>
        <w:tabs>
          <w:tab w:leader="none" w:pos="2028" w:val="left"/>
        </w:tabs>
        <w:numPr>
          <w:ilvl w:val="1"/>
          <w:numId w:val="37"/>
        </w:numPr>
        <w:rPr>
          <w:rFonts w:ascii="Arial" w:cs="Arial" w:eastAsia="Arial" w:hAnsi="Arial"/>
          <w:sz w:val="22"/>
          <w:szCs w:val="22"/>
          <w:color w:val="auto"/>
        </w:rPr>
      </w:pPr>
      <w:r>
        <w:rPr>
          <w:rFonts w:ascii="Arial" w:cs="Arial" w:eastAsia="Arial" w:hAnsi="Arial"/>
          <w:sz w:val="22"/>
          <w:szCs w:val="22"/>
          <w:color w:val="auto"/>
        </w:rPr>
        <w:t>Whenever the Co-Issuers desire that the Swingline Lender make Swingline Loans, they shall (or shall cause the Manager on their behalf to) give the Swingline Lender and the Administrative Agent irrevocable notice in writing not later than 11:00 a.m. (New York City time) on the proposed borrowing date, specifying (i) the amount to be borrowed, (ii) the requested borrowing date (which shall be a Business Day during the Commitment Term not later than the date that is two (2) Business Days prior to the Commitment Termination Date) and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87"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9"/>
          <w:szCs w:val="19"/>
          <w:color w:val="auto"/>
        </w:rPr>
        <w:t xml:space="preserve">payment instructions for the proceeds of such borrowing (which shall be consistent with the terms and provisions of this Agreement and the Indenture and which proceeds shall be made available to the Master Issuer (on behalf of the Co-Issuers)). Such notice shall be in the form of a Swingline Advance Request in the form attached hereto as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 “</w:t>
      </w:r>
      <w:r>
        <w:rPr>
          <w:rFonts w:ascii="Arial" w:cs="Arial" w:eastAsia="Arial" w:hAnsi="Arial"/>
          <w:sz w:val="19"/>
          <w:szCs w:val="19"/>
          <w:u w:val="single" w:color="auto"/>
          <w:color w:val="auto"/>
        </w:rPr>
        <w:t>Swingline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Request</w:t>
      </w:r>
      <w:r>
        <w:rPr>
          <w:rFonts w:ascii="Arial" w:cs="Arial" w:eastAsia="Arial" w:hAnsi="Arial"/>
          <w:sz w:val="19"/>
          <w:szCs w:val="19"/>
          <w:color w:val="auto"/>
        </w:rPr>
        <w:t>”), Promptly upon receipt of any Swingline Loan Request (but in no event later than 2:00 p.m. (New York City time) on the date of such receipt), the Swingline Lender shall promptly notify the Control Party, the Trustee and the Administrative Agent thereof in writing. Each borrowing under the Swingline Commitment shall be in a minimum amount equal to $100,000. Promptly upon receipt of any Swingline Loan Request (but in no event later than 2:00 p.m. (New York City time) on the date of such receipt), the Administrative Agent (based, with respect to any portion of the Series 2021-1 Class A-1 Outstanding Subfacility Amount held by any Person other than the Administrative Agent, solely on written notices received by the Administrative Agent under this Agreement) will inform the Swingline Lender whether or not, after giving effect to the requested Swingline Loan, the Series 2021-1 Class A-1 Outstanding Principal Amount would exceed the Series 2021-1 Class A-1 Maximum Principal Amount. If the Administrative Agent confirms that the Series 2021-1 Class A-1 Outstanding Principal Amount would not exceed the Series 2021-1 Class A-1 Maximum Principal Amount after giving effect to the requested Swingline Loan, then not later than 3:00 p.m. (New York City time) on the borrowing date specified in the Swingline Loan Request, subject to the other conditions set forth herein and in the Series 2021-1 Supplement, the Swingline Lender shall make available to the Master Issuer (on behalf of the Co-Issuers) in accordance with the payment instructions set forth in such notice an amount in immediately available funds equal to the amount of the requested Swingline Loan.</w:t>
      </w:r>
    </w:p>
    <w:p>
      <w:pPr>
        <w:spacing w:after="0" w:line="200" w:lineRule="exact"/>
        <w:rPr>
          <w:sz w:val="20"/>
          <w:szCs w:val="20"/>
          <w:color w:val="auto"/>
        </w:rPr>
      </w:pPr>
    </w:p>
    <w:p>
      <w:pPr>
        <w:spacing w:after="0" w:line="214" w:lineRule="exact"/>
        <w:rPr>
          <w:sz w:val="20"/>
          <w:szCs w:val="20"/>
          <w:color w:val="auto"/>
        </w:rPr>
      </w:pPr>
    </w:p>
    <w:p>
      <w:pPr>
        <w:jc w:val="both"/>
        <w:ind w:firstLine="1505"/>
        <w:spacing w:after="0" w:line="249" w:lineRule="auto"/>
        <w:tabs>
          <w:tab w:leader="none" w:pos="2036"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The Co-Issuers hereby agree that each Swingline Loan made by the Swingline Lender to the Co-Issuers pursuant to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shall constitute the promise and obligation of the Co-Issuers jointly and severally to pay to the Swingline Lender the aggregate unpaid principal amount of all Swingline Loans made by such Swingline Lender pursuant to </w:t>
      </w:r>
      <w:r>
        <w:rPr>
          <w:rFonts w:ascii="Arial" w:cs="Arial" w:eastAsia="Arial" w:hAnsi="Arial"/>
          <w:sz w:val="21"/>
          <w:szCs w:val="21"/>
          <w:u w:val="single" w:color="auto"/>
          <w:color w:val="auto"/>
        </w:rPr>
        <w:t>Section 2.06(a),</w:t>
      </w:r>
      <w:r>
        <w:rPr>
          <w:rFonts w:ascii="Arial" w:cs="Arial" w:eastAsia="Arial" w:hAnsi="Arial"/>
          <w:sz w:val="21"/>
          <w:szCs w:val="21"/>
          <w:color w:val="auto"/>
        </w:rPr>
        <w:t xml:space="preserve"> which amounts shall be due and payable (whether at maturity or by acceleration) as set forth in this Agreement and in the Indenture for the Series 2021-1 Class A-1 Outstanding Principal Amount.</w:t>
      </w:r>
    </w:p>
    <w:p>
      <w:pPr>
        <w:spacing w:after="0" w:line="178"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the Co-Issuers agree to cause requests for Borrowings to be made at least one time per week if any Swingline Loans are outstanding in amounts at least sufficient to repay in full all Swingline Loans outstanding on the date of the applicable request. In accordance with </w:t>
      </w:r>
      <w:r>
        <w:rPr>
          <w:rFonts w:ascii="Arial" w:cs="Arial" w:eastAsia="Arial" w:hAnsi="Arial"/>
          <w:sz w:val="22"/>
          <w:szCs w:val="22"/>
          <w:u w:val="single" w:color="auto"/>
          <w:color w:val="auto"/>
        </w:rPr>
        <w:t>Section 3.01(c),</w:t>
      </w:r>
      <w:r>
        <w:rPr>
          <w:rFonts w:ascii="Arial" w:cs="Arial" w:eastAsia="Arial" w:hAnsi="Arial"/>
          <w:sz w:val="22"/>
          <w:szCs w:val="22"/>
          <w:color w:val="auto"/>
        </w:rPr>
        <w:t xml:space="preserve"> outstanding Swingline Loans shall bear interest at the Base Rate.</w:t>
      </w:r>
    </w:p>
    <w:p>
      <w:pPr>
        <w:spacing w:after="0" w:line="184" w:lineRule="exact"/>
        <w:rPr>
          <w:rFonts w:ascii="Arial" w:cs="Arial" w:eastAsia="Arial" w:hAnsi="Arial"/>
          <w:sz w:val="22"/>
          <w:szCs w:val="22"/>
          <w:color w:val="auto"/>
        </w:rPr>
      </w:pPr>
    </w:p>
    <w:p>
      <w:pPr>
        <w:ind w:left="2040" w:hanging="535"/>
        <w:spacing w:after="0"/>
        <w:tabs>
          <w:tab w:leader="none" w:pos="20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505"/>
        <w:spacing w:after="0" w:line="277" w:lineRule="auto"/>
        <w:tabs>
          <w:tab w:leader="none" w:pos="203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If, prior to the time Advances would have otherwise been made pursuant to </w:t>
      </w:r>
      <w:r>
        <w:rPr>
          <w:rFonts w:ascii="Arial" w:cs="Arial" w:eastAsia="Arial" w:hAnsi="Arial"/>
          <w:sz w:val="19"/>
          <w:szCs w:val="19"/>
          <w:u w:val="single" w:color="auto"/>
          <w:color w:val="auto"/>
        </w:rPr>
        <w:t>Section 2.06(d),</w:t>
      </w:r>
      <w:r>
        <w:rPr>
          <w:rFonts w:ascii="Arial" w:cs="Arial" w:eastAsia="Arial" w:hAnsi="Arial"/>
          <w:sz w:val="19"/>
          <w:szCs w:val="19"/>
          <w:color w:val="auto"/>
        </w:rPr>
        <w:t xml:space="preserve"> an Event of Bankruptcy shall have occurred and be continuing with respect to any Co-Issuer or Guarantor or if, for any other reason, as determined by the Swingline Lender in its sole and absolute discretion, Advances may not be made as contemplated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2.06(d)</w:t>
      </w:r>
      <w:r>
        <w:rPr>
          <w:rFonts w:ascii="Arial" w:cs="Arial" w:eastAsia="Arial" w:hAnsi="Arial"/>
          <w:sz w:val="19"/>
          <w:szCs w:val="19"/>
          <w:color w:val="auto"/>
        </w:rPr>
        <w:t xml:space="preserve">, each Committed Note Purchaser shall, on the date such Advances were to have been made pursuant to the notice referred to in </w:t>
      </w:r>
      <w:r>
        <w:rPr>
          <w:rFonts w:ascii="Arial" w:cs="Arial" w:eastAsia="Arial" w:hAnsi="Arial"/>
          <w:sz w:val="19"/>
          <w:szCs w:val="19"/>
          <w:u w:val="single" w:color="auto"/>
          <w:color w:val="auto"/>
        </w:rPr>
        <w:t>Section 2.06(d)</w:t>
      </w:r>
      <w:r>
        <w:rPr>
          <w:rFonts w:ascii="Arial" w:cs="Arial" w:eastAsia="Arial" w:hAnsi="Arial"/>
          <w:sz w:val="19"/>
          <w:szCs w:val="19"/>
          <w:color w:val="auto"/>
        </w:rPr>
        <w:t>, purchase for cash an undivided participating interest in the then-outstanding Swingline Loans by paying to the Swingline Lender an amount (the “</w:t>
      </w:r>
      <w:r>
        <w:rPr>
          <w:rFonts w:ascii="Arial" w:cs="Arial" w:eastAsia="Arial" w:hAnsi="Arial"/>
          <w:sz w:val="19"/>
          <w:szCs w:val="19"/>
          <w:u w:val="single" w:color="auto"/>
          <w:color w:val="auto"/>
        </w:rPr>
        <w:t>Swingline Participation Amount</w:t>
      </w:r>
      <w:r>
        <w:rPr>
          <w:rFonts w:ascii="Arial" w:cs="Arial" w:eastAsia="Arial" w:hAnsi="Arial"/>
          <w:sz w:val="19"/>
          <w:szCs w:val="19"/>
          <w:color w:val="auto"/>
        </w:rPr>
        <w:t xml:space="preserve">”) equal to (i) its Committed Note Purchaser Percentage,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related Investor Group’s Commitment Percentage,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aggregate principal amount of Swingline Loans then outstanding that was to have been repaid with such Advances.</w:t>
      </w:r>
    </w:p>
    <w:p>
      <w:pPr>
        <w:spacing w:after="0" w:line="206" w:lineRule="exact"/>
        <w:rPr>
          <w:sz w:val="20"/>
          <w:szCs w:val="20"/>
          <w:color w:val="auto"/>
        </w:rPr>
      </w:pPr>
    </w:p>
    <w:p>
      <w:pPr>
        <w:jc w:val="both"/>
        <w:ind w:firstLine="1505"/>
        <w:spacing w:after="0" w:line="246" w:lineRule="auto"/>
        <w:tabs>
          <w:tab w:leader="none" w:pos="2036"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Whenever, at any time after the Swingline Lender has received from any Investor such Investor’s Swingline Participation Amount, the Swingline Lender receives any payment on account of the Swingline Loans, the Swingline Lender will distribute to such Investor its Swingline Participation Amount (appropriately adjusted, in the case of interest payments, to reflect the period of time during which such Investor’s participating interest was outstanding and funded and, in the case of principal and interest payments, to reflect such Investor’s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portion of such payment if such payment is not sufficient to pay the principal of and interest on all Swingline Loans then due);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event that such payment received by the Swingline Lender is required to be returned, such Investor will return to the Swingline Lender any portion thereof previously distributed to it by the Swingline Lender.</w:t>
      </w:r>
    </w:p>
    <w:p>
      <w:pPr>
        <w:spacing w:after="0" w:line="179" w:lineRule="exact"/>
        <w:rPr>
          <w:rFonts w:ascii="Arial" w:cs="Arial" w:eastAsia="Arial" w:hAnsi="Arial"/>
          <w:sz w:val="21"/>
          <w:szCs w:val="21"/>
          <w:color w:val="auto"/>
        </w:rPr>
      </w:pPr>
    </w:p>
    <w:p>
      <w:pPr>
        <w:jc w:val="both"/>
        <w:ind w:firstLine="1505"/>
        <w:spacing w:after="0" w:line="245" w:lineRule="auto"/>
        <w:tabs>
          <w:tab w:leader="none" w:pos="2036"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Each applicable Investor’s obligation to make the Advances referred to in </w:t>
      </w:r>
      <w:r>
        <w:rPr>
          <w:rFonts w:ascii="Arial" w:cs="Arial" w:eastAsia="Arial" w:hAnsi="Arial"/>
          <w:sz w:val="21"/>
          <w:szCs w:val="21"/>
          <w:u w:val="single" w:color="auto"/>
          <w:color w:val="auto"/>
        </w:rPr>
        <w:t>Section 2.06(d)</w:t>
      </w:r>
      <w:r>
        <w:rPr>
          <w:rFonts w:ascii="Arial" w:cs="Arial" w:eastAsia="Arial" w:hAnsi="Arial"/>
          <w:sz w:val="21"/>
          <w:szCs w:val="21"/>
          <w:color w:val="auto"/>
        </w:rPr>
        <w:t xml:space="preserve"> and each Committed Note Purchaser’s obligation to purchase participating interests pursuant to </w:t>
      </w:r>
      <w:r>
        <w:rPr>
          <w:rFonts w:ascii="Arial" w:cs="Arial" w:eastAsia="Arial" w:hAnsi="Arial"/>
          <w:sz w:val="21"/>
          <w:szCs w:val="21"/>
          <w:u w:val="single" w:color="auto"/>
          <w:color w:val="auto"/>
        </w:rPr>
        <w:t>Section 2.06(f)</w:t>
      </w:r>
      <w:r>
        <w:rPr>
          <w:rFonts w:ascii="Arial" w:cs="Arial" w:eastAsia="Arial" w:hAnsi="Arial"/>
          <w:sz w:val="21"/>
          <w:szCs w:val="21"/>
          <w:color w:val="auto"/>
        </w:rPr>
        <w:t xml:space="preserve"> shall be absolute and unconditional and shall not be affected by any circumstance, including (i) any setoff, counterclaim, recoupment, defense or other right that such Investor, Committed Note Purchaser or the Co-Issuers may have against the Swingline Lender, the Co-Issuers or any other Person for any reason whatsoever; (ii) the occurrence or continuance of a Default or an Event of Default or the failure to satisfy any of the other conditions specified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other than at the time the related Swingline Loan was made; (iii) any adverse change in the condition (financial or otherwise) of the Co-Issuers; (iv) any breach of this Agreement or any other Indenture Document by any Co-Issuer or any other Person or (v) any other circumstance, happening or event whatsoever, whether or not similar to any of the foregoing.</w:t>
      </w:r>
    </w:p>
    <w:p>
      <w:pPr>
        <w:spacing w:after="0" w:line="184" w:lineRule="exact"/>
        <w:rPr>
          <w:rFonts w:ascii="Arial" w:cs="Arial" w:eastAsia="Arial" w:hAnsi="Arial"/>
          <w:sz w:val="21"/>
          <w:szCs w:val="21"/>
          <w:color w:val="auto"/>
        </w:rPr>
      </w:pPr>
    </w:p>
    <w:p>
      <w:pPr>
        <w:jc w:val="both"/>
        <w:ind w:firstLine="1505"/>
        <w:spacing w:after="0" w:line="287" w:lineRule="auto"/>
        <w:tabs>
          <w:tab w:leader="none" w:pos="2036"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The Co-Issuers may, upon three (3) Business Days’ notice to the Administrative Agent and the Swingline Lender, effect a reduction in the Swingline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reduction will be limited to the undrawn portion of the Swingline Commitment. If requested by the Co-Issuers in writing and with the prior written consent of the Administrative Agent, the Swingline Lender may (but shall not be obligated to) increase the amount of the Swingline Commitment.</w:t>
      </w:r>
    </w:p>
    <w:p>
      <w:pPr>
        <w:spacing w:after="0" w:line="142" w:lineRule="exact"/>
        <w:rPr>
          <w:rFonts w:ascii="Arial" w:cs="Arial" w:eastAsia="Arial" w:hAnsi="Arial"/>
          <w:sz w:val="19"/>
          <w:szCs w:val="19"/>
          <w:color w:val="auto"/>
        </w:rPr>
      </w:pPr>
    </w:p>
    <w:p>
      <w:pPr>
        <w:jc w:val="both"/>
        <w:ind w:firstLine="1505"/>
        <w:spacing w:after="0" w:line="270" w:lineRule="auto"/>
        <w:tabs>
          <w:tab w:leader="none" w:pos="2036"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The Co-Issuers may, upon notice to the Swingline Lender (who shall promptly notify the Administrative Agent and the Trustee thereof in writing), at any time and from time to time, voluntarily prepay Swingline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notice must be received by the Swingline Lender not later than 11:00 a.m. (New York City time) on the date of the prepayment, (y) any such prepayment shall be in a minimum principal amount of $100,000 or a whole multiple of $100,000 in excess thereof or, if less, the entire principal amount thereof then outstanding and</w:t>
      </w:r>
    </w:p>
    <w:p>
      <w:pPr>
        <w:spacing w:after="0" w:line="4" w:lineRule="exact"/>
        <w:rPr>
          <w:rFonts w:ascii="Arial" w:cs="Arial" w:eastAsia="Arial" w:hAnsi="Arial"/>
          <w:sz w:val="19"/>
          <w:szCs w:val="19"/>
          <w:color w:val="auto"/>
        </w:rPr>
      </w:pPr>
    </w:p>
    <w:p>
      <w:pPr>
        <w:jc w:val="both"/>
        <w:ind w:firstLine="8"/>
        <w:spacing w:after="0" w:line="246" w:lineRule="auto"/>
        <w:tabs>
          <w:tab w:leader="none" w:pos="294" w:val="left"/>
        </w:tabs>
        <w:numPr>
          <w:ilvl w:val="0"/>
          <w:numId w:val="40"/>
        </w:numPr>
        <w:rPr>
          <w:rFonts w:ascii="Arial" w:cs="Arial" w:eastAsia="Arial" w:hAnsi="Arial"/>
          <w:sz w:val="21"/>
          <w:szCs w:val="21"/>
          <w:color w:val="auto"/>
        </w:rPr>
      </w:pPr>
      <w:r>
        <w:rPr>
          <w:rFonts w:ascii="Arial" w:cs="Arial" w:eastAsia="Arial" w:hAnsi="Arial"/>
          <w:sz w:val="21"/>
          <w:szCs w:val="21"/>
          <w:color w:val="auto"/>
        </w:rPr>
        <w:t>if the source of funds for such prepayment is not a Borrowing, there shall be no unreimbursed Servicing Advances or Manager Advances (or interest thereon) at such time. Each such notice shall specify the date and amount of such prepayment. If such notice is given, the Co-Issuers shall make such prepayment directly to the Swingline Lender and the payment amount specified in such notice shall be due and payable on the date specified therein.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2.07L/C Commitment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4" w:name="page75"/>
    <w:bookmarkEnd w:id="74"/>
    <w:p>
      <w:pPr>
        <w:jc w:val="both"/>
        <w:ind w:firstLine="1505"/>
        <w:spacing w:after="0" w:line="274" w:lineRule="auto"/>
        <w:tabs>
          <w:tab w:leader="none" w:pos="203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hereof, the L/C Provider (or its permitted assigns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9.17</w:t>
      </w:r>
      <w:r>
        <w:rPr>
          <w:rFonts w:ascii="Arial" w:cs="Arial" w:eastAsia="Arial" w:hAnsi="Arial"/>
          <w:sz w:val="19"/>
          <w:szCs w:val="19"/>
          <w:color w:val="auto"/>
        </w:rPr>
        <w:t xml:space="preserve">), in reliance on the agreements of the Committed Note Purchasers set forth in </w:t>
      </w:r>
      <w:r>
        <w:rPr>
          <w:rFonts w:ascii="Arial" w:cs="Arial" w:eastAsia="Arial" w:hAnsi="Arial"/>
          <w:sz w:val="19"/>
          <w:szCs w:val="19"/>
          <w:u w:val="single" w:color="auto"/>
          <w:color w:val="auto"/>
        </w:rPr>
        <w:t>Sections 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agrees to provide standby letters of credit, including Interest Reserve Letters of Credit (each, a “</w:t>
      </w:r>
      <w:r>
        <w:rPr>
          <w:rFonts w:ascii="Arial" w:cs="Arial" w:eastAsia="Arial" w:hAnsi="Arial"/>
          <w:sz w:val="19"/>
          <w:szCs w:val="19"/>
          <w:u w:val="single" w:color="auto"/>
          <w:color w:val="auto"/>
        </w:rPr>
        <w:t>Letter of Credit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Letters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for the account of the Co-Issuers on any Business Day during the period commencing on the Series 2021-1 Closing Date and ending on the date that is ten (10) Business Days prior to the Commitment Termination Date to be issued in accordance with </w:t>
      </w:r>
      <w:r>
        <w:rPr>
          <w:rFonts w:ascii="Arial" w:cs="Arial" w:eastAsia="Arial" w:hAnsi="Arial"/>
          <w:sz w:val="19"/>
          <w:szCs w:val="19"/>
          <w:u w:val="single" w:color="auto"/>
          <w:color w:val="auto"/>
        </w:rPr>
        <w:t>Section 2.07(h)</w:t>
      </w:r>
      <w:r>
        <w:rPr>
          <w:rFonts w:ascii="Arial" w:cs="Arial" w:eastAsia="Arial" w:hAnsi="Arial"/>
          <w:sz w:val="19"/>
          <w:szCs w:val="19"/>
          <w:color w:val="auto"/>
        </w:rPr>
        <w:t xml:space="preserve"> in such form as may be approved from time to time by the L/C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L/C Provider shall have no obligation or right to provide any Letter of Credit on a requested issuance date if, after giving effect to such issuance, (i) the L/C Obligations would exceed the L/C Commitment or (ii) the Series 2021-1 Class A-1 Outstanding Principal Amount would exceed the Series 2021-1 Class A-1 Maximum Principal Amount.</w:t>
      </w:r>
    </w:p>
    <w:p>
      <w:pPr>
        <w:spacing w:after="0" w:line="15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1"/>
          <w:szCs w:val="21"/>
          <w:color w:val="auto"/>
        </w:rPr>
        <w:t>Each Letter of Credit shall (x) be denominated in Dollars, (y) have a face amount of at least $25,000 or, if less than $25,000, shall bear a reasonable administrative fee to be agreed upon by the Co-Issuers and the L/C Provider and (z) expire no later than the earlier of (A) the first anniversary of its date of issuance and (B) the date that is five (5) Business Days prior to the Commitment Termination Date (the “</w:t>
      </w:r>
      <w:r>
        <w:rPr>
          <w:rFonts w:ascii="Arial" w:cs="Arial" w:eastAsia="Arial" w:hAnsi="Arial"/>
          <w:sz w:val="21"/>
          <w:szCs w:val="21"/>
          <w:u w:val="single" w:color="auto"/>
          <w:color w:val="auto"/>
        </w:rPr>
        <w:t>Required Expiration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Letter of Credit may provide for the automatic renewal thereof for additional periods, each individually not to exceed one year (which shall in no event extend beyond the Required Expiration Date) unless the L/C Provider notifies the beneficiary of such Letter of Credit at least 30 calendar days prior to the then-applicable expiration date (or no later than the applicable notice date, if earlier, as specified in such Letter of Credit) that such Letter of Credit shall not be renewed;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any Letter of Credit may have an expiration date that is later than the Required Expiration Date so long as either (x) the Undrawn L/C Face Amount with respect to such Letter of Credit has been fully cash collateralized by the Co-Issuers in accordance with Section 4.02(b) or </w:t>
      </w:r>
      <w:r>
        <w:rPr>
          <w:rFonts w:ascii="Arial" w:cs="Arial" w:eastAsia="Arial" w:hAnsi="Arial"/>
          <w:sz w:val="21"/>
          <w:szCs w:val="21"/>
          <w:u w:val="single" w:color="auto"/>
          <w:color w:val="auto"/>
        </w:rPr>
        <w:t>4.03</w:t>
      </w:r>
      <w:r>
        <w:rPr>
          <w:rFonts w:ascii="Arial" w:cs="Arial" w:eastAsia="Arial" w:hAnsi="Arial"/>
          <w:sz w:val="21"/>
          <w:szCs w:val="21"/>
          <w:color w:val="auto"/>
        </w:rPr>
        <w:t xml:space="preserve"> as of the Required Expiration Date or (y) other than with respect to Interest Reserve Letters of Credit, arrangements satisfactory to the L/C Provider in its sole and absolute discretion have been made with the L/C Provider (and, if the L/C Provider is not the L/C Issuing Bank with respect to such Letter of Credit, the L/C Issuing Bank) pursuant to </w:t>
      </w:r>
      <w:r>
        <w:rPr>
          <w:rFonts w:ascii="Arial" w:cs="Arial" w:eastAsia="Arial" w:hAnsi="Arial"/>
          <w:sz w:val="21"/>
          <w:szCs w:val="21"/>
          <w:u w:val="single" w:color="auto"/>
          <w:color w:val="auto"/>
        </w:rPr>
        <w:t>Section 4.04</w:t>
      </w:r>
      <w:r>
        <w:rPr>
          <w:rFonts w:ascii="Arial" w:cs="Arial" w:eastAsia="Arial" w:hAnsi="Arial"/>
          <w:sz w:val="21"/>
          <w:szCs w:val="21"/>
          <w:color w:val="auto"/>
        </w:rPr>
        <w:t xml:space="preserve"> such that such Letter of Credit shall cease to be deemed outstanding or to be deemed a “Letter of Credit” for purposes of this Agreement as of the Commitment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-797560</wp:posOffset>
            </wp:positionV>
            <wp:extent cx="9886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174"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Additionally, each Interest Reserve Letter of Credit shall (1) name the Trustee, for the benefit of the Senior Noteholders or the Senior Subordinated Noteholders, as applicable, as the beneficiary thereof; (2) allow the Trustee or the Control Party on its behalf to submit a notice of drawing in respect of such Interest Reserve Letter of Credit whenever amounts would otherwise be required to be withdrawn from the Senior Notes Interest Reserve Account or the Senior Subordinated Notes Interest Reserve Account, as applicable, pursuant to the Indenture and (3) indicate by its terms that the proceeds in respect of drawings under such Interest Reserve Letter of Credit shall be paid directly into the Senior Notes Interest Reserve Account or the Senior Subordinated Notes Interest Reserve Account, as applicable.</w:t>
      </w:r>
    </w:p>
    <w:p>
      <w:pPr>
        <w:spacing w:after="0" w:line="18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The L/C Provider shall not at any time be obligated to (I) provide any Letter of Credit hereunder if such issuance would violate, or cause any L/C Issuing Bank to exceed any limits imposed by, any applicable Requirement of Law or</w:t>
      </w:r>
    </w:p>
    <w:p>
      <w:pPr>
        <w:spacing w:after="0" w:line="1" w:lineRule="exact"/>
        <w:rPr>
          <w:sz w:val="20"/>
          <w:szCs w:val="20"/>
          <w:color w:val="auto"/>
        </w:rPr>
      </w:pPr>
    </w:p>
    <w:p>
      <w:pPr>
        <w:jc w:val="both"/>
        <w:ind w:firstLine="8"/>
        <w:spacing w:after="0" w:line="234" w:lineRule="auto"/>
        <w:tabs>
          <w:tab w:leader="none" w:pos="35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amend any Letter of Credit hereunder if (1) the L/C Provider would have no obligation at such time to issue such Letter of Credit in its amended form under the terms hereof or (2) the beneficiary of such Letter of Credit does not accept the proposed amendment to such Letter of Credit.</w:t>
      </w:r>
    </w:p>
    <w:p>
      <w:pPr>
        <w:spacing w:after="0" w:line="187"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Unless otherwise expressly agreed by the L/C Provider and the Co-Issuers when a Letter of Credit is issued and subject to applicable laws, the Letters of Credit shall be governed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5" w:name="page76"/>
    <w:bookmarkEnd w:id="75"/>
    <w:p>
      <w:pPr>
        <w:spacing w:after="0" w:line="250" w:lineRule="auto"/>
        <w:rPr>
          <w:sz w:val="20"/>
          <w:szCs w:val="20"/>
          <w:color w:val="auto"/>
        </w:rPr>
      </w:pPr>
      <w:r>
        <w:rPr>
          <w:rFonts w:ascii="Arial" w:cs="Arial" w:eastAsia="Arial" w:hAnsi="Arial"/>
          <w:sz w:val="22"/>
          <w:szCs w:val="22"/>
          <w:color w:val="auto"/>
        </w:rPr>
        <w:t>and subject to ISP or the rules of the Uniform Customs and Practice for Documentary Credits, as published in its most recent version by the International Chamber of Commerce on the date any Letter of Credit is issued.</w:t>
      </w:r>
    </w:p>
    <w:p>
      <w:pPr>
        <w:spacing w:after="0" w:line="175" w:lineRule="exact"/>
        <w:rPr>
          <w:sz w:val="20"/>
          <w:szCs w:val="20"/>
          <w:color w:val="auto"/>
        </w:rPr>
      </w:pPr>
    </w:p>
    <w:p>
      <w:pPr>
        <w:jc w:val="both"/>
        <w:ind w:firstLine="1505"/>
        <w:spacing w:after="0" w:line="270" w:lineRule="auto"/>
        <w:tabs>
          <w:tab w:leader="none" w:pos="20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On the terms and conditions set forth in the Indenture and this Agreement, and in reliance on the covenants, representations and agreements set forth herein and therein, the Co-Issuers shall issue and shall cause the Trustee to authenticate the initial Series 2021-1 Class A-1 L/C Note, which the Co-Issuers shall deliver to the L/C Provider on the Series 2021-1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Series 2021-1 Class A-1 L/C Note is an Uncertificated Note, the Trustee shall instead register it as described in Section 4.01(f) of the Series 2021-1 Supplement. Such initial Series 2021-1 Class A-1 L/C Note shall be dated the Series 2021-1 Closing Date, shall be registered in the name of the L/C Provider or in such other name or nominee as the L/C Provider may request, shall have a maximum principal amount equal to the L/C Commitment, shall have an initial outstanding principal amount equal to the Series 2021-1 Class A-1 Initial Aggregate Undrawn L/C Face Amount, and (unless it is an Uncertificated Note) shall be duly authenticated in accordance with the provisions of the Indenture. Each issuance of a Letter of Credit after the Series 2021-1 Closing Date will constitute an Increase in the outstanding principal amount evidenced by the Series 2021-1 Class A-1 L/C Note in an amount corresponding to the Undrawn L/C Face Amount of such Letter of Credit. All L/C Obligations (whether in respect of Undrawn L/C Face Amounts or Unreimbursed L/C Drawings) shall be deemed to be principal outstanding under the Series 2021-1 Class A-1 L/C Note and shall be deemed to be Series 2021-1 Class A-1 Outstanding Principal Amounts for all purposes of this Agreement, the Indenture and the other Related Documents other than, in the case of Undrawn L/C Face Amounts, for purposes of accrual of interest. Subject to the terms of this Agreement and the Series 2021-1 Supplement, the outstanding principal amount evidenced by the Series 2021-1 Class A-1 L/C Note shall be increased by issuances of Letters of Credit or decreased by expirations thereof or reimbursements of drawings thereunder or other circumstances resulting in the permanent reduction in any Undrawn L/C Face Amounts from time to time. The L/C Provider and the Co-Issuers agree to promptly notify the Administrative Agent and the Trustee of any such decreases for which notice to the Administrative Agent is not otherwise provided hereunder.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firstLine="1505"/>
        <w:spacing w:after="0" w:line="272" w:lineRule="auto"/>
        <w:tabs>
          <w:tab w:leader="none" w:pos="20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Co-Issuers may (or shall cause the Manager on their behalf to) from time to time request that the L/C Provider provide a new Letter of Credit by delivering to the L/C Provider at its address for notices specified herein an Application therefor (in the form required by the applicable L/C Issuing Bank as notified to the Co-Issuers by the L/C Provider), completed to the satisfaction of the L/C Provider, and such other certificates, documents and other papers and information as the L/C Provider may request on behalf of the L/C Issuing Bank. Notwithstanding the foregoing sentence, the letters of credit set forth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hereto shall be deemed Letters of Credit provided and issued by the L/C Provider hereunder as of the Series 2021-1 Closing Date. Upon receipt of any completed Application, the L/C Provider will notify the Administrative Agent and the Trustee in writing of the amount, the beneficiary and the requested expiration of the requested Letter of Credit (which shall comply with </w:t>
      </w:r>
      <w:r>
        <w:rPr>
          <w:rFonts w:ascii="Arial" w:cs="Arial" w:eastAsia="Arial" w:hAnsi="Arial"/>
          <w:sz w:val="19"/>
          <w:szCs w:val="19"/>
          <w:u w:val="single" w:color="auto"/>
          <w:color w:val="auto"/>
        </w:rPr>
        <w:t>Sections 2.07(a)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and, subject to the other conditions set forth herein and in the Series 2021-1 Supplement and upon receipt of written confirmation from the Administrative Agent (based, with respect to any portion of the Series 2021-1 Class A-1 Outstanding Subfacility Amount held by any Person other than the Administrative Agent, solely on written notices received by the Administrative Agent under this Agreement) that after giving effect to the requested issuance, the Series 2021-1 Class A-1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21"/>
          <w:szCs w:val="21"/>
          <w:color w:val="auto"/>
        </w:rPr>
        <w:t xml:space="preserve">Amount would not exceed the Series 2021-1 Class A-1 Maximum Principal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L/C Provider shall be entitled to rely upon any written statement, paper or document believed by it to be genuine and correct and to have been signed or sent by the proper Person or Persons of the Administrative Agent for purposes of determining whether the L/C Provider received such prior written confirmation from the Administrative Agent with respect to any Letter of Credit), the L/C Provider will cause such Application and the certificates, documents and other papers and information delivered in connection therewith to be processed in accordance with the L/C Issuing Bank’s customary procedures and shall promptly provide the Letter of Credit requested thereby (but in no event shall the L/C Provider be required to provide any Letter of Credit earlier than three (3) Business Days after its receipt of the Application therefor and all such other certificates, documents and other papers and information relating thereto, as provided in </w:t>
      </w:r>
      <w:r>
        <w:rPr>
          <w:rFonts w:ascii="Arial" w:cs="Arial" w:eastAsia="Arial" w:hAnsi="Arial"/>
          <w:sz w:val="21"/>
          <w:szCs w:val="21"/>
          <w:u w:val="single" w:color="auto"/>
          <w:color w:val="auto"/>
        </w:rPr>
        <w:t>Section 2.07(a)</w:t>
      </w:r>
      <w:r>
        <w:rPr>
          <w:rFonts w:ascii="Arial" w:cs="Arial" w:eastAsia="Arial" w:hAnsi="Arial"/>
          <w:sz w:val="21"/>
          <w:szCs w:val="21"/>
          <w:color w:val="auto"/>
        </w:rPr>
        <w:t>) by issuing the original of such Letter of Credit to the beneficiary thereof or as otherwise may be agreed to by the L/C Provider and the Co-Issuers. The L/C Provider shall furnish a copy of such Letter of Credit to the Manager (with a copy to the Administrative Agent) promptly following the issuance thereof. The L/C Provider shall promptly furnish to the Administrative Agent, which shall in turn promptly furnish to the Funding Agents, the Investors, the Control Party and the Trustee, written notice of the issuance of each Letter of Credit (including the amount thereof).</w:t>
      </w:r>
    </w:p>
    <w:p>
      <w:pPr>
        <w:spacing w:after="0" w:line="181" w:lineRule="exact"/>
        <w:rPr>
          <w:sz w:val="20"/>
          <w:szCs w:val="20"/>
          <w:color w:val="auto"/>
        </w:rPr>
      </w:pPr>
    </w:p>
    <w:p>
      <w:pPr>
        <w:jc w:val="both"/>
        <w:ind w:firstLine="1505"/>
        <w:spacing w:after="0"/>
        <w:tabs>
          <w:tab w:leader="none" w:pos="20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Co-Issuers shall jointly and severally pay ratably to the Committed Note Purchasers the L/C Quarterly Fees (as defined in the Series 2021-1 Class A-1 VFN Fee Letter, the “</w:t>
      </w:r>
      <w:r>
        <w:rPr>
          <w:rFonts w:ascii="Arial" w:cs="Arial" w:eastAsia="Arial" w:hAnsi="Arial"/>
          <w:sz w:val="22"/>
          <w:szCs w:val="22"/>
          <w:u w:val="single" w:color="auto"/>
          <w:color w:val="auto"/>
        </w:rPr>
        <w:t>L/C Quarterly Fees</w:t>
      </w:r>
      <w:r>
        <w:rPr>
          <w:rFonts w:ascii="Arial" w:cs="Arial" w:eastAsia="Arial" w:hAnsi="Arial"/>
          <w:sz w:val="22"/>
          <w:szCs w:val="22"/>
          <w:color w:val="auto"/>
        </w:rPr>
        <w:t>”) in accordance with the terms of the Series 2021-1 Class A-1 VFN Fee Letter and subject to the Priority of Payments.</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In addition, the Co-Issuers shall jointly and severally pay to or reimburse the L/C Provider for the account of the applicable L/C Issuing Bank the L/C Fronting Fees, if any, in accordance with the terms of the Series 2021-1 Class A-1 VFN Fee Letter and subject to the Priority of Payments.</w:t>
      </w:r>
    </w:p>
    <w:p>
      <w:pPr>
        <w:spacing w:after="0" w:line="186" w:lineRule="exact"/>
        <w:rPr>
          <w:rFonts w:ascii="Arial" w:cs="Arial" w:eastAsia="Arial" w:hAnsi="Arial"/>
          <w:sz w:val="22"/>
          <w:szCs w:val="22"/>
          <w:color w:val="auto"/>
        </w:rPr>
      </w:pPr>
    </w:p>
    <w:p>
      <w:pPr>
        <w:ind w:firstLine="1505"/>
        <w:spacing w:after="0" w:line="250" w:lineRule="auto"/>
        <w:tabs>
          <w:tab w:leader="none" w:pos="20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To the extent that any provision of any Application related to any Letter of Credit is inconsistent with the 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shall apply.</w:t>
      </w:r>
    </w:p>
    <w:p>
      <w:pPr>
        <w:spacing w:after="0" w:line="174" w:lineRule="exact"/>
        <w:rPr>
          <w:rFonts w:ascii="Arial" w:cs="Arial" w:eastAsia="Arial" w:hAnsi="Arial"/>
          <w:sz w:val="22"/>
          <w:szCs w:val="22"/>
          <w:color w:val="auto"/>
        </w:rPr>
      </w:pPr>
    </w:p>
    <w:p>
      <w:pPr>
        <w:jc w:val="both"/>
        <w:ind w:firstLine="1505"/>
        <w:spacing w:after="0" w:line="235" w:lineRule="auto"/>
        <w:tabs>
          <w:tab w:leader="none" w:pos="20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Co-Issuers may, upon three (3) Business Days’ notice to the Administrative Agent and the L/C Provider, effect a reduction in the L/C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reduction will be limited to the undrawn portion of the L/C Commitment. If requested by the Co-Issuers in writing and with the prior written consent of the L/C Provider and the Administrative Agent, the L/C Provider may (but shall not be obligated to) increase the amount of the L/C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thereto, the aggregate amount of the Swingline Commitment and the L/C Commitment does not exceed the aggregate Commitment Amount.</w:t>
      </w:r>
    </w:p>
    <w:p>
      <w:pPr>
        <w:spacing w:after="0" w:line="187" w:lineRule="exact"/>
        <w:rPr>
          <w:rFonts w:ascii="Arial" w:cs="Arial" w:eastAsia="Arial" w:hAnsi="Arial"/>
          <w:sz w:val="22"/>
          <w:szCs w:val="22"/>
          <w:color w:val="auto"/>
        </w:rPr>
      </w:pPr>
    </w:p>
    <w:p>
      <w:pPr>
        <w:jc w:val="both"/>
        <w:ind w:firstLine="1505"/>
        <w:spacing w:after="0" w:line="287" w:lineRule="auto"/>
        <w:tabs>
          <w:tab w:leader="none" w:pos="203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L/C Provider shall satisfy its obligations under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providing any Letter of Credit hereunder by issuing such Letter of Credit itself or through an Affiliate, so long as the L/C Issuing Bank Rating Test is satisfied with respect to such Affiliate and the issuance of such Letter of Credit. If the L/C Issuing Bank Rating Test is not satisfied with respect to such Affiliate and the issuance of such Letter of Credit, the L/C Provider or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7" w:name="page78"/>
    <w:bookmarkEnd w:id="77"/>
    <w:p>
      <w:pPr>
        <w:jc w:val="both"/>
        <w:spacing w:after="0" w:line="275" w:lineRule="auto"/>
        <w:rPr>
          <w:sz w:val="20"/>
          <w:szCs w:val="20"/>
          <w:color w:val="auto"/>
        </w:rPr>
      </w:pPr>
      <w:r>
        <w:rPr>
          <w:rFonts w:ascii="Arial" w:cs="Arial" w:eastAsia="Arial" w:hAnsi="Arial"/>
          <w:sz w:val="19"/>
          <w:szCs w:val="19"/>
          <w:color w:val="auto"/>
        </w:rPr>
        <w:t xml:space="preserve">selected by (at the expense of the L/C Provider) the Co-Issuers shall issue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Person and issuance of such Letter of Credit satisfies the L/C Issuing Bank Rating Test (the L/C Provider (or such Affiliate of the L/C Provider) in its capacity as the issuer of such Letter of Credit or such other Person selected by the Co-Issuers being referred to as the “</w:t>
      </w:r>
      <w:r>
        <w:rPr>
          <w:rFonts w:ascii="Arial" w:cs="Arial" w:eastAsia="Arial" w:hAnsi="Arial"/>
          <w:sz w:val="19"/>
          <w:szCs w:val="19"/>
          <w:u w:val="single" w:color="auto"/>
          <w:color w:val="auto"/>
        </w:rPr>
        <w:t>L/C Issuing Bank</w:t>
      </w:r>
      <w:r>
        <w:rPr>
          <w:rFonts w:ascii="Arial" w:cs="Arial" w:eastAsia="Arial" w:hAnsi="Arial"/>
          <w:sz w:val="19"/>
          <w:szCs w:val="19"/>
          <w:color w:val="auto"/>
        </w:rPr>
        <w:t>” with respect to such Letter of Credit). The “</w:t>
      </w:r>
      <w:r>
        <w:rPr>
          <w:rFonts w:ascii="Arial" w:cs="Arial" w:eastAsia="Arial" w:hAnsi="Arial"/>
          <w:sz w:val="19"/>
          <w:szCs w:val="19"/>
          <w:u w:val="single" w:color="auto"/>
          <w:color w:val="auto"/>
        </w:rPr>
        <w:t>L/C Issuing Bank Rating Test</w:t>
      </w:r>
      <w:r>
        <w:rPr>
          <w:rFonts w:ascii="Arial" w:cs="Arial" w:eastAsia="Arial" w:hAnsi="Arial"/>
          <w:sz w:val="19"/>
          <w:szCs w:val="19"/>
          <w:color w:val="auto"/>
        </w:rPr>
        <w:t>” is a test that is satisfied with respect to a Person issuing a Letter of Credit if the Person is a U.S. commercial bank that has, at the time of the issuance of such Letter of Credit, (i) a short-term certificate of deposit rating of not less than “P-2” from Moody’s and “A-2” from S&amp;P and (ii) a long-term unsecured debt rating of not less than “Baa2” from Moody’s or “BBB” from S&amp;P or such other minimum long-term unsecured debt rating as may be reasonably required by the beneficiary of such proposed Letter of Credit.</w:t>
      </w:r>
    </w:p>
    <w:p>
      <w:pPr>
        <w:spacing w:after="0" w:line="157" w:lineRule="exact"/>
        <w:rPr>
          <w:sz w:val="20"/>
          <w:szCs w:val="20"/>
          <w:color w:val="auto"/>
        </w:rPr>
      </w:pPr>
    </w:p>
    <w:p>
      <w:pPr>
        <w:jc w:val="both"/>
        <w:ind w:firstLine="1505"/>
        <w:spacing w:after="0" w:line="234" w:lineRule="auto"/>
        <w:tabs>
          <w:tab w:leader="none" w:pos="20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L/C Provider and, if the L/C Provider is not the L/C Issuing Bank for any Letter of Credit, the L/C Issuing Bank shall be under no obligation to issue any Letter of Credit if: (i) any order, judgment or decree of any Governmental Authority or arbitrator shall by its terms purport to enjoin or restrain the L/C Provider or the L/C Issuing Bank, as applicable, from issuing the Letter of Credit or (ii) any law applicable to the L/C Provider or the L/C Issuing Bank, as applicable, or any request or directive (which request or directive, in the reasonable judgment of the L/C Provider or the L/C Issuing Bank, as applicable, has the force of law) from any Governmental Authority with jurisdiction over the L/C Provider or the L/C Issuing Bank, as applicable, shall prohibit the L/C Provider or the L/C Issuing Bank, as applicable, from issuing of letters of credit generally or the Letter of Credit in particular.</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20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Unless otherwise expressly agreed by the L/C Provider or the L/C Issuing Bank, as applicable, and the Co-Issuers when a Letter of Credit is issued, the rules of the “International Standby Practices 1998” published by the Institute of International Banking Law &amp; Practice (or such later version thereof as may be in effect at the time of issuance) shall apply to each standby Letter of Credit issued hereunder.</w:t>
      </w:r>
    </w:p>
    <w:p>
      <w:pPr>
        <w:spacing w:after="0" w:line="184" w:lineRule="exact"/>
        <w:rPr>
          <w:rFonts w:ascii="Arial" w:cs="Arial" w:eastAsia="Arial" w:hAnsi="Arial"/>
          <w:sz w:val="22"/>
          <w:szCs w:val="22"/>
          <w:color w:val="auto"/>
        </w:rPr>
      </w:pPr>
    </w:p>
    <w:p>
      <w:pPr>
        <w:jc w:val="both"/>
        <w:ind w:firstLine="1505"/>
        <w:spacing w:after="0" w:line="257" w:lineRule="auto"/>
        <w:tabs>
          <w:tab w:leader="none" w:pos="2036" w:val="left"/>
        </w:tabs>
        <w:numPr>
          <w:ilvl w:val="0"/>
          <w:numId w:val="45"/>
        </w:numPr>
        <w:rPr>
          <w:rFonts w:ascii="Arial" w:cs="Arial" w:eastAsia="Arial" w:hAnsi="Arial"/>
          <w:sz w:val="21"/>
          <w:szCs w:val="21"/>
          <w:color w:val="auto"/>
        </w:rPr>
      </w:pPr>
      <w:r>
        <w:rPr>
          <w:rFonts w:ascii="Arial" w:cs="Arial" w:eastAsia="Arial" w:hAnsi="Arial"/>
          <w:sz w:val="21"/>
          <w:szCs w:val="21"/>
          <w:color w:val="auto"/>
        </w:rPr>
        <w:t>For the avoidance of doubt, the L/C Commitment shall be a sub-facility limit of the Commitment Amounts and aggregate outstanding L/C Obligations as of any date of determination shall be a component of the Series 2021-1 Class A-1 Outstanding Principal Amount on such date of determination, pursuant to the definition thereof.</w:t>
      </w:r>
    </w:p>
    <w:p>
      <w:pPr>
        <w:spacing w:after="0" w:line="169" w:lineRule="exact"/>
        <w:rPr>
          <w:rFonts w:ascii="Arial" w:cs="Arial" w:eastAsia="Arial" w:hAnsi="Arial"/>
          <w:sz w:val="21"/>
          <w:szCs w:val="21"/>
          <w:color w:val="auto"/>
        </w:rPr>
      </w:pPr>
    </w:p>
    <w:p>
      <w:pPr>
        <w:jc w:val="both"/>
        <w:ind w:firstLine="1505"/>
        <w:spacing w:after="0" w:line="274" w:lineRule="auto"/>
        <w:tabs>
          <w:tab w:leader="none" w:pos="203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on the date that is five (5) Business Days prior to the expiration of any Interest Reserve Letter of Credit, such Interest Reserve Letter of Credit has not been replaced or renewed and the Co-Issuers have not otherwise deposited funds into the Senior Notes Interest Reserve Account or the Senior Subordinated Notes Interest Reserve Account, as applicable, in the amounts that would otherwise be required pursuant to the Indenture had such Interest Reserve Letter of Credit not been issued, the Master Issuer or the Control Party on its behalf will submit a notice of drawing under such Interest Reserve Letter of Credit and use the proceeds thereof to fund a deposit into the Senior Notes Interest Reserve Account or the Senior Subordinated Notes Interest Reserve Account, as applicable, in an amount equal to the Senior Notes Interest Reserve Account Deficient Amount or the Senior Subordinated Notes Interest Reserve Account Deficient Amount, as applicable, on such date, in each case calculated as if such Interest Reserve Letter of Credit had not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8" w:name="page79"/>
    <w:bookmarkEnd w:id="78"/>
    <w:p>
      <w:pPr>
        <w:jc w:val="both"/>
        <w:ind w:left="-760" w:firstLine="1505"/>
        <w:spacing w:after="0" w:line="238" w:lineRule="auto"/>
        <w:tabs>
          <w:tab w:leader="none" w:pos="1276"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Each of the parties hereto shall execute any amendments to this Agreement reasonably requested by the Co-Issuers in order to have any letter of credit issued by a Person selected by the Co-Issuers pursuant to </w:t>
      </w:r>
      <w:r>
        <w:rPr>
          <w:rFonts w:ascii="Arial" w:cs="Arial" w:eastAsia="Arial" w:hAnsi="Arial"/>
          <w:sz w:val="22"/>
          <w:szCs w:val="22"/>
          <w:u w:val="single" w:color="auto"/>
          <w:color w:val="auto"/>
        </w:rPr>
        <w:t>Section 2.07(h)</w:t>
      </w:r>
      <w:r>
        <w:rPr>
          <w:rFonts w:ascii="Arial" w:cs="Arial" w:eastAsia="Arial" w:hAnsi="Arial"/>
          <w:sz w:val="22"/>
          <w:szCs w:val="22"/>
          <w:color w:val="auto"/>
        </w:rPr>
        <w:t xml:space="preserve"> hereto or Section 5.17 of the Base Indenture be a “Letter of Credit” that has been issued hereunder and such Person selected by the Co-Issuers be an “L/C Issuing Bank.”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2.08L/C Reimbursement Obligations.</w:t>
      </w:r>
    </w:p>
    <w:p>
      <w:pPr>
        <w:spacing w:after="0" w:line="206" w:lineRule="exact"/>
        <w:rPr>
          <w:sz w:val="20"/>
          <w:szCs w:val="20"/>
          <w:color w:val="auto"/>
        </w:rPr>
      </w:pPr>
    </w:p>
    <w:p>
      <w:pPr>
        <w:jc w:val="both"/>
        <w:ind w:left="-760" w:firstLine="1505"/>
        <w:spacing w:after="0" w:line="270" w:lineRule="auto"/>
        <w:tabs>
          <w:tab w:leader="none" w:pos="1276"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For the purpose of reimbursing the payment of any draft presented under any Letter of Credit, the Co-Issuers jointly and severally agree to pay, as set forth in this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 L/C Provider, for its own account or for the account of the L/C Issuing Bank, as applicable, within five Business Days after the day (subject to and in accordance with the Priority of Payments) on which the L/C Provider notifies the Co-Issuers and the Administrative Agent (and in each case the Administrative Agent shall promptly, and in any event by 3:00 p.m. (New York City time) on the same Business Day as its receipt of the same, notify the Funding Agents) of the date and the amount of such draft, an amount in U.S. Dollars equal to the sum of (i) the amount of such draft so paid (the “</w:t>
      </w:r>
      <w:r>
        <w:rPr>
          <w:rFonts w:ascii="Arial" w:cs="Arial" w:eastAsia="Arial" w:hAnsi="Arial"/>
          <w:sz w:val="19"/>
          <w:szCs w:val="19"/>
          <w:u w:val="single" w:color="auto"/>
          <w:color w:val="auto"/>
        </w:rPr>
        <w:t>L/C Reimbursement Amount</w:t>
      </w:r>
      <w:r>
        <w:rPr>
          <w:rFonts w:ascii="Arial" w:cs="Arial" w:eastAsia="Arial" w:hAnsi="Arial"/>
          <w:sz w:val="19"/>
          <w:szCs w:val="19"/>
          <w:color w:val="auto"/>
        </w:rPr>
        <w:t xml:space="preserve">”) and (ii) any taxes, fees, charges or other costs or expenses (including amounts payable pursuant to </w:t>
      </w:r>
      <w:r>
        <w:rPr>
          <w:rFonts w:ascii="Arial" w:cs="Arial" w:eastAsia="Arial" w:hAnsi="Arial"/>
          <w:sz w:val="19"/>
          <w:szCs w:val="19"/>
          <w:u w:val="single" w:color="auto"/>
          <w:color w:val="auto"/>
        </w:rPr>
        <w:t>Section 3.02(c),</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L/C Other Reimbursement Costs</w:t>
      </w:r>
      <w:r>
        <w:rPr>
          <w:rFonts w:ascii="Arial" w:cs="Arial" w:eastAsia="Arial" w:hAnsi="Arial"/>
          <w:sz w:val="19"/>
          <w:szCs w:val="19"/>
          <w:color w:val="auto"/>
        </w:rPr>
        <w:t xml:space="preserve">”) incurred by the L/C Issuing Bank in connection with such payment. Each drawing under any Letter of Credit shall (unless an Event of Bankruptcy shall have occurred and be continuing with respect to the Co-Issuers or any Guarantor, in which cases the procedures specified in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for funding by Committed Note Purchasers shall apply) constitute a request by the Co-Issuers to the Administrative Agent and each Funding Agent for a Base Rate Advance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in the amount equal to the applicable L/C Reimbursement Amount and the Co-Issuers shall be deemed to have made such request pursuant to the procedures set forth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 applicable Investors in each Investor Group hereby agree to make Advances in an aggregate amount for each Investor Group equal to such Investor Group’s Commitment Percentage of the L/C Reimbursement Amount to pay the L/C Provider. The Borrowing date with respect to such Borrowing shall be the first date on which a Base Rate Advance could be made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Administrative Agent had received a notice of such Borrowing at the time the Administrative Agent receives notice from the L/C Provider of such drawing under such Letter of Credit. Such Investors shall make the amount of such Advances available to the Administrative Agent in immediately available funds not later than 3:00 p.m. (New York City time) on such Borrowing date, and the proceeds of such Advances shall be immediately made available by the Administrative Agent to the L/C Provider for application to the reimbursement of such drawing.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760" w:firstLine="1505"/>
        <w:spacing w:after="0" w:line="246" w:lineRule="auto"/>
        <w:tabs>
          <w:tab w:leader="none" w:pos="1276"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The Co-Issuers’ obligations under </w:t>
      </w:r>
      <w:r>
        <w:rPr>
          <w:rFonts w:ascii="Arial" w:cs="Arial" w:eastAsia="Arial" w:hAnsi="Arial"/>
          <w:sz w:val="21"/>
          <w:szCs w:val="21"/>
          <w:u w:val="single" w:color="auto"/>
          <w:color w:val="auto"/>
        </w:rPr>
        <w:t>Section 2.08(a)</w:t>
      </w:r>
      <w:r>
        <w:rPr>
          <w:rFonts w:ascii="Arial" w:cs="Arial" w:eastAsia="Arial" w:hAnsi="Arial"/>
          <w:sz w:val="21"/>
          <w:szCs w:val="21"/>
          <w:color w:val="auto"/>
        </w:rPr>
        <w:t xml:space="preserve"> shall be absolute and unconditional, and shall be performed strictly in accordance with the terms of this Agreement, under any and all circumstances and irrespective of (i) any setoff, counterclaim or defense to payment that the Co-Issuers may have or have had against the L/C Provider, the L/C Issuing Bank, any beneficiary of a Letter of Credit or any other Person; (ii) any lack of validity or enforceability of any Letter of Credit or this Agreement, or any term or provision therein; (iii) payment by the L/C Issuing Bank under a Letter of Credit against presentation of a draft or other document that does not comply with the terms of such Letter of Credit; (iv) payment by the L/C Issuing Bank under a Letter of Credit to any Person purporting to be a trustee in bankruptcy, debtor-in-possession, assignee for the benefit of creditors, liquidator, receiver or other representative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509270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604" w:right="339" w:bottom="1440" w:gutter="0" w:footer="0" w:header="0"/>
        </w:sectPr>
      </w:pPr>
    </w:p>
    <w:bookmarkStart w:id="79" w:name="page80"/>
    <w:bookmarkEnd w:id="79"/>
    <w:p>
      <w:pPr>
        <w:jc w:val="both"/>
        <w:spacing w:after="0" w:line="269" w:lineRule="auto"/>
        <w:rPr>
          <w:sz w:val="20"/>
          <w:szCs w:val="20"/>
          <w:color w:val="auto"/>
        </w:rPr>
      </w:pPr>
      <w:r>
        <w:rPr>
          <w:rFonts w:ascii="Arial" w:cs="Arial" w:eastAsia="Arial" w:hAnsi="Arial"/>
          <w:sz w:val="19"/>
          <w:szCs w:val="19"/>
          <w:color w:val="auto"/>
        </w:rPr>
        <w:t xml:space="preserve">successor to any beneficiary or any transferee of such Letter of Credit, including any arising in connection with any proceeding under the Bankruptcy Code or any other liquidation, conservatorship, assignment for the benefit of creditors, moratorium, rearrangement, receivership, insolvency, reorganization or similar debtor relief laws of any jurisdictions, (v) any amendment or waiver of or consent to any departure from any or all of the Related Documents, (vi) the insolvency of any Person issuing any documents in connection with any Letter of Credit or (vii) any other event or circumstance whatsoever, whether or not similar to any of the foregoing, that might, but for the provisions of this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constitute a legal or equitable discharge of, or provide a right of setoff against, any Co-Issuer’s obligations hereunder. The Co-Issuers also agree that the L/C Provider and the L/C Issuing Bank shall not be responsible for, and the Co-Issuers’ Reimbursement Obligations under </w:t>
      </w:r>
      <w:r>
        <w:rPr>
          <w:rFonts w:ascii="Arial" w:cs="Arial" w:eastAsia="Arial" w:hAnsi="Arial"/>
          <w:sz w:val="19"/>
          <w:szCs w:val="19"/>
          <w:u w:val="single" w:color="auto"/>
          <w:color w:val="auto"/>
        </w:rPr>
        <w:t>Section 2.08(a)</w:t>
      </w:r>
      <w:r>
        <w:rPr>
          <w:rFonts w:ascii="Arial" w:cs="Arial" w:eastAsia="Arial" w:hAnsi="Arial"/>
          <w:sz w:val="19"/>
          <w:szCs w:val="19"/>
          <w:color w:val="auto"/>
        </w:rPr>
        <w:t xml:space="preserve"> shall not be affected by, among other things, the validity or genuineness of documents or of any endorsements thereon, even though such documents shall in fact prove to be invalid, fraudulent or forged, or any dispute between or among the Co-Issuers and any beneficiary of any Letter of Credit or any other party to which such Letter of Credit may be transferred or any claims whatsoever of the Co-Issuers against any beneficiary of such Letter of Credit or any such transferee. Neither the L/C Provider nor the L/C Issuing Bank shall be liable for any error, omission, interruption, loss or delay in transmission, dispatch or delivery of any message or advice, however transmitted, in connection with any Letter of Credit, except for direct damages (as opposed to consequential damages, claims in respect of which are hereby waived by the Co-Issuers to the extent permitted by applicable law) caused by errors or omissions found by a final and nonappealable decision of a court of competent jurisdiction to have resulted from the gross negligence or willful misconduct of the L/C Provider or the L/C Issuing Bank, as the case may be. The Co-Issuers agree that any action taken or omitted by the L/C Provider or the L/C Issuing Bank, as the case may be, under or in connection with any Letter of Credit or the related drafts or documents, if done in the absence of gross negligence or willful misconduct and in accordance with the standards of care specified in the UCC of the State of New York, shall be binding on the Co-Issuers and shall not result in any liability of the L/C Provider or the L/C Issuing Bank to the Co-Issuers. As between the Co-Issuers and the L/C Issuing Bank, the Co-Issuers hereby assume all risks of the acts or omissions of any beneficiary or transferee with respect to such beneficiary’s or transferee’s use of any Letter of Credit. In furtherance of the foregoing and without limiting the generality thereof, the Co-Issuers agree with the L/C Issuing Bank that, with respect to documents presented that appear on their face to be in substantial compliance with the terms of a Letter of Credit, the L/C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08" w:lineRule="exact"/>
        <w:rPr>
          <w:sz w:val="20"/>
          <w:szCs w:val="20"/>
          <w:color w:val="auto"/>
        </w:rPr>
      </w:pPr>
    </w:p>
    <w:p>
      <w:pPr>
        <w:jc w:val="both"/>
        <w:ind w:firstLine="1505"/>
        <w:spacing w:after="0" w:line="277" w:lineRule="auto"/>
        <w:tabs>
          <w:tab w:leader="none" w:pos="2036"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any draft shall be presented for payment under any Letter of Credit, the L/C Provider shall promptly notify the Manager, the Co-Issuers and the Administrative Agent of the date and amount thereof. The responsibility of the applicable L/C Issuing Bank to the Co-Issuers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 and, in paying such draft, such L/C Issuing Bank shall not have any responsibility to obtain any document (other than any sight draft, certificates and documents expressly required by such Letter of Credit)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0" w:name="page81"/>
    <w:bookmarkEnd w:id="80"/>
    <w:p>
      <w:pPr>
        <w:spacing w:after="0" w:line="250" w:lineRule="auto"/>
        <w:rPr>
          <w:sz w:val="20"/>
          <w:szCs w:val="20"/>
          <w:color w:val="auto"/>
        </w:rPr>
      </w:pPr>
      <w:r>
        <w:rPr>
          <w:rFonts w:ascii="Arial" w:cs="Arial" w:eastAsia="Arial" w:hAnsi="Arial"/>
          <w:sz w:val="22"/>
          <w:szCs w:val="22"/>
          <w:color w:val="auto"/>
        </w:rPr>
        <w:t>ascertain or inquire as to the validity or accuracy of any such document or the authority of any Person(s) executing or delivering any such document.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2.09L/C Participations.</w:t>
      </w:r>
    </w:p>
    <w:p>
      <w:pPr>
        <w:spacing w:after="0" w:line="206" w:lineRule="exact"/>
        <w:rPr>
          <w:sz w:val="20"/>
          <w:szCs w:val="20"/>
          <w:color w:val="auto"/>
        </w:rPr>
      </w:pPr>
    </w:p>
    <w:p>
      <w:pPr>
        <w:jc w:val="both"/>
        <w:ind w:firstLine="1505"/>
        <w:spacing w:after="0" w:line="272" w:lineRule="auto"/>
        <w:tabs>
          <w:tab w:leader="none" w:pos="2036"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L/C Provider irrevocably agrees to grant and hereby grants to each Committed Note Purchaser, and, to induce the L/C Provider to provide Letters of Credit hereunder (and, if the L/C Provider is not the L/C Issuing Bank for any Letter of Credit, to induce the L/C Provider to agree to reimburse such L/C Issuing Bank for any payment of any drafts presented thereunder), each Committed Note Purchaser irrevocably and unconditionally agrees to accept and purchase and hereby accepts and purchases from the L/C Provider, on the terms and conditions set forth below, for such Committed Note Purchaser’s own account and risk an undivided interest equal to its Committed Note Purchaser Percentage of the related Investor Group’s Commitment Percentage of the L/C Provider’s obligations and rights under and in respect of each Letter of Credit provided hereunder and the L/C Reimbursement Amount with respect to each draft paid or reimbursed by the L/C Provider in connection therewith. Subject to </w:t>
      </w:r>
      <w:r>
        <w:rPr>
          <w:rFonts w:ascii="Arial" w:cs="Arial" w:eastAsia="Arial" w:hAnsi="Arial"/>
          <w:sz w:val="19"/>
          <w:szCs w:val="19"/>
          <w:u w:val="single" w:color="auto"/>
          <w:color w:val="auto"/>
        </w:rPr>
        <w:t>Section 2.07(c)</w:t>
      </w:r>
      <w:r>
        <w:rPr>
          <w:rFonts w:ascii="Arial" w:cs="Arial" w:eastAsia="Arial" w:hAnsi="Arial"/>
          <w:sz w:val="19"/>
          <w:szCs w:val="19"/>
          <w:color w:val="auto"/>
        </w:rPr>
        <w:t>, each Committed Note Purchaser unconditionally and irrevocably agrees with the L/C Provider that, if a draft is paid under any Letter of Credit for which the L/C Provider is not paid in full by the Co-Issuers in accordance with the terms of this Agreement, such Committed Note Purchaser shall pay to the Administrative Agent upon demand of the L/C Provider an amount equal to its Committed Note Purchaser Percentage of the related Investor Group’s Commitment Percentage of the L/C Reimbursement Amount with respect to such draft, or any part thereof, that is not so paid.</w:t>
      </w:r>
    </w:p>
    <w:p>
      <w:pPr>
        <w:spacing w:after="0" w:line="155" w:lineRule="exact"/>
        <w:rPr>
          <w:rFonts w:ascii="Arial" w:cs="Arial" w:eastAsia="Arial" w:hAnsi="Arial"/>
          <w:sz w:val="19"/>
          <w:szCs w:val="19"/>
          <w:color w:val="auto"/>
        </w:rPr>
      </w:pPr>
    </w:p>
    <w:p>
      <w:pPr>
        <w:jc w:val="both"/>
        <w:ind w:firstLine="1505"/>
        <w:spacing w:after="0" w:line="271" w:lineRule="auto"/>
        <w:tabs>
          <w:tab w:leader="none" w:pos="2036"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If any amount required to be paid by any Committed Note Purchaser to the Administrative Agent for forwarding to the L/C Provider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in respect of any unreimbursed portion of any payment made or reimbursed by the L/C Provider under any Letter of Credit is paid to the Administrative Agent for forwarding to the L/C Provider within three (3) Business Days after the date such payment is due, such Committed Note Purchaser shall pay to Administrative Agent for forwarding to the L/C Provider on demand an amount equal to the </w:t>
      </w:r>
      <w:r>
        <w:rPr>
          <w:rFonts w:ascii="Arial" w:cs="Arial" w:eastAsia="Arial" w:hAnsi="Arial"/>
          <w:sz w:val="19"/>
          <w:szCs w:val="19"/>
          <w:u w:val="single" w:color="auto"/>
          <w:color w:val="auto"/>
        </w:rPr>
        <w:t>product</w:t>
      </w:r>
      <w:r>
        <w:rPr>
          <w:rFonts w:ascii="Arial" w:cs="Arial" w:eastAsia="Arial" w:hAnsi="Arial"/>
          <w:sz w:val="19"/>
          <w:szCs w:val="19"/>
          <w:color w:val="auto"/>
        </w:rPr>
        <w:t xml:space="preserve"> of (i) such amount,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daily average Federal Funds Rate during the period from and including the date such payment is required to the date on which such payment is immediately available to the L/C Provider,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(iii) a fraction the numerator of which is the number of days that elapse during such period and the denominator of which is 360. If any such amount required to be paid by any Committed Note Purchaser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is not made available to the Administrative Agent for forwarding to the L/C Provider by such Committed Note Purchaser within three (3) Business Days after the date such payment is due, the L/C Provider shall be entitled to recover from such Committed Note Purchaser, on demand, such amount with interest thereon calculated from such due date at the Base Rate. A certificate of the L/C Provider submitted to any Committed Note Purchaser with respect to any amounts owing under this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in the absence of manifest error, shall be conclusive and binding on such Committed Note Purchaser. Such amounts payable under this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shall be paid without any deduction for any withholding Taxes.</w:t>
      </w:r>
    </w:p>
    <w:p>
      <w:pPr>
        <w:spacing w:after="0" w:line="164"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Whenever, at any time after payment has been made under any Letter of Credit and the L/C Provider has received from any Committed Note Purchaser its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of such payment in accordance with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the Administrative Agent or the L/C Provider receives any payment related to such Letter of Credit (whether directly from the Co-Issuers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1" w:name="page82"/>
    <w:bookmarkEnd w:id="81"/>
    <w:p>
      <w:pPr>
        <w:jc w:val="both"/>
        <w:spacing w:after="0" w:line="279" w:lineRule="auto"/>
        <w:rPr>
          <w:sz w:val="20"/>
          <w:szCs w:val="20"/>
          <w:color w:val="auto"/>
        </w:rPr>
      </w:pPr>
      <w:r>
        <w:rPr>
          <w:rFonts w:ascii="Arial" w:cs="Arial" w:eastAsia="Arial" w:hAnsi="Arial"/>
          <w:sz w:val="19"/>
          <w:szCs w:val="19"/>
          <w:color w:val="auto"/>
        </w:rPr>
        <w:t xml:space="preserve">otherwise, including proceeds of collateral applied thereto by the L/C Provider), or any payment of interest on account thereof, the Administrative Agent or the L/C Provider, as the case may be, will distribute to such Committed Note Purchaser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such payment received by the Administrative Agent or the L/C Provider, as the case may be, shall be required to be returned by the Administrative Agent or the L/C Provider, such Committed Note Purchaser shall return to the Administrative Agent for the account of the L/C Provider the portion thereof previously distributed by the Administrative Agent or the L/C Provider, as the case may be, to it.</w:t>
      </w:r>
    </w:p>
    <w:p>
      <w:pPr>
        <w:spacing w:after="0" w:line="150" w:lineRule="exact"/>
        <w:rPr>
          <w:sz w:val="20"/>
          <w:szCs w:val="20"/>
          <w:color w:val="auto"/>
        </w:rPr>
      </w:pPr>
    </w:p>
    <w:p>
      <w:pPr>
        <w:jc w:val="both"/>
        <w:ind w:firstLine="1505"/>
        <w:spacing w:after="0" w:line="245" w:lineRule="auto"/>
        <w:tabs>
          <w:tab w:leader="none" w:pos="2036"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Each Committed Note Purchaser’s obligation to make the Advances referred to in </w:t>
      </w:r>
      <w:r>
        <w:rPr>
          <w:rFonts w:ascii="Arial" w:cs="Arial" w:eastAsia="Arial" w:hAnsi="Arial"/>
          <w:sz w:val="21"/>
          <w:szCs w:val="21"/>
          <w:u w:val="single" w:color="auto"/>
          <w:color w:val="auto"/>
        </w:rPr>
        <w:t>Section 2.08(a)</w:t>
      </w:r>
      <w:r>
        <w:rPr>
          <w:rFonts w:ascii="Arial" w:cs="Arial" w:eastAsia="Arial" w:hAnsi="Arial"/>
          <w:sz w:val="21"/>
          <w:szCs w:val="21"/>
          <w:color w:val="auto"/>
        </w:rPr>
        <w:t xml:space="preserve"> and to pay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of any unreimbursed draft pursuant to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shall be absolute and unconditional and shall not be affected by any circumstance, including (i) any setoff, counterclaim, recoupment, defense or other right that such Committed Note Purchaser or the Co-Issuers may have against the L/C Provider, any L/C Issuing Bank, the Co-Issuers or any other Person for any reason whatsoever; (ii) the occurrence or continuance of a Default or an Event of Default or the failure to satisfy any of the other conditions specified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other than at the time the related Letter of Credit was issued; (iii) an adverse change in the condition (financial or otherwise) of the Co-Issuers; (iv) any breach of this Agreement or any other Indenture Document by any Co-Issuer or any other Person; (v) any amendment, renewal or extension of any Letter of Credit in compliance with this Agreement or with the terms of such Letter of Credit, as applicable; or (vi) any other circumstance, happening or event whatsoever, whether or not similar to any of the foregoing.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INTEREST AND FEES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3.01Interest.</w:t>
      </w:r>
    </w:p>
    <w:p>
      <w:pPr>
        <w:spacing w:after="0" w:line="206" w:lineRule="exact"/>
        <w:rPr>
          <w:sz w:val="20"/>
          <w:szCs w:val="20"/>
          <w:color w:val="auto"/>
        </w:rPr>
      </w:pPr>
    </w:p>
    <w:p>
      <w:pPr>
        <w:jc w:val="both"/>
        <w:ind w:firstLine="1505"/>
        <w:spacing w:after="0" w:line="271" w:lineRule="auto"/>
        <w:tabs>
          <w:tab w:leader="none" w:pos="2036"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To the extent that an Advance is funded or maintained by a Conduit Investor through the issuance of Commercial Paper, such Advance shall bear interest at the CP Rate applicable to such Conduit Investor. To the extent that, and only for so long as, an Advance is funded or maintained by a Conduit Investor through means other than the issuance of Commercial Paper (based on its determination in good faith that it is unable to raise or is precluded or prohibited from raising, or that it is not advisable to raise, funds through the issuance of Commercial Paper in the commercial paper market of the United States to finance its purchase or maintenance of such Advance or any portion thereof (which determination may be based on any allocation method employed in good faith by such Conduit Investor), including by reason of market conditions or by reason of insufficient availability under any of its Program Support Agreement or the downgrading of any of its Program Support Providers), such Advance shall bear interest at (i) the Base Rate or (ii) if the required notice has been given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3.01(b)</w:t>
      </w:r>
      <w:r>
        <w:rPr>
          <w:rFonts w:ascii="Arial" w:cs="Arial" w:eastAsia="Arial" w:hAnsi="Arial"/>
          <w:sz w:val="19"/>
          <w:szCs w:val="19"/>
          <w:color w:val="auto"/>
        </w:rPr>
        <w:t xml:space="preserve"> with respect to such Advance, for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auto"/>
        </w:rPr>
        <w:t xml:space="preserve"> Period, </w:t>
      </w:r>
      <w:r>
        <w:rPr>
          <w:rFonts w:ascii="Arial" w:cs="Arial" w:eastAsia="Arial" w:hAnsi="Arial"/>
          <w:sz w:val="19"/>
          <w:szCs w:val="19"/>
          <w:color w:val="FF0000"/>
          <w:strike w:val="1"/>
        </w:rPr>
        <w:t>the Eurodollar Rate</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xml:space="preserve"> applicable to such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auto"/>
        </w:rPr>
        <w:t xml:space="preserve"> Period for such Advance, in each case except as otherwise provided in the definition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auto"/>
        </w:rPr>
        <w:t xml:space="preserve"> Period or in </w:t>
      </w:r>
      <w:r>
        <w:rPr>
          <w:rFonts w:ascii="Arial" w:cs="Arial" w:eastAsia="Arial" w:hAnsi="Arial"/>
          <w:sz w:val="19"/>
          <w:szCs w:val="19"/>
          <w:u w:val="single" w:color="auto"/>
          <w:color w:val="auto"/>
        </w:rPr>
        <w:t>Sections 3.03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Each Advance funded or maintained by a Committed Note Purchaser or a Program Support Provider shall bear interest at (i) the Base Rate or (ii) if the required notice has been given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with respect to such Advance, for any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2" w:name="page83"/>
    <w:bookmarkEnd w:id="82"/>
    <w:p>
      <w:pPr>
        <w:jc w:val="both"/>
        <w:spacing w:after="0" w:line="274" w:lineRule="auto"/>
        <w:rPr>
          <w:sz w:val="20"/>
          <w:szCs w:val="20"/>
          <w:color w:val="auto"/>
        </w:rPr>
      </w:pPr>
      <w:r>
        <w:rPr>
          <w:rFonts w:ascii="Arial" w:cs="Arial" w:eastAsia="Arial" w:hAnsi="Arial"/>
          <w:sz w:val="19"/>
          <w:szCs w:val="19"/>
          <w:u w:val="single" w:color="auto"/>
          <w:color w:val="0000FF"/>
        </w:rPr>
        <w:t>Accrual</w:t>
      </w:r>
      <w:r>
        <w:rPr>
          <w:rFonts w:ascii="Arial" w:cs="Arial" w:eastAsia="Arial" w:hAnsi="Arial"/>
          <w:sz w:val="19"/>
          <w:szCs w:val="19"/>
          <w:color w:val="0000FF"/>
        </w:rPr>
        <w:t xml:space="preserve"> </w:t>
      </w:r>
      <w:r>
        <w:rPr>
          <w:rFonts w:ascii="Arial" w:cs="Arial" w:eastAsia="Arial" w:hAnsi="Arial"/>
          <w:sz w:val="19"/>
          <w:szCs w:val="19"/>
          <w:color w:val="000000"/>
        </w:rPr>
        <w:t>Period,</w:t>
      </w:r>
      <w:r>
        <w:rPr>
          <w:rFonts w:ascii="Arial" w:cs="Arial" w:eastAsia="Arial" w:hAnsi="Arial"/>
          <w:sz w:val="19"/>
          <w:szCs w:val="19"/>
          <w:color w:val="0000FF"/>
        </w:rPr>
        <w:t xml:space="preserve"> </w:t>
      </w:r>
      <w:r>
        <w:rPr>
          <w:rFonts w:ascii="Arial" w:cs="Arial" w:eastAsia="Arial" w:hAnsi="Arial"/>
          <w:sz w:val="19"/>
          <w:szCs w:val="19"/>
          <w:color w:val="FF0000"/>
          <w:strike w:val="1"/>
        </w:rPr>
        <w:t>the Eurodollar Rate</w:t>
      </w:r>
      <w:r>
        <w:rPr>
          <w:rFonts w:ascii="Arial" w:cs="Arial" w:eastAsia="Arial" w:hAnsi="Arial"/>
          <w:sz w:val="19"/>
          <w:szCs w:val="19"/>
          <w:u w:val="single" w:color="auto"/>
          <w:color w:val="0000FF"/>
        </w:rPr>
        <w:t>Adjusted Term SOFR</w:t>
      </w:r>
      <w:r>
        <w:rPr>
          <w:rFonts w:ascii="Arial" w:cs="Arial" w:eastAsia="Arial" w:hAnsi="Arial"/>
          <w:sz w:val="19"/>
          <w:szCs w:val="19"/>
          <w:color w:val="0000FF"/>
        </w:rPr>
        <w:t xml:space="preserve"> </w:t>
      </w:r>
      <w:r>
        <w:rPr>
          <w:rFonts w:ascii="Arial" w:cs="Arial" w:eastAsia="Arial" w:hAnsi="Arial"/>
          <w:sz w:val="19"/>
          <w:szCs w:val="19"/>
          <w:color w:val="000000"/>
        </w:rPr>
        <w:t>applicable to such</w:t>
      </w:r>
      <w:r>
        <w:rPr>
          <w:rFonts w:ascii="Arial" w:cs="Arial" w:eastAsia="Arial" w:hAnsi="Arial"/>
          <w:sz w:val="19"/>
          <w:szCs w:val="19"/>
          <w:color w:val="0000FF"/>
        </w:rPr>
        <w:t xml:space="preserv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Interest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Accrual</w:t>
      </w:r>
      <w:r>
        <w:rPr>
          <w:rFonts w:ascii="Arial" w:cs="Arial" w:eastAsia="Arial" w:hAnsi="Arial"/>
          <w:sz w:val="19"/>
          <w:szCs w:val="19"/>
          <w:color w:val="0000FF"/>
        </w:rPr>
        <w:t xml:space="preserve"> </w:t>
      </w:r>
      <w:r>
        <w:rPr>
          <w:rFonts w:ascii="Arial" w:cs="Arial" w:eastAsia="Arial" w:hAnsi="Arial"/>
          <w:sz w:val="19"/>
          <w:szCs w:val="19"/>
          <w:color w:val="000000"/>
        </w:rPr>
        <w:t>Period for such</w:t>
      </w:r>
      <w:r>
        <w:rPr>
          <w:rFonts w:ascii="Arial" w:cs="Arial" w:eastAsia="Arial" w:hAnsi="Arial"/>
          <w:sz w:val="19"/>
          <w:szCs w:val="19"/>
          <w:color w:val="0000FF"/>
        </w:rPr>
        <w:t xml:space="preserve"> </w:t>
      </w:r>
      <w:r>
        <w:rPr>
          <w:rFonts w:ascii="Arial" w:cs="Arial" w:eastAsia="Arial" w:hAnsi="Arial"/>
          <w:sz w:val="19"/>
          <w:szCs w:val="19"/>
          <w:color w:val="000000"/>
        </w:rPr>
        <w:t xml:space="preserve">Advance, in each case except as otherwise provided in the definition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or in </w:t>
      </w:r>
      <w:r>
        <w:rPr>
          <w:rFonts w:ascii="Arial" w:cs="Arial" w:eastAsia="Arial" w:hAnsi="Arial"/>
          <w:sz w:val="19"/>
          <w:szCs w:val="19"/>
          <w:u w:val="single" w:color="auto"/>
          <w:color w:val="000000"/>
        </w:rPr>
        <w:t>Sections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3.03</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3.04.</w:t>
      </w:r>
      <w:r>
        <w:rPr>
          <w:rFonts w:ascii="Arial" w:cs="Arial" w:eastAsia="Arial" w:hAnsi="Arial"/>
          <w:sz w:val="19"/>
          <w:szCs w:val="19"/>
          <w:color w:val="000000"/>
        </w:rPr>
        <w:t xml:space="preserve"> By (x) 11:00 a.m. (New York City time) on the second Business Day preceding each Accounting Date, each Funding Agent shall notify the Administrative Agent of the applicable CP Rate for each Advance made by its Investor Group that was funded or maintained through the issuance of Commercial Paper and was outstanding during all or any portion of the Interest Period ending immediately prior to such Accounting Date and (y) 3:00 p.m. (New York City time) on the second Business Day preceding each Accounting Date, the Administrative Agent shall notify the Master Issuer (on behalf of the Co-Issuers), the Manager, the Trustee, the Servicer and the Funding Agents of such applicable CP Rate and of the applicable interest rate for each other Advance for such Interest Period and of the amount of interest accrued on Advances during such Interest Period.</w:t>
      </w:r>
    </w:p>
    <w:p>
      <w:pPr>
        <w:spacing w:after="0" w:line="158" w:lineRule="exact"/>
        <w:rPr>
          <w:sz w:val="20"/>
          <w:szCs w:val="20"/>
          <w:color w:val="auto"/>
        </w:rPr>
      </w:pPr>
    </w:p>
    <w:p>
      <w:pPr>
        <w:jc w:val="both"/>
        <w:ind w:firstLine="1505"/>
        <w:spacing w:after="0" w:line="272" w:lineRule="auto"/>
        <w:tabs>
          <w:tab w:leader="none" w:pos="20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With respect to any Advance (other than one funded or maintained by a Conduit Investor through the issuance of Commercial Paper), so long as no Potential Rapid Amortization Event, Rapid Amortization Period or Event of Default has commenced and is continuing, the Master Issuer may elect that such Advance bear interest at </w:t>
      </w:r>
      <w:r>
        <w:rPr>
          <w:rFonts w:ascii="Arial" w:cs="Arial" w:eastAsia="Arial" w:hAnsi="Arial"/>
          <w:sz w:val="19"/>
          <w:szCs w:val="19"/>
          <w:color w:val="FF0000"/>
          <w:strike w:val="1"/>
        </w:rPr>
        <w:t>the Eurodollar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Adjusted Term SOFR</w:t>
      </w:r>
      <w:r>
        <w:rPr>
          <w:rFonts w:ascii="Arial" w:cs="Arial" w:eastAsia="Arial" w:hAnsi="Arial"/>
          <w:sz w:val="19"/>
          <w:szCs w:val="19"/>
          <w:color w:val="FF0000"/>
        </w:rPr>
        <w:t xml:space="preserve"> </w:t>
      </w:r>
      <w:r>
        <w:rPr>
          <w:rFonts w:ascii="Arial" w:cs="Arial" w:eastAsia="Arial" w:hAnsi="Arial"/>
          <w:sz w:val="19"/>
          <w:szCs w:val="19"/>
          <w:color w:val="000000"/>
        </w:rPr>
        <w:t>for any</w:t>
      </w:r>
      <w:r>
        <w:rPr>
          <w:rFonts w:ascii="Arial" w:cs="Arial" w:eastAsia="Arial" w:hAnsi="Arial"/>
          <w:sz w:val="19"/>
          <w:szCs w:val="19"/>
          <w:color w:val="FF0000"/>
        </w:rPr>
        <w:t xml:space="preserv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Interest</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Accrual</w:t>
      </w:r>
      <w:r>
        <w:rPr>
          <w:rFonts w:ascii="Arial" w:cs="Arial" w:eastAsia="Arial" w:hAnsi="Arial"/>
          <w:sz w:val="19"/>
          <w:szCs w:val="19"/>
          <w:color w:val="FF0000"/>
        </w:rPr>
        <w:t xml:space="preserve"> </w:t>
      </w:r>
      <w:r>
        <w:rPr>
          <w:rFonts w:ascii="Arial" w:cs="Arial" w:eastAsia="Arial" w:hAnsi="Arial"/>
          <w:sz w:val="19"/>
          <w:szCs w:val="19"/>
          <w:color w:val="000000"/>
        </w:rPr>
        <w:t>Period (which shall be a period with a term of, at the election</w:t>
      </w:r>
      <w:r>
        <w:rPr>
          <w:rFonts w:ascii="Arial" w:cs="Arial" w:eastAsia="Arial" w:hAnsi="Arial"/>
          <w:sz w:val="19"/>
          <w:szCs w:val="19"/>
          <w:color w:val="FF0000"/>
        </w:rPr>
        <w:t xml:space="preserve"> </w:t>
      </w:r>
      <w:r>
        <w:rPr>
          <w:rFonts w:ascii="Arial" w:cs="Arial" w:eastAsia="Arial" w:hAnsi="Arial"/>
          <w:sz w:val="19"/>
          <w:szCs w:val="19"/>
          <w:color w:val="000000"/>
        </w:rPr>
        <w:t xml:space="preserve">of the Co-Issuers subject to the proviso in the definition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one month</w:t>
      </w:r>
      <w:r>
        <w:rPr>
          <w:rFonts w:ascii="Arial" w:cs="Arial" w:eastAsia="Arial" w:hAnsi="Arial"/>
          <w:sz w:val="19"/>
          <w:szCs w:val="19"/>
          <w:color w:val="FF0000"/>
          <w:strike w:val="1"/>
        </w:rPr>
        <w:t>, two months</w:t>
      </w:r>
      <w:r>
        <w:rPr>
          <w:rFonts w:ascii="Arial" w:cs="Arial" w:eastAsia="Arial" w:hAnsi="Arial"/>
          <w:sz w:val="19"/>
          <w:szCs w:val="19"/>
          <w:color w:val="000000"/>
        </w:rPr>
        <w:t xml:space="preserve">, three months or six months, or such other time period subsequent to such date not to exceed six months as agreed upon by the Master Issuer and the Administrative Agent) while such Advance is outstanding to the extent provided in </w:t>
      </w:r>
      <w:r>
        <w:rPr>
          <w:rFonts w:ascii="Arial" w:cs="Arial" w:eastAsia="Arial" w:hAnsi="Arial"/>
          <w:sz w:val="19"/>
          <w:szCs w:val="19"/>
          <w:u w:val="single" w:color="auto"/>
          <w:color w:val="000000"/>
        </w:rPr>
        <w:t>Section 3.01(a)</w:t>
      </w:r>
      <w:r>
        <w:rPr>
          <w:rFonts w:ascii="Arial" w:cs="Arial" w:eastAsia="Arial" w:hAnsi="Arial"/>
          <w:sz w:val="19"/>
          <w:szCs w:val="19"/>
          <w:color w:val="000000"/>
        </w:rPr>
        <w:t xml:space="preserve"> by giving notice thereof (including notice of the Co-Issuers’ election of the term for the applicable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to the Funding Agents prior to 12:00 p.m. (New York City time) on the date which is three (3)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U.S.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Government Securities</w:t>
      </w:r>
      <w:r>
        <w:rPr>
          <w:rFonts w:ascii="Arial" w:cs="Arial" w:eastAsia="Arial" w:hAnsi="Arial"/>
          <w:sz w:val="19"/>
          <w:szCs w:val="19"/>
          <w:color w:val="0000FF"/>
        </w:rPr>
        <w:t xml:space="preserve"> </w:t>
      </w:r>
      <w:r>
        <w:rPr>
          <w:rFonts w:ascii="Arial" w:cs="Arial" w:eastAsia="Arial" w:hAnsi="Arial"/>
          <w:sz w:val="19"/>
          <w:szCs w:val="19"/>
          <w:color w:val="000000"/>
        </w:rPr>
        <w:t>Business Days prior to the commencement of such</w:t>
      </w:r>
      <w:r>
        <w:rPr>
          <w:rFonts w:ascii="Arial" w:cs="Arial" w:eastAsia="Arial" w:hAnsi="Arial"/>
          <w:sz w:val="19"/>
          <w:szCs w:val="19"/>
          <w:color w:val="0000FF"/>
        </w:rPr>
        <w:t xml:space="preserve">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Interest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Accrual</w:t>
      </w:r>
      <w:r>
        <w:rPr>
          <w:rFonts w:ascii="Arial" w:cs="Arial" w:eastAsia="Arial" w:hAnsi="Arial"/>
          <w:sz w:val="19"/>
          <w:szCs w:val="19"/>
          <w:color w:val="0000FF"/>
        </w:rPr>
        <w:t xml:space="preserve"> </w:t>
      </w:r>
      <w:r>
        <w:rPr>
          <w:rFonts w:ascii="Arial" w:cs="Arial" w:eastAsia="Arial" w:hAnsi="Arial"/>
          <w:sz w:val="19"/>
          <w:szCs w:val="19"/>
          <w:color w:val="000000"/>
        </w:rPr>
        <w:t>Period. If such</w:t>
      </w:r>
      <w:r>
        <w:rPr>
          <w:rFonts w:ascii="Arial" w:cs="Arial" w:eastAsia="Arial" w:hAnsi="Arial"/>
          <w:sz w:val="19"/>
          <w:szCs w:val="19"/>
          <w:color w:val="0000FF"/>
        </w:rPr>
        <w:t xml:space="preserve"> </w:t>
      </w:r>
      <w:r>
        <w:rPr>
          <w:rFonts w:ascii="Arial" w:cs="Arial" w:eastAsia="Arial" w:hAnsi="Arial"/>
          <w:sz w:val="19"/>
          <w:szCs w:val="19"/>
          <w:color w:val="000000"/>
        </w:rPr>
        <w:t xml:space="preserve">notice is not given in a timely manner, such Advance shall bear interest at the Base Rate. Each such conversion to or continuation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Advances for a new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in accordance with this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3.01(b)</w:t>
      </w:r>
      <w:r>
        <w:rPr>
          <w:rFonts w:ascii="Arial" w:cs="Arial" w:eastAsia="Arial" w:hAnsi="Arial"/>
          <w:sz w:val="19"/>
          <w:szCs w:val="19"/>
          <w:color w:val="000000"/>
        </w:rPr>
        <w:t xml:space="preserve"> shall be in an aggregate principal amount of $1,000,000 or an integral multiple of $500,000 in excess thereof.</w:t>
      </w:r>
    </w:p>
    <w:p>
      <w:pPr>
        <w:spacing w:after="0" w:line="155" w:lineRule="exact"/>
        <w:rPr>
          <w:rFonts w:ascii="Arial" w:cs="Arial" w:eastAsia="Arial" w:hAnsi="Arial"/>
          <w:sz w:val="19"/>
          <w:szCs w:val="19"/>
          <w:color w:val="auto"/>
        </w:rPr>
      </w:pPr>
    </w:p>
    <w:p>
      <w:pPr>
        <w:jc w:val="both"/>
        <w:ind w:firstLine="1505"/>
        <w:spacing w:after="0" w:line="246" w:lineRule="auto"/>
        <w:tabs>
          <w:tab w:leader="none" w:pos="2036" w:val="left"/>
        </w:tabs>
        <w:numPr>
          <w:ilvl w:val="0"/>
          <w:numId w:val="52"/>
        </w:numPr>
        <w:rPr>
          <w:rFonts w:ascii="Arial" w:cs="Arial" w:eastAsia="Arial" w:hAnsi="Arial"/>
          <w:sz w:val="21"/>
          <w:szCs w:val="21"/>
          <w:color w:val="auto"/>
        </w:rPr>
      </w:pPr>
      <w:r>
        <w:rPr>
          <w:rFonts w:ascii="Arial" w:cs="Arial" w:eastAsia="Arial" w:hAnsi="Arial"/>
          <w:sz w:val="21"/>
          <w:szCs w:val="21"/>
          <w:color w:val="auto"/>
        </w:rPr>
        <w:t>Any outstanding Swingline Loans and Unreimbursed L/C Drawings shall bear interest at the Base Rate. By (x) 11:00 a.m. (New York City time) on the second Business Day preceding each Accounting Date, the Swingline Lender shall notify the Administrative Agent in reasonable detail of the amount of interest accrued on any Swingline Loans during the Interest Period ending on such date and the L/C Provider shall notify the Administrative Agent in reasonable detail of the amount of interest accrued on any Unreimbursed L/C Drawings during such Interest Period and the amount of fees accrued on any Undrawn L/C Face Amounts during such Interest Period and (y) 3:00 p.m. (New York City time) on such date, the Administrative Agent shall notify the Servicer, the Trustee, the Master Issuer (on behalf of the Co-Issuers) and the Manager of the amount of such accrued interest and fees as set forth in such notices.</w:t>
      </w:r>
    </w:p>
    <w:p>
      <w:pPr>
        <w:spacing w:after="0" w:line="179" w:lineRule="exact"/>
        <w:rPr>
          <w:rFonts w:ascii="Arial" w:cs="Arial" w:eastAsia="Arial" w:hAnsi="Arial"/>
          <w:sz w:val="21"/>
          <w:szCs w:val="21"/>
          <w:color w:val="auto"/>
        </w:rPr>
      </w:pPr>
    </w:p>
    <w:p>
      <w:pPr>
        <w:ind w:firstLine="1505"/>
        <w:spacing w:after="0" w:line="250" w:lineRule="auto"/>
        <w:tabs>
          <w:tab w:leader="none" w:pos="2036"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All accrued interest pursuant to </w:t>
      </w:r>
      <w:r>
        <w:rPr>
          <w:rFonts w:ascii="Arial" w:cs="Arial" w:eastAsia="Arial" w:hAnsi="Arial"/>
          <w:sz w:val="22"/>
          <w:szCs w:val="22"/>
          <w:u w:val="single" w:color="auto"/>
          <w:color w:val="auto"/>
        </w:rPr>
        <w:t>Sections 3.01(a)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due and payable in arrears on each Quarterly Payment Date in accordance with the applicable provisions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3" w:name="page84"/>
    <w:bookmarkEnd w:id="83"/>
    <w:p>
      <w:pPr>
        <w:jc w:val="both"/>
        <w:ind w:firstLine="1505"/>
        <w:spacing w:after="0" w:line="252" w:lineRule="auto"/>
        <w:tabs>
          <w:tab w:leader="none" w:pos="2036"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 addition, under the circumstances set forth in Section 3.04 of the Series 2021-1 Supplement, the Co-Issuers shall jointly and severally pay quarterly interest in respect of the Series 2021-1 Class A-1 Outstanding Principal Amount in an amount equal to the Series 2021-1 Class A-1 Quarterly Post-Renewal Date Contingent Interest payable pursuant to such Section 3.4, subject to and in accordance with the Priority of Payments.</w:t>
      </w:r>
    </w:p>
    <w:p>
      <w:pPr>
        <w:spacing w:after="0" w:line="173" w:lineRule="exact"/>
        <w:rPr>
          <w:rFonts w:ascii="Arial" w:cs="Arial" w:eastAsia="Arial" w:hAnsi="Arial"/>
          <w:sz w:val="21"/>
          <w:szCs w:val="21"/>
          <w:color w:val="auto"/>
        </w:rPr>
      </w:pPr>
    </w:p>
    <w:p>
      <w:pPr>
        <w:jc w:val="both"/>
        <w:ind w:firstLine="1505"/>
        <w:spacing w:after="0" w:line="274" w:lineRule="auto"/>
        <w:tabs>
          <w:tab w:leader="none" w:pos="2036"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All computations of interest at the CP Rate and </w:t>
      </w:r>
      <w:r>
        <w:rPr>
          <w:rFonts w:ascii="Arial" w:cs="Arial" w:eastAsia="Arial" w:hAnsi="Arial"/>
          <w:sz w:val="19"/>
          <w:szCs w:val="19"/>
          <w:color w:val="FF0000"/>
          <w:strike w:val="1"/>
        </w:rPr>
        <w:t>the Eurodollar Rate</w:t>
      </w:r>
      <w:r>
        <w:rPr>
          <w:rFonts w:ascii="Arial" w:cs="Arial" w:eastAsia="Arial" w:hAnsi="Arial"/>
          <w:sz w:val="19"/>
          <w:szCs w:val="19"/>
          <w:u w:val="single" w:color="auto"/>
          <w:color w:val="0000FF"/>
        </w:rPr>
        <w:t>Adjusted Term SOFR</w:t>
      </w:r>
      <w:r>
        <w:rPr>
          <w:rFonts w:ascii="Arial" w:cs="Arial" w:eastAsia="Arial" w:hAnsi="Arial"/>
          <w:sz w:val="19"/>
          <w:szCs w:val="19"/>
          <w:color w:val="auto"/>
        </w:rPr>
        <w:t>, all computations of Series 2021-1 Class A-1 Quarterly Post-Renewal Date Contingent Interest (other than any accruing on any Base Rate Advances) and all computations of fees shall be made on the basis of a year of 360 days and the actual number of days elapsed. All computations of interest at the Base Rate and all computations of Series 2021-1 Class A-1 Quarterly Post-Renewal Date Contingent Interest accruing on any Base Rate Advances shall be made on the basis of a 365- (or 366-, as applicable) day year and actual number of days elapsed. Whenever any payment of interest, principal or fees hereunder shall be due on a day other than a Business Day, such payment shall be made on the next succeeding Business Day, unless specified otherwise in the Indenture, and such extension of time shall be included in the computation of the amount of interest owed. Interest shall accrue on each Advance, Swingline Loan and Unreimbursed L/C Drawing from and including the day on which it is made to but excluding the date of repayment thereof.</w:t>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3.02Fees.</w:t>
      </w:r>
    </w:p>
    <w:p>
      <w:pPr>
        <w:spacing w:after="0" w:line="206" w:lineRule="exact"/>
        <w:rPr>
          <w:sz w:val="20"/>
          <w:szCs w:val="20"/>
          <w:color w:val="auto"/>
        </w:rPr>
      </w:pPr>
    </w:p>
    <w:p>
      <w:pPr>
        <w:jc w:val="both"/>
        <w:ind w:firstLine="1505"/>
        <w:spacing w:after="0" w:line="297" w:lineRule="auto"/>
        <w:tabs>
          <w:tab w:leader="none" w:pos="203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Co-Issuers jointly and severally shall pay to the Administrative Agent for its own account the Administrative Agent Fees (as defined in the Series 2021-1 Class A-1 VFN Fee Letter, collectively,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in accordance with the terms of the Series 2021-1 Class A-1 VFN Fee Letter and subject to the Priority of Payments.</w:t>
      </w:r>
    </w:p>
    <w:p>
      <w:pPr>
        <w:spacing w:after="0" w:line="133" w:lineRule="exact"/>
        <w:rPr>
          <w:rFonts w:ascii="Arial" w:cs="Arial" w:eastAsia="Arial" w:hAnsi="Arial"/>
          <w:sz w:val="19"/>
          <w:szCs w:val="19"/>
          <w:color w:val="auto"/>
        </w:rPr>
      </w:pPr>
    </w:p>
    <w:p>
      <w:pPr>
        <w:jc w:val="both"/>
        <w:ind w:firstLine="1505"/>
        <w:spacing w:after="0" w:line="236" w:lineRule="auto"/>
        <w:tabs>
          <w:tab w:leader="none" w:pos="203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On each Quarterly Payment Date on or prior to the Commitment Termination Date, the Co-Issuers jointly and severally shall, in accordance with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pay to each Funding Agent, for the account of the related Committed Note Purchaser(s), the Undrawn Commitment Fees (as defined in the Series 2021-1 Class A-1 VFN Fee Letter, the “</w:t>
      </w:r>
      <w:r>
        <w:rPr>
          <w:rFonts w:ascii="Arial" w:cs="Arial" w:eastAsia="Arial" w:hAnsi="Arial"/>
          <w:sz w:val="22"/>
          <w:szCs w:val="22"/>
          <w:u w:val="single" w:color="auto"/>
          <w:color w:val="auto"/>
        </w:rPr>
        <w:t>Undrawn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 Fees</w:t>
      </w:r>
      <w:r>
        <w:rPr>
          <w:rFonts w:ascii="Arial" w:cs="Arial" w:eastAsia="Arial" w:hAnsi="Arial"/>
          <w:sz w:val="22"/>
          <w:szCs w:val="22"/>
          <w:color w:val="auto"/>
        </w:rPr>
        <w:t>”) in accordance with the terms of the Series 2021-1 Class A-1 VFN Fee Letter and subject to the Priority of Payments.</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203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The Co-Issuers jointly and severally shall pay (i) the fees required pursuant to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in respect of Letters of Credit and (ii) any other fees set forth in the Series 2021-1 Class A-1 VFN Fee Letter (including the Upfront Commitment Fee and any Extension Fees (each, as defined in the Series 2021-1 Class A-1 VFN Fee Letter)), subject to the Priority of Payments.</w:t>
      </w:r>
    </w:p>
    <w:p>
      <w:pPr>
        <w:spacing w:after="0" w:line="184" w:lineRule="exact"/>
        <w:rPr>
          <w:rFonts w:ascii="Arial" w:cs="Arial" w:eastAsia="Arial" w:hAnsi="Arial"/>
          <w:sz w:val="22"/>
          <w:szCs w:val="22"/>
          <w:color w:val="auto"/>
        </w:rPr>
      </w:pPr>
    </w:p>
    <w:p>
      <w:pPr>
        <w:jc w:val="both"/>
        <w:ind w:firstLine="1505"/>
        <w:spacing w:after="0"/>
        <w:tabs>
          <w:tab w:leader="none" w:pos="203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All fees payable pursuant to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shall be calculated in accordance with </w:t>
      </w:r>
      <w:r>
        <w:rPr>
          <w:rFonts w:ascii="Arial" w:cs="Arial" w:eastAsia="Arial" w:hAnsi="Arial"/>
          <w:sz w:val="22"/>
          <w:szCs w:val="22"/>
          <w:u w:val="single" w:color="auto"/>
          <w:color w:val="auto"/>
        </w:rPr>
        <w:t>Section 3.01(f)</w:t>
      </w:r>
      <w:r>
        <w:rPr>
          <w:rFonts w:ascii="Arial" w:cs="Arial" w:eastAsia="Arial" w:hAnsi="Arial"/>
          <w:sz w:val="22"/>
          <w:szCs w:val="22"/>
          <w:color w:val="auto"/>
        </w:rPr>
        <w:t xml:space="preserve"> and paid on the date due in accordance with the applicable provisions of the Indenture. Once paid, all fees shall be nonrefundable under all circumstances other than manifest error.</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3.03</w:t>
      </w:r>
      <w:r>
        <w:rPr>
          <w:rFonts w:ascii="Arial" w:cs="Arial" w:eastAsia="Arial" w:hAnsi="Arial"/>
          <w:sz w:val="22"/>
          <w:szCs w:val="22"/>
          <w:u w:val="single" w:color="auto"/>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w:t>
      </w:r>
      <w:r>
        <w:rPr>
          <w:rFonts w:ascii="Arial" w:cs="Arial" w:eastAsia="Arial" w:hAnsi="Arial"/>
          <w:sz w:val="22"/>
          <w:szCs w:val="22"/>
          <w:u w:val="single" w:color="auto"/>
          <w:color w:val="auto"/>
        </w:rPr>
        <w:t>Lending Unlawful</w:t>
      </w:r>
      <w:r>
        <w:rPr>
          <w:rFonts w:ascii="Arial" w:cs="Arial" w:eastAsia="Arial" w:hAnsi="Arial"/>
          <w:sz w:val="22"/>
          <w:szCs w:val="22"/>
          <w:color w:val="auto"/>
        </w:rPr>
        <w:t xml:space="preserve">. If any Investor or Program Support Provider shall determine that any Change in Law makes it unlawful, or any Official Body asserts that it is unlawful, for any such Person to fund or maintain any Advance as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4" w:name="page85"/>
    <w:bookmarkEnd w:id="84"/>
    <w:p>
      <w:pPr>
        <w:jc w:val="both"/>
        <w:ind w:firstLine="68"/>
        <w:spacing w:after="0" w:line="282" w:lineRule="auto"/>
        <w:rPr>
          <w:sz w:val="20"/>
          <w:szCs w:val="20"/>
          <w:color w:val="auto"/>
        </w:rPr>
      </w:pPr>
      <w:r>
        <w:rPr>
          <w:rFonts w:ascii="Arial" w:cs="Arial" w:eastAsia="Arial" w:hAnsi="Arial"/>
          <w:sz w:val="19"/>
          <w:szCs w:val="19"/>
          <w:color w:val="auto"/>
        </w:rPr>
        <w:t xml:space="preserve">Advance, the obligation of such Person to fund or maintain any such Advance as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Advance shall, upon such determination, forthwith be suspended until such Person shall notify the Administrative Agent, the related Funding Agent, the Manager and the Co-Issuers that the circumstances causing such suspension no longer exist, and all then-outstanding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FF0000"/>
        </w:rPr>
        <w:t xml:space="preserve"> </w:t>
      </w:r>
      <w:r>
        <w:rPr>
          <w:rFonts w:ascii="Arial" w:cs="Arial" w:eastAsia="Arial" w:hAnsi="Arial"/>
          <w:sz w:val="19"/>
          <w:szCs w:val="19"/>
          <w:color w:val="000000"/>
        </w:rPr>
        <w:t xml:space="preserve">Advances of such Person shall be automatically converted into Base Rate Advances at the end of the then-current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with respect thereto or sooner, if required by such law or assertion.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3.04</w:t>
      </w:r>
      <w:r>
        <w:rPr>
          <w:rFonts w:ascii="Arial" w:cs="Arial" w:eastAsia="Arial" w:hAnsi="Arial"/>
          <w:sz w:val="22"/>
          <w:szCs w:val="22"/>
          <w:u w:val="single" w:color="auto"/>
          <w:color w:val="FF0000"/>
          <w:strike w:val="1"/>
        </w:rPr>
        <w:t>Deposits Unavailable</w:t>
      </w:r>
      <w:r>
        <w:rPr>
          <w:rFonts w:ascii="Arial" w:cs="Arial" w:eastAsia="Arial" w:hAnsi="Arial"/>
          <w:sz w:val="22"/>
          <w:szCs w:val="22"/>
          <w:u w:val="single" w:color="auto"/>
          <w:color w:val="0000FF"/>
        </w:rPr>
        <w:t>Benchmark Replacement.</w:t>
      </w:r>
    </w:p>
    <w:p>
      <w:pPr>
        <w:spacing w:after="0" w:line="206"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2"/>
          <w:szCs w:val="22"/>
          <w:color w:val="FF0000"/>
          <w:strike w:val="1"/>
        </w:rPr>
      </w:pPr>
      <w:r>
        <w:rPr>
          <w:rFonts w:ascii="Arial" w:cs="Arial" w:eastAsia="Arial" w:hAnsi="Arial"/>
          <w:sz w:val="22"/>
          <w:szCs w:val="22"/>
          <w:color w:val="FF0000"/>
          <w:strike w:val="1"/>
        </w:rPr>
        <w:t>If the Administrative Agent shall have determined that:</w:t>
      </w:r>
    </w:p>
    <w:p>
      <w:pPr>
        <w:spacing w:after="0" w:line="206" w:lineRule="exact"/>
        <w:rPr>
          <w:rFonts w:ascii="Arial" w:cs="Arial" w:eastAsia="Arial" w:hAnsi="Arial"/>
          <w:sz w:val="22"/>
          <w:szCs w:val="22"/>
          <w:color w:val="FF0000"/>
          <w:strike w:val="1"/>
        </w:rPr>
      </w:pPr>
    </w:p>
    <w:p>
      <w:pPr>
        <w:ind w:firstLine="1505"/>
        <w:spacing w:after="0" w:line="250" w:lineRule="auto"/>
        <w:tabs>
          <w:tab w:leader="none" w:pos="1814" w:val="left"/>
        </w:tabs>
        <w:numPr>
          <w:ilvl w:val="1"/>
          <w:numId w:val="55"/>
        </w:numPr>
        <w:rPr>
          <w:rFonts w:ascii="Arial" w:cs="Arial" w:eastAsia="Arial" w:hAnsi="Arial"/>
          <w:sz w:val="22"/>
          <w:szCs w:val="22"/>
          <w:color w:val="FF0000"/>
          <w:strike w:val="1"/>
        </w:rPr>
      </w:pPr>
      <w:r>
        <w:rPr>
          <w:rFonts w:ascii="Arial" w:cs="Arial" w:eastAsia="Arial" w:hAnsi="Arial"/>
          <w:sz w:val="22"/>
          <w:szCs w:val="22"/>
          <w:color w:val="FF0000"/>
          <w:strike w:val="1"/>
        </w:rPr>
        <w:t>by reason of circumstances affecting the relevant market, adequate and reasonable means do not exist for ascertaining the interest rate applicable hereunder to the Eurodollar Advances; or</w:t>
      </w:r>
    </w:p>
    <w:p>
      <w:pPr>
        <w:spacing w:after="0" w:line="174" w:lineRule="exact"/>
        <w:rPr>
          <w:rFonts w:ascii="Arial" w:cs="Arial" w:eastAsia="Arial" w:hAnsi="Arial"/>
          <w:sz w:val="22"/>
          <w:szCs w:val="22"/>
          <w:color w:val="FF0000"/>
          <w:strike w:val="1"/>
        </w:rPr>
      </w:pPr>
    </w:p>
    <w:p>
      <w:pPr>
        <w:jc w:val="both"/>
        <w:ind w:firstLine="1505"/>
        <w:spacing w:after="0" w:line="273" w:lineRule="auto"/>
        <w:tabs>
          <w:tab w:leader="none" w:pos="1818" w:val="left"/>
        </w:tabs>
        <w:numPr>
          <w:ilvl w:val="1"/>
          <w:numId w:val="55"/>
        </w:numPr>
        <w:rPr>
          <w:rFonts w:ascii="Arial" w:cs="Arial" w:eastAsia="Arial" w:hAnsi="Arial"/>
          <w:sz w:val="19"/>
          <w:szCs w:val="19"/>
          <w:color w:val="FF0000"/>
          <w:strike w:val="1"/>
        </w:rPr>
      </w:pPr>
      <w:r>
        <w:rPr>
          <w:rFonts w:ascii="Arial" w:cs="Arial" w:eastAsia="Arial" w:hAnsi="Arial"/>
          <w:sz w:val="19"/>
          <w:szCs w:val="19"/>
          <w:color w:val="FF0000"/>
          <w:strike w:val="1"/>
        </w:rPr>
        <w:t xml:space="preserve">with respect to any interest rate otherwise applicable hereunder to any Eurodollar Advances the Eurodollar Interest Period for which has not then commenced, Investor Groups holding in the aggregate more than 50% of the Eurodollar Advances have determined that such interest rate will not adequately reflect the cost to them of funding, agreeing to fund or maintaining such Eurodollar Advances for such Eurodollar Interest Period, then, upon notice from the Administrative Agent (which, in the case of </w:t>
      </w:r>
      <w:r>
        <w:rPr>
          <w:rFonts w:ascii="Arial" w:cs="Arial" w:eastAsia="Arial" w:hAnsi="Arial"/>
          <w:sz w:val="19"/>
          <w:szCs w:val="19"/>
          <w:u w:val="single" w:color="auto"/>
          <w:color w:val="FF0000"/>
          <w:strike w:val="1"/>
        </w:rPr>
        <w:t>clause (b)</w:t>
      </w:r>
      <w:r>
        <w:rPr>
          <w:rFonts w:ascii="Arial" w:cs="Arial" w:eastAsia="Arial" w:hAnsi="Arial"/>
          <w:sz w:val="19"/>
          <w:szCs w:val="19"/>
          <w:color w:val="FF0000"/>
          <w:strike w:val="1"/>
        </w:rPr>
        <w:t xml:space="preserve"> above, the Administrative Agent shall give upon obtaining actual knowledge that such percentage of the Investor Groups have so determined) to the Funding Agents, the Manager and the Master Issuer (on behalf of the Co-Issuers), the obligations of the Investors to fund or maintain any Advance as a Eurodollar Advance after the end of the then-current Eurodollar Interest Period, if any, with respect thereto shall forthwith be suspended and on the date such notice is given such Advances will convert to Base Rate Advances until the Administrative Agent has notified the Funding Agents and the Master Issuer (on behalf of the Co-Issuers) that the circumstances causing such suspension no longer exist.</w:t>
      </w:r>
    </w:p>
    <w:p>
      <w:pPr>
        <w:spacing w:after="0" w:line="161" w:lineRule="exact"/>
        <w:rPr>
          <w:sz w:val="20"/>
          <w:szCs w:val="20"/>
          <w:color w:val="auto"/>
        </w:rPr>
      </w:pPr>
    </w:p>
    <w:p>
      <w:pPr>
        <w:jc w:val="both"/>
        <w:ind w:firstLine="1505"/>
        <w:spacing w:after="0" w:line="272" w:lineRule="auto"/>
        <w:tabs>
          <w:tab w:leader="none" w:pos="2036" w:val="left"/>
        </w:tabs>
        <w:numPr>
          <w:ilvl w:val="0"/>
          <w:numId w:val="56"/>
        </w:numPr>
        <w:rPr>
          <w:rFonts w:ascii="Arial" w:cs="Arial" w:eastAsia="Arial" w:hAnsi="Arial"/>
          <w:sz w:val="19"/>
          <w:szCs w:val="19"/>
          <w:color w:val="auto"/>
        </w:rPr>
      </w:pPr>
      <w:r>
        <w:rPr>
          <w:rFonts w:ascii="Arial" w:cs="Arial" w:eastAsia="Arial" w:hAnsi="Arial"/>
          <w:sz w:val="19"/>
          <w:szCs w:val="19"/>
          <w:color w:val="FF0000"/>
          <w:strike w:val="1"/>
        </w:rPr>
        <w:t>(c) (i)</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to the contrary herein or in any other Related Document,</w:t>
      </w:r>
      <w:r>
        <w:rPr>
          <w:rFonts w:ascii="Arial" w:cs="Arial" w:eastAsia="Arial" w:hAnsi="Arial"/>
          <w:sz w:val="19"/>
          <w:szCs w:val="19"/>
          <w:color w:val="FF0000"/>
        </w:rPr>
        <w:t xml:space="preserve"> </w:t>
      </w:r>
      <w:r>
        <w:rPr>
          <w:rFonts w:ascii="Arial" w:cs="Arial" w:eastAsia="Arial" w:hAnsi="Arial"/>
          <w:sz w:val="19"/>
          <w:szCs w:val="19"/>
          <w:color w:val="FF0000"/>
          <w:strike w:val="1"/>
        </w:rPr>
        <w:t>if</w:t>
      </w:r>
      <w:r>
        <w:rPr>
          <w:rFonts w:ascii="Arial" w:cs="Arial" w:eastAsia="Arial" w:hAnsi="Arial"/>
          <w:sz w:val="19"/>
          <w:szCs w:val="19"/>
          <w:u w:val="single" w:color="auto"/>
          <w:color w:val="0000FF"/>
        </w:rPr>
        <w:t>upon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occurrence of</w:t>
      </w:r>
      <w:r>
        <w:rPr>
          <w:rFonts w:ascii="Arial" w:cs="Arial" w:eastAsia="Arial" w:hAnsi="Arial"/>
          <w:sz w:val="19"/>
          <w:szCs w:val="19"/>
          <w:color w:val="0000FF"/>
        </w:rPr>
        <w:t xml:space="preserve"> </w:t>
      </w:r>
      <w:r>
        <w:rPr>
          <w:rFonts w:ascii="Arial" w:cs="Arial" w:eastAsia="Arial" w:hAnsi="Arial"/>
          <w:sz w:val="19"/>
          <w:szCs w:val="19"/>
          <w:color w:val="000000"/>
        </w:rPr>
        <w:t>a Benchmark Transition Event</w:t>
      </w:r>
      <w:r>
        <w:rPr>
          <w:rFonts w:ascii="Arial" w:cs="Arial" w:eastAsia="Arial" w:hAnsi="Arial"/>
          <w:sz w:val="19"/>
          <w:szCs w:val="19"/>
          <w:color w:val="0000FF"/>
        </w:rPr>
        <w:t xml:space="preserve"> </w:t>
      </w:r>
      <w:r>
        <w:rPr>
          <w:rFonts w:ascii="Arial" w:cs="Arial" w:eastAsia="Arial" w:hAnsi="Arial"/>
          <w:sz w:val="19"/>
          <w:szCs w:val="19"/>
          <w:color w:val="FF0000"/>
        </w:rPr>
        <w:t>or an Early Opt-in Election, as applicable, and its related Benchmark Replacement</w:t>
      </w:r>
      <w:r>
        <w:rPr>
          <w:rFonts w:ascii="Arial" w:cs="Arial" w:eastAsia="Arial" w:hAnsi="Arial"/>
          <w:sz w:val="19"/>
          <w:szCs w:val="19"/>
          <w:color w:val="0000FF"/>
        </w:rPr>
        <w:t xml:space="preserve"> </w:t>
      </w:r>
      <w:r>
        <w:rPr>
          <w:rFonts w:ascii="Arial" w:cs="Arial" w:eastAsia="Arial" w:hAnsi="Arial"/>
          <w:sz w:val="19"/>
          <w:szCs w:val="19"/>
          <w:color w:val="FF0000"/>
          <w:strike w:val="1"/>
        </w:rPr>
        <w:t>Date have occurred prior to the Reference Time in respect of any setting of</w:t>
      </w:r>
      <w:r>
        <w:rPr>
          <w:rFonts w:ascii="Arial" w:cs="Arial" w:eastAsia="Arial" w:hAnsi="Arial"/>
          <w:sz w:val="19"/>
          <w:szCs w:val="19"/>
          <w:u w:val="single" w:color="auto"/>
          <w:color w:val="0000FF"/>
          <w:strike w:val="1"/>
        </w:rPr>
        <w:t>, the Administrative Agent and the Co-Issuers may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amend this Agreement to replace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the then-current Benchmark</w:t>
      </w:r>
      <w:r>
        <w:rPr>
          <w:rFonts w:ascii="Arial" w:cs="Arial" w:eastAsia="Arial" w:hAnsi="Arial"/>
          <w:sz w:val="19"/>
          <w:szCs w:val="19"/>
          <w:color w:val="FF0000"/>
          <w:strike w:val="1"/>
        </w:rPr>
        <w:t>, then (x) if</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with</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a Benchmark Replacement</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is determined in</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accordance with clause (1) or (2) of the definition of “Benchmark Replacement” for such Benchmark Replacement Date, such Benchmark Replacement will replace such Benchmark for all purposes hereunder and under any Related Document in respect of such Benchmark setting and subsequent Benchmark settings without any amendment to, or further action or consent of any other party to, this Agreement or any other Related Document and (y) if a Benchmark Replacement is determined in accordance with clause (3) of the definition of “Benchmark Replacement” for such Benchmark Replacement Date, such Benchmark Replacement will replace such Benchmark for all purposes hereunder and under any Related Document in respect of any Benchmark setting at or after</w:t>
      </w:r>
      <w:r>
        <w:rPr>
          <w:rFonts w:ascii="Arial" w:cs="Arial" w:eastAsia="Arial" w:hAnsi="Arial"/>
          <w:sz w:val="19"/>
          <w:szCs w:val="19"/>
          <w:u w:val="single" w:color="auto"/>
          <w:color w:val="0000FF"/>
          <w:strike w:val="1"/>
        </w:rPr>
        <w:t>. Any such amendment with respect to a Benchmark Transition Event will become effective at</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5:00 p.m. (New York City</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time) on the fifth (5th) Business Day after the </w:t>
      </w:r>
      <w:r>
        <w:rPr>
          <w:rFonts w:ascii="Arial" w:cs="Arial" w:eastAsia="Arial" w:hAnsi="Arial"/>
          <w:sz w:val="19"/>
          <w:szCs w:val="19"/>
          <w:color w:val="FF0000"/>
          <w:strike w:val="1"/>
        </w:rPr>
        <w:t>date notice of such Benchmark Replacement is provided to the Investors without</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any amendment to, or further action or consent of any other party to, this Agreement or any other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-1798320</wp:posOffset>
            </wp:positionV>
            <wp:extent cx="46767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76775"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-1489710</wp:posOffset>
            </wp:positionV>
            <wp:extent cx="10280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9"/>
          <w:szCs w:val="19"/>
          <w:color w:val="FF0000"/>
          <w:strike w:val="1"/>
        </w:rPr>
        <w:t>Document</w:t>
      </w:r>
      <w:r>
        <w:rPr>
          <w:rFonts w:ascii="Arial" w:cs="Arial" w:eastAsia="Arial" w:hAnsi="Arial"/>
          <w:sz w:val="19"/>
          <w:szCs w:val="19"/>
          <w:u w:val="single" w:color="auto"/>
          <w:color w:val="0000FF"/>
        </w:rPr>
        <w:t>Administrative Agent has posted such proposed amendment to all affected Investors and the Co-Issuer</w:t>
      </w:r>
      <w:r>
        <w:rPr>
          <w:rFonts w:ascii="Arial" w:cs="Arial" w:eastAsia="Arial" w:hAnsi="Arial"/>
          <w:sz w:val="19"/>
          <w:szCs w:val="19"/>
          <w:color w:val="FF0000"/>
        </w:rPr>
        <w:t xml:space="preserve"> </w:t>
      </w:r>
      <w:r>
        <w:rPr>
          <w:rFonts w:ascii="Arial" w:cs="Arial" w:eastAsia="Arial" w:hAnsi="Arial"/>
          <w:sz w:val="19"/>
          <w:szCs w:val="19"/>
          <w:color w:val="000000"/>
        </w:rPr>
        <w:t>so long as the</w:t>
      </w:r>
      <w:r>
        <w:rPr>
          <w:rFonts w:ascii="Arial" w:cs="Arial" w:eastAsia="Arial" w:hAnsi="Arial"/>
          <w:sz w:val="19"/>
          <w:szCs w:val="19"/>
          <w:color w:val="FF0000"/>
        </w:rPr>
        <w:t xml:space="preserve"> </w:t>
      </w:r>
      <w:r>
        <w:rPr>
          <w:rFonts w:ascii="Arial" w:cs="Arial" w:eastAsia="Arial" w:hAnsi="Arial"/>
          <w:sz w:val="19"/>
          <w:szCs w:val="19"/>
          <w:color w:val="000000"/>
        </w:rPr>
        <w:t xml:space="preserve">Administrative Agent has not received, by such time, written notice of objection to such </w:t>
      </w:r>
      <w:r>
        <w:rPr>
          <w:rFonts w:ascii="Arial" w:cs="Arial" w:eastAsia="Arial" w:hAnsi="Arial"/>
          <w:sz w:val="19"/>
          <w:szCs w:val="19"/>
          <w:color w:val="FF0000"/>
          <w:strike w:val="1"/>
        </w:rPr>
        <w:t>Benchmark Replacement from Investors</w:t>
      </w:r>
      <w:r>
        <w:rPr>
          <w:rFonts w:ascii="Arial" w:cs="Arial" w:eastAsia="Arial" w:hAnsi="Arial"/>
          <w:sz w:val="19"/>
          <w:szCs w:val="19"/>
          <w:color w:val="000000"/>
        </w:rPr>
        <w:t xml:space="preserve"> </w:t>
      </w:r>
      <w:r>
        <w:rPr>
          <w:rFonts w:ascii="Arial" w:cs="Arial" w:eastAsia="Arial" w:hAnsi="Arial"/>
          <w:sz w:val="19"/>
          <w:szCs w:val="19"/>
          <w:color w:val="FF0000"/>
          <w:strike w:val="1"/>
        </w:rPr>
        <w:t>comprising</w:t>
      </w:r>
      <w:r>
        <w:rPr>
          <w:rFonts w:ascii="Arial" w:cs="Arial" w:eastAsia="Arial" w:hAnsi="Arial"/>
          <w:sz w:val="19"/>
          <w:szCs w:val="19"/>
          <w:u w:val="single" w:color="auto"/>
          <w:color w:val="0000FF"/>
        </w:rPr>
        <w:t>amendment from</w:t>
      </w:r>
      <w:r>
        <w:rPr>
          <w:rFonts w:ascii="Arial" w:cs="Arial" w:eastAsia="Arial" w:hAnsi="Arial"/>
          <w:sz w:val="19"/>
          <w:szCs w:val="19"/>
          <w:color w:val="FF0000"/>
        </w:rPr>
        <w:t xml:space="preserve"> </w:t>
      </w:r>
      <w:r>
        <w:rPr>
          <w:rFonts w:ascii="Arial" w:cs="Arial" w:eastAsia="Arial" w:hAnsi="Arial"/>
          <w:sz w:val="19"/>
          <w:szCs w:val="19"/>
          <w:color w:val="000000"/>
        </w:rPr>
        <w:t>the Required Investor Groups</w:t>
      </w:r>
      <w:r>
        <w:rPr>
          <w:rFonts w:ascii="Arial" w:cs="Arial" w:eastAsia="Arial" w:hAnsi="Arial"/>
          <w:sz w:val="19"/>
          <w:szCs w:val="19"/>
          <w:color w:val="FF0000"/>
        </w:rPr>
        <w:t xml:space="preserve"> </w:t>
      </w:r>
      <w:r>
        <w:rPr>
          <w:rFonts w:ascii="Arial" w:cs="Arial" w:eastAsia="Arial" w:hAnsi="Arial"/>
          <w:sz w:val="19"/>
          <w:szCs w:val="19"/>
          <w:color w:val="FF0000"/>
          <w:strike w:val="1"/>
        </w:rPr>
        <w:t>. The Administrative Agent may (in its sole discretion) determine that</w:t>
      </w:r>
      <w:r>
        <w:rPr>
          <w:rFonts w:ascii="Arial" w:cs="Arial" w:eastAsia="Arial" w:hAnsi="Arial"/>
          <w:sz w:val="19"/>
          <w:szCs w:val="19"/>
          <w:color w:val="FF0000"/>
        </w:rPr>
        <w:t xml:space="preserve"> </w:t>
      </w:r>
      <w:r>
        <w:rPr>
          <w:rFonts w:ascii="Arial" w:cs="Arial" w:eastAsia="Arial" w:hAnsi="Arial"/>
          <w:sz w:val="19"/>
          <w:szCs w:val="19"/>
          <w:color w:val="FF0000"/>
          <w:strike w:val="1"/>
        </w:rPr>
        <w:t xml:space="preserve">a Benchmark Replacement is not administratively feasible and shall not be applied and the next alternative shall automatically be deemed to apply by providing notice to the Co-Issuers and Investors at least five (5) Business Days prior to the corresponding Benchmark Replacement Date. </w:t>
      </w:r>
      <w:r>
        <w:rPr>
          <w:rFonts w:ascii="Arial" w:cs="Arial" w:eastAsia="Arial" w:hAnsi="Arial"/>
          <w:sz w:val="19"/>
          <w:szCs w:val="19"/>
          <w:u w:val="single" w:color="auto"/>
          <w:color w:val="0000FF"/>
          <w:strike w:val="1"/>
        </w:rPr>
        <w:t>(provided that the Commitment of any Defaulting Investor shall be disregarded in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determination of whether any threshold percentage of Commitments has been met).</w:t>
      </w:r>
    </w:p>
    <w:p>
      <w:pPr>
        <w:spacing w:after="0" w:line="152" w:lineRule="exact"/>
        <w:rPr>
          <w:sz w:val="20"/>
          <w:szCs w:val="20"/>
          <w:color w:val="auto"/>
        </w:rPr>
      </w:pPr>
    </w:p>
    <w:p>
      <w:pPr>
        <w:ind w:left="2260"/>
        <w:spacing w:after="0"/>
        <w:rPr>
          <w:sz w:val="20"/>
          <w:szCs w:val="20"/>
          <w:color w:val="auto"/>
        </w:rPr>
      </w:pPr>
      <w:r>
        <w:rPr>
          <w:rFonts w:ascii="Arial" w:cs="Arial" w:eastAsia="Arial" w:hAnsi="Arial"/>
          <w:sz w:val="22"/>
          <w:szCs w:val="22"/>
          <w:color w:val="FF0000"/>
          <w:strike w:val="1"/>
        </w:rPr>
        <w:t>(i)</w:t>
      </w:r>
    </w:p>
    <w:p>
      <w:pPr>
        <w:spacing w:after="0" w:line="206" w:lineRule="exact"/>
        <w:rPr>
          <w:sz w:val="20"/>
          <w:szCs w:val="20"/>
          <w:color w:val="auto"/>
        </w:rPr>
      </w:pPr>
    </w:p>
    <w:p>
      <w:pPr>
        <w:ind w:left="760" w:right="40" w:firstLine="1494"/>
        <w:spacing w:after="0" w:line="270" w:lineRule="auto"/>
        <w:tabs>
          <w:tab w:leader="none" w:pos="2575" w:val="left"/>
        </w:tabs>
        <w:numPr>
          <w:ilvl w:val="2"/>
          <w:numId w:val="5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Notwithstanding anything to the contrary herein or in any other Related Document and subject to the proviso below in this paragraph, if a Term SOFR Transition Event and its related Benchmark Replacement Date have occurred prior to the Reference Time in respect of any setting of the then-current Benchmark, then Term SOFR plus the Term SOFR Adjustment will replace the then-current Benchmark for all purposes hereunder or under any Related Document in respect of such Benchmark setting and subsequent Benchmark settings, without any amendment to, or further action or consent of any other party to, this Agreement or any other Related Document;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this clause</w:t>
      </w:r>
    </w:p>
    <w:p>
      <w:pPr>
        <w:spacing w:after="0" w:line="1" w:lineRule="exact"/>
        <w:rPr>
          <w:rFonts w:ascii="Arial" w:cs="Arial" w:eastAsia="Arial" w:hAnsi="Arial"/>
          <w:sz w:val="19"/>
          <w:szCs w:val="19"/>
          <w:color w:val="FF0000"/>
          <w:strike w:val="1"/>
        </w:rPr>
      </w:pPr>
    </w:p>
    <w:p>
      <w:pPr>
        <w:ind w:left="760" w:right="20" w:hanging="3"/>
        <w:spacing w:after="0" w:line="275" w:lineRule="auto"/>
        <w:tabs>
          <w:tab w:leader="none" w:pos="1066" w:val="left"/>
        </w:tabs>
        <w:numPr>
          <w:ilvl w:val="0"/>
          <w:numId w:val="58"/>
        </w:numPr>
        <w:rPr>
          <w:rFonts w:ascii="Arial" w:cs="Arial" w:eastAsia="Arial" w:hAnsi="Arial"/>
          <w:sz w:val="19"/>
          <w:szCs w:val="19"/>
          <w:color w:val="FF0000"/>
          <w:strike w:val="1"/>
        </w:rPr>
      </w:pPr>
      <w:r>
        <w:rPr>
          <w:rFonts w:ascii="Arial" w:cs="Arial" w:eastAsia="Arial" w:hAnsi="Arial"/>
          <w:sz w:val="19"/>
          <w:szCs w:val="19"/>
          <w:color w:val="FF0000"/>
          <w:strike w:val="1"/>
        </w:rPr>
        <w:t xml:space="preserve">shall not be effective unless the Administrative Agent has delivered to the Investors and the Co-Issuers a Term SOFR Notice. Notwithstanding anything contained herein to the contrary, the Administrative Agent shall not be required to deliver a Term SOFR Notice after a Term SOFR Transition Event and may do so in its sole discretion. For the avoidance of doubt, any applicable provisions set forth in this </w:t>
      </w:r>
      <w:r>
        <w:rPr>
          <w:rFonts w:ascii="Arial" w:cs="Arial" w:eastAsia="Arial" w:hAnsi="Arial"/>
          <w:sz w:val="19"/>
          <w:szCs w:val="19"/>
          <w:u w:val="single" w:color="auto"/>
          <w:color w:val="FF0000"/>
          <w:strike w:val="1"/>
        </w:rPr>
        <w:t>Section 3.04(c)</w:t>
      </w:r>
      <w:r>
        <w:rPr>
          <w:rFonts w:ascii="Arial" w:cs="Arial" w:eastAsia="Arial" w:hAnsi="Arial"/>
          <w:sz w:val="19"/>
          <w:szCs w:val="19"/>
          <w:color w:val="FF0000"/>
          <w:strike w:val="1"/>
        </w:rPr>
        <w:t xml:space="preserve"> shall apply with respect to any Term SOFR transition pursuant to this paragraph (ii) as if such forward-looking term rate was initially determined in accordance herewith including, without limitation, the provisions set forth in this </w:t>
      </w:r>
      <w:r>
        <w:rPr>
          <w:rFonts w:ascii="Arial" w:cs="Arial" w:eastAsia="Arial" w:hAnsi="Arial"/>
          <w:sz w:val="19"/>
          <w:szCs w:val="19"/>
          <w:u w:val="single" w:color="auto"/>
          <w:color w:val="FF0000"/>
          <w:strike w:val="1"/>
        </w:rPr>
        <w:t>Section 3.04(c)(iii)</w:t>
      </w:r>
      <w:r>
        <w:rPr>
          <w:rFonts w:ascii="Arial" w:cs="Arial" w:eastAsia="Arial" w:hAnsi="Arial"/>
          <w:sz w:val="19"/>
          <w:szCs w:val="19"/>
          <w:color w:val="FF0000"/>
          <w:strike w:val="1"/>
        </w:rPr>
        <w:t xml:space="preserve"> and </w:t>
      </w:r>
      <w:r>
        <w:rPr>
          <w:rFonts w:ascii="Arial" w:cs="Arial" w:eastAsia="Arial" w:hAnsi="Arial"/>
          <w:sz w:val="19"/>
          <w:szCs w:val="19"/>
          <w:u w:val="single" w:color="auto"/>
          <w:color w:val="FF0000"/>
          <w:strike w:val="1"/>
        </w:rPr>
        <w:t>Section 3.04(c)(vii)</w:t>
      </w:r>
      <w:r>
        <w:rPr>
          <w:rFonts w:ascii="Arial" w:cs="Arial" w:eastAsia="Arial" w:hAnsi="Arial"/>
          <w:sz w:val="19"/>
          <w:szCs w:val="19"/>
          <w:color w:val="FF0000"/>
          <w:strike w:val="1"/>
        </w:rPr>
        <w:t>.</w:t>
      </w:r>
    </w:p>
    <w:p>
      <w:pPr>
        <w:spacing w:after="0" w:line="153" w:lineRule="exact"/>
        <w:rPr>
          <w:rFonts w:ascii="Arial" w:cs="Arial" w:eastAsia="Arial" w:hAnsi="Arial"/>
          <w:sz w:val="19"/>
          <w:szCs w:val="19"/>
          <w:color w:val="FF0000"/>
          <w:strike w:val="1"/>
        </w:rPr>
      </w:pPr>
    </w:p>
    <w:p>
      <w:pPr>
        <w:jc w:val="both"/>
        <w:ind w:firstLine="1505"/>
        <w:spacing w:after="0" w:line="236" w:lineRule="auto"/>
        <w:tabs>
          <w:tab w:leader="none" w:pos="2036" w:val="left"/>
        </w:tabs>
        <w:numPr>
          <w:ilvl w:val="1"/>
          <w:numId w:val="58"/>
        </w:numPr>
        <w:rPr>
          <w:rFonts w:ascii="Arial" w:cs="Arial" w:eastAsia="Arial" w:hAnsi="Arial"/>
          <w:sz w:val="22"/>
          <w:szCs w:val="22"/>
          <w:color w:val="auto"/>
        </w:rPr>
      </w:pPr>
      <w:r>
        <w:rPr>
          <w:rFonts w:ascii="Arial" w:cs="Arial" w:eastAsia="Arial" w:hAnsi="Arial"/>
          <w:sz w:val="22"/>
          <w:szCs w:val="22"/>
          <w:color w:val="FF0000"/>
          <w:strike w:val="1"/>
        </w:rPr>
        <w:t>(iii)</w:t>
      </w:r>
      <w:r>
        <w:rPr>
          <w:rFonts w:ascii="Arial" w:cs="Arial" w:eastAsia="Arial" w:hAnsi="Arial"/>
          <w:sz w:val="22"/>
          <w:szCs w:val="22"/>
          <w:color w:val="FF0000"/>
        </w:rPr>
        <w:t xml:space="preserve"> </w:t>
      </w:r>
      <w:r>
        <w:rPr>
          <w:rFonts w:ascii="Arial" w:cs="Arial" w:eastAsia="Arial" w:hAnsi="Arial"/>
          <w:sz w:val="22"/>
          <w:szCs w:val="22"/>
          <w:color w:val="000000"/>
        </w:rPr>
        <w:t>In connection with the</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use, administration, adoption or</w:t>
      </w:r>
      <w:r>
        <w:rPr>
          <w:rFonts w:ascii="Arial" w:cs="Arial" w:eastAsia="Arial" w:hAnsi="Arial"/>
          <w:sz w:val="22"/>
          <w:szCs w:val="22"/>
          <w:color w:val="FF0000"/>
        </w:rPr>
        <w:t xml:space="preserve"> </w:t>
      </w:r>
      <w:r>
        <w:rPr>
          <w:rFonts w:ascii="Arial" w:cs="Arial" w:eastAsia="Arial" w:hAnsi="Arial"/>
          <w:sz w:val="22"/>
          <w:szCs w:val="22"/>
          <w:color w:val="000000"/>
        </w:rPr>
        <w:t>implementation of a Benchmark Replacement,</w:t>
      </w:r>
      <w:r>
        <w:rPr>
          <w:rFonts w:ascii="Arial" w:cs="Arial" w:eastAsia="Arial" w:hAnsi="Arial"/>
          <w:sz w:val="22"/>
          <w:szCs w:val="22"/>
          <w:color w:val="FF0000"/>
        </w:rPr>
        <w:t xml:space="preserve"> </w:t>
      </w:r>
      <w:r>
        <w:rPr>
          <w:rFonts w:ascii="Arial" w:cs="Arial" w:eastAsia="Arial" w:hAnsi="Arial"/>
          <w:sz w:val="22"/>
          <w:szCs w:val="22"/>
          <w:color w:val="000000"/>
        </w:rPr>
        <w:t xml:space="preserve">the Administrative Agent will have the right to make </w:t>
      </w:r>
      <w:r>
        <w:rPr>
          <w:rFonts w:ascii="Arial" w:cs="Arial" w:eastAsia="Arial" w:hAnsi="Arial"/>
          <w:sz w:val="22"/>
          <w:szCs w:val="22"/>
          <w:color w:val="FF0000"/>
          <w:strike w:val="1"/>
        </w:rPr>
        <w:t>Benchmark Replacement</w:t>
      </w:r>
      <w:r>
        <w:rPr>
          <w:rFonts w:ascii="Arial" w:cs="Arial" w:eastAsia="Arial" w:hAnsi="Arial"/>
          <w:sz w:val="22"/>
          <w:szCs w:val="22"/>
          <w:color w:val="000000"/>
        </w:rPr>
        <w:t xml:space="preserve"> Conforming Changes from time to time and, notwithstanding anything to the contrary herein or in any other Related Document, any amendments implementing such </w:t>
      </w:r>
      <w:r>
        <w:rPr>
          <w:rFonts w:ascii="Arial" w:cs="Arial" w:eastAsia="Arial" w:hAnsi="Arial"/>
          <w:sz w:val="22"/>
          <w:szCs w:val="22"/>
          <w:color w:val="FF0000"/>
          <w:strike w:val="1"/>
        </w:rPr>
        <w:t>Benchmark Replacement</w:t>
      </w:r>
      <w:r>
        <w:rPr>
          <w:rFonts w:ascii="Arial" w:cs="Arial" w:eastAsia="Arial" w:hAnsi="Arial"/>
          <w:sz w:val="22"/>
          <w:szCs w:val="22"/>
          <w:color w:val="FF0000"/>
        </w:rPr>
        <w:t xml:space="preserve"> </w:t>
      </w:r>
      <w:r>
        <w:rPr>
          <w:rFonts w:ascii="Arial" w:cs="Arial" w:eastAsia="Arial" w:hAnsi="Arial"/>
          <w:sz w:val="22"/>
          <w:szCs w:val="22"/>
          <w:color w:val="000000"/>
        </w:rPr>
        <w:t>Conforming Changes will become effective without any further action or consent of any other party to</w:t>
      </w:r>
      <w:r>
        <w:rPr>
          <w:rFonts w:ascii="Arial" w:cs="Arial" w:eastAsia="Arial" w:hAnsi="Arial"/>
          <w:sz w:val="22"/>
          <w:szCs w:val="22"/>
          <w:color w:val="FF0000"/>
        </w:rPr>
        <w:t xml:space="preserve"> </w:t>
      </w:r>
      <w:r>
        <w:rPr>
          <w:rFonts w:ascii="Arial" w:cs="Arial" w:eastAsia="Arial" w:hAnsi="Arial"/>
          <w:sz w:val="22"/>
          <w:szCs w:val="22"/>
          <w:color w:val="000000"/>
        </w:rPr>
        <w:t>this Agreement or any other Related Document.</w:t>
      </w:r>
    </w:p>
    <w:p>
      <w:pPr>
        <w:spacing w:after="0" w:line="187" w:lineRule="exact"/>
        <w:rPr>
          <w:rFonts w:ascii="Arial" w:cs="Arial" w:eastAsia="Arial" w:hAnsi="Arial"/>
          <w:sz w:val="22"/>
          <w:szCs w:val="22"/>
          <w:color w:val="auto"/>
        </w:rPr>
      </w:pPr>
    </w:p>
    <w:p>
      <w:pPr>
        <w:jc w:val="both"/>
        <w:ind w:firstLine="1505"/>
        <w:spacing w:after="0" w:line="275" w:lineRule="auto"/>
        <w:tabs>
          <w:tab w:leader="none" w:pos="2036" w:val="left"/>
        </w:tabs>
        <w:numPr>
          <w:ilvl w:val="1"/>
          <w:numId w:val="58"/>
        </w:numPr>
        <w:rPr>
          <w:rFonts w:ascii="Arial" w:cs="Arial" w:eastAsia="Arial" w:hAnsi="Arial"/>
          <w:sz w:val="19"/>
          <w:szCs w:val="19"/>
          <w:color w:val="auto"/>
        </w:rPr>
      </w:pPr>
      <w:r>
        <w:rPr>
          <w:rFonts w:ascii="Arial" w:cs="Arial" w:eastAsia="Arial" w:hAnsi="Arial"/>
          <w:sz w:val="19"/>
          <w:szCs w:val="19"/>
          <w:color w:val="FF0000"/>
          <w:strike w:val="1"/>
        </w:rPr>
        <w:t>(iv)</w:t>
      </w:r>
      <w:r>
        <w:rPr>
          <w:rFonts w:ascii="Arial" w:cs="Arial" w:eastAsia="Arial" w:hAnsi="Arial"/>
          <w:sz w:val="19"/>
          <w:szCs w:val="19"/>
          <w:color w:val="FF0000"/>
        </w:rPr>
        <w:t xml:space="preserve"> </w:t>
      </w:r>
      <w:r>
        <w:rPr>
          <w:rFonts w:ascii="Arial" w:cs="Arial" w:eastAsia="Arial" w:hAnsi="Arial"/>
          <w:sz w:val="19"/>
          <w:szCs w:val="19"/>
          <w:color w:val="000000"/>
        </w:rPr>
        <w:t>The Administrative Agent will promptly notify the Co-Issuers and the Investors of (</w:t>
      </w:r>
      <w:r>
        <w:rPr>
          <w:rFonts w:ascii="Arial" w:cs="Arial" w:eastAsia="Arial" w:hAnsi="Arial"/>
          <w:sz w:val="19"/>
          <w:szCs w:val="19"/>
          <w:color w:val="FF0000"/>
          <w:strike w:val="1"/>
        </w:rPr>
        <w:t>a) any occurrence</w:t>
      </w:r>
      <w:r>
        <w:rPr>
          <w:rFonts w:ascii="Arial" w:cs="Arial" w:eastAsia="Arial" w:hAnsi="Arial"/>
          <w:sz w:val="19"/>
          <w:szCs w:val="19"/>
          <w:color w:val="FF0000"/>
        </w:rPr>
        <w:t xml:space="preserve"> </w:t>
      </w:r>
      <w:r>
        <w:rPr>
          <w:rFonts w:ascii="Arial" w:cs="Arial" w:eastAsia="Arial" w:hAnsi="Arial"/>
          <w:sz w:val="19"/>
          <w:szCs w:val="19"/>
          <w:color w:val="FF0000"/>
          <w:strike w:val="1"/>
        </w:rPr>
        <w:t>of a Benchmark Transition Event or an Early Opt-in Election, as applicable, and its related Benchmark Replacement Date, (b</w:t>
      </w:r>
      <w:r>
        <w:rPr>
          <w:rFonts w:ascii="Arial" w:cs="Arial" w:eastAsia="Arial" w:hAnsi="Arial"/>
          <w:sz w:val="19"/>
          <w:szCs w:val="19"/>
          <w:u w:val="single" w:color="auto"/>
          <w:color w:val="0000FF"/>
        </w:rPr>
        <w:t>i</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0000"/>
        </w:rPr>
        <w:t>the implementation of any Benchmark Replacement</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and</w:t>
      </w:r>
      <w:r>
        <w:rPr>
          <w:rFonts w:ascii="Arial" w:cs="Arial" w:eastAsia="Arial" w:hAnsi="Arial"/>
          <w:sz w:val="19"/>
          <w:szCs w:val="19"/>
          <w:color w:val="000000"/>
        </w:rPr>
        <w:t xml:space="preserve"> (</w:t>
      </w:r>
      <w:r>
        <w:rPr>
          <w:rFonts w:ascii="Arial" w:cs="Arial" w:eastAsia="Arial" w:hAnsi="Arial"/>
          <w:sz w:val="19"/>
          <w:szCs w:val="19"/>
          <w:color w:val="FF0000"/>
          <w:strike w:val="1"/>
        </w:rPr>
        <w:t>c</w:t>
      </w:r>
      <w:r>
        <w:rPr>
          <w:rFonts w:ascii="Arial" w:cs="Arial" w:eastAsia="Arial" w:hAnsi="Arial"/>
          <w:sz w:val="19"/>
          <w:szCs w:val="19"/>
          <w:u w:val="single" w:color="auto"/>
          <w:color w:val="0000FF"/>
        </w:rPr>
        <w:t>ii</w:t>
      </w:r>
      <w:r>
        <w:rPr>
          <w:rFonts w:ascii="Arial" w:cs="Arial" w:eastAsia="Arial" w:hAnsi="Arial"/>
          <w:sz w:val="19"/>
          <w:szCs w:val="19"/>
          <w:color w:val="000000"/>
        </w:rPr>
        <w:t xml:space="preserve">) the effectiveness of any </w:t>
      </w:r>
      <w:r>
        <w:rPr>
          <w:rFonts w:ascii="Arial" w:cs="Arial" w:eastAsia="Arial" w:hAnsi="Arial"/>
          <w:sz w:val="19"/>
          <w:szCs w:val="19"/>
          <w:color w:val="FF0000"/>
          <w:strike w:val="1"/>
        </w:rPr>
        <w:t>Benchmark Replacement</w:t>
      </w:r>
      <w:r>
        <w:rPr>
          <w:rFonts w:ascii="Arial" w:cs="Arial" w:eastAsia="Arial" w:hAnsi="Arial"/>
          <w:sz w:val="19"/>
          <w:szCs w:val="19"/>
          <w:color w:val="000000"/>
        </w:rPr>
        <w:t xml:space="preserve"> Conforming Changes</w:t>
      </w:r>
      <w:r>
        <w:rPr>
          <w:rFonts w:ascii="Arial" w:cs="Arial" w:eastAsia="Arial" w:hAnsi="Arial"/>
          <w:sz w:val="19"/>
          <w:szCs w:val="19"/>
          <w:color w:val="FF0000"/>
          <w:strike w:val="1"/>
        </w:rPr>
        <w:t>, (d)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in connection with the use, administration, adoption or implementation of a Benchmark Replacement.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Administrative Agent will promptly notify the Co-Issuers of</w:t>
      </w:r>
      <w:r>
        <w:rPr>
          <w:rFonts w:ascii="Arial" w:cs="Arial" w:eastAsia="Arial" w:hAnsi="Arial"/>
          <w:sz w:val="19"/>
          <w:szCs w:val="19"/>
          <w:color w:val="0000FF"/>
        </w:rPr>
        <w:t xml:space="preserve"> </w:t>
      </w:r>
      <w:r>
        <w:rPr>
          <w:rFonts w:ascii="Arial" w:cs="Arial" w:eastAsia="Arial" w:hAnsi="Arial"/>
          <w:sz w:val="19"/>
          <w:szCs w:val="19"/>
          <w:color w:val="000000"/>
        </w:rPr>
        <w:t>the removal or reinstatement of any tenor of a Benchmark pursuant</w:t>
      </w:r>
      <w:r>
        <w:rPr>
          <w:rFonts w:ascii="Arial" w:cs="Arial" w:eastAsia="Arial" w:hAnsi="Arial"/>
          <w:sz w:val="19"/>
          <w:szCs w:val="19"/>
          <w:color w:val="0000FF"/>
        </w:rPr>
        <w:t xml:space="preserve"> </w:t>
      </w:r>
      <w:r>
        <w:rPr>
          <w:rFonts w:ascii="Arial" w:cs="Arial" w:eastAsia="Arial" w:hAnsi="Arial"/>
          <w:sz w:val="19"/>
          <w:szCs w:val="19"/>
          <w:color w:val="000000"/>
        </w:rPr>
        <w:t xml:space="preserve">to </w:t>
      </w:r>
      <w:r>
        <w:rPr>
          <w:rFonts w:ascii="Arial" w:cs="Arial" w:eastAsia="Arial" w:hAnsi="Arial"/>
          <w:sz w:val="19"/>
          <w:szCs w:val="19"/>
          <w:color w:val="FF0000"/>
          <w:strike w:val="1"/>
        </w:rPr>
        <w:t>clause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Section 3.04</w:t>
      </w:r>
      <w:r>
        <w:rPr>
          <w:rFonts w:ascii="Arial" w:cs="Arial" w:eastAsia="Arial" w:hAnsi="Arial"/>
          <w:sz w:val="19"/>
          <w:szCs w:val="19"/>
          <w:u w:val="single" w:color="auto"/>
          <w:color w:val="000000"/>
        </w:rPr>
        <w:t>(</w:t>
      </w:r>
      <w:r>
        <w:rPr>
          <w:rFonts w:ascii="Arial" w:cs="Arial" w:eastAsia="Arial" w:hAnsi="Arial"/>
          <w:sz w:val="19"/>
          <w:szCs w:val="19"/>
          <w:color w:val="FF0000"/>
          <w:strike w:val="1"/>
        </w:rPr>
        <w:t>v</w:t>
      </w:r>
      <w:r>
        <w:rPr>
          <w:rFonts w:ascii="Arial" w:cs="Arial" w:eastAsia="Arial" w:hAnsi="Arial"/>
          <w:sz w:val="19"/>
          <w:szCs w:val="19"/>
          <w:u w:val="single" w:color="auto"/>
          <w:color w:val="0000FF"/>
        </w:rPr>
        <w:t>d</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w:t>
      </w:r>
      <w:r>
        <w:rPr>
          <w:rFonts w:ascii="Arial" w:cs="Arial" w:eastAsia="Arial" w:hAnsi="Arial"/>
          <w:sz w:val="19"/>
          <w:szCs w:val="19"/>
          <w:color w:val="FF0000"/>
        </w:rPr>
        <w:t>below and (e) the commencement or conclusion of any Benchmark Unavailability Period</w:t>
      </w:r>
      <w:r>
        <w:rPr>
          <w:rFonts w:ascii="Arial" w:cs="Arial" w:eastAsia="Arial" w:hAnsi="Arial"/>
          <w:sz w:val="19"/>
          <w:szCs w:val="19"/>
          <w:color w:val="000000"/>
        </w:rPr>
        <w:t xml:space="preserve">. Any determination, decision or election that may be made by the Administrative Agent or, if applicable, any Investor (or group of Investors) pursuant to this </w:t>
      </w:r>
      <w:r>
        <w:rPr>
          <w:rFonts w:ascii="Arial" w:cs="Arial" w:eastAsia="Arial" w:hAnsi="Arial"/>
          <w:sz w:val="19"/>
          <w:szCs w:val="19"/>
          <w:u w:val="single" w:color="auto"/>
          <w:color w:val="000000"/>
        </w:rPr>
        <w:t>Section 3.04</w:t>
      </w:r>
      <w:r>
        <w:rPr>
          <w:rFonts w:ascii="Arial" w:cs="Arial" w:eastAsia="Arial" w:hAnsi="Arial"/>
          <w:sz w:val="19"/>
          <w:szCs w:val="19"/>
          <w:u w:val="single" w:color="auto"/>
          <w:color w:val="FF0000"/>
          <w:strike w:val="1"/>
        </w:rPr>
        <w:t>(c)</w:t>
      </w:r>
      <w:r>
        <w:rPr>
          <w:rFonts w:ascii="Arial" w:cs="Arial" w:eastAsia="Arial" w:hAnsi="Arial"/>
          <w:sz w:val="19"/>
          <w:szCs w:val="19"/>
          <w:color w:val="000000"/>
        </w:rPr>
        <w:t>, including any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1515110</wp:posOffset>
            </wp:positionH>
            <wp:positionV relativeFrom="paragraph">
              <wp:posOffset>-408940</wp:posOffset>
            </wp:positionV>
            <wp:extent cx="52990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99075" cy="825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6" w:name="page87"/>
    <w:bookmarkEnd w:id="86"/>
    <w:p>
      <w:pPr>
        <w:jc w:val="both"/>
        <w:spacing w:after="0" w:line="252" w:lineRule="auto"/>
        <w:rPr>
          <w:sz w:val="20"/>
          <w:szCs w:val="20"/>
          <w:color w:val="auto"/>
        </w:rPr>
      </w:pPr>
      <w:r>
        <w:rPr>
          <w:rFonts w:ascii="Arial" w:cs="Arial" w:eastAsia="Arial" w:hAnsi="Arial"/>
          <w:sz w:val="21"/>
          <w:szCs w:val="21"/>
          <w:color w:val="auto"/>
        </w:rPr>
        <w:t xml:space="preserve">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Related Document, except, in each case, as expressly required pursuant to this </w:t>
      </w:r>
      <w:r>
        <w:rPr>
          <w:rFonts w:ascii="Arial" w:cs="Arial" w:eastAsia="Arial" w:hAnsi="Arial"/>
          <w:sz w:val="21"/>
          <w:szCs w:val="21"/>
          <w:u w:val="single" w:color="auto"/>
          <w:color w:val="auto"/>
        </w:rPr>
        <w:t>Section 3.04</w:t>
      </w:r>
      <w:r>
        <w:rPr>
          <w:rFonts w:ascii="Arial" w:cs="Arial" w:eastAsia="Arial" w:hAnsi="Arial"/>
          <w:sz w:val="21"/>
          <w:szCs w:val="21"/>
          <w:u w:val="single" w:color="auto"/>
          <w:color w:val="FF0000"/>
          <w:strike w:val="1"/>
        </w:rPr>
        <w:t>(c)</w:t>
      </w:r>
      <w:r>
        <w:rPr>
          <w:rFonts w:ascii="Arial" w:cs="Arial" w:eastAsia="Arial" w:hAnsi="Arial"/>
          <w:sz w:val="21"/>
          <w:szCs w:val="21"/>
          <w:color w:val="auto"/>
        </w:rPr>
        <w:t>.</w:t>
      </w:r>
    </w:p>
    <w:p>
      <w:pPr>
        <w:spacing w:after="0" w:line="174" w:lineRule="exact"/>
        <w:rPr>
          <w:sz w:val="20"/>
          <w:szCs w:val="20"/>
          <w:color w:val="auto"/>
        </w:rPr>
      </w:pPr>
    </w:p>
    <w:p>
      <w:pPr>
        <w:jc w:val="both"/>
        <w:ind w:firstLine="1505"/>
        <w:spacing w:after="0" w:line="271" w:lineRule="auto"/>
        <w:tabs>
          <w:tab w:leader="none" w:pos="2036" w:val="left"/>
        </w:tabs>
        <w:numPr>
          <w:ilvl w:val="0"/>
          <w:numId w:val="59"/>
        </w:numPr>
        <w:rPr>
          <w:rFonts w:ascii="Arial" w:cs="Arial" w:eastAsia="Arial" w:hAnsi="Arial"/>
          <w:sz w:val="19"/>
          <w:szCs w:val="19"/>
          <w:color w:val="auto"/>
        </w:rPr>
      </w:pPr>
      <w:r>
        <w:rPr>
          <w:rFonts w:ascii="Arial" w:cs="Arial" w:eastAsia="Arial" w:hAnsi="Arial"/>
          <w:sz w:val="19"/>
          <w:szCs w:val="19"/>
          <w:color w:val="FF0000"/>
          <w:strike w:val="1"/>
        </w:rPr>
        <w:t>(v)</w:t>
      </w:r>
      <w:r>
        <w:rPr>
          <w:rFonts w:ascii="Arial" w:cs="Arial" w:eastAsia="Arial" w:hAnsi="Arial"/>
          <w:sz w:val="19"/>
          <w:szCs w:val="19"/>
          <w:color w:val="FF0000"/>
        </w:rPr>
        <w:t xml:space="preserve"> </w:t>
      </w:r>
      <w:r>
        <w:rPr>
          <w:rFonts w:ascii="Arial" w:cs="Arial" w:eastAsia="Arial" w:hAnsi="Arial"/>
          <w:sz w:val="19"/>
          <w:szCs w:val="19"/>
          <w:color w:val="000000"/>
        </w:rPr>
        <w:t>Notwithstanding anything to the contrary herein or in any other Related Document, at any time</w:t>
      </w:r>
      <w:r>
        <w:rPr>
          <w:rFonts w:ascii="Arial" w:cs="Arial" w:eastAsia="Arial" w:hAnsi="Arial"/>
          <w:sz w:val="19"/>
          <w:szCs w:val="19"/>
          <w:color w:val="FF0000"/>
        </w:rPr>
        <w:t xml:space="preserve"> </w:t>
      </w:r>
      <w:r>
        <w:rPr>
          <w:rFonts w:ascii="Arial" w:cs="Arial" w:eastAsia="Arial" w:hAnsi="Arial"/>
          <w:sz w:val="19"/>
          <w:szCs w:val="19"/>
          <w:color w:val="000000"/>
        </w:rPr>
        <w:t xml:space="preserve">(including in connection with the implementation of a Benchmark Replacement), (i) if the then-current Benchmark is a term rate (including </w:t>
      </w:r>
      <w:r>
        <w:rPr>
          <w:rFonts w:ascii="Arial" w:cs="Arial" w:eastAsia="Arial" w:hAnsi="Arial"/>
          <w:sz w:val="19"/>
          <w:szCs w:val="19"/>
          <w:u w:val="single" w:color="auto"/>
          <w:color w:val="0000FF"/>
        </w:rPr>
        <w:t>the</w:t>
      </w:r>
      <w:r>
        <w:rPr>
          <w:rFonts w:ascii="Arial" w:cs="Arial" w:eastAsia="Arial" w:hAnsi="Arial"/>
          <w:sz w:val="19"/>
          <w:szCs w:val="19"/>
          <w:color w:val="000000"/>
        </w:rPr>
        <w:t xml:space="preserve"> Term SOFR </w:t>
      </w:r>
      <w:r>
        <w:rPr>
          <w:rFonts w:ascii="Arial" w:cs="Arial" w:eastAsia="Arial" w:hAnsi="Arial"/>
          <w:sz w:val="19"/>
          <w:szCs w:val="19"/>
          <w:color w:val="FF0000"/>
          <w:strike w:val="1"/>
        </w:rPr>
        <w:t>or Eurodollar Funding</w:t>
      </w:r>
      <w:r>
        <w:rPr>
          <w:rFonts w:ascii="Arial" w:cs="Arial" w:eastAsia="Arial" w:hAnsi="Arial"/>
          <w:sz w:val="19"/>
          <w:szCs w:val="19"/>
          <w:u w:val="single" w:color="auto"/>
          <w:color w:val="0000FF"/>
        </w:rPr>
        <w:t>Reference</w:t>
      </w:r>
      <w:r>
        <w:rPr>
          <w:rFonts w:ascii="Arial" w:cs="Arial" w:eastAsia="Arial" w:hAnsi="Arial"/>
          <w:sz w:val="19"/>
          <w:szCs w:val="19"/>
          <w:color w:val="000000"/>
        </w:rPr>
        <w:t xml:space="preserve"> Rate) and either (A) any tenor for such Benchmark is not displayed on a screen or other information service that publishes such rate from time to time as selected by the Administrative Agent in its reasonable discretion or (B) the </w:t>
      </w:r>
      <w:r>
        <w:rPr>
          <w:rFonts w:ascii="Arial" w:cs="Arial" w:eastAsia="Arial" w:hAnsi="Arial"/>
          <w:sz w:val="19"/>
          <w:szCs w:val="19"/>
          <w:u w:val="single" w:color="auto"/>
          <w:color w:val="0000FF"/>
        </w:rPr>
        <w:t>administrator of such Benchmark or the</w:t>
      </w:r>
      <w:r>
        <w:rPr>
          <w:rFonts w:ascii="Arial" w:cs="Arial" w:eastAsia="Arial" w:hAnsi="Arial"/>
          <w:sz w:val="19"/>
          <w:szCs w:val="19"/>
          <w:color w:val="000000"/>
        </w:rPr>
        <w:t xml:space="preserve"> regulatory supervisor for the administrator of such Benchmark has provided a public statement or publication of information announcing that any tenor for such Benchmark is </w:t>
      </w:r>
      <w:r>
        <w:rPr>
          <w:rFonts w:ascii="Arial" w:cs="Arial" w:eastAsia="Arial" w:hAnsi="Arial"/>
          <w:sz w:val="19"/>
          <w:szCs w:val="19"/>
          <w:u w:val="single" w:color="auto"/>
          <w:color w:val="0000FF"/>
        </w:rPr>
        <w:t>not</w:t>
      </w:r>
      <w:r>
        <w:rPr>
          <w:rFonts w:ascii="Arial" w:cs="Arial" w:eastAsia="Arial" w:hAnsi="Arial"/>
          <w:sz w:val="19"/>
          <w:szCs w:val="19"/>
          <w:color w:val="000000"/>
        </w:rPr>
        <w:t xml:space="preserve"> or will </w:t>
      </w:r>
      <w:r>
        <w:rPr>
          <w:rFonts w:ascii="Arial" w:cs="Arial" w:eastAsia="Arial" w:hAnsi="Arial"/>
          <w:sz w:val="19"/>
          <w:szCs w:val="19"/>
          <w:color w:val="FF0000"/>
          <w:strike w:val="1"/>
        </w:rPr>
        <w:t>be no longer</w:t>
      </w:r>
      <w:r>
        <w:rPr>
          <w:rFonts w:ascii="Arial" w:cs="Arial" w:eastAsia="Arial" w:hAnsi="Arial"/>
          <w:sz w:val="19"/>
          <w:szCs w:val="19"/>
          <w:u w:val="single" w:color="auto"/>
          <w:color w:val="0000FF"/>
        </w:rPr>
        <w:t>not be</w:t>
      </w:r>
      <w:r>
        <w:rPr>
          <w:rFonts w:ascii="Arial" w:cs="Arial" w:eastAsia="Arial" w:hAnsi="Arial"/>
          <w:sz w:val="19"/>
          <w:szCs w:val="19"/>
          <w:color w:val="000000"/>
        </w:rPr>
        <w:t xml:space="preserve"> representative, then the Administrative Agent may modify the definition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FF"/>
        </w:rPr>
        <w:t xml:space="preserve"> </w:t>
      </w:r>
      <w:r>
        <w:rPr>
          <w:rFonts w:ascii="Arial" w:cs="Arial" w:eastAsia="Arial" w:hAnsi="Arial"/>
          <w:sz w:val="19"/>
          <w:szCs w:val="19"/>
          <w:color w:val="000000"/>
        </w:rPr>
        <w:t>Period”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any similar or analogous definition)</w:t>
      </w:r>
      <w:r>
        <w:rPr>
          <w:rFonts w:ascii="Arial" w:cs="Arial" w:eastAsia="Arial" w:hAnsi="Arial"/>
          <w:sz w:val="19"/>
          <w:szCs w:val="19"/>
          <w:color w:val="0000FF"/>
        </w:rPr>
        <w:t xml:space="preserve"> </w:t>
      </w:r>
      <w:r>
        <w:rPr>
          <w:rFonts w:ascii="Arial" w:cs="Arial" w:eastAsia="Arial" w:hAnsi="Arial"/>
          <w:sz w:val="19"/>
          <w:szCs w:val="19"/>
          <w:color w:val="000000"/>
        </w:rPr>
        <w:t>for any Benchmark settings at or after such time to remove such</w:t>
      </w:r>
      <w:r>
        <w:rPr>
          <w:rFonts w:ascii="Arial" w:cs="Arial" w:eastAsia="Arial" w:hAnsi="Arial"/>
          <w:sz w:val="19"/>
          <w:szCs w:val="19"/>
          <w:color w:val="0000FF"/>
        </w:rPr>
        <w:t xml:space="preserve"> </w:t>
      </w:r>
      <w:r>
        <w:rPr>
          <w:rFonts w:ascii="Arial" w:cs="Arial" w:eastAsia="Arial" w:hAnsi="Arial"/>
          <w:sz w:val="19"/>
          <w:szCs w:val="19"/>
          <w:color w:val="000000"/>
        </w:rPr>
        <w:t xml:space="preserve">unavailable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non-representative</w:t>
      </w:r>
      <w:r>
        <w:rPr>
          <w:rFonts w:ascii="Arial" w:cs="Arial" w:eastAsia="Arial" w:hAnsi="Arial"/>
          <w:sz w:val="19"/>
          <w:szCs w:val="19"/>
          <w:u w:val="single" w:color="auto"/>
          <w:color w:val="0000FF"/>
        </w:rPr>
        <w:t>, non-compliant or non-aligned</w:t>
      </w:r>
      <w:r>
        <w:rPr>
          <w:rFonts w:ascii="Arial" w:cs="Arial" w:eastAsia="Arial" w:hAnsi="Arial"/>
          <w:sz w:val="19"/>
          <w:szCs w:val="19"/>
          <w:color w:val="000000"/>
        </w:rPr>
        <w:t xml:space="preserve"> tenor and (ii) if a tenor that was removed pursuant to clause (i) above either (A) is subsequently displayed on a screen or information service for a Benchmark (including a Benchmark Replacement) or (B) is not, or is no longer, subject to an announcement that it is </w:t>
      </w:r>
      <w:r>
        <w:rPr>
          <w:rFonts w:ascii="Arial" w:cs="Arial" w:eastAsia="Arial" w:hAnsi="Arial"/>
          <w:sz w:val="19"/>
          <w:szCs w:val="19"/>
          <w:u w:val="single" w:color="auto"/>
          <w:color w:val="0000FF"/>
        </w:rPr>
        <w:t>not</w:t>
      </w:r>
      <w:r>
        <w:rPr>
          <w:rFonts w:ascii="Arial" w:cs="Arial" w:eastAsia="Arial" w:hAnsi="Arial"/>
          <w:sz w:val="19"/>
          <w:szCs w:val="19"/>
          <w:color w:val="000000"/>
        </w:rPr>
        <w:t xml:space="preserve"> or will </w:t>
      </w:r>
      <w:r>
        <w:rPr>
          <w:rFonts w:ascii="Arial" w:cs="Arial" w:eastAsia="Arial" w:hAnsi="Arial"/>
          <w:sz w:val="19"/>
          <w:szCs w:val="19"/>
          <w:color w:val="FF0000"/>
          <w:strike w:val="1"/>
        </w:rPr>
        <w:t>no longer</w:t>
      </w:r>
      <w:r>
        <w:rPr>
          <w:rFonts w:ascii="Arial" w:cs="Arial" w:eastAsia="Arial" w:hAnsi="Arial"/>
          <w:sz w:val="19"/>
          <w:szCs w:val="19"/>
          <w:u w:val="single" w:color="auto"/>
          <w:color w:val="0000FF"/>
        </w:rPr>
        <w:t>not</w:t>
      </w:r>
      <w:r>
        <w:rPr>
          <w:rFonts w:ascii="Arial" w:cs="Arial" w:eastAsia="Arial" w:hAnsi="Arial"/>
          <w:sz w:val="19"/>
          <w:szCs w:val="19"/>
          <w:color w:val="000000"/>
        </w:rPr>
        <w:t xml:space="preserve"> be representative for a Benchmark (including a Benchmark Replacement), then the Administrative Agent may modify the definition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000000"/>
        </w:rPr>
        <w:t xml:space="preserve"> Interest </w:t>
      </w:r>
      <w:r>
        <w:rPr>
          <w:rFonts w:ascii="Arial" w:cs="Arial" w:eastAsia="Arial" w:hAnsi="Arial"/>
          <w:sz w:val="19"/>
          <w:szCs w:val="19"/>
          <w:u w:val="single" w:color="auto"/>
          <w:color w:val="0000FF"/>
        </w:rPr>
        <w:t>Accrual</w:t>
      </w:r>
      <w:r>
        <w:rPr>
          <w:rFonts w:ascii="Arial" w:cs="Arial" w:eastAsia="Arial" w:hAnsi="Arial"/>
          <w:sz w:val="19"/>
          <w:szCs w:val="19"/>
          <w:color w:val="000000"/>
        </w:rPr>
        <w:t xml:space="preserve"> Period” </w:t>
      </w:r>
      <w:r>
        <w:rPr>
          <w:rFonts w:ascii="Arial" w:cs="Arial" w:eastAsia="Arial" w:hAnsi="Arial"/>
          <w:sz w:val="19"/>
          <w:szCs w:val="19"/>
          <w:u w:val="single" w:color="auto"/>
          <w:color w:val="0000FF"/>
        </w:rPr>
        <w:t>(or any similar or analogous definition)</w:t>
      </w:r>
      <w:r>
        <w:rPr>
          <w:rFonts w:ascii="Arial" w:cs="Arial" w:eastAsia="Arial" w:hAnsi="Arial"/>
          <w:sz w:val="19"/>
          <w:szCs w:val="19"/>
          <w:color w:val="000000"/>
        </w:rPr>
        <w:t xml:space="preserve"> for all Benchmark settings at or after such time to reinstate such previously removed tenor.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505"/>
        <w:spacing w:after="0" w:line="277" w:lineRule="auto"/>
        <w:tabs>
          <w:tab w:leader="none" w:pos="2036" w:val="left"/>
        </w:tabs>
        <w:numPr>
          <w:ilvl w:val="0"/>
          <w:numId w:val="59"/>
        </w:numPr>
        <w:rPr>
          <w:rFonts w:ascii="Arial" w:cs="Arial" w:eastAsia="Arial" w:hAnsi="Arial"/>
          <w:sz w:val="19"/>
          <w:szCs w:val="19"/>
          <w:color w:val="auto"/>
        </w:rPr>
      </w:pPr>
      <w:r>
        <w:rPr>
          <w:rFonts w:ascii="Arial" w:cs="Arial" w:eastAsia="Arial" w:hAnsi="Arial"/>
          <w:sz w:val="19"/>
          <w:szCs w:val="19"/>
          <w:color w:val="FF0000"/>
          <w:strike w:val="1"/>
        </w:rPr>
        <w:t>(vi)</w:t>
      </w:r>
      <w:r>
        <w:rPr>
          <w:rFonts w:ascii="Arial" w:cs="Arial" w:eastAsia="Arial" w:hAnsi="Arial"/>
          <w:sz w:val="19"/>
          <w:szCs w:val="19"/>
          <w:color w:val="FF0000"/>
        </w:rPr>
        <w:t xml:space="preserve"> </w:t>
      </w:r>
      <w:r>
        <w:rPr>
          <w:rFonts w:ascii="Arial" w:cs="Arial" w:eastAsia="Arial" w:hAnsi="Arial"/>
          <w:sz w:val="19"/>
          <w:szCs w:val="19"/>
          <w:color w:val="000000"/>
        </w:rPr>
        <w:t>Upon the</w:t>
      </w:r>
      <w:r>
        <w:rPr>
          <w:rFonts w:ascii="Arial" w:cs="Arial" w:eastAsia="Arial" w:hAnsi="Arial"/>
          <w:sz w:val="19"/>
          <w:szCs w:val="19"/>
          <w:color w:val="FF0000"/>
        </w:rPr>
        <w:t xml:space="preserve"> </w:t>
      </w:r>
      <w:r>
        <w:rPr>
          <w:rFonts w:ascii="Arial" w:cs="Arial" w:eastAsia="Arial" w:hAnsi="Arial"/>
          <w:sz w:val="19"/>
          <w:szCs w:val="19"/>
          <w:color w:val="FF0000"/>
          <w:strike w:val="1"/>
        </w:rPr>
        <w:t>Co-Issuer’s</w:t>
      </w:r>
      <w:r>
        <w:rPr>
          <w:rFonts w:ascii="Arial" w:cs="Arial" w:eastAsia="Arial" w:hAnsi="Arial"/>
          <w:sz w:val="19"/>
          <w:szCs w:val="19"/>
          <w:u w:val="single" w:color="auto"/>
          <w:color w:val="0000FF"/>
        </w:rPr>
        <w:t>Co-Issuers’</w:t>
      </w:r>
      <w:r>
        <w:rPr>
          <w:rFonts w:ascii="Arial" w:cs="Arial" w:eastAsia="Arial" w:hAnsi="Arial"/>
          <w:sz w:val="19"/>
          <w:szCs w:val="19"/>
          <w:color w:val="FF0000"/>
        </w:rPr>
        <w:t xml:space="preserve"> </w:t>
      </w:r>
      <w:r>
        <w:rPr>
          <w:rFonts w:ascii="Arial" w:cs="Arial" w:eastAsia="Arial" w:hAnsi="Arial"/>
          <w:sz w:val="19"/>
          <w:szCs w:val="19"/>
          <w:color w:val="000000"/>
        </w:rPr>
        <w:t>receipt of notice of the commencement of a Benchmark</w:t>
      </w:r>
      <w:r>
        <w:rPr>
          <w:rFonts w:ascii="Arial" w:cs="Arial" w:eastAsia="Arial" w:hAnsi="Arial"/>
          <w:sz w:val="19"/>
          <w:szCs w:val="19"/>
          <w:color w:val="FF0000"/>
        </w:rPr>
        <w:t xml:space="preserve"> </w:t>
      </w:r>
      <w:r>
        <w:rPr>
          <w:rFonts w:ascii="Arial" w:cs="Arial" w:eastAsia="Arial" w:hAnsi="Arial"/>
          <w:sz w:val="19"/>
          <w:szCs w:val="19"/>
          <w:color w:val="000000"/>
        </w:rPr>
        <w:t xml:space="preserve">Unavailability Period, the Co-Issuers may revoke any </w:t>
      </w:r>
      <w:r>
        <w:rPr>
          <w:rFonts w:ascii="Arial" w:cs="Arial" w:eastAsia="Arial" w:hAnsi="Arial"/>
          <w:sz w:val="19"/>
          <w:szCs w:val="19"/>
          <w:u w:val="single" w:color="auto"/>
          <w:color w:val="0000FF"/>
        </w:rPr>
        <w:t>pending</w:t>
      </w:r>
      <w:r>
        <w:rPr>
          <w:rFonts w:ascii="Arial" w:cs="Arial" w:eastAsia="Arial" w:hAnsi="Arial"/>
          <w:sz w:val="19"/>
          <w:szCs w:val="19"/>
          <w:color w:val="000000"/>
        </w:rPr>
        <w:t xml:space="preserve"> request for a </w:t>
      </w:r>
      <w:r>
        <w:rPr>
          <w:rFonts w:ascii="Arial" w:cs="Arial" w:eastAsia="Arial" w:hAnsi="Arial"/>
          <w:sz w:val="19"/>
          <w:szCs w:val="19"/>
          <w:color w:val="FF0000"/>
          <w:strike w:val="1"/>
        </w:rPr>
        <w:t>Eurodollar Advance</w:t>
      </w:r>
      <w:r>
        <w:rPr>
          <w:rFonts w:ascii="Arial" w:cs="Arial" w:eastAsia="Arial" w:hAnsi="Arial"/>
          <w:sz w:val="19"/>
          <w:szCs w:val="19"/>
          <w:u w:val="single" w:color="auto"/>
          <w:color w:val="0000FF"/>
        </w:rPr>
        <w:t>borrowing</w:t>
      </w:r>
      <w:r>
        <w:rPr>
          <w:rFonts w:ascii="Arial" w:cs="Arial" w:eastAsia="Arial" w:hAnsi="Arial"/>
          <w:sz w:val="19"/>
          <w:szCs w:val="19"/>
          <w:color w:val="000000"/>
        </w:rPr>
        <w:t xml:space="preserve"> of, conversion to or continuation of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any SOFR</w:t>
      </w:r>
      <w:r>
        <w:rPr>
          <w:rFonts w:ascii="Arial" w:cs="Arial" w:eastAsia="Arial" w:hAnsi="Arial"/>
          <w:sz w:val="19"/>
          <w:szCs w:val="19"/>
          <w:color w:val="000000"/>
        </w:rPr>
        <w:t xml:space="preserve"> Advances to be made, converted or continued during any Benchmark Unavailability Period and, failing that, the </w:t>
      </w:r>
      <w:r>
        <w:rPr>
          <w:rFonts w:ascii="Arial" w:cs="Arial" w:eastAsia="Arial" w:hAnsi="Arial"/>
          <w:sz w:val="19"/>
          <w:szCs w:val="19"/>
          <w:color w:val="FF0000"/>
          <w:strike w:val="1"/>
        </w:rPr>
        <w:t>Co-Issuers</w:t>
      </w:r>
      <w:r>
        <w:rPr>
          <w:rFonts w:ascii="Arial" w:cs="Arial" w:eastAsia="Arial" w:hAnsi="Arial"/>
          <w:sz w:val="19"/>
          <w:szCs w:val="19"/>
          <w:u w:val="single" w:color="auto"/>
          <w:color w:val="0000FF"/>
        </w:rPr>
        <w:t>Co-Issuer</w:t>
      </w:r>
      <w:r>
        <w:rPr>
          <w:rFonts w:ascii="Arial" w:cs="Arial" w:eastAsia="Arial" w:hAnsi="Arial"/>
          <w:sz w:val="19"/>
          <w:szCs w:val="19"/>
          <w:color w:val="000000"/>
        </w:rPr>
        <w:t xml:space="preserve"> will be deemed to have converted any such request into a request for a Borrowing of or conversion to Base Rate </w:t>
      </w:r>
      <w:r>
        <w:rPr>
          <w:rFonts w:ascii="Arial" w:cs="Arial" w:eastAsia="Arial" w:hAnsi="Arial"/>
          <w:sz w:val="19"/>
          <w:szCs w:val="19"/>
          <w:color w:val="FF0000"/>
          <w:strike w:val="1"/>
        </w:rPr>
        <w:t>Advance</w:t>
      </w:r>
      <w:r>
        <w:rPr>
          <w:rFonts w:ascii="Arial" w:cs="Arial" w:eastAsia="Arial" w:hAnsi="Arial"/>
          <w:sz w:val="19"/>
          <w:szCs w:val="19"/>
          <w:u w:val="single" w:color="auto"/>
          <w:color w:val="0000FF"/>
        </w:rPr>
        <w:t>Advances</w:t>
      </w:r>
      <w:r>
        <w:rPr>
          <w:rFonts w:ascii="Arial" w:cs="Arial" w:eastAsia="Arial" w:hAnsi="Arial"/>
          <w:sz w:val="19"/>
          <w:szCs w:val="19"/>
          <w:color w:val="000000"/>
        </w:rPr>
        <w:t xml:space="preserve">. During </w:t>
      </w:r>
      <w:r>
        <w:rPr>
          <w:rFonts w:ascii="Arial" w:cs="Arial" w:eastAsia="Arial" w:hAnsi="Arial"/>
          <w:sz w:val="19"/>
          <w:szCs w:val="19"/>
          <w:color w:val="FF0000"/>
          <w:strike w:val="1"/>
        </w:rPr>
        <w:t>any</w:t>
      </w:r>
      <w:r>
        <w:rPr>
          <w:rFonts w:ascii="Arial" w:cs="Arial" w:eastAsia="Arial" w:hAnsi="Arial"/>
          <w:sz w:val="19"/>
          <w:szCs w:val="19"/>
          <w:u w:val="single" w:color="auto"/>
          <w:color w:val="0000FF"/>
        </w:rPr>
        <w:t>a</w:t>
      </w:r>
      <w:r>
        <w:rPr>
          <w:rFonts w:ascii="Arial" w:cs="Arial" w:eastAsia="Arial" w:hAnsi="Arial"/>
          <w:sz w:val="19"/>
          <w:szCs w:val="19"/>
          <w:color w:val="000000"/>
        </w:rPr>
        <w:t xml:space="preserve"> Benchmark Unavailability Period or at any time that a tenor for the then-current Benchmark is not an Available Tenor, the component of Base Rate based upon the then-current Benchmark or such tenor for such Benchmark, as applicable, will not be used in any determination of </w:t>
      </w:r>
      <w:r>
        <w:rPr>
          <w:rFonts w:ascii="Arial" w:cs="Arial" w:eastAsia="Arial" w:hAnsi="Arial"/>
          <w:sz w:val="19"/>
          <w:szCs w:val="19"/>
          <w:color w:val="FF0000"/>
          <w:strike w:val="1"/>
        </w:rPr>
        <w:t>the</w:t>
      </w:r>
      <w:r>
        <w:rPr>
          <w:rFonts w:ascii="Arial" w:cs="Arial" w:eastAsia="Arial" w:hAnsi="Arial"/>
          <w:sz w:val="19"/>
          <w:szCs w:val="19"/>
          <w:color w:val="000000"/>
        </w:rPr>
        <w:t xml:space="preserve"> Base Rate.</w:t>
      </w:r>
    </w:p>
    <w:p>
      <w:pPr>
        <w:spacing w:after="0" w:line="151" w:lineRule="exact"/>
        <w:rPr>
          <w:rFonts w:ascii="Arial" w:cs="Arial" w:eastAsia="Arial" w:hAnsi="Arial"/>
          <w:sz w:val="19"/>
          <w:szCs w:val="19"/>
          <w:color w:val="auto"/>
        </w:rPr>
      </w:pPr>
    </w:p>
    <w:p>
      <w:pPr>
        <w:ind w:left="760" w:right="80" w:firstLine="1494"/>
        <w:spacing w:after="0" w:line="274" w:lineRule="auto"/>
        <w:tabs>
          <w:tab w:leader="none" w:pos="2671" w:val="left"/>
        </w:tabs>
        <w:numPr>
          <w:ilvl w:val="1"/>
          <w:numId w:val="59"/>
        </w:numPr>
        <w:rPr>
          <w:rFonts w:ascii="Arial" w:cs="Arial" w:eastAsia="Arial" w:hAnsi="Arial"/>
          <w:sz w:val="19"/>
          <w:szCs w:val="19"/>
          <w:color w:val="FF0000"/>
          <w:strike w:val="1"/>
        </w:rPr>
      </w:pPr>
      <w:r>
        <w:rPr>
          <w:rFonts w:ascii="Arial" w:cs="Arial" w:eastAsia="Arial" w:hAnsi="Arial"/>
          <w:sz w:val="19"/>
          <w:szCs w:val="19"/>
          <w:color w:val="FF0000"/>
          <w:strike w:val="1"/>
        </w:rPr>
        <w:t xml:space="preserve">Administrative Agent does not warrant or accept any responsibility for, and shall not have any liability with respect to, the administration of, submission of, calculation of, or any other matter related to the London interbank offered rate or other rates in the definition of “Eurodollar Funding Rate” or any alternative or successor rate thereto, or replacement rate thereof (including, without limitation, (i) any such alternative, successor or replacement rate implemented pursuant to this </w:t>
      </w:r>
      <w:r>
        <w:rPr>
          <w:rFonts w:ascii="Arial" w:cs="Arial" w:eastAsia="Arial" w:hAnsi="Arial"/>
          <w:sz w:val="19"/>
          <w:szCs w:val="19"/>
          <w:u w:val="single" w:color="auto"/>
          <w:color w:val="FF0000"/>
          <w:strike w:val="1"/>
        </w:rPr>
        <w:t>Section 3.04(c)(vii)</w:t>
      </w:r>
      <w:r>
        <w:rPr>
          <w:rFonts w:ascii="Arial" w:cs="Arial" w:eastAsia="Arial" w:hAnsi="Arial"/>
          <w:sz w:val="19"/>
          <w:szCs w:val="19"/>
          <w:color w:val="FF0000"/>
          <w:strike w:val="1"/>
        </w:rPr>
        <w:t xml:space="preserve">, whether upon the occurrence of a Benchmark Transition Event or an Early Opt-in Election, and (ii) the implementation of any Benchmark Replacement Conforming Changes pursuant to </w:t>
      </w:r>
      <w:r>
        <w:rPr>
          <w:rFonts w:ascii="Arial" w:cs="Arial" w:eastAsia="Arial" w:hAnsi="Arial"/>
          <w:sz w:val="19"/>
          <w:szCs w:val="19"/>
          <w:u w:val="single" w:color="auto"/>
          <w:color w:val="FF0000"/>
          <w:strike w:val="1"/>
        </w:rPr>
        <w:t>Section 3.04(c)(iii)</w:t>
      </w:r>
      <w:r>
        <w:rPr>
          <w:rFonts w:ascii="Arial" w:cs="Arial" w:eastAsia="Arial" w:hAnsi="Arial"/>
          <w:sz w:val="19"/>
          <w:szCs w:val="19"/>
          <w:color w:val="FF0000"/>
          <w:strike w:val="1"/>
        </w:rPr>
        <w:t>, including without limitation, (A) whether the composition or characteristics of any such alternative, successor or replacement reference rate for any currency will be similar to, or produce the same value or economic equivalence of, or have the same volume or liquidity as, the applicable Eurodollar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-408305</wp:posOffset>
            </wp:positionV>
            <wp:extent cx="66160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16065" cy="889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7" w:name="page88"/>
    <w:bookmarkEnd w:id="87"/>
    <w:p>
      <w:pPr>
        <w:ind w:left="760" w:right="60"/>
        <w:spacing w:after="0" w:line="252" w:lineRule="auto"/>
        <w:rPr>
          <w:sz w:val="20"/>
          <w:szCs w:val="20"/>
          <w:color w:val="auto"/>
        </w:rPr>
      </w:pPr>
      <w:r>
        <w:rPr>
          <w:rFonts w:ascii="Arial" w:cs="Arial" w:eastAsia="Arial" w:hAnsi="Arial"/>
          <w:sz w:val="21"/>
          <w:szCs w:val="21"/>
          <w:color w:val="FF0000"/>
          <w:strike w:val="1"/>
        </w:rPr>
        <w:t>Funding Rate for Advances denominated in such currency as did the London interbank offered rate prior to its discontinuance or unavailability, and (B) the impact or effect of such alternative, successor or replacement reference rate or Benchmark Replacement Conforming Changes on any other financial products or agreements in effect or offered by or to any Co-Issuer, Guarantor or Investor or any of their respective Affiliates.</w:t>
      </w:r>
    </w:p>
    <w:p>
      <w:pPr>
        <w:spacing w:after="0" w:line="174" w:lineRule="exact"/>
        <w:rPr>
          <w:sz w:val="20"/>
          <w:szCs w:val="20"/>
          <w:color w:val="auto"/>
        </w:rPr>
      </w:pPr>
    </w:p>
    <w:p>
      <w:pPr>
        <w:ind w:left="760" w:firstLine="1494"/>
        <w:spacing w:after="0" w:line="270" w:lineRule="auto"/>
        <w:tabs>
          <w:tab w:leader="none" w:pos="2743" w:val="left"/>
        </w:tabs>
        <w:numPr>
          <w:ilvl w:val="0"/>
          <w:numId w:val="60"/>
        </w:numPr>
        <w:rPr>
          <w:rFonts w:ascii="Arial" w:cs="Arial" w:eastAsia="Arial" w:hAnsi="Arial"/>
          <w:sz w:val="19"/>
          <w:szCs w:val="19"/>
          <w:color w:val="FF0000"/>
          <w:strike w:val="1"/>
        </w:rPr>
      </w:pPr>
      <w:r>
        <w:rPr>
          <w:rFonts w:ascii="Arial" w:cs="Arial" w:eastAsia="Arial" w:hAnsi="Arial"/>
          <w:sz w:val="19"/>
          <w:szCs w:val="19"/>
          <w:color w:val="FF0000"/>
          <w:strike w:val="1"/>
        </w:rPr>
        <w:t xml:space="preserve">Each Co-Issuer and Guarantor (including those that that become party hereto after the date hereof), in its respective capacity as a Co-Issuer or Guarantor, or other similar capacity in which such party acts as direct or indirect, or primary or secondary, obligor, accommodation party or guarantor or grants liens or security interests in or to its properties hereunder or under any other Related Document, hereby acknowledges and agrees to be bound by the provisions of this </w:t>
      </w:r>
      <w:r>
        <w:rPr>
          <w:rFonts w:ascii="Arial" w:cs="Arial" w:eastAsia="Arial" w:hAnsi="Arial"/>
          <w:sz w:val="19"/>
          <w:szCs w:val="19"/>
          <w:u w:val="single" w:color="auto"/>
          <w:color w:val="FF0000"/>
          <w:strike w:val="1"/>
        </w:rPr>
        <w:t>Section 4.03(c)</w:t>
      </w:r>
      <w:r>
        <w:rPr>
          <w:rFonts w:ascii="Arial" w:cs="Arial" w:eastAsia="Arial" w:hAnsi="Arial"/>
          <w:sz w:val="19"/>
          <w:szCs w:val="19"/>
          <w:color w:val="FF0000"/>
          <w:strike w:val="1"/>
        </w:rPr>
        <w:t xml:space="preserve"> (including, without limitation, the implementation from time to time of any Benchmark Replacement and any Benchmark Replacement Conforming Changes in accordance herewith) and, in furtherance of the forgoing (and without, in any way express or implied, invalidating, impairing or otherwise negatively affecting any obligations heretofore provided) hereby acknowledges and agrees that in connection with and after giving effect to any Benchmark Cessation Changes: (i) its Obligations shall not in any way be novated, discharged or otherwise impaired, and shall continue, be ratified and be affirmed and shall remain in full force in effect, (ii) its grant of a guarantee, pledge, assignment or any other accommodation, lien or security interests in or to its properties relating to this Agreement or any other Related Document shall continue, be ratified and be affirmed, and shall remain in full force and effect and shall not be novated, discharged or otherwise impaired and (iii) the Loan Documents and its obligations thereunder (contingent or otherwise) shall continue, be ratified and be affirmed and shall remain in full force and effect and shall not be novated, discharged or otherwise impaired. In addition, each Co-Issuer and Guarantor hereby fully waives any requirements to notify Co-Issuer or Guarantor of any Benchmark Cessation Changes (except as expressly provided in this </w:t>
      </w:r>
      <w:r>
        <w:rPr>
          <w:rFonts w:ascii="Arial" w:cs="Arial" w:eastAsia="Arial" w:hAnsi="Arial"/>
          <w:sz w:val="19"/>
          <w:szCs w:val="19"/>
          <w:u w:val="single" w:color="auto"/>
          <w:color w:val="FF0000"/>
          <w:strike w:val="1"/>
        </w:rPr>
        <w:t>Section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3.04(c)</w:t>
      </w:r>
      <w:r>
        <w:rPr>
          <w:rFonts w:ascii="Arial" w:cs="Arial" w:eastAsia="Arial" w:hAnsi="Arial"/>
          <w:sz w:val="19"/>
          <w:szCs w:val="19"/>
          <w:color w:val="FF0000"/>
          <w:strike w:val="1"/>
        </w:rPr>
        <w:t xml:space="preserve">). From time to time, each Co-Issuer or Guarantor shall execute and deliver, or cause to be executed and delivered, such instruments, agreements, certificates or documents, and take all such actions, as the Administrative Agent may reasonably request for the purposes implementing or effectuating the provisions of this </w:t>
      </w:r>
      <w:r>
        <w:rPr>
          <w:rFonts w:ascii="Arial" w:cs="Arial" w:eastAsia="Arial" w:hAnsi="Arial"/>
          <w:sz w:val="19"/>
          <w:szCs w:val="19"/>
          <w:u w:val="single" w:color="auto"/>
          <w:color w:val="FF0000"/>
          <w:strike w:val="1"/>
        </w:rPr>
        <w:t>Section 3.04(c)</w:t>
      </w:r>
      <w:r>
        <w:rPr>
          <w:rFonts w:ascii="Arial" w:cs="Arial" w:eastAsia="Arial" w:hAnsi="Arial"/>
          <w:sz w:val="19"/>
          <w:szCs w:val="19"/>
          <w:color w:val="FF0000"/>
          <w:strike w:val="1"/>
        </w:rPr>
        <w:t>, or of renewing, continuing, reaffirming or ratifying the rights of the Administrative Agent and the Investors with respect to the Obligations or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-561340</wp:posOffset>
            </wp:positionV>
            <wp:extent cx="6164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64580" cy="8255"/>
                    </a:xfrm>
                    <a:prstGeom prst="rect">
                      <a:avLst/>
                    </a:prstGeom>
                    <a:noFill/>
                  </pic:spPr>
                </pic:pic>
              </a:graphicData>
            </a:graphic>
          </wp:anchor>
        </w:drawing>
      </w:r>
    </w:p>
    <w:p>
      <w:pPr>
        <w:spacing w:after="0" w:line="38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u w:val="single" w:color="auto"/>
          <w:color w:val="auto"/>
        </w:rPr>
        <w:t>Section 3.05Increased Costs, etc.</w:t>
      </w:r>
      <w:r>
        <w:rPr>
          <w:rFonts w:ascii="Arial" w:cs="Arial" w:eastAsia="Arial" w:hAnsi="Arial"/>
          <w:sz w:val="21"/>
          <w:szCs w:val="21"/>
          <w:color w:val="auto"/>
        </w:rPr>
        <w:t>The Co-Issuers jointly and severally agree to reimburse each Investor and any Program Support Provider (each, an “Affected Person”, which term, for purposes of Sections 3.07, 3.08 and 3.09, shall also include the Swingline Lender and the L/C Issuing Bank) for any increase in the cost of, or any reduction in the amount of any sum receivable by any such Affected Person, including reductions in the rate of return on such Affected Person’s capital, in respect of funding or maintaining (or of its obligation to fund or maintain) any Advances that arise in connection with any Change in Law, except for any Change in Law with respect to increased capital costs and Taxes which shall be governed by Sections 3.07 and 3.08, respectively (whether or not amounts are payable thereunder in respect thereof). Each such demand shall be provided to the related Funding Agent and the Co-Issuers in writing and shall state, in reasonable detail, the reasons therefor and the additional amount required fully to compensate such Affected Person for such increased cost or reduced amount of return. Such additional amounts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8" w:name="page89"/>
    <w:bookmarkEnd w:id="88"/>
    <w:p>
      <w:pPr>
        <w:jc w:val="both"/>
        <w:spacing w:after="0" w:line="274" w:lineRule="auto"/>
        <w:rPr>
          <w:sz w:val="20"/>
          <w:szCs w:val="20"/>
          <w:color w:val="auto"/>
        </w:rPr>
      </w:pPr>
      <w:r>
        <w:rPr>
          <w:rFonts w:ascii="Arial" w:cs="Arial" w:eastAsia="Arial" w:hAnsi="Arial"/>
          <w:sz w:val="19"/>
          <w:szCs w:val="19"/>
          <w:color w:val="auto"/>
        </w:rPr>
        <w:t>Costs”) shall be deposited into the Collection Account by the Co-Issuers within five (5) Business Days of receipt of such notice to be payable as Class A-1 Senior Notes Other Amounts, subject to and in accordance with the Priority of Payments, to the Administrative Agent and by the Administrative Agent to such Funding Agent and by such Funding Agent directly to such Affected Person, and such notice shall, in the absence of manifest error, be conclusive and binding on the Co-Issuers; provided that with respect to any notice given to the Co-Issuers under this Section 3.05, the Co-Issuers shall not be under any obligation to pay any amount with respect to any period prior to the date that is nine (9) months prior to such demand if the relevant Affected Person knew or could reasonably have been expected to know of the circumstances giving rise to such increased costs or reductions in the rate of return (except that, if the Change in Law giving rise to such increased costs or reductions is retroactive, then the nine-month period referred to above shall be extended to include the period of retroactive effect thereof).</w:t>
      </w:r>
    </w:p>
    <w:p>
      <w:pPr>
        <w:spacing w:after="0" w:line="15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u w:val="single" w:color="auto"/>
          <w:color w:val="auto"/>
        </w:rPr>
        <w:t>Section 3.06Funding Losses</w:t>
      </w:r>
      <w:r>
        <w:rPr>
          <w:rFonts w:ascii="Arial" w:cs="Arial" w:eastAsia="Arial" w:hAnsi="Arial"/>
          <w:sz w:val="19"/>
          <w:szCs w:val="19"/>
          <w:color w:val="auto"/>
        </w:rPr>
        <w:t xml:space="preserve">. In the event any Affected Person shall incur any loss or expense (including any loss or expense incurred by reason of the liquidation or reemployment of deposits or other funds acquired by such Affected Person to fund or maintain any portion of the principal amount of any Advance as a </w:t>
      </w:r>
      <w:r>
        <w:rPr>
          <w:rFonts w:ascii="Arial" w:cs="Arial" w:eastAsia="Arial" w:hAnsi="Arial"/>
          <w:sz w:val="19"/>
          <w:szCs w:val="19"/>
          <w:color w:val="FF0000"/>
          <w:strike w:val="1"/>
        </w:rPr>
        <w:t>Eurodollar</w:t>
      </w:r>
      <w:r>
        <w:rPr>
          <w:rFonts w:ascii="Arial" w:cs="Arial" w:eastAsia="Arial" w:hAnsi="Arial"/>
          <w:sz w:val="19"/>
          <w:szCs w:val="19"/>
          <w:u w:val="single" w:color="auto"/>
          <w:color w:val="0000FF"/>
        </w:rPr>
        <w:t>SOFR</w:t>
      </w:r>
      <w:r>
        <w:rPr>
          <w:rFonts w:ascii="Arial" w:cs="Arial" w:eastAsia="Arial" w:hAnsi="Arial"/>
          <w:sz w:val="19"/>
          <w:szCs w:val="19"/>
          <w:color w:val="auto"/>
        </w:rPr>
        <w:t xml:space="preserve"> Advance) as a result of:</w:t>
      </w:r>
    </w:p>
    <w:p>
      <w:pPr>
        <w:spacing w:after="0" w:line="134" w:lineRule="exact"/>
        <w:rPr>
          <w:sz w:val="20"/>
          <w:szCs w:val="20"/>
          <w:color w:val="auto"/>
        </w:rPr>
      </w:pPr>
    </w:p>
    <w:p>
      <w:pPr>
        <w:jc w:val="both"/>
        <w:ind w:firstLine="1505"/>
        <w:spacing w:after="0" w:line="238" w:lineRule="auto"/>
        <w:tabs>
          <w:tab w:leader="none" w:pos="20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any conversion, repayment, prepayment or redemption (for any reason, including, without limitation, as a result of any Mandatory Decrease or Voluntary Decrease, or the acceleration of the maturity of such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Advance) of the principal amount of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Advance on a date other than the scheduled last day of the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Interest </w:t>
      </w:r>
      <w:r>
        <w:rPr>
          <w:rFonts w:ascii="Arial" w:cs="Arial" w:eastAsia="Arial" w:hAnsi="Arial"/>
          <w:sz w:val="22"/>
          <w:szCs w:val="22"/>
          <w:u w:val="single" w:color="auto"/>
          <w:color w:val="0000FF"/>
        </w:rPr>
        <w:t>Accrual</w:t>
      </w:r>
      <w:r>
        <w:rPr>
          <w:rFonts w:ascii="Arial" w:cs="Arial" w:eastAsia="Arial" w:hAnsi="Arial"/>
          <w:sz w:val="22"/>
          <w:szCs w:val="22"/>
          <w:color w:val="auto"/>
        </w:rPr>
        <w:t xml:space="preserve"> Period applicable thereto;</w:t>
      </w:r>
    </w:p>
    <w:p>
      <w:pPr>
        <w:spacing w:after="0" w:line="184" w:lineRule="exact"/>
        <w:rPr>
          <w:rFonts w:ascii="Arial" w:cs="Arial" w:eastAsia="Arial" w:hAnsi="Arial"/>
          <w:sz w:val="22"/>
          <w:szCs w:val="22"/>
          <w:color w:val="auto"/>
        </w:rPr>
      </w:pPr>
    </w:p>
    <w:p>
      <w:pPr>
        <w:jc w:val="both"/>
        <w:ind w:firstLine="1505"/>
        <w:spacing w:after="0"/>
        <w:tabs>
          <w:tab w:leader="none" w:pos="20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any Advance not being funded or maintained as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Advance after a request therefor has been made in accordance with the terms contained herein (for a reason other than the failure of such Affected Person to make an Advance after all conditions thereto have been met); or</w:t>
      </w:r>
    </w:p>
    <w:p>
      <w:pPr>
        <w:spacing w:after="0" w:line="186" w:lineRule="exact"/>
        <w:rPr>
          <w:rFonts w:ascii="Arial" w:cs="Arial" w:eastAsia="Arial" w:hAnsi="Arial"/>
          <w:sz w:val="22"/>
          <w:szCs w:val="22"/>
          <w:color w:val="auto"/>
        </w:rPr>
      </w:pPr>
    </w:p>
    <w:p>
      <w:pPr>
        <w:jc w:val="both"/>
        <w:ind w:firstLine="1505"/>
        <w:spacing w:after="0" w:line="244" w:lineRule="auto"/>
        <w:tabs>
          <w:tab w:leader="none" w:pos="2036"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any failure of the Co-Issuers to make a Mandatory Decrease or a Voluntary Decrease, prepayment or redemption with respect to any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Advance after giving notice thereof pursuant to the applicable provisions of the Series 2021-1 Supplement; then, upon the written notice of any Affected Person to the related Funding Agent and the Co-Issuers, the Co-Issuers jointly and severally shall deposit into the Collection Account (within five (5) Business Days of receipt of such notice) to be payable as Class A-1 Senior Notes Other Amounts, subject to and in accordance with the Priority of Payments, to the Administrative Agent and by the Administrative Agent to such Funding Agent and such Funding Agent shall pay directly to such Affected Person such amount (“</w:t>
      </w:r>
      <w:r>
        <w:rPr>
          <w:rFonts w:ascii="Arial" w:cs="Arial" w:eastAsia="Arial" w:hAnsi="Arial"/>
          <w:sz w:val="21"/>
          <w:szCs w:val="21"/>
          <w:u w:val="single" w:color="auto"/>
          <w:color w:val="auto"/>
        </w:rPr>
        <w:t>Breakage Amoun</w:t>
      </w:r>
      <w:r>
        <w:rPr>
          <w:rFonts w:ascii="Arial" w:cs="Arial" w:eastAsia="Arial" w:hAnsi="Arial"/>
          <w:sz w:val="21"/>
          <w:szCs w:val="21"/>
          <w:color w:val="auto"/>
        </w:rPr>
        <w:t>t” or “</w:t>
      </w:r>
      <w:r>
        <w:rPr>
          <w:rFonts w:ascii="Arial" w:cs="Arial" w:eastAsia="Arial" w:hAnsi="Arial"/>
          <w:sz w:val="21"/>
          <w:szCs w:val="21"/>
          <w:u w:val="single" w:color="auto"/>
          <w:color w:val="auto"/>
        </w:rPr>
        <w:t>Series 2021-1 Class A-1 Breakage Amount</w:t>
      </w:r>
      <w:r>
        <w:rPr>
          <w:rFonts w:ascii="Arial" w:cs="Arial" w:eastAsia="Arial" w:hAnsi="Arial"/>
          <w:sz w:val="21"/>
          <w:szCs w:val="21"/>
          <w:color w:val="auto"/>
        </w:rPr>
        <w:t xml:space="preserve">”) as will (in the reasonable determination of such Affected Person) reimburse such Affected Person for such loss or expense;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notice given to the Co-Issuers under this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the Co-Issuers shall not be under any obligation to pay any amount with respect to any period prior to the date that is nine (9) months prior to such demand if the relevant Affected Person knew or could reasonably have been expected to know of the circumstances giving rise to such loss or expense. Such written notice (which shall include calculations in reasonable detail) shall, in the absence of manifest error, be conclusive and binding on the Co-Issuers.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9" w:name="page90"/>
    <w:bookmarkEnd w:id="89"/>
    <w:p>
      <w:pPr>
        <w:jc w:val="both"/>
        <w:ind w:firstLine="749"/>
        <w:spacing w:after="0" w:line="269" w:lineRule="auto"/>
        <w:rPr>
          <w:sz w:val="20"/>
          <w:szCs w:val="20"/>
          <w:color w:val="auto"/>
        </w:rPr>
      </w:pPr>
      <w:r>
        <w:rPr>
          <w:rFonts w:ascii="Arial" w:cs="Arial" w:eastAsia="Arial" w:hAnsi="Arial"/>
          <w:sz w:val="19"/>
          <w:szCs w:val="19"/>
          <w:u w:val="single" w:color="auto"/>
          <w:color w:val="auto"/>
        </w:rPr>
        <w:t>Section 3.07Increased Capital or Liquidity Costs</w:t>
      </w:r>
      <w:r>
        <w:rPr>
          <w:rFonts w:ascii="Arial" w:cs="Arial" w:eastAsia="Arial" w:hAnsi="Arial"/>
          <w:sz w:val="19"/>
          <w:szCs w:val="19"/>
          <w:color w:val="auto"/>
        </w:rPr>
        <w:t>. If any Change in Law affects or would affect the amount of capital or liquidity required or reasonably expected to be maintained by any Affected Person or any Person controlling such Affected Person and such Affected Person determines in its sole and absolute discretion that the rate of return on its or such controlling Person’s capital as a consequence of its commitment hereunder or under a Program Support Agreement or the Advances, Swingline Loans or Letters of Credit made or issued by such Affected Person is reduced to a level below that which such Affected Person or such controlling Person would have achieved but for the occurrence of any such circumstance, then, in any such case after notice from time to time by such Affected Person (or in the case of an L/C Issuing Bank, by the L/C Provider) to the related Funding Agent and the Co-Issuers (or, in the case of the Swingline Lender or the L/C Provider, to the Co-Issuers), the Co-Issuers jointly and severally shall deposit into the Collection Account within five (5) Business Days of the Co-Issuers’ receipt of such notice, to be payable as Class A-1 Senior Notes Other Amounts, subject to and in accordance with the Priority of Payments, to the Administrative Agent and by the Administrative Agent to such Funding Agent (or, in the case of the Swingline Lender or the L/C Provider, directly to such Person) and such Funding Agent shall pay to such Affected Person, such amounts (“</w:t>
      </w:r>
      <w:r>
        <w:rPr>
          <w:rFonts w:ascii="Arial" w:cs="Arial" w:eastAsia="Arial" w:hAnsi="Arial"/>
          <w:sz w:val="19"/>
          <w:szCs w:val="19"/>
          <w:u w:val="single" w:color="auto"/>
          <w:color w:val="auto"/>
        </w:rPr>
        <w:t>Increased Capital Costs</w:t>
      </w:r>
      <w:r>
        <w:rPr>
          <w:rFonts w:ascii="Arial" w:cs="Arial" w:eastAsia="Arial" w:hAnsi="Arial"/>
          <w:sz w:val="19"/>
          <w:szCs w:val="19"/>
          <w:color w:val="auto"/>
        </w:rPr>
        <w:t xml:space="preserve"> ”) as will be sufficient to compensate such Affected Person or such controlling Person for such reduction in rate of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notice given to the Co-Issuers under this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the Co-Issuers shall not be under any obligation to pay any amount with respect to any period prior to the date that is nine (9) months prior to such demand if the relevant Affected Person knew or could reasonably have been expected to know of the Change in Law (except that, if the Change in Law giving rise to such increased costs or reductions is retroactive, then the nine-month period referred to above shall be extended to include the period of retroactive effect thereof). A statement of such Affected Person as to any such additional amount or amounts (including calculations thereof in reasonable detail), in the absence of manifest error, shall be conclusive and binding on the Co-Issuers. In determining such additional amount, such Affected Person may use any method of averaging and attribution that it (in its reasonable discretion) shall deem applicable so long as it applies such method to other similar transactions.</w:t>
      </w: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3.08Taxes.</w:t>
      </w:r>
    </w:p>
    <w:p>
      <w:pPr>
        <w:spacing w:after="0" w:line="206" w:lineRule="exact"/>
        <w:rPr>
          <w:sz w:val="20"/>
          <w:szCs w:val="20"/>
          <w:color w:val="auto"/>
        </w:rPr>
      </w:pPr>
    </w:p>
    <w:p>
      <w:pPr>
        <w:jc w:val="both"/>
        <w:ind w:firstLine="1505"/>
        <w:spacing w:after="0" w:line="272" w:lineRule="auto"/>
        <w:tabs>
          <w:tab w:leader="none" w:pos="20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Except as otherwise required by law, all payments by the Co-Issuers of principal of, and interest on, the Advances, the Swingline Loans and the L/C Obligations and all other amounts payable hereunder (including fees) shall be made free and clear of and without deduction or withholding for or on account of any present or future income, excise, documentary, property, stamp or franchise taxes and other taxes, fees, duties, withholdings or other charges in the nature of a tax imposed by any taxing authority including all interest, penalties or additions to tax and other liabilities with respect thereto (all such taxes, fees, duties, withholdings and other charges, and including all interest, penalties or additions to tax and other liabilities with respect thereto, being called “</w:t>
      </w:r>
      <w:r>
        <w:rPr>
          <w:rFonts w:ascii="Arial" w:cs="Arial" w:eastAsia="Arial" w:hAnsi="Arial"/>
          <w:sz w:val="19"/>
          <w:szCs w:val="19"/>
          <w:u w:val="single" w:color="auto"/>
          <w:color w:val="auto"/>
        </w:rPr>
        <w:t>Class A-1 Taxes</w:t>
      </w:r>
      <w:r>
        <w:rPr>
          <w:rFonts w:ascii="Arial" w:cs="Arial" w:eastAsia="Arial" w:hAnsi="Arial"/>
          <w:sz w:val="19"/>
          <w:szCs w:val="19"/>
          <w:color w:val="auto"/>
        </w:rPr>
        <w:t>”), but excluding in the case of any Affected Person (i) net income, franchise (imposed in lieu of net income) or similar Class A-1 Taxes (and including branch profits or alternative minimum Class A-1 Taxes) and any other Class A-1 Taxes imposed or levied on the Affected Person as a result of a connection between the Affected Person and the jurisdiction of the Governmental Authority imposing such Class A-1 Taxes (or any political subdivision or taxing authority thereof or therein) (other than any such connection arising solely from such Affected Person having executed, delivered or performed its obligations or received a payment under, or enforced, this Agreement or any other Related Document), (ii)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9"/>
          <w:szCs w:val="19"/>
          <w:color w:val="auto"/>
        </w:rPr>
        <w:t>Affected Person organized under the laws of a jurisdiction other than the United States or any state of the United States (“</w:t>
      </w:r>
      <w:r>
        <w:rPr>
          <w:rFonts w:ascii="Arial" w:cs="Arial" w:eastAsia="Arial" w:hAnsi="Arial"/>
          <w:sz w:val="19"/>
          <w:szCs w:val="19"/>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Affected Person</w:t>
      </w:r>
      <w:r>
        <w:rPr>
          <w:rFonts w:ascii="Arial" w:cs="Arial" w:eastAsia="Arial" w:hAnsi="Arial"/>
          <w:sz w:val="19"/>
          <w:szCs w:val="19"/>
          <w:color w:val="auto"/>
        </w:rPr>
        <w:t xml:space="preserve">”), any withholding Tax that is imposed on amounts payable to the Foreign Affected Person at the time the Foreign Affected Person becomes a party to this Agreement (or designates a new lending office), except to the extent that such Foreign Affected Person (or its assignor, if any) was already entitled, at the time of the designation of the new lending office (or assignment), to receive additional amounts from the Co-Issuers with respect to withholding Tax, (iii) with respect to any Affected Person, any Class A-1 Taxes imposed under FATCA, (iv) any backup withholding Tax and (v) with respect to any Affected Person, any Class A-1 Taxes imposed as a result of such Affected Person’s failure to comply with </w:t>
      </w:r>
      <w:r>
        <w:rPr>
          <w:rFonts w:ascii="Arial" w:cs="Arial" w:eastAsia="Arial" w:hAnsi="Arial"/>
          <w:sz w:val="19"/>
          <w:szCs w:val="19"/>
          <w:u w:val="single" w:color="auto"/>
          <w:color w:val="auto"/>
        </w:rPr>
        <w:t>Section 3.08(d)</w:t>
      </w:r>
      <w:r>
        <w:rPr>
          <w:rFonts w:ascii="Arial" w:cs="Arial" w:eastAsia="Arial" w:hAnsi="Arial"/>
          <w:sz w:val="19"/>
          <w:szCs w:val="19"/>
          <w:color w:val="auto"/>
        </w:rPr>
        <w:t xml:space="preserve"> (such Class A-1 Taxes not excluded by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being called “</w:t>
      </w:r>
      <w:r>
        <w:rPr>
          <w:rFonts w:ascii="Arial" w:cs="Arial" w:eastAsia="Arial" w:hAnsi="Arial"/>
          <w:sz w:val="19"/>
          <w:szCs w:val="19"/>
          <w:u w:val="single" w:color="auto"/>
          <w:color w:val="auto"/>
        </w:rPr>
        <w:t>Non-Excluded Taxes</w:t>
      </w:r>
      <w:r>
        <w:rPr>
          <w:rFonts w:ascii="Arial" w:cs="Arial" w:eastAsia="Arial" w:hAnsi="Arial"/>
          <w:sz w:val="19"/>
          <w:szCs w:val="19"/>
          <w:color w:val="auto"/>
        </w:rPr>
        <w:t>”). If any Class A-1 Taxes are imposed and required by law to be withheld or deducted from any amount payable by the Co-Issuers hereunder to an Affected Person, then, if such Class A-1 Taxes are Non-Excluded Taxes, (x) the amount of the payment shall be increased so that such payment is made, after withholding or deduction for or on account of such Non-Excluded Taxes, in an amount that is not less than the amount equal to the sum that would have been received by the Affected Person had no such deduction or withholding been required and (y) the Co-Issuers shall withhold the amount of such Class A-1 Taxes from such payment (as increased, if applicable, pursuant to the preceding clause (x)) and shall pay such amount, subject to and in accordance with the Priority of Payments, to the taxing authority imposing such Class A-1 Taxes in accordance with applicable law.</w:t>
      </w:r>
    </w:p>
    <w:p>
      <w:pPr>
        <w:spacing w:after="0" w:line="160" w:lineRule="exact"/>
        <w:rPr>
          <w:sz w:val="20"/>
          <w:szCs w:val="20"/>
          <w:color w:val="auto"/>
        </w:rPr>
      </w:pPr>
    </w:p>
    <w:p>
      <w:pPr>
        <w:jc w:val="both"/>
        <w:ind w:firstLine="1505"/>
        <w:spacing w:after="0" w:line="271" w:lineRule="auto"/>
        <w:tabs>
          <w:tab w:leader="none" w:pos="203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Moreover, if any Non-Excluded Taxes are directly asserted against any Affected Person with respect to any payment received by such Affected Person from the Co-Issuers or otherwise in respect of any Related Document or the transactions contemplated therein, such Affected Person may pay such Non-Excluded Taxes and the Co-Issuers will jointly and severally, within fifteen (15) Business Days of the related Funding Agent’s and Co-Issuers’ receipt of written notice stating the amount of such Non-Excluded Taxes (including the calculation thereof in reasonable detail), deposit into the Collection Account, to be distributed as Class A-1 Senior Notes Other Amounts, subject to and in accordance with the Priority of Payments, to the Administrative Agent and by the Administrative Agent to such Funding Agent and by such Funding Agent directly to such Affected Persons, such additional amounts (collectively, </w:t>
      </w:r>
      <w:r>
        <w:rPr>
          <w:rFonts w:ascii="Arial" w:cs="Arial" w:eastAsia="Arial" w:hAnsi="Arial"/>
          <w:sz w:val="19"/>
          <w:szCs w:val="19"/>
          <w:u w:val="single" w:color="auto"/>
          <w:color w:val="auto"/>
        </w:rPr>
        <w:t>“Increased Tax Costs,”</w:t>
      </w:r>
      <w:r>
        <w:rPr>
          <w:rFonts w:ascii="Arial" w:cs="Arial" w:eastAsia="Arial" w:hAnsi="Arial"/>
          <w:sz w:val="19"/>
          <w:szCs w:val="19"/>
          <w:color w:val="auto"/>
        </w:rPr>
        <w:t xml:space="preserve"> which term shall include all amounts payable by or on behalf of any Co-Issuer pursuant to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as is necessary in order that the net amount received by such Affected Person after the payment of such Non-Excluded Taxes (including any Non-Excluded Taxes on such Increased Tax Costs) shall equal the amount such Person would have retained had no such Non-Excluded Taxes been asserted. Any amount payable to an Affected Person under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shall be reduced by, and Increased Tax Costs shall not include, the amount of incremental damages (including Class A-1 Taxes) due or payable by any Co-Issuer as a direct result of such Affected Person’s failure to demand from the Co-Issuers additional amounts pursuant to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within 180 days from the date on which the related Non-Excluded Taxes were incurred.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505"/>
        <w:spacing w:after="0" w:line="238" w:lineRule="auto"/>
        <w:tabs>
          <w:tab w:leader="none" w:pos="203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As promptly as practicable after the payment of any Class A-1 Taxes, and in any event within thirty (30) days of any such payment being due, the Co-Issuers shall furnish to each applicable Affected Person or its agents a certified copy of an official receipt (or other documentary evidence satisfactory to such Affected Person and agents) evidencing the payment of such Class A-1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1" w:name="page92"/>
    <w:bookmarkEnd w:id="91"/>
    <w:p>
      <w:pPr>
        <w:jc w:val="both"/>
        <w:ind w:left="-1120" w:firstLine="1505"/>
        <w:spacing w:after="0" w:line="270" w:lineRule="auto"/>
        <w:tabs>
          <w:tab w:leader="none" w:pos="9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Each Affected Person, on or prior to the date it becomes a party to this Agreement (and from time to time thereafter as soon as practicable after the obsolescence or invalidity of any form or document previously delivered or within a reasonable period of time following a written request by the Co-Issuers), shall deliver to any Co-Issuer (or to more than one Co-Issuer, as the Co-Issuers may reasonably request) and the Administrative Agent a U.S. Internal Revenue Service Form W-8BEN, Form W-8BEN-E, Form W-8ECI, Form W-8IMY or Form W-9, as applicable, or applicable successor form, or such other forms or documents (or successor forms or documents), appropriately completed and executed, as may be applicable, as will permit such Co-Issuer (or Co-Issuers) or the Administrative Agent, in their reasonable determination, to establish the extent to which a payment to such Affected Person is exempt from, or eligible for a reduced rate of, United States federal withholding Taxes including but not limited to, such information necessary to claim the benefits of the exemption for portfolio interest under section 881(c) of the Code and to determine whether or not such Affected Person is subject to backup withholding or information reporting requirements. Promptly following the receipt of a written request by the Co-Issuers or the Administrative Agent, each Affected Person shall deliver to any Co-Issuer (or to more than one Co-Issuer, as the Co-Issuers may reasonably request) and the Administrative Agent any other forms or documents (or successor forms or documents), appropriately completed and executed, as may be applicable to establish the extent to which a payment to such Affected Person is exempt from withholding or deduction of Non-Excluded Taxes other than United States federal withholding Taxes. The Co-Issuers and the Administrative Agent (or other withholding agent selected by the Co-Issuers) may rely on any form or document provided pursuant to this </w:t>
      </w:r>
      <w:r>
        <w:rPr>
          <w:rFonts w:ascii="Arial" w:cs="Arial" w:eastAsia="Arial" w:hAnsi="Arial"/>
          <w:sz w:val="19"/>
          <w:szCs w:val="19"/>
          <w:u w:val="single" w:color="auto"/>
          <w:color w:val="auto"/>
        </w:rPr>
        <w:t>Section 3.08(d)</w:t>
      </w:r>
      <w:r>
        <w:rPr>
          <w:rFonts w:ascii="Arial" w:cs="Arial" w:eastAsia="Arial" w:hAnsi="Arial"/>
          <w:sz w:val="19"/>
          <w:szCs w:val="19"/>
          <w:color w:val="auto"/>
        </w:rPr>
        <w:t xml:space="preserve"> until notified otherwise by the Affected Person that delivered such form or document. Notwithstanding anything to the contrary, no Affected Person shall be required to deliver any documentation that it is not legally eligible to deliver as a result of a change in applicable law after the time the Affected Person becomes a party to this Agreement (or designates a new lending office).</w:t>
      </w:r>
    </w:p>
    <w:p>
      <w:pPr>
        <w:spacing w:after="0" w:line="162" w:lineRule="exact"/>
        <w:rPr>
          <w:rFonts w:ascii="Arial" w:cs="Arial" w:eastAsia="Arial" w:hAnsi="Arial"/>
          <w:sz w:val="19"/>
          <w:szCs w:val="19"/>
          <w:color w:val="auto"/>
        </w:rPr>
      </w:pPr>
    </w:p>
    <w:p>
      <w:pPr>
        <w:ind w:left="-1120" w:firstLine="1505"/>
        <w:spacing w:after="0" w:line="328" w:lineRule="auto"/>
        <w:tabs>
          <w:tab w:leader="none" w:pos="9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Administrative Agent, Trustee, Paying Agent or any other withholding agent may deduct and withhold any Class A-1 Taxes required by any laws to be deducted and withheld from any payments pursuant to this Agreement.</w:t>
      </w:r>
    </w:p>
    <w:p>
      <w:pPr>
        <w:spacing w:after="0" w:line="104" w:lineRule="exact"/>
        <w:rPr>
          <w:rFonts w:ascii="Arial" w:cs="Arial" w:eastAsia="Arial" w:hAnsi="Arial"/>
          <w:sz w:val="19"/>
          <w:szCs w:val="19"/>
          <w:color w:val="auto"/>
        </w:rPr>
      </w:pPr>
    </w:p>
    <w:p>
      <w:pPr>
        <w:jc w:val="both"/>
        <w:ind w:left="-1120" w:firstLine="1505"/>
        <w:spacing w:after="0" w:line="274" w:lineRule="auto"/>
        <w:tabs>
          <w:tab w:leader="none" w:pos="9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If any Governmental Authority asserts that the Co-Issuers or the Administrative Agent or other withholding agent did not properly withhold or backup withhold, as the case may be, any Class A-1 Taxes from payments made to or for the account of any Affected Person, then to the extent such improper withholding or backup withholding was directly caused by such Affected Person’s actions or inactions, such Affected Person shall indemnify the Co-Issuers, Trustee, Paying Agent and the Administrative Agent for any Class A-1 Taxes imposed by any jurisdiction on the amounts payable to the Co-Issuers and the Administrative Agent under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and costs and expenses (including attorney costs) of the Co-Issuers, Trustee, Paying Agent and the Administrative Agent. The obligation of the Affected Persons, severally, under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shall survive any assignment of rights by, or the replacement of, an Affected Person or the termination of the aggregate Commitments, repayment of all other Obligations hereunder and the resignation of the Administrative Agent.</w:t>
      </w:r>
    </w:p>
    <w:p>
      <w:pPr>
        <w:spacing w:after="0" w:line="158" w:lineRule="exact"/>
        <w:rPr>
          <w:rFonts w:ascii="Arial" w:cs="Arial" w:eastAsia="Arial" w:hAnsi="Arial"/>
          <w:sz w:val="19"/>
          <w:szCs w:val="19"/>
          <w:color w:val="auto"/>
        </w:rPr>
      </w:pPr>
    </w:p>
    <w:p>
      <w:pPr>
        <w:ind w:left="-1120" w:firstLine="1505"/>
        <w:spacing w:after="0" w:line="250" w:lineRule="auto"/>
        <w:tabs>
          <w:tab w:leader="none" w:pos="9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Prior to the Series 2021-1 Closing Date, the Administrative Agent will provide the Co-Issuers with a properly executed and completed U.S. Internal Revenue Service Form W-8IMY or W-9,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506095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604" w:right="339" w:bottom="1440" w:gutter="0" w:footer="0" w:header="0"/>
        </w:sectPr>
      </w:pPr>
    </w:p>
    <w:bookmarkStart w:id="92" w:name="page93"/>
    <w:bookmarkEnd w:id="92"/>
    <w:p>
      <w:pPr>
        <w:jc w:val="both"/>
        <w:ind w:firstLine="1505"/>
        <w:spacing w:after="0" w:line="271" w:lineRule="auto"/>
        <w:tabs>
          <w:tab w:leader="none" w:pos="2036"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If an Affected Person determines, in its sole reasonable discretion, that it has received a refund of any Non-Excluded Taxes as to which it has been indemnified pursuant to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or as to which it has been paid additional amounts pursuant to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it shall promptly notify the Co-Issuers and the Manager in writing of such refund and shall, within 30 days after receipt of a written request from the Co-Issuers, pay over such refund to a Co-Issuer (but only to the extent of indemnity payments made or additional amounts paid to such Affected Person under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with respect to the Non-Excluded Taxes giving rise to such refund), net of all out-of-pocket expenses (including the net amount of Taxes, if any, imposed on or with respect to such refund or payment) of the Affected Person and without interest (other than any interest paid by the relevant taxing authority that is directly attributable to such refund of such Non-Excluded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Co-Issuers, immediately upon the request of the Affected Person to any Co-Issuer (which request shall include a calculation in reasonable detail of the amount to be repaid) agrees to repay the amount of the refund (and any applicable interest) (plus any penalties, interest or other charges imposed by the relevant taxing authority with respect to such amount) to the Affected Person in the event the Affected Person or any other Person is required to repay such refund to such taxing authority. This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shall not be construed to require the Affected Person to make available its Tax returns (or any other information relating to its Taxes that it reasonably deems confidential) to the Co-Issuers or any other Person.</w:t>
      </w:r>
    </w:p>
    <w:p>
      <w:pPr>
        <w:spacing w:after="0" w:line="16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u w:val="single" w:color="auto"/>
          <w:color w:val="auto"/>
        </w:rPr>
        <w:t>Section 3.09Change of Lending Office</w:t>
      </w:r>
      <w:r>
        <w:rPr>
          <w:rFonts w:ascii="Arial" w:cs="Arial" w:eastAsia="Arial" w:hAnsi="Arial"/>
          <w:sz w:val="19"/>
          <w:szCs w:val="19"/>
          <w:color w:val="auto"/>
        </w:rPr>
        <w:t xml:space="preserve">. Each Committed Note Purchaser agrees that, upon the occurrence of any event giving rise to the operation of </w:t>
      </w:r>
      <w:r>
        <w:rPr>
          <w:rFonts w:ascii="Arial" w:cs="Arial" w:eastAsia="Arial" w:hAnsi="Arial"/>
          <w:sz w:val="19"/>
          <w:szCs w:val="19"/>
          <w:u w:val="single" w:color="auto"/>
          <w:color w:val="auto"/>
        </w:rPr>
        <w:t>Sections 3.05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3.07</w:t>
      </w:r>
      <w:r>
        <w:rPr>
          <w:rFonts w:ascii="Arial" w:cs="Arial" w:eastAsia="Arial" w:hAnsi="Arial"/>
          <w:sz w:val="19"/>
          <w:szCs w:val="19"/>
          <w:color w:val="auto"/>
        </w:rPr>
        <w:t xml:space="preserve"> or the payment of additional amounts under </w:t>
      </w:r>
      <w:r>
        <w:rPr>
          <w:rFonts w:ascii="Arial" w:cs="Arial" w:eastAsia="Arial" w:hAnsi="Arial"/>
          <w:sz w:val="19"/>
          <w:szCs w:val="19"/>
          <w:u w:val="single" w:color="auto"/>
          <w:color w:val="auto"/>
        </w:rPr>
        <w:t>Sections 3.08(a)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in each case with respect to an Affected Person in such Committed Note Purchaser’s Investor Group, it will, if requested by the Co-Issuers, use reasonable efforts (subject to overall policy considerations of such Committed Note Purchaser) to designate, or cause the designation of, another lending office for any Advances affected by such event with the object of avoiding the consequences of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designation is made on terms that, in the sole judgment of such Committed Note Purchaser, cause such Committed Note Purchaser and its lending office(s) or the related Affected Person to suffer no economic, legal or regulatory disadvantage;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3.09</w:t>
      </w:r>
      <w:r>
        <w:rPr>
          <w:rFonts w:ascii="Arial" w:cs="Arial" w:eastAsia="Arial" w:hAnsi="Arial"/>
          <w:sz w:val="19"/>
          <w:szCs w:val="19"/>
          <w:color w:val="auto"/>
        </w:rPr>
        <w:t xml:space="preserve"> shall affect or postpone any of the obligations of the Co-Issuers or the rights of any Committed Note Purchaser pursuant to </w:t>
      </w:r>
      <w:r>
        <w:rPr>
          <w:rFonts w:ascii="Arial" w:cs="Arial" w:eastAsia="Arial" w:hAnsi="Arial"/>
          <w:sz w:val="19"/>
          <w:szCs w:val="19"/>
          <w:u w:val="single" w:color="auto"/>
          <w:color w:val="auto"/>
        </w:rPr>
        <w:t>Sections 3.05</w:t>
      </w:r>
      <w:r>
        <w:rPr>
          <w:rFonts w:ascii="Arial" w:cs="Arial" w:eastAsia="Arial" w:hAnsi="Arial"/>
          <w:sz w:val="19"/>
          <w:szCs w:val="19"/>
          <w:color w:val="auto"/>
        </w:rPr>
        <w:t xml:space="preserve">, </w:t>
      </w:r>
      <w:r>
        <w:rPr>
          <w:rFonts w:ascii="Arial" w:cs="Arial" w:eastAsia="Arial" w:hAnsi="Arial"/>
          <w:sz w:val="19"/>
          <w:szCs w:val="19"/>
          <w:u w:val="single" w:color="auto"/>
          <w:color w:val="auto"/>
        </w:rPr>
        <w:t>3.07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3.08</w:t>
      </w:r>
      <w:r>
        <w:rPr>
          <w:rFonts w:ascii="Arial" w:cs="Arial" w:eastAsia="Arial" w:hAnsi="Arial"/>
          <w:sz w:val="19"/>
          <w:szCs w:val="19"/>
          <w:color w:val="auto"/>
        </w:rPr>
        <w:t xml:space="preserve">. If a Committed Note Purchaser notifies the Co-Issuers in writing that such Committed Note Purchaser will be unable to designate, or cause the designation of, another lending office, the Co-Issuers may replace every member (but not any subset thereof) of such Committed Note Purchaser’s entire Investor Group by giving written notice to each member of such Investor Group and the Administrative Agent designating one or more Persons that are willing and able to purchase each member of such Investor Group’s rights and obligations under this Agreement for a purchase price that, with respect to each such member of such Investor Group, will equal the amount owed to each such member of such Investor Group with respect to the Series 2021-1 Class A-1 Advance Notes (whether arising under the Indenture, this Agreement, the Series 2021-1 Class A-1 Advance Notes or otherwise). Upon receipt of such written notice, each member of such Investor Group shall assign its rights and obligations under this Agreement pursuant to and in accordance with </w:t>
      </w:r>
      <w:r>
        <w:rPr>
          <w:rFonts w:ascii="Arial" w:cs="Arial" w:eastAsia="Arial" w:hAnsi="Arial"/>
          <w:sz w:val="19"/>
          <w:szCs w:val="19"/>
          <w:u w:val="single" w:color="auto"/>
          <w:color w:val="auto"/>
        </w:rPr>
        <w:t>Sections 9.17(a),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as applicable, in consideration for such purchase price and at the reasonable expense of the Co-Issuers (including, without limitation, the reasonable documented fees and out-of-pocket expenses of counsel to each such member);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no member of such Investor Group shall be obligated to assign any of its rights and obligations under this Agreement if the purchase price to be paid to such member is not at least equal to the amount owed to such member with respect to the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22"/>
          <w:szCs w:val="22"/>
          <w:color w:val="auto"/>
        </w:rPr>
        <w:t>2021-1 Class A-1 Advance Notes (whether arising under the Indenture, this Agreement, the Series 2021-1 Class A-1 Advance Notes or otherwise).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3.10</w:t>
      </w:r>
      <w:r>
        <w:rPr>
          <w:rFonts w:ascii="Arial" w:cs="Arial" w:eastAsia="Arial" w:hAnsi="Arial"/>
          <w:sz w:val="22"/>
          <w:szCs w:val="22"/>
          <w:u w:val="single" w:color="auto"/>
          <w:color w:val="0000FF"/>
        </w:rPr>
        <w:t>Reaffirmation.</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u w:val="single" w:color="auto"/>
          <w:color w:val="0000FF"/>
        </w:rPr>
        <w:t>The Co-Issuers and each Guarantor (including those that that become party hereto after the date hereof), in its respective capacity as a Co-Issuer, a Guarantor, debtor, obligor, grantor, pledgor, assignor, or other similar capacity in which such party acts as direct or indirect, or primary or secondary, obligor, accommodation party or guarantor or grants liens or security interests in or to its properties hereunder or under any other Related Document, hereby acknowledges and agrees to be bound by the provisions of Section 3.04 (including, without limitation, the implementation from time to time of any Benchmark Replacement and any Conforming Changes in accordance herewith) and, in furtherance of the forgoing (and without, in any way express or implied, invalidating, impairing or otherwise negatively affecting any obligations heretofore provided) hereby acknowledges and agrees that in connection with and after giving effect to any Conforming Changes: (i) its obligations shall not in any way be novated, discharged or otherwise impaired, and shall continue, be ratified and be affirmed and shall remain in full force in effect, (ii) its grant of a guarantee, pledge, assignment or any other accommodation, lien or security interests in or to its properties relating to this Agreement or any other Related Document shall continue, be ratified and be affirmed, and shall remain in full force and effect and shall not be novated, discharged or otherwise impaired and (iii) the Related Documents and its obligations thereunder (contingent or otherwise) shall continue, be ratified and be affirmed and shall remain in full force and effect and shall not be novated, discharged or otherwise impaired. In addition, the Co-Issuers and each Guarantor hereby fully waives any requirements to notify the Co-Issuers or such Guarantor, as applicable, of any Conforming Changes (except as expressly provided in Section 3.04). From time to time, each Co-Issuer and each Guarantor shall execute and deliver, or cause to be executed and delivered, such instruments, agreements, certificates or documents, and take all such actions, as the Administrative Agent may reasonably request for the purposes of implementing or effectuating the provisions of Section 3.04, or of renewing, continuing, reaffirming or ratifying the rights of the Administrative Agent, and the other Secured Parties with respect to the Co-Issuer’s or Guarantor’s obligations or the Collateral.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PAYMENT TERMS</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u w:val="single" w:color="auto"/>
          <w:color w:val="auto"/>
        </w:rPr>
        <w:t>Section 4.01Time and Method of Payment (Amounts Distributed by the Administrative Agent)</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all amounts payable to any Funding Agent or Investor hereunder or with respect to the Series 2021-1 Class A-1 Advance Notes shall be made to the Administrative Agent for the benefit of the applicable Person, by wire transfer of immediately available funds in Dollars not later than 1:00 p.m. (New York City time) on the date due. The Administrative Agent will promptly, and in any event by 5:00 p.m. (New York City time) on the same Business Day as its receipt or deemed receipt of the same, distribute to the applicable Funding Agent for the benefit of the applicable Person, or upon the order of the applicable Funding Agent for the benefit of the applicable Person,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(or other applicable share as provided herein) of such payment by wire transfer in like funds 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4" w:name="page95"/>
    <w:bookmarkEnd w:id="94"/>
    <w:p>
      <w:pPr>
        <w:jc w:val="both"/>
        <w:ind w:firstLine="1497"/>
        <w:spacing w:after="0" w:line="236" w:lineRule="auto"/>
        <w:rPr>
          <w:sz w:val="20"/>
          <w:szCs w:val="20"/>
          <w:color w:val="auto"/>
        </w:rPr>
      </w:pPr>
      <w:r>
        <w:rPr>
          <w:rFonts w:ascii="Arial" w:cs="Arial" w:eastAsia="Arial" w:hAnsi="Arial"/>
          <w:sz w:val="22"/>
          <w:szCs w:val="22"/>
          <w:color w:val="auto"/>
        </w:rPr>
        <w:t xml:space="preserve">Except as otherwise provided in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all amounts payable to the Swingline Lender or the L/C Provider hereunder or with respect to the Swingline Loans and L/C Obligations shall be made to or upon the order of the Swingline Lender or the L/C Provider, respectively, by wire transfer of immediately available funds in Dollars not later than 1:00 p.m. (New York City time) on the date due. Any funds received after that time on such date will be deemed to have been received on the next Business Day.</w:t>
      </w:r>
    </w:p>
    <w:p>
      <w:pPr>
        <w:spacing w:after="0" w:line="187"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 xml:space="preserve">The Co-Issuers’ obligations hereunder in respect of any amounts payable to any Investor shall be discharged to the extent funds are disbursed by the Co-Issuers to the Administrative Agent as provided herein or by the Trustee or Paying Agent in accordance with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whether or not such funds are properly applied by the Administrative Agent or by the Trustee or Paying Agent. The Administrative Agent’s obligations hereunder in respect of any amounts payable to any Investor shall be discharged to the extent funds are disbursed by the Administrative Agent to the applicable Funding Agent as provided herein whether or not such funds are properly applied by such Funding Agent.</w:t>
      </w:r>
    </w:p>
    <w:p>
      <w:pPr>
        <w:spacing w:after="0" w:line="15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u w:val="single" w:color="auto"/>
          <w:color w:val="auto"/>
        </w:rPr>
        <w:t>Section 4.02Order of Distributions (Amounts Distributed by the Trustee or the Paying Agent)</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9.18(c)(ii)</w:t>
      </w:r>
      <w:r>
        <w:rPr>
          <w:rFonts w:ascii="Arial" w:cs="Arial" w:eastAsia="Arial" w:hAnsi="Arial"/>
          <w:sz w:val="19"/>
          <w:szCs w:val="19"/>
          <w:color w:val="auto"/>
        </w:rPr>
        <w:t>, any amounts deposited into the Series 2021-1 Class A-1 Distribution Account (including amounts in respect of accrued interest, letter of credit fees or undrawn commitment fees but excluding amounts allocated for the purpose of reducing the Series 2021-1 Class A-1 Outstanding Principal Balance) shall be distributed by the Trustee or the Paying Agent, as applicable, on the date due and payable under the Indenture and in the manner provided therein, ratably to the Series 2021-1 Class A-1 Noteholders of record on the applicable Record Date in respect of the amounts due to such payees at each applicable level of the Priority of Payments, in accordance with the applicable Quarterly Manager’s Certificate or the written report provided to the Trustee pursuant to Section 2.02(b) of the Series 2021-1 Supplement, as applicable.</w:t>
      </w:r>
    </w:p>
    <w:p>
      <w:pPr>
        <w:spacing w:after="0" w:line="157" w:lineRule="exact"/>
        <w:rPr>
          <w:sz w:val="20"/>
          <w:szCs w:val="20"/>
          <w:color w:val="auto"/>
        </w:rPr>
      </w:pPr>
    </w:p>
    <w:p>
      <w:pPr>
        <w:jc w:val="both"/>
        <w:ind w:firstLine="1505"/>
        <w:spacing w:after="0" w:line="273" w:lineRule="auto"/>
        <w:tabs>
          <w:tab w:leader="none" w:pos="2036"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9.18(c)(ii)</w:t>
      </w:r>
      <w:r>
        <w:rPr>
          <w:rFonts w:ascii="Arial" w:cs="Arial" w:eastAsia="Arial" w:hAnsi="Arial"/>
          <w:sz w:val="19"/>
          <w:szCs w:val="19"/>
          <w:color w:val="auto"/>
        </w:rPr>
        <w:t xml:space="preserve">, any amounts deposited into the Series 2021-1 Class A-1 Distribution Account for the purpose of reducing the Series 2021-1 Class A-1 Outstanding Principal Balance shall be distributed by the Trustee or the Paying Agent, as applicable, on the date due and payable under the Indenture and in the manner provided therein, to the Series 2021-1 Class A-1 Noteholders of record on the applicable Record Date, in the following order of priority (which the Co-Issuers shall cause to be set forth in the applicable Quarterly Manager’s Certificate or the written report provided to the Trustee pursuant to Section 2.02(b) of the Series 2021-1 Supplement, as applicable):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Swingline Lender and the L/C Provider in respect of outstanding Swingline Loans and Unreimbursed L/C Drawings, ratably in proportion to the respective amounts due to such payees;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other Series 2021-1 Class A-1 Noteholders in respect of their outstanding Advances, ratably in proportion thereto;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any balance remaining of such amounts (up to an aggregate amount not to exceed the amount of Undrawn L/C Face Amounts at such time) shall be paid to the L/C Provider, to be deposited by the L/C Provider into a cash collateral account in the name of the L/C Provider in accordance with </w:t>
      </w:r>
      <w:r>
        <w:rPr>
          <w:rFonts w:ascii="Arial" w:cs="Arial" w:eastAsia="Arial" w:hAnsi="Arial"/>
          <w:sz w:val="19"/>
          <w:szCs w:val="19"/>
          <w:u w:val="single" w:color="auto"/>
          <w:color w:val="auto"/>
        </w:rPr>
        <w:t>Section 4.03(b)</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505"/>
        <w:spacing w:after="0" w:line="236" w:lineRule="auto"/>
        <w:tabs>
          <w:tab w:leader="none" w:pos="2036"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Any amounts distributed to the Administrative Agent pursuant to the Priority of Payments in respect of any other amounts related to the Class A-1 Notes shall be distributed by the Administrative Agent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4.01</w:t>
      </w:r>
      <w:r>
        <w:rPr>
          <w:rFonts w:ascii="Arial" w:cs="Arial" w:eastAsia="Arial" w:hAnsi="Arial"/>
          <w:sz w:val="22"/>
          <w:szCs w:val="22"/>
          <w:color w:val="auto"/>
        </w:rPr>
        <w:t xml:space="preserve"> on the date such amounts are due and payable hereunder to the applicable Series 2021-1 Class A-1 Noteholders and/or the Administrative Agent for its own account, as applicable, ratably in proportion to the respective aggregate of such amounts due to such payees.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5" w:name="page96"/>
    <w:bookmarkEnd w:id="95"/>
    <w:p>
      <w:pPr>
        <w:jc w:val="both"/>
        <w:ind w:firstLine="749"/>
        <w:spacing w:after="0" w:line="272" w:lineRule="auto"/>
        <w:rPr>
          <w:sz w:val="20"/>
          <w:szCs w:val="20"/>
          <w:color w:val="auto"/>
        </w:rPr>
      </w:pPr>
      <w:r>
        <w:rPr>
          <w:rFonts w:ascii="Arial" w:cs="Arial" w:eastAsia="Arial" w:hAnsi="Arial"/>
          <w:sz w:val="19"/>
          <w:szCs w:val="19"/>
          <w:u w:val="single" w:color="auto"/>
          <w:color w:val="auto"/>
        </w:rPr>
        <w:t>Section 4.03L/C Cash Collateral</w:t>
      </w:r>
      <w:r>
        <w:rPr>
          <w:rFonts w:ascii="Arial" w:cs="Arial" w:eastAsia="Arial" w:hAnsi="Arial"/>
          <w:sz w:val="19"/>
          <w:szCs w:val="19"/>
          <w:color w:val="auto"/>
        </w:rPr>
        <w:t>. (a) If, as of any date, any Undrawn L/C Face Amounts remain in effect, the Co-Issuers at their option may provide cash collateral (“</w:t>
      </w:r>
      <w:r>
        <w:rPr>
          <w:rFonts w:ascii="Arial" w:cs="Arial" w:eastAsia="Arial" w:hAnsi="Arial"/>
          <w:sz w:val="19"/>
          <w:szCs w:val="19"/>
          <w:u w:val="single" w:color="auto"/>
          <w:color w:val="auto"/>
        </w:rPr>
        <w:t>Voluntary Cash Collateral</w:t>
      </w:r>
      <w:r>
        <w:rPr>
          <w:rFonts w:ascii="Arial" w:cs="Arial" w:eastAsia="Arial" w:hAnsi="Arial"/>
          <w:sz w:val="19"/>
          <w:szCs w:val="19"/>
          <w:color w:val="auto"/>
        </w:rPr>
        <w:t xml:space="preserve">”) in an amount equal to all or any part of such Undrawn L/C Face Amounts. Notwithstanding the foregoing, as of the Required Expiration Date, if any Undrawn L/C Face Amounts remain in effect, the Co-Issuers shall either (i) provide cash collateral (in an aggregate amount equal to the amount of Undrawn L/C Face Amounts at such time, to the extent that such amount of cash collateral has not been provided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9.18(c)(ii)</w:t>
      </w:r>
      <w:r>
        <w:rPr>
          <w:rFonts w:ascii="Arial" w:cs="Arial" w:eastAsia="Arial" w:hAnsi="Arial"/>
          <w:sz w:val="19"/>
          <w:szCs w:val="19"/>
          <w:color w:val="auto"/>
        </w:rPr>
        <w:t xml:space="preserve">) to the L/C Provider, to be deposited by the L/C Provider into a cash collateral account in the name of the Master Issuer in accordance with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or (ii) other than with respect to Interest Reserve Letters of Credit, make arrangements satisfactory to the L/C Provider in its sole and absolute discretion with the L/C Provider (and, if the L/C Provider is not the L/C Issuing Bank with respect to such Letter of Credit, the L/C Issuing Bank) pursuant to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such that any Letters of Credit that remain outstanding as of the date that is ten Business Days prior to the Commitment Termination Date shall cease to be deemed outstanding or to be deemed “Letters of Credit” for purposes of this Agreement as of the Commitment Termination Date.</w:t>
      </w:r>
    </w:p>
    <w:p>
      <w:pPr>
        <w:spacing w:after="0" w:line="200" w:lineRule="exact"/>
        <w:rPr>
          <w:sz w:val="20"/>
          <w:szCs w:val="20"/>
          <w:color w:val="auto"/>
        </w:rPr>
      </w:pPr>
    </w:p>
    <w:p>
      <w:pPr>
        <w:spacing w:after="0" w:line="208" w:lineRule="exact"/>
        <w:rPr>
          <w:sz w:val="20"/>
          <w:szCs w:val="20"/>
          <w:color w:val="auto"/>
        </w:rPr>
      </w:pPr>
    </w:p>
    <w:p>
      <w:pPr>
        <w:jc w:val="both"/>
        <w:ind w:firstLine="1505"/>
        <w:spacing w:after="0" w:line="271" w:lineRule="auto"/>
        <w:tabs>
          <w:tab w:leader="none" w:pos="20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All amounts to be deposited in a cash collateral account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9.18(c)(ii)</w:t>
      </w:r>
      <w:r>
        <w:rPr>
          <w:rFonts w:ascii="Arial" w:cs="Arial" w:eastAsia="Arial" w:hAnsi="Arial"/>
          <w:sz w:val="19"/>
          <w:szCs w:val="19"/>
          <w:color w:val="auto"/>
        </w:rPr>
        <w:t xml:space="preserve"> shall be held by the L/C Provider or by another financial institution acceptable to the Master Issuer and the L/C Provider in an account (the “</w:t>
      </w:r>
      <w:r>
        <w:rPr>
          <w:rFonts w:ascii="Arial" w:cs="Arial" w:eastAsia="Arial" w:hAnsi="Arial"/>
          <w:sz w:val="19"/>
          <w:szCs w:val="19"/>
          <w:u w:val="single" w:color="auto"/>
          <w:color w:val="auto"/>
        </w:rPr>
        <w:t>Cash Collateral Account</w:t>
      </w:r>
      <w:r>
        <w:rPr>
          <w:rFonts w:ascii="Arial" w:cs="Arial" w:eastAsia="Arial" w:hAnsi="Arial"/>
          <w:sz w:val="19"/>
          <w:szCs w:val="19"/>
          <w:color w:val="auto"/>
        </w:rPr>
        <w:t xml:space="preserve">”) over which the L/C Provider has “control” for purposes of the UCC as collateral to secure the Co-Issuers’ Reimbursement Obligations with respect to any outstanding Letters of Credit. Other than any interest earned on the investment of such deposit in Permitted Investments, which investments shall be made at the written direction, and at the risk and expense, of the Master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of Default has occurred and is continuing, such investments shall be made solely at the option and sole discretion of the L/C Provider), such deposits shall not bear interest. Interest or profits, if any, on such investments shall accumulate in the Cash Collateral Account and all Taxes on such amounts shall be payable by the Co-Issuers. Moneys in the Cash Collateral Account shall automatically be applied by such L/C Provider to reimburse it for any Unreimbursed L/C Drawings. The Co-Issuers at their option may withdraw, or if the L/C Provider is exercising exclusive control over the Cash Collateral Account, may require the L/C Provider to withdraw, any Voluntary Cash Collateral deposited to the Cash Collateral Account and remit such Voluntary Cash Collateral to the Master Issuer upon five Business Days’ prior written notice to the L/C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of the L/C Provider shall be required for any such withdrawal if an Event of Default has occurred and is continuing, a Cash Trapping Period is in effect, a Rapid Amortization Period is continuing or the withdrawal is to be made on or after the Required Expiration Date.</w:t>
      </w:r>
    </w:p>
    <w:p>
      <w:pPr>
        <w:spacing w:after="0" w:line="160"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Upon expiration of all then-outstanding Letters of Credit and payment in full of all Unreimbursed L/C Drawings, any balance remaining in the Cash Collateral Account shall be paid over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Master Issuer, in an amount equal to the lesser of such balance and the amount of Voluntary Cash Collateral in the Cash Collateral Account, and </w:t>
      </w:r>
      <w:r>
        <w:rPr>
          <w:rFonts w:ascii="Arial" w:cs="Arial" w:eastAsia="Arial" w:hAnsi="Arial"/>
          <w:sz w:val="19"/>
          <w:szCs w:val="19"/>
          <w:u w:val="single" w:color="auto"/>
          <w:color w:val="auto"/>
        </w:rPr>
        <w:t>then</w:t>
      </w:r>
      <w:r>
        <w:rPr>
          <w:rFonts w:ascii="Arial" w:cs="Arial" w:eastAsia="Arial" w:hAnsi="Arial"/>
          <w:sz w:val="19"/>
          <w:szCs w:val="19"/>
          <w:color w:val="auto"/>
        </w:rPr>
        <w:t xml:space="preserve">, from funds remaining on deposit in the Cash Collateral Account, (i) if the Base Indenture and any Series Supplement remain in effect, to the Trustee to be deposited into the Collection Account and distributed in accordance with the terms of the Base Indenture and (ii) otherwise to the Master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an Investor ceasing to be a Defaulting Investor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9.18(d),</w:t>
      </w:r>
      <w:r>
        <w:rPr>
          <w:rFonts w:ascii="Arial" w:cs="Arial" w:eastAsia="Arial" w:hAnsi="Arial"/>
          <w:sz w:val="19"/>
          <w:szCs w:val="19"/>
          <w:color w:val="auto"/>
        </w:rPr>
        <w:t xml:space="preserve"> any amounts of cash collateral provided pursuant to </w:t>
      </w:r>
      <w:r>
        <w:rPr>
          <w:rFonts w:ascii="Arial" w:cs="Arial" w:eastAsia="Arial" w:hAnsi="Arial"/>
          <w:sz w:val="19"/>
          <w:szCs w:val="19"/>
          <w:u w:val="single" w:color="auto"/>
          <w:color w:val="auto"/>
        </w:rPr>
        <w:t>Section 9.18(c)(ii)</w:t>
      </w:r>
      <w:r>
        <w:rPr>
          <w:rFonts w:ascii="Arial" w:cs="Arial" w:eastAsia="Arial" w:hAnsi="Arial"/>
          <w:sz w:val="19"/>
          <w:szCs w:val="19"/>
          <w:color w:val="auto"/>
        </w:rPr>
        <w:t xml:space="preserve"> upon such Investor becoming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6" w:name="page97"/>
    <w:bookmarkEnd w:id="96"/>
    <w:p>
      <w:pPr>
        <w:jc w:val="both"/>
        <w:spacing w:after="0" w:line="250" w:lineRule="auto"/>
        <w:rPr>
          <w:sz w:val="20"/>
          <w:szCs w:val="20"/>
          <w:color w:val="auto"/>
        </w:rPr>
      </w:pPr>
      <w:r>
        <w:rPr>
          <w:rFonts w:ascii="Arial" w:cs="Arial" w:eastAsia="Arial" w:hAnsi="Arial"/>
          <w:sz w:val="22"/>
          <w:szCs w:val="22"/>
          <w:color w:val="auto"/>
        </w:rPr>
        <w:t>Defaulting Investor shall be released and applied as such amounts would have been applied had such Investor not become a Defaulting Investor.</w:t>
      </w:r>
    </w:p>
    <w:p>
      <w:pPr>
        <w:spacing w:after="0" w:line="17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u w:val="single" w:color="auto"/>
          <w:color w:val="auto"/>
        </w:rPr>
        <w:t>Section 4.04Alternative Arrangements with Respect to Letters of Credit</w:t>
      </w:r>
      <w:r>
        <w:rPr>
          <w:rFonts w:ascii="Arial" w:cs="Arial" w:eastAsia="Arial" w:hAnsi="Arial"/>
          <w:sz w:val="21"/>
          <w:szCs w:val="21"/>
          <w:color w:val="auto"/>
        </w:rPr>
        <w:t>. Notwithstanding any other provision of this Agreement or any Related Document, a Letter of Credit (other than an Interest Reserve Letter of Credit) shall cease to be deemed outstanding for all purposes of this Agreement and each other Related Document if and to the extent that provisions, in form and substance satisfactory to the L/C Provider (and, if the L/C Provider is not the L/C Issuing Bank with respect to such Letter of Credit, the L/C Issuing Bank) in its sole and absolute discretion, have been made with respect to such Letter of Credit such that the L/C Provider (and, if applicable, the L/C Issuing Bank) has agreed in writing, with a copy of such agreement delivered to the Administrative Agent, the Control Party, the Trustee and the Master Issuer, that such Letter of Credit shall be deemed to be no longer outstanding hereunder, in which event such Letter of Credit shall cease to be a “Letter of Credit” as such term is used herein and in the Related Documents.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THE ADMINISTRATIVE AGENT AND THE FUNDING AGENTS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u w:val="single" w:color="auto"/>
          <w:color w:val="auto"/>
        </w:rPr>
        <w:t>Section 5.01Authorization and Action of the Administrative Agent</w:t>
      </w:r>
      <w:r>
        <w:rPr>
          <w:rFonts w:ascii="Arial" w:cs="Arial" w:eastAsia="Arial" w:hAnsi="Arial"/>
          <w:sz w:val="19"/>
          <w:szCs w:val="19"/>
          <w:color w:val="auto"/>
        </w:rPr>
        <w:t xml:space="preserve">. Each of the Lender Parties and the Funding Agents hereby designates and appoints Coöperatieve Rabobank U.A., New York Branch, as the Administrative Agent hereunder, and hereby authorizes the Administrative Agent to take such actions as agent on their behalf and to exercise such powers as are delegated to the Administrative Agent by the terms of this Agreement, together with such powers as are reasonably incidental thereto. The Administrative Agent shall not have any duties or responsibilities, except those expressly set forth herein, or any fiduciary relationship with any Lender Party or any Funding Agent, and no implied covenants, functions, responsibilities, duties, obligations or liabilities on the part of the Administrative Agent shall be read into this Agreement or otherwise exist for the Administrative Agent. In performing its functions and duties hereunder, the Administrative Agent shall act solely as agent for the Lender Parties and the Funding Agents and does not assume, nor shall it be deemed to have assumed, any obligation or relationship of trust or agency with or for the Co-Issuers or any of its successors or assigns. The provisions of this Article (other than the rights of the Co-Issuers set forth in </w:t>
      </w:r>
      <w:r>
        <w:rPr>
          <w:rFonts w:ascii="Arial" w:cs="Arial" w:eastAsia="Arial" w:hAnsi="Arial"/>
          <w:sz w:val="19"/>
          <w:szCs w:val="19"/>
          <w:u w:val="single" w:color="auto"/>
          <w:color w:val="auto"/>
        </w:rPr>
        <w:t>Section 5.07</w:t>
      </w:r>
      <w:r>
        <w:rPr>
          <w:rFonts w:ascii="Arial" w:cs="Arial" w:eastAsia="Arial" w:hAnsi="Arial"/>
          <w:sz w:val="19"/>
          <w:szCs w:val="19"/>
          <w:color w:val="auto"/>
        </w:rPr>
        <w:t>) are solely for the benefit of the Administrative Agent, the Lender Parties and the Funding Agents, and the Co-Issuers shall not have any rights as a third-party beneficiary of any such provisions. The Administrative Agent shall not be required to take any action that, in its opinion or the opinion of its counsel, exposes the Administrative Agent to personal liability or that is contrary to this Agreement or any Requirement of Law. The appointment and authority of the Administrative Agent hereunder shall terminate upon the indefeasible payment in full of the Series 2021-1 Class A-1 Notes and all other amounts owed by the Co-Issuers hereunder to the Administrative Agent, all members of the Investor Groups, the Swingline Lender and the L/C Provider (the “</w:t>
      </w:r>
      <w:r>
        <w:rPr>
          <w:rFonts w:ascii="Arial" w:cs="Arial" w:eastAsia="Arial" w:hAnsi="Arial"/>
          <w:sz w:val="19"/>
          <w:szCs w:val="19"/>
          <w:u w:val="single" w:color="auto"/>
          <w:color w:val="auto"/>
        </w:rPr>
        <w:t>Aggregate Unpaids</w:t>
      </w:r>
      <w:r>
        <w:rPr>
          <w:rFonts w:ascii="Arial" w:cs="Arial" w:eastAsia="Arial" w:hAnsi="Arial"/>
          <w:sz w:val="19"/>
          <w:szCs w:val="19"/>
          <w:color w:val="auto"/>
        </w:rPr>
        <w:t>”) and termination in full of all Commitments and the Swingline Commitment and the L/C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-967740</wp:posOffset>
            </wp:positionV>
            <wp:extent cx="527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705" cy="8255"/>
                    </a:xfrm>
                    <a:prstGeom prst="rect">
                      <a:avLst/>
                    </a:prstGeom>
                    <a:noFill/>
                  </pic:spPr>
                </pic:pic>
              </a:graphicData>
            </a:graphic>
          </wp:anchor>
        </w:drawing>
      </w:r>
    </w:p>
    <w:p>
      <w:pPr>
        <w:spacing w:after="0" w:line="39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u w:val="single" w:color="auto"/>
          <w:color w:val="auto"/>
        </w:rPr>
        <w:t>Section 5.02Delegation of Duties</w:t>
      </w:r>
      <w:r>
        <w:rPr>
          <w:rFonts w:ascii="Arial" w:cs="Arial" w:eastAsia="Arial" w:hAnsi="Arial"/>
          <w:sz w:val="22"/>
          <w:szCs w:val="22"/>
          <w:color w:val="auto"/>
        </w:rPr>
        <w:t>. The Administrative Agent may execute any of its duties under this Agreement by or through agents or attorneys-in-fact and shall be entitled to advice of counsel concerning all matters pertaining to such duties. The exculpatory provisions of this Article shall apply to any such agents or attorneys-in-fact and shall apply to their respective activities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Administrative Agent. The Administrative Agent shall not be responsible for the actions of any agents or attorneys-in-fact selected by it in good faith.</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Section 5.03Exculpatory Provisions</w:t>
      </w:r>
      <w:r>
        <w:rPr>
          <w:rFonts w:ascii="Arial" w:cs="Arial" w:eastAsia="Arial" w:hAnsi="Arial"/>
          <w:sz w:val="19"/>
          <w:szCs w:val="19"/>
          <w:color w:val="auto"/>
        </w:rPr>
        <w:t xml:space="preserve">. Neither the Administrative Agent nor any of its directors, officers, agents or employees shall be (a) liable for any action lawfully taken or omitted to be taken by it or them under or in connection with this Agreement (except for its, their or such Person’s own gross negligence or willful misconduct as determined by a court of competent jurisdiction by a final and nonappealable judgment), or (b) responsible in any manner to any Lender Party or any Funding Agent for any recitals, statements, representations or warranties made by the Co-Issuers contained in this Agreement or in any certificate, report, statement or other document referred to or provided for in, or received under or in connection with, this Agreement for the due execution, legality, value, validity, effectiveness, genuineness, enforceability or sufficiency of this Agreement or any other document furnished in connection herewith, or for any failure of any Co-Issuer to perform its obligations hereunder, or for the satisfaction of any condition specified in </w:t>
      </w:r>
      <w:r>
        <w:rPr>
          <w:rFonts w:ascii="Arial" w:cs="Arial" w:eastAsia="Arial" w:hAnsi="Arial"/>
          <w:sz w:val="19"/>
          <w:szCs w:val="19"/>
          <w:u w:val="single" w:color="auto"/>
          <w:color w:val="auto"/>
        </w:rPr>
        <w:t>Article VII</w:t>
      </w:r>
      <w:r>
        <w:rPr>
          <w:rFonts w:ascii="Arial" w:cs="Arial" w:eastAsia="Arial" w:hAnsi="Arial"/>
          <w:sz w:val="19"/>
          <w:szCs w:val="19"/>
          <w:color w:val="auto"/>
        </w:rPr>
        <w:t>. The Administrative Agent shall not be under any obligation to any Investor or any Funding Agent to ascertain or to inquire as to the observance or performance of any of the agreements or covenants contained in, or conditions of, this Agreement, or to inspect the properties, books or records of the Co-Issuers. The Administrative Agent shall not be deemed to have knowledge of any Potential Rapid Amortization Event, Rapid Amortization Event, Default or Event of Default unless the Administrative Agent has received notice in writing of such event from any Co-Issuer, any Lender Party or any Funding Agent.</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Section 5.04Reliance</w:t>
      </w:r>
      <w:r>
        <w:rPr>
          <w:rFonts w:ascii="Arial" w:cs="Arial" w:eastAsia="Arial" w:hAnsi="Arial"/>
          <w:sz w:val="19"/>
          <w:szCs w:val="19"/>
          <w:color w:val="auto"/>
        </w:rPr>
        <w:t>. The Administrative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Co-Issuers), independent accountants and other experts selected by the Administrative Agent. The Administrative Agent shall in all cases be fully justified in failing or refusing to take any action under this Agreement or any other document furnished in connection herewith unless it shall first receive such advice or concurrence of any Lender Party or any Funding Agent as it deems appropriate or it shall first be indemnified to its satisfaction by any Lender Party or any Funding Agent; provided that unless and until the Administrative Agent shall have received such advice, the Administrative Agent may take or refrain from taking any action, as the Administrative Agent shall deem advisable and in the best interests of the Lender Parties and the Funding Agents. The Administrative Agent shall in all cases be fully protected in acting, or in refraining from acting, in accordance with a request of Investor Groups holding more than 50% of the Commitments and such request and any action taken or failure to act pursuant thereto shall be binding upon the Lender Parties and the Funding Agents.</w:t>
      </w:r>
    </w:p>
    <w:p>
      <w:pPr>
        <w:spacing w:after="0" w:line="16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Section 5.05Non-Reliance on the Administrative Agent and Other Purchasers</w:t>
      </w:r>
      <w:r>
        <w:rPr>
          <w:rFonts w:ascii="Arial" w:cs="Arial" w:eastAsia="Arial" w:hAnsi="Arial"/>
          <w:sz w:val="22"/>
          <w:szCs w:val="22"/>
          <w:color w:val="auto"/>
        </w:rPr>
        <w:t>. Each of the Lender Parties and the Funding Agents expressly acknowledges that neither the Administrative Agent nor any of its officers, directors, employees, agents, attorneys-in-fact or Affiliates has made any representations or warranties to it and that no act by the Administrative Agent hereafter taken, including, without limitation, any review of the affairs of the Co-Issuers, shall be deemed to constitute any representation or warranty by the Administrative Agent. Each of the Lender Parties and the Funding Agents represents and warrants to the Administrative Agent that it has and will, independently and without reliance upon the Administrative Agent and based on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8" w:name="page99"/>
    <w:bookmarkEnd w:id="98"/>
    <w:p>
      <w:pPr>
        <w:jc w:val="both"/>
        <w:spacing w:after="0"/>
        <w:rPr>
          <w:sz w:val="20"/>
          <w:szCs w:val="20"/>
          <w:color w:val="auto"/>
        </w:rPr>
      </w:pPr>
      <w:r>
        <w:rPr>
          <w:rFonts w:ascii="Arial" w:cs="Arial" w:eastAsia="Arial" w:hAnsi="Arial"/>
          <w:sz w:val="22"/>
          <w:szCs w:val="22"/>
          <w:color w:val="auto"/>
        </w:rPr>
        <w:t>and information as it has deemed appropriate, made its own appraisal of and investigation into the business, operations, property, prospects, financial and other conditions and creditworthiness of the Co-Issuers and made its own decision to enter into this Agreement.</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u w:val="single" w:color="auto"/>
          <w:color w:val="auto"/>
        </w:rPr>
        <w:t>Section 5.06 The Administrative Agent in its Individual Capacity</w:t>
      </w:r>
      <w:r>
        <w:rPr>
          <w:rFonts w:ascii="Arial" w:cs="Arial" w:eastAsia="Arial" w:hAnsi="Arial"/>
          <w:sz w:val="21"/>
          <w:szCs w:val="21"/>
          <w:color w:val="auto"/>
        </w:rPr>
        <w:t>. The Administrative Agent and any of its Affiliates may make loans to, accept deposits from, and generally engage in any kind of business with the Co-Issuers or any Affiliate of the Co-Issuers as though the Administrative Agent were not the Administrative Agent hereunder.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5.07Successor Administrative Agent; Defaulting Administrative Agent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203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Administrative Agent may, upon 30 days’ notice to the Master Issuer (on behalf of the Co-Issuers) and each of the Lender Parties and the Funding Agents, and the Administrative Agent will, upon the direction of Investor Groups holding 100% of the Commitments (excluding any Commitments held by Defaulting Investors), resign as Administrative Agent. If the Administrative Agent shall resign, then the Investor Groups holding more than (i) if no single Investor Group holds more than 50% of the Commitments, 50% of the Commitments or (ii) if a single Investor Group holds more than 50% of the Commitments, three-fourths of the Commitments (excluding any Commitments held by the resigning Administrative Agent or its Affiliates, and if all Commitments are held by the resigning Administrative Agent or its Affiliates, then the Co-Issuers), during such 30-day period, shall appoint an Affiliate of a member of the Investor Groups as a successor administrative agent, subject to the consent of (i) the Co-Issuers, at all times other than while an Event of Default has occurred and is continuing (which consent of the Co-Issuers shall not be unreasonably withheld or delayed) and (ii) the Control Party (which consent of the Control Party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 of any Defaulting Investor shall be disregarded in the determination of whether any threshold percentage of Commitments has been met under this </w:t>
      </w:r>
      <w:r>
        <w:rPr>
          <w:rFonts w:ascii="Arial" w:cs="Arial" w:eastAsia="Arial" w:hAnsi="Arial"/>
          <w:sz w:val="19"/>
          <w:szCs w:val="19"/>
          <w:u w:val="single" w:color="auto"/>
          <w:color w:val="auto"/>
        </w:rPr>
        <w:t>Section 5.07(a)</w:t>
      </w:r>
      <w:r>
        <w:rPr>
          <w:rFonts w:ascii="Arial" w:cs="Arial" w:eastAsia="Arial" w:hAnsi="Arial"/>
          <w:sz w:val="19"/>
          <w:szCs w:val="19"/>
          <w:color w:val="auto"/>
        </w:rPr>
        <w:t xml:space="preserve">. If for any reason no successor Administrative Agent is appointed by the Investor Groups during such 30-day period, then, effective upon the expiration of such 30-day period, the Co-Issuers shall make all payments in respect of the Aggregate Unpaids or under any fee letter delivered in connection herewith (including, without limitation, the Series 2021-1 Class A-1 VFN Fee Letter) directly to the Funding Agents or the Swingline Lender or the L/C Provider, as applicable, and the Co-Issuers for all purposes shall deal directly with the Funding Agents or the Swingline Lender or the L/C Provider, as applicable, until such time, if any, as a successor administrative agent is appointed as provided above, and the Co-Issuers shall instruct the Trustee in writing accordingly. After any retiring Administrative Agent’s resignation hereunder as Administrative Agent,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9.05</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inure to its benefit as to any actions taken or omitted to be taken by it while it was the Administrative Agent under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34" w:lineRule="auto"/>
        <w:tabs>
          <w:tab w:leader="none" w:pos="2036"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Co-Issuers may, upon the occurrence of any of the following events (any such event, a “</w:t>
      </w:r>
      <w:r>
        <w:rPr>
          <w:rFonts w:ascii="Arial" w:cs="Arial" w:eastAsia="Arial" w:hAnsi="Arial"/>
          <w:sz w:val="22"/>
          <w:szCs w:val="22"/>
          <w:u w:val="single" w:color="auto"/>
          <w:color w:val="auto"/>
        </w:rPr>
        <w:t>Defaulting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Administrative Agent Event</w:t>
      </w:r>
      <w:r>
        <w:rPr>
          <w:rFonts w:ascii="Arial" w:cs="Arial" w:eastAsia="Arial" w:hAnsi="Arial"/>
          <w:sz w:val="22"/>
          <w:szCs w:val="22"/>
          <w:color w:val="auto"/>
        </w:rPr>
        <w:t xml:space="preserve">”) and with the consent of Investor Groups holding more than (i) if no single Investor Group holds more than 50% of the Commitments, 50% of the Commitments or (ii) if a single Investor Group holds more than 50% of the Commitments, three-fourths of the Commitments, remove the Administrative Agent and, upon such removal, the Investor Groups holding more than 50% of the Commitments in the case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or three-fourths of the Commitments in the case of clause (ii)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 of any Defaulting Investor shall be disregarded in the determination of whether any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9" w:name="page100"/>
    <w:bookmarkEnd w:id="99"/>
    <w:p>
      <w:pPr>
        <w:jc w:val="both"/>
        <w:spacing w:after="0" w:line="269" w:lineRule="auto"/>
        <w:rPr>
          <w:sz w:val="20"/>
          <w:szCs w:val="20"/>
          <w:color w:val="auto"/>
        </w:rPr>
      </w:pPr>
      <w:r>
        <w:rPr>
          <w:rFonts w:ascii="Arial" w:cs="Arial" w:eastAsia="Arial" w:hAnsi="Arial"/>
          <w:sz w:val="19"/>
          <w:szCs w:val="19"/>
          <w:color w:val="auto"/>
        </w:rPr>
        <w:t xml:space="preserve">percentage of Commitments has been met under this </w:t>
      </w:r>
      <w:r>
        <w:rPr>
          <w:rFonts w:ascii="Arial" w:cs="Arial" w:eastAsia="Arial" w:hAnsi="Arial"/>
          <w:sz w:val="19"/>
          <w:szCs w:val="19"/>
          <w:u w:val="single" w:color="auto"/>
          <w:color w:val="auto"/>
        </w:rPr>
        <w:t>Section 5.07(b))</w:t>
      </w:r>
      <w:r>
        <w:rPr>
          <w:rFonts w:ascii="Arial" w:cs="Arial" w:eastAsia="Arial" w:hAnsi="Arial"/>
          <w:sz w:val="19"/>
          <w:szCs w:val="19"/>
          <w:color w:val="auto"/>
        </w:rPr>
        <w:t xml:space="preserve"> shall appoint an Affiliate of a member of the Investor Groups as a successor administrative agent, subject to the consent of (x) the Co-Issuers, at all times other than while an Event of Default has occurred and is continuing (which consent of the Co-Issuers shall not be unreasonably withheld or delayed) and (y) the Control Party (which consent of the Control Party shall not be unreasonably withheld or delayed): (i) an Event of Bankruptcy with respect to the Administrative Agent; (ii) if the Person acting as Administrative Agent or an Affiliate thereof is also an Investor, any other event pursuant to which such Person becomes a Defaulting Investor; (iii) the failure by the Administrative Agent to pay or remit any funds required to be remitted when due (in each case, if amounts are available for payment or remittance in accordance with the terms of this Agreement for application to the payment or remittance thereof) which continues for two (2) Business Days after such funds were required to be paid or remitted; (iv) any representation, warranty, certification or statement made by the Administrative Agent under this Agreement or in any agreement, certificate, report or other document furnished by the Administrative Agent proves to have been false or misleading in any material respect as of the time made or deemed made, and if such representation, warranty, certification or statement is susceptible of remedy in all material respects, is not remedied within thirty (30) calendar days after knowledge thereof or notice by the Co-Issuers to the Administrative Agent, and if not susceptible of remedy in all material respects, upon notice by the Co-Issuers to the Administrative Agent or (v) any act constituting the gross negligence or willful misconduct of the Administrative Agent. If for any reason no successor Administrative Agent is appointed by the Investor Groups within 30 days of the Administrative Agent’s removal pursuant to the immediately preceding sentence, then, effective upon the expiration of such 30-day period, the Co-Issuers shall make all payments in respect of the Aggregate Unpaids or under any fee letter delivered in connection herewith (including, without limitation, the Series 2021-1 Class A-1 VFN Fee Letter) directly to the Funding Agents or the Swingline Lender or the L/C Provider, as applicable, and the Co-Issuers for all purposes shall deal directly with the Funding Agents or the Swingline Lender or the L/C Provider, as applicable, until such time, if any, as a successor administrative agent is appointed as provided above, and the Co-Issuers shall instruct the Trustee in writing accordingly. After any Administrative Agent’s removal hereunder as Administrative Agent, the provisions of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inure to its benefit as to any actions taken or omitted to be taken by it while it was the Administrative Agent under this Agreement.</w:t>
      </w:r>
    </w:p>
    <w:p>
      <w:pPr>
        <w:spacing w:after="0" w:line="200" w:lineRule="exact"/>
        <w:rPr>
          <w:sz w:val="20"/>
          <w:szCs w:val="20"/>
          <w:color w:val="auto"/>
        </w:rPr>
      </w:pPr>
    </w:p>
    <w:p>
      <w:pPr>
        <w:spacing w:after="0" w:line="216" w:lineRule="exact"/>
        <w:rPr>
          <w:sz w:val="20"/>
          <w:szCs w:val="20"/>
          <w:color w:val="auto"/>
        </w:rPr>
      </w:pPr>
    </w:p>
    <w:p>
      <w:pPr>
        <w:jc w:val="both"/>
        <w:ind w:firstLine="1505"/>
        <w:spacing w:after="0" w:line="236" w:lineRule="auto"/>
        <w:tabs>
          <w:tab w:leader="none" w:pos="20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a Defaulting Administrative Agent Event has occurred and is continuing, the Co-Issuers may make all payments in respect of the Aggregate Unpaids or under any fee letter delivered in connection herewith (including, without limitation, the Series 2021-1 Class A-1 VFN Fee Letter) directly to the Funding Agents or the Swingline Lender or the L/C Provider, as applicable, and the Co-Issuers for all purposes may deal directly with the Funding Agents or the Swingline Lender or the L/C Provider, as applicable.</w:t>
      </w:r>
    </w:p>
    <w:p>
      <w:pPr>
        <w:spacing w:after="0" w:line="18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Section 5.08Authorization and Action of Funding Agents</w:t>
      </w:r>
      <w:r>
        <w:rPr>
          <w:rFonts w:ascii="Arial" w:cs="Arial" w:eastAsia="Arial" w:hAnsi="Arial"/>
          <w:sz w:val="22"/>
          <w:szCs w:val="22"/>
          <w:color w:val="auto"/>
        </w:rPr>
        <w:t>. Each Investor is hereby deemed to have designated and appointed its related Funding Agent set forth next to such Investor’s name on Schedule I (or identified as such Investor’s Funding Agent pursuant to any applicable Assignment and Assumption Agreement, Investor Group Supplement or Joinder Agreement) as the agent of such Person hereunder, and hereby authorizes such Funding Agent to take such actions as agent on its behalf and to exercise such powers as are delegated to such Funding Agent by the terms of this Agreement together with such powers as are reasonably incidental thereto. Each Funding Agent shall not have any duties or responsibilities, except those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0" w:name="page101"/>
    <w:bookmarkEnd w:id="100"/>
    <w:p>
      <w:pPr>
        <w:jc w:val="both"/>
        <w:spacing w:after="0" w:line="275" w:lineRule="auto"/>
        <w:rPr>
          <w:sz w:val="20"/>
          <w:szCs w:val="20"/>
          <w:color w:val="auto"/>
        </w:rPr>
      </w:pPr>
      <w:r>
        <w:rPr>
          <w:rFonts w:ascii="Arial" w:cs="Arial" w:eastAsia="Arial" w:hAnsi="Arial"/>
          <w:sz w:val="19"/>
          <w:szCs w:val="19"/>
          <w:color w:val="auto"/>
        </w:rPr>
        <w:t>or any fiduciary relationship with the related Investor Group, and no implied covenants, functions, responsibilities, duties, obligations or liabilities on the part of such Funding Agent shall be read into this Agreement or otherwise exist for such Funding Agent. In performing its functions and duties hereunder, each Funding Agent shall act solely as agent for the related Investor Group and does not assume, nor shall it be deemed to have assumed, any obligation or relationship of trust or agency with or for the Co-Issuers, any of their successors or assigns or any other Person. Each Funding Agent shall not be required to take any action that exposes such Funding Agent to personal liability or that is contrary to this Agreement or any Requirement of Law. The appointment and authority of the Funding Agents hereunder shall terminate upon the indefeasible payment in full of the Aggregate Unpaids of the Investor Groups and the termination in full of all the Commitments.</w:t>
      </w:r>
    </w:p>
    <w:p>
      <w:pPr>
        <w:spacing w:after="0" w:line="15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u w:val="single" w:color="auto"/>
          <w:color w:val="auto"/>
        </w:rPr>
        <w:t>Section 5.09Delegation of Duties</w:t>
      </w:r>
      <w:r>
        <w:rPr>
          <w:rFonts w:ascii="Arial" w:cs="Arial" w:eastAsia="Arial" w:hAnsi="Arial"/>
          <w:sz w:val="19"/>
          <w:szCs w:val="19"/>
          <w:color w:val="auto"/>
        </w:rPr>
        <w:t>. Each Funding Agent may execute any of its duties under this Agreement by or through agents or attorneys-in-fact and shall be entitled to advice of counsel concerning all matters pertaining to such duties. Each Funding Agent shall not be responsible for the actions of any agents or attorneys-in-fact selected by it in good faith.</w:t>
      </w:r>
    </w:p>
    <w:p>
      <w:pPr>
        <w:spacing w:after="0" w:line="13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u w:val="single" w:color="auto"/>
          <w:color w:val="auto"/>
        </w:rPr>
        <w:t>Section 5.10Exculpatory Provisions</w:t>
      </w:r>
      <w:r>
        <w:rPr>
          <w:rFonts w:ascii="Arial" w:cs="Arial" w:eastAsia="Arial" w:hAnsi="Arial"/>
          <w:sz w:val="21"/>
          <w:szCs w:val="21"/>
          <w:color w:val="auto"/>
        </w:rPr>
        <w:t xml:space="preserve">. Each Funding Agent and its Affiliates, and each of their directors, officers, agents or employees shall not be (a) liable for any action lawfully taken or omitted to be taken by it or them under or in connection with this Agreement (except for its, their or such Person’s own gross negligence or willful misconduct), or (b) responsible in any manner to the related Investor Group for any recitals, statements, representations or warranties made by the Co-Issuers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any Co-Issuer to perform its obligations hereunder, or for the satisfaction of any condition specified in </w:t>
      </w:r>
      <w:r>
        <w:rPr>
          <w:rFonts w:ascii="Arial" w:cs="Arial" w:eastAsia="Arial" w:hAnsi="Arial"/>
          <w:sz w:val="21"/>
          <w:szCs w:val="21"/>
          <w:u w:val="single" w:color="auto"/>
          <w:color w:val="auto"/>
        </w:rPr>
        <w:t>Article VII</w:t>
      </w:r>
      <w:r>
        <w:rPr>
          <w:rFonts w:ascii="Arial" w:cs="Arial" w:eastAsia="Arial" w:hAnsi="Arial"/>
          <w:sz w:val="21"/>
          <w:szCs w:val="21"/>
          <w:color w:val="auto"/>
        </w:rPr>
        <w:t>. Each Funding Agent shall not be under any obligation to the related Investor Group to ascertain or to inquire as to the observance or performance of any of the agreements or covenants contained in, or conditions of, this Agreement, or to inspect the properties, books or records of the Co-Issuers. Each Funding Agent shall not be deemed to have knowledge of any Potential Rapid Amortization Event, Rapid Amortization Event, Default or Event of Default unless such Funding Agent has received notice of such event from any Co-Issuer or any member of the related Investor Group.</w:t>
      </w:r>
    </w:p>
    <w:p>
      <w:pPr>
        <w:spacing w:after="0" w:line="18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Section 5.11Reliance</w:t>
      </w:r>
      <w:r>
        <w:rPr>
          <w:rFonts w:ascii="Arial" w:cs="Arial" w:eastAsia="Arial" w:hAnsi="Arial"/>
          <w:sz w:val="19"/>
          <w:szCs w:val="19"/>
          <w:color w:val="auto"/>
        </w:rPr>
        <w:t>. Each Funding Agent shall in all cases be entitled to rely, and shall be fully protected in relying, upon any document or conversation believed by it to be genuine and correct and to have been signed, sent or made by the proper Person or Persons and upon advice and statements of the Administrative Agent and legal counsel (including, without limitation, counsel to the Co-Issuers), independent accountants and other experts selected by such Funding Agent. Each Funding Agent shall in all cases be fully justified in failing or refusing to take any action under this Agreement or any other document furnished in connection herewith unless it shall first receive such advice or concurrence of the related Investor Group as it deems appropriate or it shall first be indemnified to its satisfaction by the related Investor Group; provided that unless and until such Funding Agent shall have received such advice, such Funding Agent may take or refrain from taking any action, as such Funding Agent shall deem advisable and in the best interests of the related Investor Group. Each Funding Agent shall in all cases be fully protected in acting, or in refraining from acting, in accordance with a request of the related Investor Group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request and any action taken or failure to act pursuant thereto shall be binding upon the related Investor Group.</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u w:val="single" w:color="auto"/>
          <w:color w:val="auto"/>
        </w:rPr>
        <w:t>Section 5.12Non-Reliance on the Funding Agent and Other Purchasers</w:t>
      </w:r>
      <w:r>
        <w:rPr>
          <w:rFonts w:ascii="Arial" w:cs="Arial" w:eastAsia="Arial" w:hAnsi="Arial"/>
          <w:sz w:val="19"/>
          <w:szCs w:val="19"/>
          <w:color w:val="auto"/>
        </w:rPr>
        <w:t>. The related Investor Group expressly acknowledges that its Funding Agent and any of its officers, directors, employees, agents, attorneys-in-fact or Affiliates has not made any representations or warranties to it and that no act by such Funding Agent hereafter taken, including, without limitation, any review of the affairs of the Co-Issuers, shall be deemed to constitute any representation or warranty by such Funding Agent. The related Investor Group represents and warrants to such Funding Agent that it has and will, independently and without reliance upon such Funding Agent and based on such documents and information as it has deemed appropriate, made its own appraisal of and investigation into the business, operations, property, prospects, financial and other conditions and creditworthiness of the Co-Issuers and made its own decision to enter into this Agreement.</w:t>
      </w:r>
    </w:p>
    <w:p>
      <w:pPr>
        <w:spacing w:after="0" w:line="157"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5.13The Funding Agent in its Individual Capacity</w:t>
      </w:r>
      <w:r>
        <w:rPr>
          <w:rFonts w:ascii="Arial" w:cs="Arial" w:eastAsia="Arial" w:hAnsi="Arial"/>
          <w:sz w:val="22"/>
          <w:szCs w:val="22"/>
          <w:color w:val="auto"/>
        </w:rPr>
        <w:t>. Each Funding Agent and any of its Affiliates may make loans to, accept deposits from, and generally engage in any kind of business with the Co-Issuers or any Affiliate of the Co-Issuers as though such Funding Agent were not a Funding Agent hereunder.</w:t>
      </w:r>
    </w:p>
    <w:p>
      <w:pPr>
        <w:spacing w:after="0" w:line="18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u w:val="single" w:color="auto"/>
          <w:color w:val="auto"/>
        </w:rPr>
        <w:t>Section 5.14Successor Funding Agent</w:t>
      </w:r>
      <w:r>
        <w:rPr>
          <w:rFonts w:ascii="Arial" w:cs="Arial" w:eastAsia="Arial" w:hAnsi="Arial"/>
          <w:sz w:val="19"/>
          <w:szCs w:val="19"/>
          <w:color w:val="auto"/>
        </w:rPr>
        <w:t xml:space="preserve">. Each Funding Agent will, upon the direction of the related Investor Group, resign as such Funding Agent. If such Funding Agent shall resign, then the related Investor Group shall appoint an Affiliate of a member of the related Investor Group as a successor funding agent (it being understood that such resignation shall not be effective until such successor is appointed). After any retiring Funding Agent’s resignation hereunder as Funding Agent, subject to the limitations set forth herein, the provisions of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inure to its benefit as to any actions taken or omitted to be taken by it while it was the Funding Agent under this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6.01The Co-Issuers and Guarantors</w:t>
      </w:r>
      <w:r>
        <w:rPr>
          <w:rFonts w:ascii="Arial" w:cs="Arial" w:eastAsia="Arial" w:hAnsi="Arial"/>
          <w:sz w:val="22"/>
          <w:szCs w:val="22"/>
          <w:color w:val="auto"/>
        </w:rPr>
        <w:t>. The Co-Issuers and the Guarantors jointly and severally represent and warrant to the Administrative Agent and each Lender Party, as of the date of this Agreement, as of the Series 2021-1 Closing Date and as of the date of each Advance made hereunder, that:</w:t>
      </w:r>
    </w:p>
    <w:p>
      <w:pPr>
        <w:spacing w:after="0" w:line="186" w:lineRule="exact"/>
        <w:rPr>
          <w:sz w:val="20"/>
          <w:szCs w:val="20"/>
          <w:color w:val="auto"/>
        </w:rPr>
      </w:pPr>
    </w:p>
    <w:p>
      <w:pPr>
        <w:jc w:val="both"/>
        <w:ind w:firstLine="1505"/>
        <w:spacing w:after="0" w:line="248" w:lineRule="auto"/>
        <w:tabs>
          <w:tab w:leader="none" w:pos="2036" w:val="left"/>
        </w:tabs>
        <w:numPr>
          <w:ilvl w:val="0"/>
          <w:numId w:val="70"/>
        </w:numPr>
        <w:rPr>
          <w:rFonts w:ascii="Arial" w:cs="Arial" w:eastAsia="Arial" w:hAnsi="Arial"/>
          <w:sz w:val="21"/>
          <w:szCs w:val="21"/>
          <w:color w:val="auto"/>
        </w:rPr>
      </w:pPr>
      <w:r>
        <w:rPr>
          <w:rFonts w:ascii="Arial" w:cs="Arial" w:eastAsia="Arial" w:hAnsi="Arial"/>
          <w:sz w:val="21"/>
          <w:szCs w:val="21"/>
          <w:color w:val="auto"/>
        </w:rPr>
        <w:t>each of their representations and warranties made in favor of the Trustee or the Noteholders in the Indenture and the other Related Documents (other than a Related Document relating solely to a Series of Notes other than the Series 2021-1 Notes) is true and correct (i) if not qualified as to materiality or Material Adverse Effect, in all material respects and (ii) if qualified as to materiality or Material Adverse Effect, in all respects, as of the date originally made, as of the date hereof and as of the Series 2021-1 Closing Date (unless stated to relate solely to an earlier date, in which case such representations and warranties shall be true and correct in all material respects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02" w:name="page103"/>
    <w:bookmarkEnd w:id="102"/>
    <w:p>
      <w:pPr>
        <w:ind w:left="-1120" w:firstLine="1505"/>
        <w:spacing w:after="0" w:line="250" w:lineRule="auto"/>
        <w:tabs>
          <w:tab w:leader="none" w:pos="9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Potential Rapid Amortization Event, Rapid Amortization Event, Default or Event of Default has occurred and is continuing;</w:t>
      </w:r>
    </w:p>
    <w:p>
      <w:pPr>
        <w:spacing w:after="0" w:line="174" w:lineRule="exact"/>
        <w:rPr>
          <w:rFonts w:ascii="Arial" w:cs="Arial" w:eastAsia="Arial" w:hAnsi="Arial"/>
          <w:sz w:val="22"/>
          <w:szCs w:val="22"/>
          <w:color w:val="auto"/>
        </w:rPr>
      </w:pPr>
    </w:p>
    <w:p>
      <w:pPr>
        <w:jc w:val="both"/>
        <w:ind w:left="-1120" w:firstLine="1505"/>
        <w:spacing w:after="0" w:line="245" w:lineRule="auto"/>
        <w:tabs>
          <w:tab w:leader="none" w:pos="916"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neither they nor or any of their Affiliates, have, directly or through an agent, engaged in any form of general solicitation or general advertising in connection with the offering of the Series 2021-1 Class A-1 Notes under the Securities Act or in any manner involving a public offering within the meaning of Section 4(a)(2) of the Securities Act, including, but not limited to, articles, notices or other communications published in any newspaper, magazine, or similar medium or broadcast over television or radio or any seminar or meeting whose attendees have been invited by any general solicitation or general advertising;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representation or warranty is made with respect to the Lender Parties and their Affiliates; and none of the Co-Issuers nor any of their Affiliates has entered into any contractual arrangement with respect to the distribution of the Series 2021-1 Class A-1 Notes, except for this Agreement and the other Related Documents, and the Co-Issuers will not enter into any such arrangement;</w:t>
      </w:r>
    </w:p>
    <w:p>
      <w:pPr>
        <w:spacing w:after="0" w:line="184" w:lineRule="exact"/>
        <w:rPr>
          <w:rFonts w:ascii="Arial" w:cs="Arial" w:eastAsia="Arial" w:hAnsi="Arial"/>
          <w:sz w:val="21"/>
          <w:szCs w:val="21"/>
          <w:color w:val="auto"/>
        </w:rPr>
      </w:pPr>
    </w:p>
    <w:p>
      <w:pPr>
        <w:jc w:val="both"/>
        <w:ind w:left="-1120" w:firstLine="1505"/>
        <w:spacing w:after="0" w:line="238" w:lineRule="auto"/>
        <w:tabs>
          <w:tab w:leader="none" w:pos="9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neither they nor any of their Affiliates have, directly or through any agent, sold, offered for sale, solicited offers to buy or otherwise negotiated in respect of, any “security” (as defined in the Securities Act) that is or will be integrated with the sale of the Series 2021-1 Class A-1 Notes in a manner that would require the registration of the Series 2021-1 Class A-1 Notes under the Securities Act;</w:t>
      </w:r>
    </w:p>
    <w:p>
      <w:pPr>
        <w:spacing w:after="0" w:line="184" w:lineRule="exact"/>
        <w:rPr>
          <w:rFonts w:ascii="Arial" w:cs="Arial" w:eastAsia="Arial" w:hAnsi="Arial"/>
          <w:sz w:val="22"/>
          <w:szCs w:val="22"/>
          <w:color w:val="auto"/>
        </w:rPr>
      </w:pPr>
    </w:p>
    <w:p>
      <w:pPr>
        <w:jc w:val="both"/>
        <w:ind w:left="-1120" w:firstLine="1505"/>
        <w:spacing w:after="0" w:line="238" w:lineRule="auto"/>
        <w:tabs>
          <w:tab w:leader="none" w:pos="9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assuming the representations and warranties of each Lender Party set forth in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are true and correct, the offer and sale of the Series 2021-1 Class A-1 Notes in the manner contemplated by this Agreement is a transaction exempt from the registration requirements of the Securities Act, and the Base Indenture is not required to be qualified under the United States Trust Indenture Act of 1939, as amended;</w:t>
      </w:r>
    </w:p>
    <w:p>
      <w:pPr>
        <w:spacing w:after="0" w:line="184" w:lineRule="exact"/>
        <w:rPr>
          <w:rFonts w:ascii="Arial" w:cs="Arial" w:eastAsia="Arial" w:hAnsi="Arial"/>
          <w:sz w:val="22"/>
          <w:szCs w:val="22"/>
          <w:color w:val="auto"/>
        </w:rPr>
      </w:pPr>
    </w:p>
    <w:p>
      <w:pPr>
        <w:jc w:val="both"/>
        <w:ind w:left="-1120" w:firstLine="1505"/>
        <w:spacing w:after="0" w:line="279" w:lineRule="auto"/>
        <w:tabs>
          <w:tab w:leader="none" w:pos="9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Co-Issuers have furnished to the Administrative Agent and each Funding Agent true, accurate and complete copies of all other Related Documents (excluding Series Supplements and other Related Documents relating solely to a Series of Notes other than the Series 2021-1 Notes) to which they are a party as of the Series 2021-1 Closing Date, all of which Related Documents are in full force and effect as of the Series 2021-1 Closing Date and no terms of any such agreements or documents have been amended, modified or otherwise waived as of such date, other than such amendments, modifications or waivers about which the Co-Issuers have informed each Funding Agent, the Swingline Lender and the L/C Provider;</w:t>
      </w:r>
    </w:p>
    <w:p>
      <w:pPr>
        <w:spacing w:after="0" w:line="150" w:lineRule="exact"/>
        <w:rPr>
          <w:rFonts w:ascii="Arial" w:cs="Arial" w:eastAsia="Arial" w:hAnsi="Arial"/>
          <w:sz w:val="19"/>
          <w:szCs w:val="19"/>
          <w:color w:val="auto"/>
        </w:rPr>
      </w:pPr>
    </w:p>
    <w:p>
      <w:pPr>
        <w:jc w:val="both"/>
        <w:ind w:left="-1120" w:firstLine="1505"/>
        <w:spacing w:after="0" w:line="252" w:lineRule="auto"/>
        <w:tabs>
          <w:tab w:leader="none" w:pos="916" w:val="left"/>
        </w:tabs>
        <w:numPr>
          <w:ilvl w:val="0"/>
          <w:numId w:val="71"/>
        </w:numPr>
        <w:rPr>
          <w:rFonts w:ascii="Arial" w:cs="Arial" w:eastAsia="Arial" w:hAnsi="Arial"/>
          <w:sz w:val="21"/>
          <w:szCs w:val="21"/>
          <w:color w:val="auto"/>
        </w:rPr>
      </w:pPr>
      <w:r>
        <w:rPr>
          <w:rFonts w:ascii="Arial" w:cs="Arial" w:eastAsia="Arial" w:hAnsi="Arial"/>
          <w:sz w:val="21"/>
          <w:szCs w:val="21"/>
          <w:color w:val="auto"/>
        </w:rPr>
        <w:t>no Co-Issuer is an “investment company” as defined in Section 3(a)(1) of the 1940 Act, and therefore has no need (x) to rely solely on the exemption from the definition of “investment company” set forth in Section 3(c)(1) and/or Section 3(c)(7) of the 1940 Act or (y) to be entitled to the benefit of the exclusion for loan securitizations in the Volcker Rule under 10 C.F.R. 248.10(c)(8), and no Co-Issuer is a “covered fund” for purposes of the Volcker Rule;</w:t>
      </w:r>
    </w:p>
    <w:p>
      <w:pPr>
        <w:spacing w:after="0" w:line="173" w:lineRule="exact"/>
        <w:rPr>
          <w:rFonts w:ascii="Arial" w:cs="Arial" w:eastAsia="Arial" w:hAnsi="Arial"/>
          <w:sz w:val="21"/>
          <w:szCs w:val="21"/>
          <w:color w:val="auto"/>
        </w:rPr>
      </w:pPr>
    </w:p>
    <w:p>
      <w:pPr>
        <w:jc w:val="both"/>
        <w:ind w:left="-1120" w:firstLine="1505"/>
        <w:spacing w:after="0" w:line="287" w:lineRule="auto"/>
        <w:tabs>
          <w:tab w:leader="none" w:pos="9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 Co-Issuer, Guarantor or any of their Affiliates is in violation of any Anti-Terrorism Laws, Anti-Corruption Laws, or Sanctions or engages in or conspires to engage in any transaction that evades or avoids, or has the purpose of evading or avoiding, or attempts to violate, any of the prohibitions set forth in any Anti-Terrorism Laws, Anti-Corruption Laws, or Sanctions; nor are any Co-Issuer, Guarantor or any of their Affiliates or any director, officer, employee,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485775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604" w:right="339" w:bottom="1440" w:gutter="0" w:footer="0" w:header="0"/>
        </w:sectPr>
      </w:pPr>
    </w:p>
    <w:bookmarkStart w:id="103" w:name="page104"/>
    <w:bookmarkEnd w:id="103"/>
    <w:p>
      <w:pPr>
        <w:jc w:val="both"/>
        <w:spacing w:after="0" w:line="238" w:lineRule="auto"/>
        <w:rPr>
          <w:sz w:val="20"/>
          <w:szCs w:val="20"/>
          <w:color w:val="auto"/>
        </w:rPr>
      </w:pPr>
      <w:r>
        <w:rPr>
          <w:rFonts w:ascii="Arial" w:cs="Arial" w:eastAsia="Arial" w:hAnsi="Arial"/>
          <w:sz w:val="22"/>
          <w:szCs w:val="22"/>
          <w:color w:val="auto"/>
        </w:rPr>
        <w:t>or affiliate of any Co-Issuer, Guarantor or any of their Affiliates is a Person (each such Person, a “</w:t>
      </w:r>
      <w:r>
        <w:rPr>
          <w:rFonts w:ascii="Arial" w:cs="Arial" w:eastAsia="Arial" w:hAnsi="Arial"/>
          <w:sz w:val="22"/>
          <w:szCs w:val="22"/>
          <w:u w:val="single" w:color="auto"/>
          <w:color w:val="auto"/>
        </w:rPr>
        <w:t>Sanctioned Person</w:t>
      </w:r>
      <w:r>
        <w:rPr>
          <w:rFonts w:ascii="Arial" w:cs="Arial" w:eastAsia="Arial" w:hAnsi="Arial"/>
          <w:sz w:val="22"/>
          <w:szCs w:val="22"/>
          <w:color w:val="auto"/>
        </w:rPr>
        <w:t xml:space="preserve"> ”) that is, or is owned or controlled by Persons that are: (i) the subject of any Sanctions, or (ii) located, organized or resident in a region, country or territory that is, or whose government is, the subject of Sanctions, including, without limitation, currently the Region of Crimea, Cuba, Iran, North Korea, Sudan and Syria.</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Section 6.02The Manager</w:t>
      </w:r>
      <w:r>
        <w:rPr>
          <w:rFonts w:ascii="Arial" w:cs="Arial" w:eastAsia="Arial" w:hAnsi="Arial"/>
          <w:sz w:val="19"/>
          <w:szCs w:val="19"/>
          <w:color w:val="auto"/>
        </w:rPr>
        <w:t xml:space="preserve">. The Manager represents and warrants to the Administrative Agent and each Lender Party as of the date of this Agreement, as of the Series 2021-1 Closing Date and as of the date of each Advance made hereunder, that (i) no Manager Termination Event has occurred and is continuing and (ii) each representation and warranty made by it in any Related Document (other than a Related Document relating solely to a Series of Notes other than the Series 2021-1 Notes and other than any representation or warranty in </w:t>
      </w:r>
      <w:r>
        <w:rPr>
          <w:rFonts w:ascii="Arial" w:cs="Arial" w:eastAsia="Arial" w:hAnsi="Arial"/>
          <w:sz w:val="19"/>
          <w:szCs w:val="19"/>
          <w:u w:val="single" w:color="auto"/>
          <w:color w:val="auto"/>
        </w:rPr>
        <w:t>Section 4.1(i)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any Contribution and Sale Agreement or Article V of the Management Agreement) to which it is a party (including any representations and warranties made by it in its capacity as Manager) is true and correct (a) if not qualified as to materiality or Material Adverse Effect, in all material respects and (b) if qualified as to materiality or Material Adverse Effect, in all respects as of the date originally made, as of the date hereof and as of the Series 2021-1 Closing Date (unless stated to relate solely to an earlier date, in which case such representations and warranties were true and correct in all material respects as of such earlier date).</w:t>
      </w:r>
    </w:p>
    <w:p>
      <w:pPr>
        <w:spacing w:after="0" w:line="161"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6.03Lender Parties</w:t>
      </w:r>
      <w:r>
        <w:rPr>
          <w:rFonts w:ascii="Arial" w:cs="Arial" w:eastAsia="Arial" w:hAnsi="Arial"/>
          <w:sz w:val="22"/>
          <w:szCs w:val="22"/>
          <w:color w:val="auto"/>
        </w:rPr>
        <w:t>. Each of the Lender Parties represents and warrants to the Co-Issuers and the Manager as of the date hereof (or, in the case of a successor or assign of an Investor, as of the subsequent date on which such successor or assign shall become or be deemed to become a party hereto) that:</w:t>
      </w:r>
    </w:p>
    <w:p>
      <w:pPr>
        <w:spacing w:after="0" w:line="186" w:lineRule="exact"/>
        <w:rPr>
          <w:sz w:val="20"/>
          <w:szCs w:val="20"/>
          <w:color w:val="auto"/>
        </w:rPr>
      </w:pPr>
    </w:p>
    <w:p>
      <w:pPr>
        <w:jc w:val="both"/>
        <w:ind w:firstLine="1505"/>
        <w:spacing w:after="0"/>
        <w:tabs>
          <w:tab w:leader="none" w:pos="2036" w:val="left"/>
        </w:tabs>
        <w:numPr>
          <w:ilvl w:val="0"/>
          <w:numId w:val="72"/>
        </w:numPr>
        <w:rPr>
          <w:rFonts w:ascii="Arial" w:cs="Arial" w:eastAsia="Arial" w:hAnsi="Arial"/>
          <w:sz w:val="22"/>
          <w:szCs w:val="22"/>
          <w:color w:val="auto"/>
        </w:rPr>
      </w:pPr>
      <w:r>
        <w:rPr>
          <w:rFonts w:ascii="Arial" w:cs="Arial" w:eastAsia="Arial" w:hAnsi="Arial"/>
          <w:sz w:val="22"/>
          <w:szCs w:val="22"/>
          <w:color w:val="auto"/>
        </w:rPr>
        <w:t>it has had an opportunity to discuss the Co-Issuers’ and the Manager’s business, management and financial affairs, and the terms and conditions of the proposed purchase of the Series 2021-1 Class A-1 Notes, with the Co-Issuers and the Manager and their respective representatives;</w:t>
      </w:r>
    </w:p>
    <w:p>
      <w:pPr>
        <w:spacing w:after="0" w:line="186"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72"/>
        </w:numPr>
        <w:rPr>
          <w:rFonts w:ascii="Arial" w:cs="Arial" w:eastAsia="Arial" w:hAnsi="Arial"/>
          <w:sz w:val="19"/>
          <w:szCs w:val="19"/>
          <w:color w:val="auto"/>
        </w:rPr>
      </w:pPr>
      <w:r>
        <w:rPr>
          <w:rFonts w:ascii="Arial" w:cs="Arial" w:eastAsia="Arial" w:hAnsi="Arial"/>
          <w:sz w:val="19"/>
          <w:szCs w:val="19"/>
          <w:color w:val="auto"/>
        </w:rPr>
        <w:t>it is a “qualified institutional buyer” within the meaning of Rule 144A under the Securities Act and has sufficient knowledge and experience in financial and business matters to be capable of evaluating the merits and risks of investing in, and is able and prepared to bear the economic risk of investing in, the Series 2021-1 Class A-1 Notes;</w:t>
      </w:r>
    </w:p>
    <w:p>
      <w:pPr>
        <w:spacing w:after="0" w:line="133" w:lineRule="exact"/>
        <w:rPr>
          <w:rFonts w:ascii="Arial" w:cs="Arial" w:eastAsia="Arial" w:hAnsi="Arial"/>
          <w:sz w:val="19"/>
          <w:szCs w:val="19"/>
          <w:color w:val="auto"/>
        </w:rPr>
      </w:pPr>
    </w:p>
    <w:p>
      <w:pPr>
        <w:jc w:val="both"/>
        <w:ind w:firstLine="1505"/>
        <w:spacing w:after="0" w:line="234" w:lineRule="auto"/>
        <w:tabs>
          <w:tab w:leader="none" w:pos="2036"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it is purchasing the Series 2021-1 Class A-1 Notes for its own account, or for the account of one or more “qualified institutional buyers” within the meaning of Rule 144A under the Securities Act that meet the criteria described in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above and for which it is acting with complete investment discretion, for investment purposes only and not with a view to a distribution in violation of the Securities Act, subject, nevertheless, to the understanding that the disposition of its property shall at all times be and remain within its control, and neither it nor its Affiliates has engaged in any general solicitation or general advertising within the meaning of the Securities Act, or the rules and regulations promulgated thereunder, with respect to the Series 2021-1 Class A-1 Notes;</w:t>
      </w:r>
    </w:p>
    <w:p>
      <w:pPr>
        <w:spacing w:after="0" w:line="190" w:lineRule="exact"/>
        <w:rPr>
          <w:rFonts w:ascii="Arial" w:cs="Arial" w:eastAsia="Arial" w:hAnsi="Arial"/>
          <w:sz w:val="22"/>
          <w:szCs w:val="22"/>
          <w:color w:val="auto"/>
        </w:rPr>
      </w:pPr>
    </w:p>
    <w:p>
      <w:pPr>
        <w:ind w:firstLine="1505"/>
        <w:spacing w:after="0" w:line="250" w:lineRule="auto"/>
        <w:tabs>
          <w:tab w:leader="none" w:pos="2036" w:val="left"/>
        </w:tabs>
        <w:numPr>
          <w:ilvl w:val="0"/>
          <w:numId w:val="72"/>
        </w:numPr>
        <w:rPr>
          <w:rFonts w:ascii="Arial" w:cs="Arial" w:eastAsia="Arial" w:hAnsi="Arial"/>
          <w:sz w:val="22"/>
          <w:szCs w:val="22"/>
          <w:color w:val="auto"/>
        </w:rPr>
      </w:pPr>
      <w:r>
        <w:rPr>
          <w:rFonts w:ascii="Arial" w:cs="Arial" w:eastAsia="Arial" w:hAnsi="Arial"/>
          <w:sz w:val="22"/>
          <w:szCs w:val="22"/>
          <w:color w:val="auto"/>
        </w:rPr>
        <w:t>it understands that (i) the Series 2021-1 Class A-1 Notes have not been and will not be registered or qualified under the Securities Act or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4" w:name="page105"/>
    <w:bookmarkEnd w:id="104"/>
    <w:p>
      <w:pPr>
        <w:jc w:val="both"/>
        <w:spacing w:after="0" w:line="277" w:lineRule="auto"/>
        <w:rPr>
          <w:sz w:val="20"/>
          <w:szCs w:val="20"/>
          <w:color w:val="auto"/>
        </w:rPr>
      </w:pPr>
      <w:r>
        <w:rPr>
          <w:rFonts w:ascii="Arial" w:cs="Arial" w:eastAsia="Arial" w:hAnsi="Arial"/>
          <w:sz w:val="19"/>
          <w:szCs w:val="19"/>
          <w:color w:val="auto"/>
        </w:rPr>
        <w:t xml:space="preserve">or the securities laws of any other jurisdiction and are being offered only in a transaction not involving any public offering within the meaning of the Securities Act and may not be resold or otherwise transferred unless so registered or qualified or unless an exemption from registration or qualification is available and an opinion of counsel shall have been delivered in advance to the Co-Issuers, (ii) the Co-Issuers are not required to register the Series 2021-1 Class A-1 Notes under the Securities Act or any applicable state securities laws or the securities laws of any other jurisdiction, (iii) any permitted transferee hereunder must meet the criteria in clause (b) above and (iv) any transfer must comply with the provisions of Section 2.8 of the Base Indenture, Section 4.03 of the Series 2021-1 Supplement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9.17,</w:t>
      </w:r>
      <w:r>
        <w:rPr>
          <w:rFonts w:ascii="Arial" w:cs="Arial" w:eastAsia="Arial" w:hAnsi="Arial"/>
          <w:sz w:val="19"/>
          <w:szCs w:val="19"/>
          <w:color w:val="auto"/>
        </w:rPr>
        <w:t xml:space="preserve"> as applicable, of this Agreement;</w:t>
      </w:r>
    </w:p>
    <w:p>
      <w:pPr>
        <w:spacing w:after="0" w:line="152" w:lineRule="exact"/>
        <w:rPr>
          <w:sz w:val="20"/>
          <w:szCs w:val="20"/>
          <w:color w:val="auto"/>
        </w:rPr>
      </w:pPr>
    </w:p>
    <w:p>
      <w:pPr>
        <w:ind w:firstLine="1505"/>
        <w:spacing w:after="0" w:line="250" w:lineRule="auto"/>
        <w:tabs>
          <w:tab w:leader="none" w:pos="203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it will comply with the requirements of </w:t>
      </w:r>
      <w:r>
        <w:rPr>
          <w:rFonts w:ascii="Arial" w:cs="Arial" w:eastAsia="Arial" w:hAnsi="Arial"/>
          <w:sz w:val="22"/>
          <w:szCs w:val="22"/>
          <w:u w:val="single" w:color="auto"/>
          <w:color w:val="auto"/>
        </w:rPr>
        <w:t>Section 6.03(d)</w:t>
      </w:r>
      <w:r>
        <w:rPr>
          <w:rFonts w:ascii="Arial" w:cs="Arial" w:eastAsia="Arial" w:hAnsi="Arial"/>
          <w:sz w:val="22"/>
          <w:szCs w:val="22"/>
          <w:color w:val="auto"/>
        </w:rPr>
        <w:t xml:space="preserve"> above in connection with any transfer by it of the Series 2021-1 Class A-1 Notes;</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0"/>
          <w:numId w:val="73"/>
        </w:numPr>
        <w:rPr>
          <w:rFonts w:ascii="Arial" w:cs="Arial" w:eastAsia="Arial" w:hAnsi="Arial"/>
          <w:sz w:val="22"/>
          <w:szCs w:val="22"/>
          <w:color w:val="auto"/>
        </w:rPr>
      </w:pPr>
      <w:r>
        <w:rPr>
          <w:rFonts w:ascii="Arial" w:cs="Arial" w:eastAsia="Arial" w:hAnsi="Arial"/>
          <w:sz w:val="22"/>
          <w:szCs w:val="22"/>
          <w:color w:val="auto"/>
        </w:rPr>
        <w:t>it understands that the Series 2021-1 Class A-1 Notes that are in the form of definitive notes will bear the legend set out in the form of Series 2021-1 Class A-1 Notes attached to the Series 2021-1 Supplement and that the Series 2021-1 Class A-1 Notes will be subject to the restrictions on transfer described in such legend;</w:t>
      </w:r>
    </w:p>
    <w:p>
      <w:pPr>
        <w:spacing w:after="0" w:line="186" w:lineRule="exact"/>
        <w:rPr>
          <w:rFonts w:ascii="Arial" w:cs="Arial" w:eastAsia="Arial" w:hAnsi="Arial"/>
          <w:sz w:val="22"/>
          <w:szCs w:val="22"/>
          <w:color w:val="auto"/>
        </w:rPr>
      </w:pPr>
    </w:p>
    <w:p>
      <w:pPr>
        <w:ind w:firstLine="1505"/>
        <w:spacing w:after="0" w:line="250" w:lineRule="auto"/>
        <w:tabs>
          <w:tab w:leader="none" w:pos="2036" w:val="left"/>
        </w:tabs>
        <w:numPr>
          <w:ilvl w:val="0"/>
          <w:numId w:val="73"/>
        </w:numPr>
        <w:rPr>
          <w:rFonts w:ascii="Arial" w:cs="Arial" w:eastAsia="Arial" w:hAnsi="Arial"/>
          <w:sz w:val="22"/>
          <w:szCs w:val="22"/>
          <w:color w:val="auto"/>
        </w:rPr>
      </w:pPr>
      <w:r>
        <w:rPr>
          <w:rFonts w:ascii="Arial" w:cs="Arial" w:eastAsia="Arial" w:hAnsi="Arial"/>
          <w:sz w:val="22"/>
          <w:szCs w:val="22"/>
          <w:color w:val="auto"/>
        </w:rPr>
        <w:t>it will obtain for the benefit of the Co-Issuers from any purchaser of the Series 2021-1 Class A-1 Notes substantially the same representations and warranties contained in the foregoing paragraphs; and</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it has executed a Purchaser’s Letter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7.01Conditions to Issuance and Effectiveness</w:t>
      </w:r>
      <w:r>
        <w:rPr>
          <w:rFonts w:ascii="Arial" w:cs="Arial" w:eastAsia="Arial" w:hAnsi="Arial"/>
          <w:sz w:val="22"/>
          <w:szCs w:val="22"/>
          <w:color w:val="auto"/>
        </w:rPr>
        <w:t>. Each Lender Party will have no obligation to purchase the Series 2021-1 Class A-1 Notes hereunder on the Series 2021-1 Closing Date, and the Commitments, the Swingline Commitment and the L/C Commitment will not become effective, unless:</w:t>
      </w:r>
    </w:p>
    <w:p>
      <w:pPr>
        <w:spacing w:after="0" w:line="186" w:lineRule="exact"/>
        <w:rPr>
          <w:sz w:val="20"/>
          <w:szCs w:val="20"/>
          <w:color w:val="auto"/>
        </w:rPr>
      </w:pPr>
    </w:p>
    <w:p>
      <w:pPr>
        <w:ind w:firstLine="1505"/>
        <w:spacing w:after="0" w:line="250" w:lineRule="auto"/>
        <w:tabs>
          <w:tab w:leader="none" w:pos="20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Base Indenture, the Series 2021-1 Supplement, the Guarantee and Collateral Agreement and the other Related Documents shall be in full force and effect;</w:t>
      </w:r>
    </w:p>
    <w:p>
      <w:pPr>
        <w:spacing w:after="0" w:line="174" w:lineRule="exact"/>
        <w:rPr>
          <w:rFonts w:ascii="Arial" w:cs="Arial" w:eastAsia="Arial" w:hAnsi="Arial"/>
          <w:sz w:val="22"/>
          <w:szCs w:val="22"/>
          <w:color w:val="auto"/>
        </w:rPr>
      </w:pPr>
    </w:p>
    <w:p>
      <w:pPr>
        <w:jc w:val="both"/>
        <w:ind w:firstLine="1505"/>
        <w:spacing w:after="0"/>
        <w:tabs>
          <w:tab w:leader="none" w:pos="20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on the Series 2021-1 Closing Date, the Administrative Agent shall have received a letter, in form and substance reasonably satisfactory to it, from S&amp;P stating that a long-term rating of at least “BBB+” has been assigned to the Series 2021-1 Class A-1 Notes;</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at the time of such issuance, the additional conditions set forth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and all other conditions to the issuance of the Series 2021-1 Class A-1 Notes under the Indenture shall have been satisfied or waived by such Lender Party.</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7.02Conditions to Initial Extensions of Credit</w:t>
      </w:r>
      <w:r>
        <w:rPr>
          <w:rFonts w:ascii="Arial" w:cs="Arial" w:eastAsia="Arial" w:hAnsi="Arial"/>
          <w:sz w:val="22"/>
          <w:szCs w:val="22"/>
          <w:color w:val="auto"/>
        </w:rPr>
        <w:t>. The election of each Conduit Investor to fund, and the obligation of each Committed Note Purchaser to fund, the initial Borrowing hereunder, and the obligations of the Swingline Lender and the L/C Provider to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5" w:name="page106"/>
    <w:bookmarkEnd w:id="105"/>
    <w:p>
      <w:pPr>
        <w:jc w:val="both"/>
        <w:spacing w:after="0" w:line="272" w:lineRule="auto"/>
        <w:rPr>
          <w:sz w:val="20"/>
          <w:szCs w:val="20"/>
          <w:color w:val="auto"/>
        </w:rPr>
      </w:pPr>
      <w:r>
        <w:rPr>
          <w:rFonts w:ascii="Arial" w:cs="Arial" w:eastAsia="Arial" w:hAnsi="Arial"/>
          <w:sz w:val="19"/>
          <w:szCs w:val="19"/>
          <w:color w:val="auto"/>
        </w:rPr>
        <w:t>the initial Swingline Loan or provide the initial Letter of Credit hereunder, respectively, shall be subject to the satisfaction of the conditions precedent that (a) each Funding Agent shall have received a duly executed and authenticated Series 2021-1 Class A-1 Advance Note registered in its name or in such other name as shall have been directed by such Funding Agent and stating that the principal amount thereof shall not exceed the Maximum Investor Group Principal Amount of the related Investor Group (or, in the case of a Series 2021-1 Class A-1 Advance Note that is an Uncertificated Note, a Confirmation of Registration with respect thereto); (b) each of the Swingline Lender and the L/C Provider shall have received a duly executed and authenticated Series 2021-1 Class A-1 Swingline Note or Series 2021-1 Class A-1 L/C Note, as applicable, registered in its name or in such other name as shall have been directed by it and stating that the principal amount thereof shall not exceed the Swingline Commitment or L/C Commitment, respectively (or, if either the initial Series 2021-1 Class A-1 Swingline Note or the initial Series 2021-1 Class A-1 L/C Note is an Uncertificated Note, a Confirmation of Registration with respect thereto); and (c) the Co-Issuers shall have paid all fees due and payable by them under the Related Documents on the Series 2021-1 Closing Date, including all fees required hereunder.</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u w:val="single" w:color="auto"/>
          <w:color w:val="auto"/>
        </w:rPr>
        <w:t>Section 7.03Conditions to Each Extension of Credit</w:t>
      </w:r>
      <w:r>
        <w:rPr>
          <w:rFonts w:ascii="Arial" w:cs="Arial" w:eastAsia="Arial" w:hAnsi="Arial"/>
          <w:sz w:val="19"/>
          <w:szCs w:val="19"/>
          <w:color w:val="auto"/>
        </w:rPr>
        <w:t xml:space="preserve">. The election of each Conduit Investor to fund, and the obligation of each Committed Note Purchaser to fund, any Borrowing on any day (including the initial Borrowing but excluding any Borrowings to repay Swingline Loans or L/C Obligations pursuant to </w:t>
      </w:r>
      <w:r>
        <w:rPr>
          <w:rFonts w:ascii="Arial" w:cs="Arial" w:eastAsia="Arial" w:hAnsi="Arial"/>
          <w:sz w:val="19"/>
          <w:szCs w:val="19"/>
          <w:u w:val="single" w:color="auto"/>
          <w:color w:val="auto"/>
        </w:rPr>
        <w:t>Sections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or 2.08, as applicable), and the obligations of the Swingline Lender to fund any Swingline Loan (including the initial one) and of the L/C Provider to provide any Letter of Credit (including the initial one), respectively, shall be subject to the conditions precedent that, on the date of such funding or provision, before and after giving effect thereto and to the application of any proceeds therefrom, the following statements shall be true (without regard to any waiver, amendment or other modification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any definitions used herein consented to by the Control Party unless the Required Investor Groups have consented to such waiver, amendment or other modification for purposes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provided, however, that if a Rapid Amortization Event has occurred and (other than in the case of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has been declared by the Control Party pursuant to </w:t>
      </w:r>
      <w:r>
        <w:rPr>
          <w:rFonts w:ascii="Arial" w:cs="Arial" w:eastAsia="Arial" w:hAnsi="Arial"/>
          <w:sz w:val="19"/>
          <w:szCs w:val="19"/>
          <w:u w:val="single" w:color="auto"/>
          <w:color w:val="auto"/>
        </w:rPr>
        <w:t>Sections 9.1(a)</w:t>
      </w:r>
      <w:r>
        <w:rPr>
          <w:rFonts w:ascii="Arial" w:cs="Arial" w:eastAsia="Arial" w:hAnsi="Arial"/>
          <w:sz w:val="19"/>
          <w:szCs w:val="19"/>
          <w:color w:val="auto"/>
        </w:rPr>
        <w:t xml:space="preserve">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the Base Indenture, consent to such waiver, amendment or other modification from all Investors (provided that it shall not be the obligation of the Control Party to obtain such consent from the Investors) as well as the Control Party is required for purposes of this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5422265</wp:posOffset>
            </wp:positionH>
            <wp:positionV relativeFrom="paragraph">
              <wp:posOffset>-1435100</wp:posOffset>
            </wp:positionV>
            <wp:extent cx="3035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384" w:lineRule="exact"/>
        <w:rPr>
          <w:sz w:val="20"/>
          <w:szCs w:val="20"/>
          <w:color w:val="auto"/>
        </w:rPr>
      </w:pPr>
    </w:p>
    <w:p>
      <w:pPr>
        <w:jc w:val="both"/>
        <w:ind w:firstLine="1505"/>
        <w:spacing w:after="0" w:line="235" w:lineRule="auto"/>
        <w:tabs>
          <w:tab w:leader="none" w:pos="20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(i) the representations and warranties of the Co-Issuers set out in this Agreement and (ii) the representations and warranties of the Manager set out in this Agreement, in each such case, shall be true and correct (A) if qualified as to materiality or Material Adverse Effect, in all respects and (B) if not qualified as to materiality or Material Adverse Effect, in all material respects, as of the date of such funding or issuance, with the same effect as though made on that date (unless stated to relate solely to an earlier date, in which case such representations and warranties shall have been true and correct as of such earlier date);</w:t>
      </w:r>
    </w:p>
    <w:p>
      <w:pPr>
        <w:spacing w:after="0" w:line="187" w:lineRule="exact"/>
        <w:rPr>
          <w:rFonts w:ascii="Arial" w:cs="Arial" w:eastAsia="Arial" w:hAnsi="Arial"/>
          <w:sz w:val="22"/>
          <w:szCs w:val="22"/>
          <w:color w:val="auto"/>
        </w:rPr>
      </w:pPr>
    </w:p>
    <w:p>
      <w:pPr>
        <w:jc w:val="both"/>
        <w:ind w:firstLine="1505"/>
        <w:spacing w:after="0"/>
        <w:tabs>
          <w:tab w:leader="none" w:pos="20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there shall be no Potential Rapid Amortization Event, Rapid Amortization Event, Default or Event of Default or Series 2021-1 Cash Trapping Period in existence at the time of, or after giving effect to, such funding or issuance, and no Change of Control to which the Control Party has not provided its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06" w:name="page107"/>
    <w:bookmarkEnd w:id="106"/>
    <w:p>
      <w:pPr>
        <w:jc w:val="both"/>
        <w:ind w:firstLine="1505"/>
        <w:spacing w:after="0" w:line="238" w:lineRule="auto"/>
        <w:tabs>
          <w:tab w:leader="none" w:pos="2036"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in the case of any Borrowing, except to the extent an advance request is expressly deemed to have been delivered hereunder, the Co-Issuers shall have delivered or have been deemed to have delivered to the Administrative Agent an executed advance request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with respect to such Borrowing (each such request, an “</w:t>
      </w:r>
      <w:r>
        <w:rPr>
          <w:rFonts w:ascii="Arial" w:cs="Arial" w:eastAsia="Arial" w:hAnsi="Arial"/>
          <w:sz w:val="22"/>
          <w:szCs w:val="22"/>
          <w:u w:val="single" w:color="auto"/>
          <w:color w:val="auto"/>
        </w:rPr>
        <w:t>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Request</w:t>
      </w:r>
      <w:r>
        <w:rPr>
          <w:rFonts w:ascii="Arial" w:cs="Arial" w:eastAsia="Arial" w:hAnsi="Arial"/>
          <w:sz w:val="22"/>
          <w:szCs w:val="22"/>
          <w:color w:val="auto"/>
        </w:rPr>
        <w:t>” or a “</w:t>
      </w:r>
      <w:r>
        <w:rPr>
          <w:rFonts w:ascii="Arial" w:cs="Arial" w:eastAsia="Arial" w:hAnsi="Arial"/>
          <w:sz w:val="22"/>
          <w:szCs w:val="22"/>
          <w:u w:val="single" w:color="auto"/>
          <w:color w:val="auto"/>
        </w:rPr>
        <w:t>Series 2021-1 Class A-1 Advance Request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505"/>
        <w:spacing w:after="0" w:line="287" w:lineRule="auto"/>
        <w:tabs>
          <w:tab w:leader="none" w:pos="20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Senior Notes Interest Reserve Amount (including any Senior Notes Interest Reserve Account Deficient Amount) will be funded and/or an Interest Reserve Letter of Credit will be maintained for such amount as of the date of such draw in the amounts required pursuant to the Indenture after giving effect to such draw;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Interest Reserve Letter of Credit is requested, such condition shall be satisfied after giving effect to the issuance and delivery thereof;</w:t>
      </w:r>
    </w:p>
    <w:p>
      <w:pPr>
        <w:spacing w:after="0" w:line="142" w:lineRule="exact"/>
        <w:rPr>
          <w:rFonts w:ascii="Arial" w:cs="Arial" w:eastAsia="Arial" w:hAnsi="Arial"/>
          <w:sz w:val="19"/>
          <w:szCs w:val="19"/>
          <w:color w:val="auto"/>
        </w:rPr>
      </w:pPr>
    </w:p>
    <w:p>
      <w:pPr>
        <w:ind w:firstLine="1505"/>
        <w:spacing w:after="0" w:line="250" w:lineRule="auto"/>
        <w:tabs>
          <w:tab w:leader="none" w:pos="203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Undrawn Commitment Fees, Administrative Agent Fees and L/C Quarterly Fees due and payable on or prior to the date of such funding or issuance shall have been paid in full; and</w:t>
      </w:r>
    </w:p>
    <w:p>
      <w:pPr>
        <w:spacing w:after="0" w:line="174" w:lineRule="exact"/>
        <w:rPr>
          <w:rFonts w:ascii="Arial" w:cs="Arial" w:eastAsia="Arial" w:hAnsi="Arial"/>
          <w:sz w:val="22"/>
          <w:szCs w:val="22"/>
          <w:color w:val="auto"/>
        </w:rPr>
      </w:pPr>
    </w:p>
    <w:p>
      <w:pPr>
        <w:ind w:firstLine="1505"/>
        <w:spacing w:after="0" w:line="250" w:lineRule="auto"/>
        <w:tabs>
          <w:tab w:leader="none" w:pos="2036"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all conditions to such extension of credit or provision specified in </w:t>
      </w:r>
      <w:r>
        <w:rPr>
          <w:rFonts w:ascii="Arial" w:cs="Arial" w:eastAsia="Arial" w:hAnsi="Arial"/>
          <w:sz w:val="22"/>
          <w:szCs w:val="22"/>
          <w:u w:val="single" w:color="auto"/>
          <w:color w:val="auto"/>
        </w:rPr>
        <w:t>Sections 2.02</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2.07,</w:t>
      </w:r>
      <w:r>
        <w:rPr>
          <w:rFonts w:ascii="Arial" w:cs="Arial" w:eastAsia="Arial" w:hAnsi="Arial"/>
          <w:sz w:val="22"/>
          <w:szCs w:val="22"/>
          <w:color w:val="auto"/>
        </w:rPr>
        <w:t xml:space="preserve"> as applicable, shall have been satisfied.</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The giving of any notice pursuant to </w:t>
      </w:r>
      <w:r>
        <w:rPr>
          <w:rFonts w:ascii="Arial" w:cs="Arial" w:eastAsia="Arial" w:hAnsi="Arial"/>
          <w:sz w:val="22"/>
          <w:szCs w:val="22"/>
          <w:u w:val="single" w:color="auto"/>
          <w:color w:val="auto"/>
        </w:rPr>
        <w:t>Sections 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2.07,</w:t>
      </w:r>
      <w:r>
        <w:rPr>
          <w:rFonts w:ascii="Arial" w:cs="Arial" w:eastAsia="Arial" w:hAnsi="Arial"/>
          <w:sz w:val="22"/>
          <w:szCs w:val="22"/>
          <w:color w:val="auto"/>
        </w:rPr>
        <w:t xml:space="preserve"> as applicable, shall constitute a representation and warranty by the Co-Issuers and the Manager that all conditions precedent to such funding or provision have been satisfied or will be satisfied concurrently therewith.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COVENANTS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8.01Covenants</w:t>
      </w:r>
      <w:r>
        <w:rPr>
          <w:rFonts w:ascii="Arial" w:cs="Arial" w:eastAsia="Arial" w:hAnsi="Arial"/>
          <w:sz w:val="22"/>
          <w:szCs w:val="22"/>
          <w:color w:val="auto"/>
        </w:rPr>
        <w:t>. Each of the Co-Issuers, jointly and severally, and the Manager, severally, covenants and agrees that, until all Aggregate Unpaids have been paid in full and all Commitments, the Swingline Commitment and the L/C Commitment have been terminated, it will:</w:t>
      </w:r>
    </w:p>
    <w:p>
      <w:pPr>
        <w:spacing w:after="0" w:line="186" w:lineRule="exact"/>
        <w:rPr>
          <w:sz w:val="20"/>
          <w:szCs w:val="20"/>
          <w:color w:val="auto"/>
        </w:rPr>
      </w:pPr>
    </w:p>
    <w:p>
      <w:pPr>
        <w:jc w:val="both"/>
        <w:ind w:firstLine="1505"/>
        <w:spacing w:after="0"/>
        <w:tabs>
          <w:tab w:leader="none" w:pos="20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unless waived in writing by the Control Party in accordance with Section 9.7 of the Base Indenture, duly and timely perform all of its covenants (both affirmative and negative) and obligations under each Related Document to which it is a party;</w:t>
      </w:r>
    </w:p>
    <w:p>
      <w:pPr>
        <w:spacing w:after="0" w:line="186"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 amend, modify, waive or give any approval, consent or permission under any provision of the Base Indenture or any other Related Document to which it is a party unless any such amendment, modification, waiver or other action is in writing and made in accordance with the terms of the Base Indenture or such other Related Document, as applicable;</w:t>
      </w:r>
    </w:p>
    <w:p>
      <w:pPr>
        <w:spacing w:after="0" w:line="133" w:lineRule="exact"/>
        <w:rPr>
          <w:rFonts w:ascii="Arial" w:cs="Arial" w:eastAsia="Arial" w:hAnsi="Arial"/>
          <w:sz w:val="19"/>
          <w:szCs w:val="19"/>
          <w:color w:val="auto"/>
        </w:rPr>
      </w:pPr>
    </w:p>
    <w:p>
      <w:pPr>
        <w:jc w:val="both"/>
        <w:ind w:firstLine="1505"/>
        <w:spacing w:after="0" w:line="249" w:lineRule="auto"/>
        <w:tabs>
          <w:tab w:leader="none" w:pos="2036" w:val="left"/>
        </w:tabs>
        <w:numPr>
          <w:ilvl w:val="0"/>
          <w:numId w:val="77"/>
        </w:numPr>
        <w:rPr>
          <w:rFonts w:ascii="Arial" w:cs="Arial" w:eastAsia="Arial" w:hAnsi="Arial"/>
          <w:sz w:val="21"/>
          <w:szCs w:val="21"/>
          <w:color w:val="auto"/>
        </w:rPr>
      </w:pPr>
      <w:r>
        <w:rPr>
          <w:rFonts w:ascii="Arial" w:cs="Arial" w:eastAsia="Arial" w:hAnsi="Arial"/>
          <w:sz w:val="21"/>
          <w:szCs w:val="21"/>
          <w:color w:val="auto"/>
        </w:rPr>
        <w:t>once per calendar year, following reasonable prior notice from the Administrative Agent (the “</w:t>
      </w:r>
      <w:r>
        <w:rPr>
          <w:rFonts w:ascii="Arial" w:cs="Arial" w:eastAsia="Arial" w:hAnsi="Arial"/>
          <w:sz w:val="21"/>
          <w:szCs w:val="21"/>
          <w:u w:val="single" w:color="auto"/>
          <w:color w:val="auto"/>
        </w:rPr>
        <w:t>Annual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Inspection Notice</w:t>
      </w:r>
      <w:r>
        <w:rPr>
          <w:rFonts w:ascii="Arial" w:cs="Arial" w:eastAsia="Arial" w:hAnsi="Arial"/>
          <w:sz w:val="21"/>
          <w:szCs w:val="21"/>
          <w:color w:val="auto"/>
        </w:rPr>
        <w:t>”), and during regular business hours, permit any one or more of such Administrative Agent, any Funding Agent, the Swingline Lender or the L/C Provider, or any of their respective agents, representatives or permitted assigns, at the Co-Issuers’ expense, access (as a group, and not individually unless only one such Person desires such access) to the offices of the Manager, the Co-Issuers and the Guarantors, (i) to examine and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7" w:name="page108"/>
    <w:bookmarkEnd w:id="107"/>
    <w:p>
      <w:pPr>
        <w:jc w:val="both"/>
        <w:spacing w:after="0" w:line="271" w:lineRule="auto"/>
        <w:rPr>
          <w:sz w:val="20"/>
          <w:szCs w:val="20"/>
          <w:color w:val="auto"/>
        </w:rPr>
      </w:pPr>
      <w:r>
        <w:rPr>
          <w:rFonts w:ascii="Arial" w:cs="Arial" w:eastAsia="Arial" w:hAnsi="Arial"/>
          <w:sz w:val="19"/>
          <w:szCs w:val="19"/>
          <w:color w:val="auto"/>
        </w:rPr>
        <w:t xml:space="preserve">copies of and abstracts from all documentation relating to the Collateral on the same terms as are provided to the Trustee under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of the Base Indenture, and (ii) to visit the offices and properties of the Manager, the Co-Issuers and the Guarantors for the purpose of examining such materials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and to discuss matters relating to the Collateral, or the administration and performance of the Base Indenture, the Series 2021-1 Supplement and the other Related Documents with any of the officers or employees of, the Manager, the Co-Issuers and/or the Guarantors, as applicable, having knowledge of such matters;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upon the occurrence and continuation of a Potential Rapid Amortization Event, Rapid Amortization Event, Cash Trapping Period, Default or Event of Default, the Administrative Agent, any Funding Agent, the Swingline Lender or the L/C Provider, or any of their respective agents, representatives or permitted assigns, at the Co-Issuers’ expense may do any of the foregoing at any time during normal business hours and without advance notice;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addition to any visits made pursuant to provision of an Annual Inspection Notice or during the continuation of a Potential Rapid Amortization Event, Rapid Amortization Event, Default or Event of Default, the Administrative Agent, any Funding Agent, the Swingline Lender or the L/C Provider, or any of their respective agents, representatives or permitted assigns, at their own expense, may do any of the foregoing at any time during normal business hours following reasonable prior notice with respect to the business of the Co-Issuers and/or the Guarantors;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Funding Agents, the Swingline Lender and the L/C Provider will be permitted to provide input to the Administrative Agent with respect to the timing of delivery, and content, of the Annual Inspection Notice;</w:t>
      </w:r>
    </w:p>
    <w:p>
      <w:pPr>
        <w:spacing w:after="0" w:line="200" w:lineRule="exact"/>
        <w:rPr>
          <w:sz w:val="20"/>
          <w:szCs w:val="20"/>
          <w:color w:val="auto"/>
        </w:rPr>
      </w:pPr>
    </w:p>
    <w:p>
      <w:pPr>
        <w:spacing w:after="0" w:line="203" w:lineRule="exact"/>
        <w:rPr>
          <w:sz w:val="20"/>
          <w:szCs w:val="20"/>
          <w:color w:val="auto"/>
        </w:rPr>
      </w:pPr>
    </w:p>
    <w:p>
      <w:pPr>
        <w:jc w:val="both"/>
        <w:ind w:firstLine="1505"/>
        <w:spacing w:after="0"/>
        <w:tabs>
          <w:tab w:leader="none" w:pos="20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 take, or cause to be taken, any action, including, without limitation, acquiring any Margin Stock, that could cause the transactions contemplated by the Related Documents to fail to comply with the regulations of the Board of Governors of the Federal Reserve System, including Regulations T, U and X thereof;</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 permit any amounts owed with respect to the Series 2021-1 Class A-1 Notes to be secured, directly or indirectly, by any Margin Stock in a manner that would violate the regulations of the Board of Governors of the Federal Reserve System, including Regulations T, U and X thereof;</w:t>
      </w:r>
    </w:p>
    <w:p>
      <w:pPr>
        <w:spacing w:after="0" w:line="186"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78"/>
        </w:numPr>
        <w:rPr>
          <w:rFonts w:ascii="Arial" w:cs="Arial" w:eastAsia="Arial" w:hAnsi="Arial"/>
          <w:sz w:val="19"/>
          <w:szCs w:val="19"/>
          <w:color w:val="auto"/>
        </w:rPr>
      </w:pPr>
      <w:r>
        <w:rPr>
          <w:rFonts w:ascii="Arial" w:cs="Arial" w:eastAsia="Arial" w:hAnsi="Arial"/>
          <w:sz w:val="19"/>
          <w:szCs w:val="19"/>
          <w:color w:val="auto"/>
        </w:rPr>
        <w:t>promptly provide such additional financial and other information with respect to the Related Documents (other than Series Supplements and Related Documents relating solely to a Series of Notes other than the Series 2021-1 Notes), the Co-Issuers, the Manager or the Guarantors as the Administrative Agent may from time to time reasonably request;</w:t>
      </w:r>
    </w:p>
    <w:p>
      <w:pPr>
        <w:spacing w:after="0" w:line="133" w:lineRule="exact"/>
        <w:rPr>
          <w:rFonts w:ascii="Arial" w:cs="Arial" w:eastAsia="Arial" w:hAnsi="Arial"/>
          <w:sz w:val="19"/>
          <w:szCs w:val="19"/>
          <w:color w:val="auto"/>
        </w:rPr>
      </w:pPr>
    </w:p>
    <w:p>
      <w:pPr>
        <w:jc w:val="both"/>
        <w:ind w:firstLine="1505"/>
        <w:spacing w:after="0"/>
        <w:tabs>
          <w:tab w:leader="none" w:pos="20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deliver to the Administrative Agent (who shall promptly provide a copy thereof to the Lender Parties), the financial statements prepared pursuant to Section 4.1 of the Base Indenture reasonably contemporaneously with the delivery of such statements under the Base Indenture; and</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Promptly following any change in the information included in the Beneficial Ownership Certification that would result in a change to the list of beneficial owners or control parties identified in part (c) or (d) of such certification, each Co-Issuer or Guarantor, as applicable, shall execute and deliver to the Administrative Agent an updated Beneficial Ownership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8" w:name="page109"/>
    <w:bookmarkEnd w:id="108"/>
    <w:p>
      <w:pPr>
        <w:jc w:val="both"/>
        <w:ind w:firstLine="1497"/>
        <w:spacing w:after="0" w:line="238" w:lineRule="auto"/>
        <w:rPr>
          <w:sz w:val="20"/>
          <w:szCs w:val="20"/>
          <w:color w:val="auto"/>
        </w:rPr>
      </w:pPr>
      <w:r>
        <w:rPr>
          <w:rFonts w:ascii="Arial" w:cs="Arial" w:eastAsia="Arial" w:hAnsi="Arial"/>
          <w:sz w:val="22"/>
          <w:szCs w:val="22"/>
          <w:color w:val="auto"/>
        </w:rPr>
        <w:t>Promptly following any request therefor, each Co-Issuer or Guarantor, as applicable, shall deliver to the Administrative Agent all documentation and other information required by bank regulatory authorities requested by a Committed Lender for purposes of compliance with applicable “know your customer” requirements under the Patriot Act, the Beneficial Ownership Rule or other applicable anti-money laundering laws, rules and regulations.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u w:val="single" w:color="auto"/>
          <w:color w:val="auto"/>
        </w:rPr>
        <w:t>Section 9.01Amendments</w:t>
      </w:r>
      <w:r>
        <w:rPr>
          <w:rFonts w:ascii="Arial" w:cs="Arial" w:eastAsia="Arial" w:hAnsi="Arial"/>
          <w:sz w:val="19"/>
          <w:szCs w:val="19"/>
          <w:color w:val="auto"/>
        </w:rPr>
        <w:t xml:space="preserve">. No amendment to or waiver or other modification of any provision of this Agreement, nor consent to any departure therefrom by the Manager or the Co-Issuers, shall in any event be effective unless the same shall be in writing and signed by the Manager, the Co-Issuers and the Administrative Agent with the written consent of the Required Investor Groups;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addition, (i) the prior written consent of each affected Investor shall be required in connection with any amendment, modification or waiver that (x) increases the amount of the Commitment of such Investor, extends the Commitment Termination Date or the Series 2021-1 Class A-1 Senior Notes Renewal Date, modifies the conditions to funding such Commitment or otherwise subjects such Investor to any increased or additional duties or obligations hereunder or in connection herewith (it being understood and agreed that waivers or modifications of conditions precedent, covenants, Defaults or Events of Default or of a mandatory reduction in the aggregate Commitments shall not constitute an increase of the Commitments of any Lender Party), (y) reduces the amount or delays the timing of payment of any principal, interest, fees or other amounts payable to such Investor hereunder or (z) would have an effect comparable to any of those set forth in Section 13.2(a) of the Base Indenture that require the consent of each Noteholder or each affected Noteholder; (ii) any amendment, modification or waiver that affects the rights or duties of any of the Swingline Lender, the L/C Provider, the Administrative Agent or the Funding Agents shall require the prior written consent of such affected Person; and (iii) the prior written consent of each Investor, the Swingline Lender, the L/C Provider, the Administrative Agent and each Funding Agent shall be required in connection with any amendment, modification or waiver of this </w:t>
      </w:r>
      <w:r>
        <w:rPr>
          <w:rFonts w:ascii="Arial" w:cs="Arial" w:eastAsia="Arial" w:hAnsi="Arial"/>
          <w:sz w:val="19"/>
          <w:szCs w:val="19"/>
          <w:u w:val="single" w:color="auto"/>
          <w:color w:val="auto"/>
        </w:rPr>
        <w:t>Section 9.01</w:t>
      </w:r>
      <w:r>
        <w:rPr>
          <w:rFonts w:ascii="Arial" w:cs="Arial" w:eastAsia="Arial" w:hAnsi="Arial"/>
          <w:sz w:val="19"/>
          <w:szCs w:val="19"/>
          <w:color w:val="auto"/>
        </w:rPr>
        <w:t>. For purposes of any provision of any other Indenture Document relating to any vote, consent, direction or the like to be given by the Series 2021-1 Class A-1 Noteholders, such vote, consent, direction or the like shall be given by the Holders of the Series 2021-1 Class A-1 Advance Notes only and not by the Holders of any Series 2021-1 Class A-1 Swingline Notes or Series 2021-1 Class A-1 L/C Notes except to the extent that such vote, consent, direction or the like is to be given by each affected Noteholder and the Holders of any Series 2021-1 Class A-1 Swingline Notes or Series 2021-1 Class A-1 L/C Notes would be affected thereby.</w:t>
      </w:r>
    </w:p>
    <w:p>
      <w:pPr>
        <w:spacing w:after="0" w:line="200" w:lineRule="exact"/>
        <w:rPr>
          <w:sz w:val="20"/>
          <w:szCs w:val="20"/>
          <w:color w:val="auto"/>
        </w:rPr>
      </w:pPr>
    </w:p>
    <w:p>
      <w:pPr>
        <w:spacing w:after="0" w:line="203" w:lineRule="exact"/>
        <w:rPr>
          <w:sz w:val="20"/>
          <w:szCs w:val="20"/>
          <w:color w:val="auto"/>
        </w:rPr>
      </w:pPr>
    </w:p>
    <w:p>
      <w:pPr>
        <w:jc w:val="both"/>
        <w:ind w:firstLine="485"/>
        <w:spacing w:after="0" w:line="234" w:lineRule="auto"/>
        <w:rPr>
          <w:sz w:val="20"/>
          <w:szCs w:val="20"/>
          <w:color w:val="auto"/>
        </w:rPr>
      </w:pPr>
      <w:r>
        <w:rPr>
          <w:rFonts w:ascii="Arial" w:cs="Arial" w:eastAsia="Arial" w:hAnsi="Arial"/>
          <w:sz w:val="22"/>
          <w:szCs w:val="22"/>
          <w:color w:val="auto"/>
        </w:rPr>
        <w:t>Each Committed Note Purchaser will notify the Co-Issuers in writing whether or not it will consent to a proposed amendment, waiver or other modification of this Agreement and, if applicable, any condition to such consent, waiver or other modification. If a Committed Note Purchaser notifies the Co-Issuers in writing that such Committed Note Purchaser either (I) will not consent to an amendment to or waiver or other modification of any provision of this Agreement or (II) conditions its consent to such an amendment, waiver or other modification of any provision of this Agreement upon the payment of an amendment fee, the Co-Issuers may replace every member (but not any subset thereof) of such Committed Note Purchaser’s entire Investor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9" w:name="page110"/>
    <w:bookmarkEnd w:id="109"/>
    <w:p>
      <w:pPr>
        <w:jc w:val="both"/>
        <w:spacing w:after="0" w:line="246" w:lineRule="exact"/>
        <w:rPr>
          <w:sz w:val="20"/>
          <w:szCs w:val="20"/>
          <w:color w:val="auto"/>
        </w:rPr>
      </w:pPr>
      <w:r>
        <w:rPr>
          <w:rFonts w:ascii="Arial" w:cs="Arial" w:eastAsia="Arial" w:hAnsi="Arial"/>
          <w:sz w:val="19"/>
          <w:szCs w:val="19"/>
          <w:color w:val="auto"/>
        </w:rPr>
        <w:t>by giving written notice to each member of such Investor Group and the Administrative Agent designating one or more Persons that are willing and able to purchase each member of such Investor Group’s rights and obligations under this Agreement for a purchase price that with respect to each such member of such Investor Group will equal the amount owed to each such member of such Investor Group with respect to the Series 2021-1 Class A-1 Advance Notes (whether arising under the Indenture, this Agreement, the Series 2021-1 Class A</w:t>
      </w:r>
      <w:r>
        <w:rPr>
          <w:rFonts w:ascii="MS PGothic" w:cs="MS PGothic" w:eastAsia="MS PGothic" w:hAnsi="MS PGothic"/>
          <w:sz w:val="19"/>
          <w:szCs w:val="19"/>
          <w:color w:val="auto"/>
        </w:rPr>
        <w:t>‑</w:t>
      </w:r>
      <w:r>
        <w:rPr>
          <w:rFonts w:ascii="Arial" w:cs="Arial" w:eastAsia="Arial" w:hAnsi="Arial"/>
          <w:sz w:val="19"/>
          <w:szCs w:val="19"/>
          <w:color w:val="auto"/>
        </w:rPr>
        <w:t xml:space="preserve">1 Advance Notes or otherwise). Upon receipt of such written notice, each member of such Investor Group shall assign its rights and obligations under this Agreement pursuant to and in accordance with </w:t>
      </w:r>
      <w:r>
        <w:rPr>
          <w:rFonts w:ascii="Arial" w:cs="Arial" w:eastAsia="Arial" w:hAnsi="Arial"/>
          <w:sz w:val="19"/>
          <w:szCs w:val="19"/>
          <w:u w:val="single" w:color="auto"/>
          <w:color w:val="auto"/>
        </w:rPr>
        <w:t>Sections 9.17(a)</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45" w:lineRule="exact"/>
        <w:tabs>
          <w:tab w:leader="none" w:pos="326"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as applicable, in consideration for such purchase price and at the reasonable expense of the Co-Issuers (including, without limitation, the reasonable documented fees and out-of-pocket expenses of counsel to each such member);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member of such Investor Group shall be obligated to assign any of its rights and obligations under this Agreement if the purchase price to be paid to such member is not at least equal to the amount owed to such member with respect to the Series 2021-1 Class A</w:t>
      </w:r>
      <w:r>
        <w:rPr>
          <w:rFonts w:ascii="MS PGothic" w:cs="MS PGothic" w:eastAsia="MS PGothic" w:hAnsi="MS PGothic"/>
          <w:sz w:val="22"/>
          <w:szCs w:val="22"/>
          <w:color w:val="auto"/>
        </w:rPr>
        <w:t>‑</w:t>
      </w:r>
      <w:r>
        <w:rPr>
          <w:rFonts w:ascii="Arial" w:cs="Arial" w:eastAsia="Arial" w:hAnsi="Arial"/>
          <w:sz w:val="22"/>
          <w:szCs w:val="22"/>
          <w:color w:val="auto"/>
        </w:rPr>
        <w:t>1 Advance Notes (whether arising under the Indenture, this Agreement, the Series 2021-1 Class A-1 Advance Notes or otherwise).</w:t>
      </w:r>
    </w:p>
    <w:p>
      <w:pPr>
        <w:spacing w:after="0" w:line="189" w:lineRule="exact"/>
        <w:rPr>
          <w:sz w:val="20"/>
          <w:szCs w:val="20"/>
          <w:color w:val="auto"/>
        </w:rPr>
      </w:pPr>
    </w:p>
    <w:p>
      <w:pPr>
        <w:jc w:val="both"/>
        <w:ind w:firstLine="507"/>
        <w:spacing w:after="0" w:line="248" w:lineRule="auto"/>
        <w:rPr>
          <w:sz w:val="20"/>
          <w:szCs w:val="20"/>
          <w:color w:val="auto"/>
        </w:rPr>
      </w:pPr>
      <w:r>
        <w:rPr>
          <w:rFonts w:ascii="Arial" w:cs="Arial" w:eastAsia="Arial" w:hAnsi="Arial"/>
          <w:sz w:val="21"/>
          <w:szCs w:val="21"/>
          <w:color w:val="auto"/>
        </w:rPr>
        <w:t xml:space="preserve">The Co-Issuers and the Lender Parties shall negotiate any amendments, waivers, consents, supplements or other modifications to this Agreement or the other Related Documents that require the consent of the Lender Parties in good faith, and any consent required to be given by the Lender Parties shall not be unreasonably denied, conditioned or delayed. Pursuant to </w:t>
      </w:r>
      <w:r>
        <w:rPr>
          <w:rFonts w:ascii="Arial" w:cs="Arial" w:eastAsia="Arial" w:hAnsi="Arial"/>
          <w:sz w:val="21"/>
          <w:szCs w:val="21"/>
          <w:u w:val="single" w:color="auto"/>
          <w:color w:val="auto"/>
        </w:rPr>
        <w:t>Section 9.05(a),</w:t>
      </w:r>
      <w:r>
        <w:rPr>
          <w:rFonts w:ascii="Arial" w:cs="Arial" w:eastAsia="Arial" w:hAnsi="Arial"/>
          <w:sz w:val="21"/>
          <w:szCs w:val="21"/>
          <w:color w:val="auto"/>
        </w:rPr>
        <w:t xml:space="preserve"> the Lender Parties shall be entitled to reimbursement by the Co-Issuers, jointly and severally, for the reasonable expenses incurred by the Lender Parties in reviewing and approving any such amendment, waiver, consent, supplement or other modification to this Agreement or any Related Document.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u w:val="single" w:color="auto"/>
          <w:color w:val="auto"/>
        </w:rPr>
        <w:t>Section 9.02No Waiver; Remedies</w:t>
      </w:r>
      <w:r>
        <w:rPr>
          <w:rFonts w:ascii="Arial" w:cs="Arial" w:eastAsia="Arial" w:hAnsi="Arial"/>
          <w:sz w:val="21"/>
          <w:szCs w:val="21"/>
          <w:color w:val="auto"/>
        </w:rPr>
        <w:t>. Any waiver, consent or approval given by any party hereto shall be effective only in the specific instance and for the specific purpose for which given, and no waiver by a party of any breach or default under this Agreement shall be deemed a waiver of any other breach or default. No failure on the part of any party hereto to exercise, and no delay in exercising, any right hereunder shall operate as a waiver thereof; nor shall any single or partial exercise of any right hereunder, or any abandonment or discontinuation of steps to enforce the right, power or privilege, preclude any other or further exercise thereof or the exercise of any other right. No notice to or demand on any party hereto in any case shall entitle such party to any other or further notice or demand in the same, similar or other circumstances. The remedies herein provided are cumulative and not exclusive of any remedies provided by law.</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9.03Binding on Successors and Assigns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7" w:lineRule="auto"/>
        <w:tabs>
          <w:tab w:leader="none" w:pos="2036"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inure to the benefit of, the Co-Issuers, the Manager, the Lender Parties, the Funding Agents, the Administrative Agent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none of the Co-Issuers nor the Manager may assign its rights or obligations hereunder or in connection herewith or any interest herein (voluntarily, by operation of law or otherwise) without the prior written consent of each Lender Party (other than any Defaulting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nothing herein shall prevent the Co-Issuers from assigning their rights (but none of their duties or liabilities) to the Trustee under the Base Indenture and the Series 2021-1 Supplement;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none of the Lender Parties may transfer, pledge, assign, sell participations in or otherwise encumber its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0" w:name="page111"/>
    <w:bookmarkEnd w:id="110"/>
    <w:p>
      <w:pPr>
        <w:jc w:val="both"/>
        <w:spacing w:after="0" w:line="238" w:lineRule="auto"/>
        <w:rPr>
          <w:sz w:val="20"/>
          <w:szCs w:val="20"/>
          <w:color w:val="auto"/>
        </w:rPr>
      </w:pPr>
      <w:r>
        <w:rPr>
          <w:rFonts w:ascii="Arial" w:cs="Arial" w:eastAsia="Arial" w:hAnsi="Arial"/>
          <w:sz w:val="22"/>
          <w:szCs w:val="22"/>
          <w:color w:val="auto"/>
        </w:rPr>
        <w:t xml:space="preserve">or obligations hereunder or in connection herewith or any interest herein except as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9.17</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Nothing expressed herein is intended or shall be construed to give any Person other than the Persons referred to in the preceding sentence any legal or equitable right, remedy or claim under or in respect of this Agreement except as provided in </w:t>
      </w:r>
      <w:r>
        <w:rPr>
          <w:rFonts w:ascii="Arial" w:cs="Arial" w:eastAsia="Arial" w:hAnsi="Arial"/>
          <w:sz w:val="22"/>
          <w:szCs w:val="22"/>
          <w:u w:val="single" w:color="auto"/>
          <w:color w:val="auto"/>
        </w:rPr>
        <w:t>Section 9.16</w:t>
      </w:r>
      <w:r>
        <w:rPr>
          <w:rFonts w:ascii="Arial" w:cs="Arial" w:eastAsia="Arial" w:hAnsi="Arial"/>
          <w:sz w:val="22"/>
          <w:szCs w:val="22"/>
          <w:color w:val="auto"/>
        </w:rPr>
        <w:t>.</w:t>
      </w:r>
    </w:p>
    <w:p>
      <w:pPr>
        <w:spacing w:after="0" w:line="185" w:lineRule="exact"/>
        <w:rPr>
          <w:sz w:val="20"/>
          <w:szCs w:val="20"/>
          <w:color w:val="auto"/>
        </w:rPr>
      </w:pPr>
    </w:p>
    <w:p>
      <w:pPr>
        <w:jc w:val="both"/>
        <w:ind w:firstLine="1505"/>
        <w:spacing w:after="0" w:line="238" w:lineRule="auto"/>
        <w:tabs>
          <w:tab w:leader="none" w:pos="2036" w:val="left"/>
        </w:tabs>
        <w:numPr>
          <w:ilvl w:val="0"/>
          <w:numId w:val="81"/>
        </w:numPr>
        <w:rPr>
          <w:rFonts w:ascii="Arial" w:cs="Arial" w:eastAsia="Arial" w:hAnsi="Arial"/>
          <w:sz w:val="22"/>
          <w:szCs w:val="22"/>
          <w:color w:val="auto"/>
        </w:rPr>
      </w:pPr>
      <w:r>
        <w:rPr>
          <w:rFonts w:ascii="Arial" w:cs="Arial" w:eastAsia="Arial" w:hAnsi="Arial"/>
          <w:sz w:val="22"/>
          <w:szCs w:val="22"/>
          <w:color w:val="auto"/>
        </w:rPr>
        <w:t>Notwithstanding any other provision set forth in this Agreement, each Investor may at any time grant to one or more Program Support Providers a participating interest in or lien on such Investor’s interests in the Advances made hereunder and such Program Support Provider, with respect to its participating interest, shall be entitled to the benefits granted to such Investor under this Agreement.</w:t>
      </w:r>
    </w:p>
    <w:p>
      <w:pPr>
        <w:spacing w:after="0" w:line="184" w:lineRule="exact"/>
        <w:rPr>
          <w:rFonts w:ascii="Arial" w:cs="Arial" w:eastAsia="Arial" w:hAnsi="Arial"/>
          <w:sz w:val="22"/>
          <w:szCs w:val="22"/>
          <w:color w:val="auto"/>
        </w:rPr>
      </w:pPr>
    </w:p>
    <w:p>
      <w:pPr>
        <w:jc w:val="both"/>
        <w:ind w:firstLine="1505"/>
        <w:spacing w:after="0" w:line="270" w:lineRule="auto"/>
        <w:tabs>
          <w:tab w:leader="none" w:pos="2036"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In addition to its rights under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each Conduit Investor may at any time assign its rights in the Series 2021-1 Class A-1 Advance Notes (and its rights hereunder and under the Related Documents) to its related Committed Note Purchaser or, subject to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9.17(f),</w:t>
      </w:r>
      <w:r>
        <w:rPr>
          <w:rFonts w:ascii="Arial" w:cs="Arial" w:eastAsia="Arial" w:hAnsi="Arial"/>
          <w:sz w:val="19"/>
          <w:szCs w:val="19"/>
          <w:color w:val="auto"/>
        </w:rPr>
        <w:t xml:space="preserve"> its related Program Support Provider or any Affiliate of any of the foregoing, in each case in accordance with the applicable provisions of the Indenture. Furthermore, each Conduit Investor may at any time grant a security interest in and lien on, all or any portion of its interests under this Agreement, its Series 2021-1 Class A-1 Advance Note and all Related Documents to (i) its related Committed Note Purchaser, (ii) its Funding Agent, (iii) any Program Support Provider who, at any time now or in the future, provides program liquidity or credit enhancement, including, without limitation, an insurance policy for such Conduit Investor relating to the Commercial Paper or the Series 2021-1 Class A-1 Advance Notes, (iv) any other Person who, at any time now or in the future, provides liquidity or credit enhancement for the Conduit Investors, including, without limitation, an insurance policy relating to the Commercial Paper or the Series 2021-1 Class A-1 Advance Notes or (v) any collateral trustee or collateral agent for any of the foregoing;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any such security interest or lien shall be released upon assignment of its Series 2021-1 Class A-1 Advance Note to its related Committed Note Purchaser. Each Committed Note Purchaser may assign its Commitment, or all or any portion of its interest under its Series 2021-1 Class A-1 Advance Note, this Agreement and the Related Documents to any Person to the extent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9.17.</w:t>
      </w:r>
      <w:r>
        <w:rPr>
          <w:rFonts w:ascii="Arial" w:cs="Arial" w:eastAsia="Arial" w:hAnsi="Arial"/>
          <w:sz w:val="19"/>
          <w:szCs w:val="19"/>
          <w:color w:val="auto"/>
        </w:rPr>
        <w:t xml:space="preserve"> Notwithstanding any other provisions set forth in this Agreement, each Committed Note Purchaser may at any time create a security interest in all or any portion of its rights under this Agreement, its Series 2021-1 Class A-1 Advance Note and the Related Documents in favor of any Federal Reserve Bank in accordance with Regulation A of the F.R.S. Board or any similar foreign entity.</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u w:val="single" w:color="auto"/>
          <w:color w:val="auto"/>
        </w:rPr>
        <w:t>Section 9.04Survival of Agreement</w:t>
      </w:r>
      <w:r>
        <w:rPr>
          <w:rFonts w:ascii="Arial" w:cs="Arial" w:eastAsia="Arial" w:hAnsi="Arial"/>
          <w:sz w:val="19"/>
          <w:szCs w:val="19"/>
          <w:color w:val="auto"/>
        </w:rPr>
        <w:t>. All covenants, agreements, representations and warranties made herein and in the Series 2021-1 Class A-1 Notes delivered pursuant hereto shall survive the making and the repayment of the Advances, the Swingline Loans and the Letters of Credit and the execution and delivery of this Agreement and the Series 2021-1 Class A-1 Notes in the form of definitive notes and shall continue in full force and effect until all interest on and principal of the Series 2021-1 Class A-1 Notes, and all other amounts owed to the Lender Parties, the Funding Agents and the Administrative Agent hereunder and under the Series 2021-1 Supplement have been paid in full, all Letters of Credit have expired or been fully cash collateralized in accordance with the terms of this Agreement and the Commitments, the Swingline Commitment and the L/C Commitment have been terminated. In addition, the obligations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1" w:name="page112"/>
    <w:bookmarkEnd w:id="111"/>
    <w:p>
      <w:pPr>
        <w:spacing w:after="0" w:line="250" w:lineRule="auto"/>
        <w:rPr>
          <w:sz w:val="20"/>
          <w:szCs w:val="20"/>
          <w:color w:val="auto"/>
        </w:rPr>
      </w:pPr>
      <w:r>
        <w:rPr>
          <w:rFonts w:ascii="Arial" w:cs="Arial" w:eastAsia="Arial" w:hAnsi="Arial"/>
          <w:sz w:val="22"/>
          <w:szCs w:val="22"/>
          <w:color w:val="auto"/>
        </w:rPr>
        <w:t xml:space="preserve">Co-Issuers and the Lender Parties under </w:t>
      </w:r>
      <w:r>
        <w:rPr>
          <w:rFonts w:ascii="Arial" w:cs="Arial" w:eastAsia="Arial" w:hAnsi="Arial"/>
          <w:sz w:val="22"/>
          <w:szCs w:val="22"/>
          <w:u w:val="single" w:color="auto"/>
          <w:color w:val="auto"/>
        </w:rPr>
        <w:t>Sections 3.05</w:t>
      </w:r>
      <w:r>
        <w:rPr>
          <w:rFonts w:ascii="Arial" w:cs="Arial" w:eastAsia="Arial" w:hAnsi="Arial"/>
          <w:sz w:val="22"/>
          <w:szCs w:val="22"/>
          <w:color w:val="auto"/>
        </w:rPr>
        <w:t xml:space="preserve">, </w:t>
      </w:r>
      <w:r>
        <w:rPr>
          <w:rFonts w:ascii="Arial" w:cs="Arial" w:eastAsia="Arial" w:hAnsi="Arial"/>
          <w:sz w:val="22"/>
          <w:szCs w:val="22"/>
          <w:u w:val="single" w:color="auto"/>
          <w:color w:val="auto"/>
        </w:rPr>
        <w:t>3.06</w:t>
      </w:r>
      <w:r>
        <w:rPr>
          <w:rFonts w:ascii="Arial" w:cs="Arial" w:eastAsia="Arial" w:hAnsi="Arial"/>
          <w:sz w:val="22"/>
          <w:szCs w:val="22"/>
          <w:color w:val="auto"/>
        </w:rPr>
        <w:t xml:space="preserve">, </w:t>
      </w:r>
      <w:r>
        <w:rPr>
          <w:rFonts w:ascii="Arial" w:cs="Arial" w:eastAsia="Arial" w:hAnsi="Arial"/>
          <w:sz w:val="22"/>
          <w:szCs w:val="22"/>
          <w:u w:val="single" w:color="auto"/>
          <w:color w:val="auto"/>
        </w:rPr>
        <w:t>3.07</w:t>
      </w:r>
      <w:r>
        <w:rPr>
          <w:rFonts w:ascii="Arial" w:cs="Arial" w:eastAsia="Arial" w:hAnsi="Arial"/>
          <w:sz w:val="22"/>
          <w:szCs w:val="22"/>
          <w:color w:val="auto"/>
        </w:rPr>
        <w:t xml:space="preserve">, </w:t>
      </w:r>
      <w:r>
        <w:rPr>
          <w:rFonts w:ascii="Arial" w:cs="Arial" w:eastAsia="Arial" w:hAnsi="Arial"/>
          <w:sz w:val="22"/>
          <w:szCs w:val="22"/>
          <w:u w:val="single" w:color="auto"/>
          <w:color w:val="auto"/>
        </w:rPr>
        <w:t>3.08</w:t>
      </w:r>
      <w:r>
        <w:rPr>
          <w:rFonts w:ascii="Arial" w:cs="Arial" w:eastAsia="Arial" w:hAnsi="Arial"/>
          <w:sz w:val="22"/>
          <w:szCs w:val="22"/>
          <w:color w:val="auto"/>
        </w:rPr>
        <w:t xml:space="preserve">, </w:t>
      </w:r>
      <w:r>
        <w:rPr>
          <w:rFonts w:ascii="Arial" w:cs="Arial" w:eastAsia="Arial" w:hAnsi="Arial"/>
          <w:sz w:val="22"/>
          <w:szCs w:val="22"/>
          <w:u w:val="single" w:color="auto"/>
          <w:color w:val="auto"/>
        </w:rPr>
        <w:t>9.05</w:t>
      </w:r>
      <w:r>
        <w:rPr>
          <w:rFonts w:ascii="Arial" w:cs="Arial" w:eastAsia="Arial" w:hAnsi="Arial"/>
          <w:sz w:val="22"/>
          <w:szCs w:val="22"/>
          <w:color w:val="auto"/>
        </w:rPr>
        <w:t xml:space="preserve">, </w:t>
      </w:r>
      <w:r>
        <w:rPr>
          <w:rFonts w:ascii="Arial" w:cs="Arial" w:eastAsia="Arial" w:hAnsi="Arial"/>
          <w:sz w:val="22"/>
          <w:szCs w:val="22"/>
          <w:u w:val="single" w:color="auto"/>
          <w:color w:val="auto"/>
        </w:rPr>
        <w:t>9.10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9.11</w:t>
      </w:r>
      <w:r>
        <w:rPr>
          <w:rFonts w:ascii="Arial" w:cs="Arial" w:eastAsia="Arial" w:hAnsi="Arial"/>
          <w:sz w:val="22"/>
          <w:szCs w:val="22"/>
          <w:color w:val="auto"/>
        </w:rPr>
        <w:t xml:space="preserve"> shall survive the termination of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9.05Payment of Costs and Expenses; Indemnification.</w:t>
      </w:r>
    </w:p>
    <w:p>
      <w:pPr>
        <w:spacing w:after="0" w:line="206" w:lineRule="exact"/>
        <w:rPr>
          <w:sz w:val="20"/>
          <w:szCs w:val="20"/>
          <w:color w:val="auto"/>
        </w:rPr>
      </w:pPr>
    </w:p>
    <w:p>
      <w:pPr>
        <w:jc w:val="both"/>
        <w:ind w:firstLine="1505"/>
        <w:spacing w:after="0" w:line="269" w:lineRule="auto"/>
        <w:tabs>
          <w:tab w:leader="none" w:pos="203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Payment of Costs and Expenses.</w:t>
      </w:r>
      <w:r>
        <w:rPr>
          <w:rFonts w:ascii="Arial" w:cs="Arial" w:eastAsia="Arial" w:hAnsi="Arial"/>
          <w:sz w:val="19"/>
          <w:szCs w:val="19"/>
          <w:color w:val="auto"/>
        </w:rPr>
        <w:t xml:space="preserve"> The Co-Issuers jointly and severally agree to pay (by depositing such amounts into the Collection Account to be distributed subject to and in accordance with the Priority of Payments), on the Series 2021-1 Closing Date (if invoiced at least one (1) Business Day prior to such date) or on or before five (5) Business Days after written demand (in all other cases), all reasonable expenses of the Administrative Agent, each initial Funding Agent and each initial Lender Party (including the reasonable fees and out-of-pocket expenses of counsel to each of the foregoing, if any, as well as the fees and expenses of the Rating Agencies) in connection with (i) the negotiation, preparation, execution and delivery of this Agreement and of each other Related Document, including schedules and exhibits, whether or not the transactions contemplated hereby or thereby are consummated (“</w:t>
      </w:r>
      <w:r>
        <w:rPr>
          <w:rFonts w:ascii="Arial" w:cs="Arial" w:eastAsia="Arial" w:hAnsi="Arial"/>
          <w:sz w:val="19"/>
          <w:szCs w:val="19"/>
          <w:u w:val="single" w:color="auto"/>
          <w:color w:val="auto"/>
        </w:rPr>
        <w:t>Pre-Closing Costs</w:t>
      </w:r>
      <w:r>
        <w:rPr>
          <w:rFonts w:ascii="Arial" w:cs="Arial" w:eastAsia="Arial" w:hAnsi="Arial"/>
          <w:sz w:val="19"/>
          <w:szCs w:val="19"/>
          <w:color w:val="auto"/>
        </w:rPr>
        <w:t>”), and (ii) any amendments, waivers, consents, supplements or other modifications to this Agreement or any other Related Document as may from time to time hereafter be proposed (“</w:t>
      </w:r>
      <w:r>
        <w:rPr>
          <w:rFonts w:ascii="Arial" w:cs="Arial" w:eastAsia="Arial" w:hAnsi="Arial"/>
          <w:sz w:val="19"/>
          <w:szCs w:val="19"/>
          <w:u w:val="single" w:color="auto"/>
          <w:color w:val="auto"/>
        </w:rPr>
        <w:t>Class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 Expenses</w:t>
      </w:r>
      <w:r>
        <w:rPr>
          <w:rFonts w:ascii="Arial" w:cs="Arial" w:eastAsia="Arial" w:hAnsi="Arial"/>
          <w:sz w:val="19"/>
          <w:szCs w:val="19"/>
          <w:color w:val="auto"/>
        </w:rPr>
        <w:t>”). The Co-Issuers further jointly and severally agree to pay, subject to and in accordance with the Priority of Payments, and to hold the Administrative Agent, each Funding Agent and each Lender Party harmless from all liability for (x) any breach by the Co-Issuers of their obligations under this Agreement, (y) all reasonable costs incurred by the Administrative Agent, such Funding Agent or such Lender Party in enforcing this Agreement and (z) any Non-Excluded Taxes that may be payable in connection with (1) the execution or delivery of this Agreement, (2) any Borrowing or Swingline Loan hereunder, (3) the issuance of the Series 2021-1 Class A-1 Notes, (4) any Letter of Credit hereunder or (5) any other Related Documents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Post-Closing Expenses</w:t>
      </w:r>
      <w:r>
        <w:rPr>
          <w:rFonts w:ascii="Arial" w:cs="Arial" w:eastAsia="Arial" w:hAnsi="Arial"/>
          <w:sz w:val="19"/>
          <w:szCs w:val="19"/>
          <w:color w:val="auto"/>
        </w:rPr>
        <w:t>”). The Co-Issuers also agree to reimburse, subject to and in accordance with the Priority of Payments, the Administrative Agent, such Funding Agent and such Lender Party upon demand for all reasonable out-of-pocket expenses incurred by the Administrative Agent, such Funding Agent and such Lender Party in connection with (1) the negotiation of any restructuring or “work-out”, whether or not consummated, of the Related Documents and (2) the enforcement of, or any waiver or amendment requested under or with respect to, this Agreement or any other Related Documents (“</w:t>
      </w:r>
      <w:r>
        <w:rPr>
          <w:rFonts w:ascii="Arial" w:cs="Arial" w:eastAsia="Arial" w:hAnsi="Arial"/>
          <w:sz w:val="19"/>
          <w:szCs w:val="19"/>
          <w:u w:val="single" w:color="auto"/>
          <w:color w:val="auto"/>
        </w:rPr>
        <w:t>Out-of-Pocket Expenses</w:t>
      </w:r>
      <w:r>
        <w:rPr>
          <w:rFonts w:ascii="Arial" w:cs="Arial" w:eastAsia="Arial" w:hAnsi="Arial"/>
          <w:sz w:val="19"/>
          <w:szCs w:val="19"/>
          <w:color w:val="auto"/>
        </w:rPr>
        <w:t xml:space="preserve">”). Notwithstanding the foregoing, other than in connection with a sale or assignment pursuant to </w:t>
      </w:r>
      <w:r>
        <w:rPr>
          <w:rFonts w:ascii="Arial" w:cs="Arial" w:eastAsia="Arial" w:hAnsi="Arial"/>
          <w:sz w:val="19"/>
          <w:szCs w:val="19"/>
          <w:u w:val="single" w:color="auto"/>
          <w:color w:val="auto"/>
        </w:rPr>
        <w:t>Section 9.18(a),</w:t>
      </w:r>
      <w:r>
        <w:rPr>
          <w:rFonts w:ascii="Arial" w:cs="Arial" w:eastAsia="Arial" w:hAnsi="Arial"/>
          <w:sz w:val="19"/>
          <w:szCs w:val="19"/>
          <w:color w:val="auto"/>
        </w:rPr>
        <w:t xml:space="preserve"> the Co-Issuers shall have no obligation to reimburse any Lender Party for any of the fees and/or expenses incurred by such Lender Party with respect to its sale or assignment of all or any part of its respective rights and obligations under this Agreement and the Series 2021-1 Class A-1 Notes pursuant to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9.17.</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505"/>
        <w:spacing w:after="0" w:line="275" w:lineRule="auto"/>
        <w:tabs>
          <w:tab w:leader="none" w:pos="203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Indemnification of the Lender Parties</w:t>
      </w:r>
      <w:r>
        <w:rPr>
          <w:rFonts w:ascii="Arial" w:cs="Arial" w:eastAsia="Arial" w:hAnsi="Arial"/>
          <w:sz w:val="19"/>
          <w:szCs w:val="19"/>
          <w:color w:val="auto"/>
        </w:rPr>
        <w:t>. In consideration of the execution and delivery of this Agreement by the Lender Parties, the Co-Issuers hereby agree to jointly and severally indemnify and hold each Lender Party (each in its capacity as such and to the extent not reimbursed by the Co-Issuers and without limiting the obligation of the Co-Issuers to do so) and each of their officers, directors, employees and agents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harmless (by depositing such amounts into the Collection Account to be distributed subject to and in accordance with the Priority of Payments) from and against any and all actions, causes of action, suits, losses, liabilities and damages, and reasonable documented costs and expenses incurred in connection therewith (irrespective of whether any such Indemnified Party is a party to the action for which indemnification hereunder is sought and including, without limitation, any liability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2" w:name="page113"/>
    <w:bookmarkEnd w:id="112"/>
    <w:p>
      <w:pPr>
        <w:jc w:val="both"/>
        <w:spacing w:after="0" w:line="297" w:lineRule="auto"/>
        <w:rPr>
          <w:sz w:val="20"/>
          <w:szCs w:val="20"/>
          <w:color w:val="auto"/>
        </w:rPr>
      </w:pPr>
      <w:r>
        <w:rPr>
          <w:rFonts w:ascii="Arial" w:cs="Arial" w:eastAsia="Arial" w:hAnsi="Arial"/>
          <w:sz w:val="19"/>
          <w:szCs w:val="19"/>
          <w:color w:val="auto"/>
        </w:rPr>
        <w:t>connection with the offering and sale of the Series 2021-1 Class A-1 Notes), including reasonable documented attorneys’ fees and disbursements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incurred by the Indemnified Parties or any of them (whether in prosecuting or defending against such actions, suits or claims) to the extent resulting from, or arising out of, or relating to:</w:t>
      </w:r>
    </w:p>
    <w:p>
      <w:pPr>
        <w:spacing w:after="0" w:line="117" w:lineRule="exact"/>
        <w:rPr>
          <w:sz w:val="20"/>
          <w:szCs w:val="20"/>
          <w:color w:val="auto"/>
        </w:rPr>
      </w:pPr>
    </w:p>
    <w:p>
      <w:pPr>
        <w:ind w:left="760" w:firstLine="1494"/>
        <w:spacing w:after="0" w:line="274" w:lineRule="auto"/>
        <w:tabs>
          <w:tab w:leader="none" w:pos="2557"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transacton fnanced or to be fnanced in whole or in part, directly or indirectly, with the proceeds of any Advance, Swingline Loan or Leter of Credit;</w:t>
      </w:r>
    </w:p>
    <w:p>
      <w:pPr>
        <w:spacing w:after="0" w:line="176" w:lineRule="exact"/>
        <w:rPr>
          <w:rFonts w:ascii="Arial" w:cs="Arial" w:eastAsia="Arial" w:hAnsi="Arial"/>
          <w:sz w:val="20"/>
          <w:szCs w:val="20"/>
          <w:color w:val="auto"/>
        </w:rPr>
      </w:pPr>
    </w:p>
    <w:p>
      <w:pPr>
        <w:ind w:left="760" w:right="620" w:firstLine="1494"/>
        <w:spacing w:after="0" w:line="332" w:lineRule="auto"/>
        <w:tabs>
          <w:tab w:leader="none" w:pos="25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entering into and performance of this Agreement and any other Related Document by any of the Indemnifed Partes, including, for the avoidance of doubt, the consent by the Lender Partes set forth in </w:t>
      </w:r>
      <w:r>
        <w:rPr>
          <w:rFonts w:ascii="Arial" w:cs="Arial" w:eastAsia="Arial" w:hAnsi="Arial"/>
          <w:sz w:val="18"/>
          <w:szCs w:val="18"/>
          <w:u w:val="single" w:color="auto"/>
          <w:color w:val="auto"/>
        </w:rPr>
        <w:t>Secton 9.19</w:t>
      </w:r>
      <w:r>
        <w:rPr>
          <w:rFonts w:ascii="Arial" w:cs="Arial" w:eastAsia="Arial" w:hAnsi="Arial"/>
          <w:sz w:val="18"/>
          <w:szCs w:val="18"/>
          <w:color w:val="auto"/>
        </w:rPr>
        <w:t>; or</w:t>
      </w:r>
    </w:p>
    <w:p>
      <w:pPr>
        <w:spacing w:after="0" w:line="129" w:lineRule="exact"/>
        <w:rPr>
          <w:rFonts w:ascii="Arial" w:cs="Arial" w:eastAsia="Arial" w:hAnsi="Arial"/>
          <w:sz w:val="18"/>
          <w:szCs w:val="18"/>
          <w:color w:val="auto"/>
        </w:rPr>
      </w:pPr>
    </w:p>
    <w:p>
      <w:pPr>
        <w:ind w:left="760" w:firstLine="1494"/>
        <w:spacing w:after="0" w:line="274" w:lineRule="auto"/>
        <w:tabs>
          <w:tab w:leader="none" w:pos="2557"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actual or prospectve claim, litgaton, investgaton or proceeding relatng to any of the foregoing, whether based on contract, tort or any other theory and regardless of whether the Indemnifed Party is a party thereto;</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except for any such Indemnified Liabilities arising for the account of a particular Indemnified Party by reason of the relevant Indemnified Party’s gross negligence or willful misconduct or breach of representations set forth herein. If and to the extent that the foregoing undertaking may be unenforceable for any reason, the Co-Issuers hereby jointly and severally agree to make the maximum contribution to the payment and satisfaction of each of the Indemnified Liabilities that is permissible under applicable law. The indemnity set forth in this </w:t>
      </w:r>
      <w:r>
        <w:rPr>
          <w:rFonts w:ascii="Arial" w:cs="Arial" w:eastAsia="Arial" w:hAnsi="Arial"/>
          <w:sz w:val="19"/>
          <w:szCs w:val="19"/>
          <w:u w:val="single" w:color="auto"/>
          <w:color w:val="auto"/>
        </w:rPr>
        <w:t>Section 9.05(b)</w:t>
      </w:r>
      <w:r>
        <w:rPr>
          <w:rFonts w:ascii="Arial" w:cs="Arial" w:eastAsia="Arial" w:hAnsi="Arial"/>
          <w:sz w:val="19"/>
          <w:szCs w:val="19"/>
          <w:color w:val="auto"/>
        </w:rPr>
        <w:t xml:space="preserve"> shall in no event include indemnification for special, punitive, consequential or indirect damages of any kind or for any Taxes which shall be covered by (or expressly excluded from) the indemnification provided in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or for any transfer Taxes with respect to its sale or assignment of all or any part of its respective rights and obligations under this Agreement and the Series 2021-1 Class A-1 Notes pursuant to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The Co-Issuers shall give notice to the Rating Agencies of any claim for Indemnified Liabilities made under this </w:t>
      </w:r>
      <w:r>
        <w:rPr>
          <w:rFonts w:ascii="Arial" w:cs="Arial" w:eastAsia="Arial" w:hAnsi="Arial"/>
          <w:sz w:val="19"/>
          <w:szCs w:val="19"/>
          <w:u w:val="single" w:color="auto"/>
          <w:color w:val="auto"/>
        </w:rPr>
        <w:t>Section 9.05(b).</w:t>
      </w:r>
    </w:p>
    <w:p>
      <w:pPr>
        <w:spacing w:after="0" w:line="158" w:lineRule="exact"/>
        <w:rPr>
          <w:sz w:val="20"/>
          <w:szCs w:val="20"/>
          <w:color w:val="auto"/>
        </w:rPr>
      </w:pPr>
    </w:p>
    <w:p>
      <w:pPr>
        <w:jc w:val="both"/>
        <w:ind w:firstLine="1505"/>
        <w:spacing w:after="0" w:line="271" w:lineRule="auto"/>
        <w:tabs>
          <w:tab w:leader="none" w:pos="203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Indemnification of the Administrative Agent and each Funding Agent by the Co-Issuers</w:t>
      </w:r>
      <w:r>
        <w:rPr>
          <w:rFonts w:ascii="Arial" w:cs="Arial" w:eastAsia="Arial" w:hAnsi="Arial"/>
          <w:sz w:val="19"/>
          <w:szCs w:val="19"/>
          <w:color w:val="auto"/>
        </w:rPr>
        <w:t>. In consideration of the execution and delivery of this Agreement by the Administrative Agent and each Funding Agent, the Co-Issuers hereby agree to jointly and severally indemnify and hold the Administrative Agent and each Funding Agent and each of their officers, directors, employees and agents (collectively, the “</w:t>
      </w:r>
      <w:r>
        <w:rPr>
          <w:rFonts w:ascii="Arial" w:cs="Arial" w:eastAsia="Arial" w:hAnsi="Arial"/>
          <w:sz w:val="19"/>
          <w:szCs w:val="19"/>
          <w:u w:val="single" w:color="auto"/>
          <w:color w:val="auto"/>
        </w:rPr>
        <w:t>Agent Indemnified Parties</w:t>
      </w:r>
      <w:r>
        <w:rPr>
          <w:rFonts w:ascii="Arial" w:cs="Arial" w:eastAsia="Arial" w:hAnsi="Arial"/>
          <w:sz w:val="19"/>
          <w:szCs w:val="19"/>
          <w:color w:val="auto"/>
        </w:rPr>
        <w:t>”) harmless (by depositing such amounts into the Collection Account to be distributed subject to and in accordance with the Priority of Payments) from and against any and all actual or prospective claims, litigation, actions, causes of action, suits, losses, liabilities and damages, and reasonable documented costs and expenses incurred in connection therewith (irrespective of whether any such Agent Indemnified Party is a party to the action for which indemnification hereunder is sought and including, without limitation, any liability in connection with the offering and sale of the Series 2021-1 Class A-1 Notes), including reasonable documented attorneys’ fees and disbursements (collectively, the “</w:t>
      </w:r>
      <w:r>
        <w:rPr>
          <w:rFonts w:ascii="Arial" w:cs="Arial" w:eastAsia="Arial" w:hAnsi="Arial"/>
          <w:sz w:val="19"/>
          <w:szCs w:val="19"/>
          <w:u w:val="single" w:color="auto"/>
          <w:color w:val="auto"/>
        </w:rPr>
        <w:t>Agent Indemnified Liabilities</w:t>
      </w:r>
      <w:r>
        <w:rPr>
          <w:rFonts w:ascii="Arial" w:cs="Arial" w:eastAsia="Arial" w:hAnsi="Arial"/>
          <w:sz w:val="19"/>
          <w:szCs w:val="19"/>
          <w:color w:val="auto"/>
        </w:rPr>
        <w:t>”), incurred by the Agent Indemnified Parties or any of them (whether in prosecuting or defending against such actions, suits or claims) to the extent resulting from, or arising out of, or relating to the entering into and performance of this Agreement and any other Related Document by any of the Agent Indemnified Parties, except for any such Agent Indemnified Liabilities arising for the account of a particular Agent Indemnified Party by reason of the relevant Agent Indemnified Party’s gross negligence, bad faith or willful misconduct.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3" w:name="page114"/>
    <w:bookmarkEnd w:id="113"/>
    <w:p>
      <w:pPr>
        <w:jc w:val="both"/>
        <w:spacing w:after="0" w:line="248" w:lineRule="auto"/>
        <w:rPr>
          <w:sz w:val="20"/>
          <w:szCs w:val="20"/>
          <w:color w:val="auto"/>
        </w:rPr>
      </w:pPr>
      <w:r>
        <w:rPr>
          <w:rFonts w:ascii="Arial" w:cs="Arial" w:eastAsia="Arial" w:hAnsi="Arial"/>
          <w:sz w:val="21"/>
          <w:szCs w:val="21"/>
          <w:color w:val="auto"/>
        </w:rPr>
        <w:t xml:space="preserve">and to the extent that the foregoing undertaking may be unenforceable for any reason, the Co-Issuers hereby jointly and severally agree to make the maximum contribution to the payment and satisfaction of each of the Agent Indemnified Liabilities that is permissible under applicable law. The indemnity set forth in this </w:t>
      </w:r>
      <w:r>
        <w:rPr>
          <w:rFonts w:ascii="Arial" w:cs="Arial" w:eastAsia="Arial" w:hAnsi="Arial"/>
          <w:sz w:val="21"/>
          <w:szCs w:val="21"/>
          <w:u w:val="single" w:color="auto"/>
          <w:color w:val="auto"/>
        </w:rPr>
        <w:t>Section 9.05(c)</w:t>
      </w:r>
      <w:r>
        <w:rPr>
          <w:rFonts w:ascii="Arial" w:cs="Arial" w:eastAsia="Arial" w:hAnsi="Arial"/>
          <w:sz w:val="21"/>
          <w:szCs w:val="21"/>
          <w:color w:val="auto"/>
        </w:rPr>
        <w:t xml:space="preserve"> shall in no event include indemnification for special, punitive, consequential or indirect damages of any kind or for any Taxes which shall be covered by (or expressly excluded from) the indemnification provided in </w:t>
      </w:r>
      <w:r>
        <w:rPr>
          <w:rFonts w:ascii="Arial" w:cs="Arial" w:eastAsia="Arial" w:hAnsi="Arial"/>
          <w:sz w:val="21"/>
          <w:szCs w:val="21"/>
          <w:u w:val="single" w:color="auto"/>
          <w:color w:val="auto"/>
        </w:rPr>
        <w:t>Section 3.08.</w:t>
      </w:r>
      <w:r>
        <w:rPr>
          <w:rFonts w:ascii="Arial" w:cs="Arial" w:eastAsia="Arial" w:hAnsi="Arial"/>
          <w:sz w:val="21"/>
          <w:szCs w:val="21"/>
          <w:color w:val="auto"/>
        </w:rPr>
        <w:t xml:space="preserve"> The Co-Issuers shall give notice to the Rating Agencies of any claim for Agent Indemnified Liabilities made under this </w:t>
      </w:r>
      <w:r>
        <w:rPr>
          <w:rFonts w:ascii="Arial" w:cs="Arial" w:eastAsia="Arial" w:hAnsi="Arial"/>
          <w:sz w:val="21"/>
          <w:szCs w:val="21"/>
          <w:u w:val="single" w:color="auto"/>
          <w:color w:val="auto"/>
        </w:rPr>
        <w:t>Section 9.05(c)</w:t>
      </w:r>
      <w:r>
        <w:rPr>
          <w:rFonts w:ascii="Arial" w:cs="Arial" w:eastAsia="Arial" w:hAnsi="Arial"/>
          <w:sz w:val="21"/>
          <w:szCs w:val="21"/>
          <w:color w:val="auto"/>
        </w:rPr>
        <w:t>.</w:t>
      </w:r>
    </w:p>
    <w:p>
      <w:pPr>
        <w:spacing w:after="0" w:line="177" w:lineRule="exact"/>
        <w:rPr>
          <w:sz w:val="20"/>
          <w:szCs w:val="20"/>
          <w:color w:val="auto"/>
        </w:rPr>
      </w:pPr>
    </w:p>
    <w:p>
      <w:pPr>
        <w:jc w:val="both"/>
        <w:ind w:firstLine="1505"/>
        <w:spacing w:after="0" w:line="270" w:lineRule="auto"/>
        <w:tabs>
          <w:tab w:leader="none" w:pos="203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Indemnification of the Administrative Agent and each Funding Agent by the Committed Note Purchasers</w:t>
      </w:r>
      <w:r>
        <w:rPr>
          <w:rFonts w:ascii="Arial" w:cs="Arial" w:eastAsia="Arial" w:hAnsi="Arial"/>
          <w:sz w:val="19"/>
          <w:szCs w:val="19"/>
          <w:color w:val="auto"/>
        </w:rPr>
        <w:t>. In consideration of the execution and delivery of this Agreement by the Administrative Agent and the related Funding Agent, each Committed Note Purchaser, ratably according to its respective Commitment, hereby agrees to indemnify and hold the Administrative Agent and each of its officers, directors, employees and agents (collectively,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and such Funding Agent and each of its officers, directors, employees and agents (collectively, the “</w:t>
      </w:r>
      <w:r>
        <w:rPr>
          <w:rFonts w:ascii="Arial" w:cs="Arial" w:eastAsia="Arial" w:hAnsi="Arial"/>
          <w:sz w:val="19"/>
          <w:szCs w:val="19"/>
          <w:u w:val="single" w:color="auto"/>
          <w:color w:val="auto"/>
        </w:rPr>
        <w:t>Funding Agent Indemnified Parties</w:t>
      </w:r>
      <w:r>
        <w:rPr>
          <w:rFonts w:ascii="Arial" w:cs="Arial" w:eastAsia="Arial" w:hAnsi="Arial"/>
          <w:sz w:val="19"/>
          <w:szCs w:val="19"/>
          <w:color w:val="auto"/>
        </w:rPr>
        <w:t>,” and together with the Administrative Agent Indemnified Parties, the “</w:t>
      </w:r>
      <w:r>
        <w:rPr>
          <w:rFonts w:ascii="Arial" w:cs="Arial" w:eastAsia="Arial" w:hAnsi="Arial"/>
          <w:sz w:val="19"/>
          <w:szCs w:val="19"/>
          <w:u w:val="single" w:color="auto"/>
          <w:color w:val="auto"/>
        </w:rPr>
        <w:t>Applicable Agent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harmless from and against any and all actions, causes of action, suits, losses, liabilities and damages, and reasonable documented costs and expenses incurred in connection therewith (solely to the extent not reimbursed by or on behalf of the Co-Issuers) (irrespective of whether any such Applicable Agent Indemnified Party is a party to the action for which indemnification hereunder is sought and including, without limitation, any liability in connection with the offering and sale of the Series 2021-1 Class A-1 Notes), including reasonable documented attorneys’ fees and disbursements (collectively, the “</w:t>
      </w:r>
      <w:r>
        <w:rPr>
          <w:rFonts w:ascii="Arial" w:cs="Arial" w:eastAsia="Arial" w:hAnsi="Arial"/>
          <w:sz w:val="19"/>
          <w:szCs w:val="19"/>
          <w:u w:val="single" w:color="auto"/>
          <w:color w:val="auto"/>
        </w:rPr>
        <w:t>Applicable Agent Indemnified Liabilities</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incurred by the Applicable Agent Indemnified Parties or any of them (whether in prosecuting or defending against such actions, suits or claims) to the extent resulting from, or arising out of, or relating to the entering into and performance of this Agreement and any other Related Document by any of the Applicable Agent Indemnified Parties, except for any such Applicable Agent Indemnified Liabilities arising for the account of a particular Applicable Agent Indemnified Party by reason of the relevant Applicable Agent Indemnified Party’s gross negligence or willful misconduct. If and to the extent that the foregoing undertaking may be unenforceable for any reason, each Committed Note Purchaser, ratably according to its respective Commitment, hereby agrees to make the maximum contribution to the payment and satisfaction of each of the Applicable Agent Indemnified Liabilities that is permissible under applicable law. The indemnity set forth in this </w:t>
      </w:r>
      <w:r>
        <w:rPr>
          <w:rFonts w:ascii="Arial" w:cs="Arial" w:eastAsia="Arial" w:hAnsi="Arial"/>
          <w:sz w:val="19"/>
          <w:szCs w:val="19"/>
          <w:u w:val="single" w:color="auto"/>
          <w:color w:val="auto"/>
        </w:rPr>
        <w:t>Section 9.05(d)</w:t>
      </w:r>
      <w:r>
        <w:rPr>
          <w:rFonts w:ascii="Arial" w:cs="Arial" w:eastAsia="Arial" w:hAnsi="Arial"/>
          <w:sz w:val="19"/>
          <w:szCs w:val="19"/>
          <w:color w:val="auto"/>
        </w:rPr>
        <w:t xml:space="preserve"> shall in no event include indemnification for consequential or indirect damages of any kind or for any Taxes which shall be covered by (or expressly excluded from) the indemnification provided in </w:t>
      </w:r>
      <w:r>
        <w:rPr>
          <w:rFonts w:ascii="Arial" w:cs="Arial" w:eastAsia="Arial" w:hAnsi="Arial"/>
          <w:sz w:val="19"/>
          <w:szCs w:val="19"/>
          <w:u w:val="single" w:color="auto"/>
          <w:color w:val="auto"/>
        </w:rPr>
        <w:t>Section 3.08.</w:t>
      </w:r>
    </w:p>
    <w:p>
      <w:pPr>
        <w:spacing w:after="0" w:line="200" w:lineRule="exact"/>
        <w:rPr>
          <w:sz w:val="20"/>
          <w:szCs w:val="20"/>
          <w:color w:val="auto"/>
        </w:rPr>
      </w:pPr>
    </w:p>
    <w:p>
      <w:pPr>
        <w:spacing w:after="0" w:line="20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u w:val="single" w:color="auto"/>
          <w:color w:val="auto"/>
        </w:rPr>
        <w:t>Section 9.06Characterization as Related Document; Entire Agreement</w:t>
      </w:r>
      <w:r>
        <w:rPr>
          <w:rFonts w:ascii="Arial" w:cs="Arial" w:eastAsia="Arial" w:hAnsi="Arial"/>
          <w:sz w:val="19"/>
          <w:szCs w:val="19"/>
          <w:color w:val="auto"/>
        </w:rPr>
        <w:t xml:space="preserve">. This Agreement shall be deemed to be a Related Document for all purposes of the Base Indenture and the other Related Documents. This Agreement, together with the Base Indenture, the Series 2021-1 Supplement, the documents delivered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the other Related Documents, including the exhibits and schedules thereto, contains a final and complete integration of all prior expressions by the parties hereto with respect to the subject matter hereof and shall constitute the entire agreement among the parties hereto with respect to the subject matter hereof, superseding all previous oral statements and other writings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4" w:name="page115"/>
    <w:bookmarkEnd w:id="114"/>
    <w:p>
      <w:pPr>
        <w:jc w:val="both"/>
        <w:ind w:firstLine="749"/>
        <w:spacing w:after="0" w:line="246" w:lineRule="auto"/>
        <w:rPr>
          <w:sz w:val="20"/>
          <w:szCs w:val="20"/>
          <w:color w:val="auto"/>
        </w:rPr>
      </w:pPr>
      <w:r>
        <w:rPr>
          <w:rFonts w:ascii="Arial" w:cs="Arial" w:eastAsia="Arial" w:hAnsi="Arial"/>
          <w:sz w:val="21"/>
          <w:szCs w:val="21"/>
          <w:u w:val="single" w:color="auto"/>
          <w:color w:val="auto"/>
        </w:rPr>
        <w:t>Section 9.07Notices</w:t>
      </w:r>
      <w:r>
        <w:rPr>
          <w:rFonts w:ascii="Arial" w:cs="Arial" w:eastAsia="Arial" w:hAnsi="Arial"/>
          <w:sz w:val="21"/>
          <w:szCs w:val="21"/>
          <w:color w:val="auto"/>
        </w:rPr>
        <w:t>. All notices, amendments, waivers, consents and other communications provided to any party hereto under this Agreement shall be in writing and addressed, delivered or transmitted to such party at its address, e-mail address (if provided), or facsimile number set forth on Schedule II hereto, or in each case at such other address, e-mail address or facsimile number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when received; any notice, if transmitted by facsimile, shall be deemed given when transmitted (so long as transmitted on a Business Day, otherwise the next succeeding Business Day) upon receipt of electronic confirmation of transmission.</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22"/>
          <w:szCs w:val="22"/>
          <w:u w:val="single" w:color="auto"/>
          <w:color w:val="auto"/>
        </w:rPr>
        <w:t>Section 9.08Severability of Provisions</w:t>
      </w:r>
      <w:r>
        <w:rPr>
          <w:rFonts w:ascii="Arial" w:cs="Arial" w:eastAsia="Arial" w:hAnsi="Arial"/>
          <w:sz w:val="22"/>
          <w:szCs w:val="22"/>
          <w:color w:val="auto"/>
        </w:rPr>
        <w:t>. Any covenant, provision, agreement or term of this Agreement that is prohibited or is held to be void or unenforceable in any jurisdiction shall, as to that jurisdiction, be ineffective to the extent of the prohibition or unenforceability without invalidating the remaining provisions of this Agreement.</w:t>
      </w:r>
    </w:p>
    <w:p>
      <w:pPr>
        <w:spacing w:after="0" w:line="18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u w:val="single" w:color="auto"/>
          <w:color w:val="auto"/>
        </w:rPr>
        <w:t>Section 9.09Tax Characterization</w:t>
      </w:r>
      <w:r>
        <w:rPr>
          <w:rFonts w:ascii="Arial" w:cs="Arial" w:eastAsia="Arial" w:hAnsi="Arial"/>
          <w:sz w:val="22"/>
          <w:szCs w:val="22"/>
          <w:color w:val="auto"/>
        </w:rPr>
        <w:t>. Each party to this Agreement (a) acknowledges that it is the intent of the parties to this Agreement that, for accounting purposes and for all federal, state and local income and franchise Tax purposes, the Series 2021-1 Class A-1 Notes will be treated as evidence of indebtedness, (b) agrees to treat the Series 2021-1 Class A-1 Notes for all such purposes as indebtedness and (c) agrees that the provisions of the Related Documents shall be construed to further these intentions.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9.10No Proceedings; Limited Recourse.</w:t>
      </w:r>
    </w:p>
    <w:p>
      <w:pPr>
        <w:spacing w:after="0" w:line="206" w:lineRule="exact"/>
        <w:rPr>
          <w:sz w:val="20"/>
          <w:szCs w:val="20"/>
          <w:color w:val="auto"/>
        </w:rPr>
      </w:pPr>
    </w:p>
    <w:p>
      <w:pPr>
        <w:jc w:val="both"/>
        <w:ind w:firstLine="1505"/>
        <w:spacing w:after="0" w:line="271" w:lineRule="auto"/>
        <w:tabs>
          <w:tab w:leader="none" w:pos="203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The Securitization Entities</w:t>
      </w:r>
      <w:r>
        <w:rPr>
          <w:rFonts w:ascii="Arial" w:cs="Arial" w:eastAsia="Arial" w:hAnsi="Arial"/>
          <w:sz w:val="19"/>
          <w:szCs w:val="19"/>
          <w:color w:val="auto"/>
        </w:rPr>
        <w:t xml:space="preserve">. Each of the parties hereto (other than the Co-Issuers) hereby covenants and agrees that, prior to the date that is one year and one day after the payment in full of the last maturing Note issued by the Co-Issuers pursuant to the Base Indenture, it will not institute against, or join with any other Person in instituting against, any Securitization Entity, any bankruptcy, reorganization, arrangement, insolvency or liquidation proceedings, or other proceedings, under any federal or state bankruptcy or similar law, all as more particularly set forth in Section 14.13 of the Base Indenture and subject to any retained rights set forth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9.10(a)</w:t>
      </w:r>
      <w:r>
        <w:rPr>
          <w:rFonts w:ascii="Arial" w:cs="Arial" w:eastAsia="Arial" w:hAnsi="Arial"/>
          <w:sz w:val="19"/>
          <w:szCs w:val="19"/>
          <w:color w:val="auto"/>
        </w:rPr>
        <w:t xml:space="preserve"> shall constitute a waiver of any right to indemnification, reimbursement or other payment from the Securitization Entities pursuant to this Agreement, the Series 2021-1 Supplement, the Base Indenture or any other Related Document. In the event that a Lender Party (solely in its capacity as such) takes action in violation of this </w:t>
      </w:r>
      <w:r>
        <w:rPr>
          <w:rFonts w:ascii="Arial" w:cs="Arial" w:eastAsia="Arial" w:hAnsi="Arial"/>
          <w:sz w:val="19"/>
          <w:szCs w:val="19"/>
          <w:u w:val="single" w:color="auto"/>
          <w:color w:val="auto"/>
        </w:rPr>
        <w:t>Section 9.10(a),</w:t>
      </w:r>
      <w:r>
        <w:rPr>
          <w:rFonts w:ascii="Arial" w:cs="Arial" w:eastAsia="Arial" w:hAnsi="Arial"/>
          <w:sz w:val="19"/>
          <w:szCs w:val="19"/>
          <w:color w:val="auto"/>
        </w:rPr>
        <w:t xml:space="preserve"> each affected Securitization Entity shall file or cause to be filed an answer with the bankruptcy court or otherwise properly contest or cause to be contested the filing of such a petition by any such Person against such Securitization Entity or the commencement of such action and raise or cause to be raised the defense that such Person has agreed in writing not to take such action and should be estopped and precluded therefrom and such other defenses, if any, as its counsel advises that it may assert. The provisions of this </w:t>
      </w:r>
      <w:r>
        <w:rPr>
          <w:rFonts w:ascii="Arial" w:cs="Arial" w:eastAsia="Arial" w:hAnsi="Arial"/>
          <w:sz w:val="19"/>
          <w:szCs w:val="19"/>
          <w:u w:val="single" w:color="auto"/>
          <w:color w:val="auto"/>
        </w:rPr>
        <w:t>Section 9.10(a)</w:t>
      </w:r>
      <w:r>
        <w:rPr>
          <w:rFonts w:ascii="Arial" w:cs="Arial" w:eastAsia="Arial" w:hAnsi="Arial"/>
          <w:sz w:val="19"/>
          <w:szCs w:val="19"/>
          <w:color w:val="auto"/>
        </w:rPr>
        <w:t xml:space="preserve"> shall survive the termination of this Agreement. Nothing contained herein shall preclude participation by a Lender Party in the assertion or defense of its claims in any such proceeding involving any Securitization Entity. The obligations of the Co-Issuers under this Agreement are solely the limited liability company or corporate obligations of the Co-Issuers,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5" w:name="page116"/>
    <w:bookmarkEnd w:id="115"/>
    <w:p>
      <w:pPr>
        <w:jc w:val="both"/>
        <w:ind w:firstLine="1505"/>
        <w:spacing w:after="0" w:line="270" w:lineRule="auto"/>
        <w:tabs>
          <w:tab w:leader="none" w:pos="203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The Conduit Investors.</w:t>
      </w:r>
      <w:r>
        <w:rPr>
          <w:rFonts w:ascii="Arial" w:cs="Arial" w:eastAsia="Arial" w:hAnsi="Arial"/>
          <w:sz w:val="19"/>
          <w:szCs w:val="19"/>
          <w:color w:val="auto"/>
        </w:rPr>
        <w:t xml:space="preserve"> Each of the parties hereto (other than the Conduit Investors) hereby covenants and agrees that it will not, prior to the date that is one year and one day after the payment in full of the latest maturing Commercial Paper or other debt securities or instruments issued by a Conduit Investor, institute against, or join with any other Person in instituting against, such Conduit Investor, any bankruptcy, reorganization, arrangement, insolvency or liquidation proceedings, or other proceedings under any federal or state bankruptcy or similar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9.10(b)</w:t>
      </w:r>
      <w:r>
        <w:rPr>
          <w:rFonts w:ascii="Arial" w:cs="Arial" w:eastAsia="Arial" w:hAnsi="Arial"/>
          <w:sz w:val="19"/>
          <w:szCs w:val="19"/>
          <w:color w:val="auto"/>
        </w:rPr>
        <w:t xml:space="preserve"> shall constitute a waiver of any right to indemnification, reimbursement or other payment from such Conduit Investor pursuant to this Agreement, the Series 2021-1 Supplement, the Base Indenture or any other Related Document. In the event that the Co-Issuers, the Manager or a Lender Party (solely in its capacity as such) takes action in violation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9.10(b)</w:t>
      </w:r>
      <w:r>
        <w:rPr>
          <w:rFonts w:ascii="Arial" w:cs="Arial" w:eastAsia="Arial" w:hAnsi="Arial"/>
          <w:sz w:val="19"/>
          <w:szCs w:val="19"/>
          <w:color w:val="auto"/>
        </w:rPr>
        <w:t xml:space="preserve">, such related Conduit Investor may file an answer with the bankruptcy court or otherwise properly contest or cause to be contested the filing of such a petition by any such Person against such Conduit Investor or the commencement of such action and raise or cause to be raised the defense that such Person has agreed in writing not to take such action and should be estopped and precluded therefrom and such other defenses, if any, as its counsel advises that it may assert.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9.10(b)</w:t>
      </w:r>
      <w:r>
        <w:rPr>
          <w:rFonts w:ascii="Arial" w:cs="Arial" w:eastAsia="Arial" w:hAnsi="Arial"/>
          <w:sz w:val="19"/>
          <w:szCs w:val="19"/>
          <w:color w:val="auto"/>
        </w:rPr>
        <w:t xml:space="preserve"> shall survive the termination of this Agreement. Nothing contained herein shall preclude participation by the Co-Issuers, the Manager or a Lender Party in assertion or defense of its claims in any such proceeding involving a Conduit Investor. The obligations of the Conduit Investors under this Agreement are solely the corporate obligations of the Conduit Investors. No recourse shall be had for the payment of any amount owing in respect of this Agreement, including any obligation or claim arising out of or based upon this Agreement, against any stockholder, employee, officer, agent, director, member, affiliate or incorporator (or Person similar to an incorporator under state business organization laws) of any Conduit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9.10(b)</w:t>
      </w:r>
      <w:r>
        <w:rPr>
          <w:rFonts w:ascii="Arial" w:cs="Arial" w:eastAsia="Arial" w:hAnsi="Arial"/>
          <w:sz w:val="19"/>
          <w:szCs w:val="19"/>
          <w:color w:val="auto"/>
        </w:rPr>
        <w:t xml:space="preserve"> shall relieve any of the foregoing Persons from any liability that any such Person may otherwise have for its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-1588135</wp:posOffset>
            </wp:positionV>
            <wp:extent cx="387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8255"/>
                    </a:xfrm>
                    <a:prstGeom prst="rect">
                      <a:avLst/>
                    </a:prstGeom>
                    <a:noFill/>
                  </pic:spPr>
                </pic:pic>
              </a:graphicData>
            </a:graphic>
          </wp:anchor>
        </w:drawing>
      </w:r>
    </w:p>
    <w:p>
      <w:pPr>
        <w:spacing w:after="0" w:line="3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Section 9.11Confidentiality</w:t>
      </w:r>
      <w:r>
        <w:rPr>
          <w:rFonts w:ascii="Arial" w:cs="Arial" w:eastAsia="Arial" w:hAnsi="Arial"/>
          <w:sz w:val="19"/>
          <w:szCs w:val="19"/>
          <w:color w:val="auto"/>
        </w:rPr>
        <w:t xml:space="preserve">. Each Lender Party agrees that it shall not disclose any Confidential Information to any Person without the prior written consent of the Manager and the Co-Issuers, other than (a) to their Affiliates, officers, directors, employees, agents and advisors, including, without limitation, legal counsel and accountants (it being understood that the Person to whom such disclosure is made will be informed of the confidential nature of such Confidential Information and instructed to keep it confidential), (b) to actual or prospective assignees and participants, and then only on a confidential basis (after obtaining such actual or prospective assignee’s or participant’s agreement to keep such Confidential Information confidential in a manner substantially similar to this Section 9.11), (c) as requested by a Governmental Authority or self-regulatory organization or required by any law, rule or regulation or judicial process of which the Co-Issuers or the Manager, as the case may be, has knowledge;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Party may disclose Confidential Information as requested by a Governmental Authority or self-regulatory organization or required by any law, rule or regulation or judicial process of which the Co-Issuers or the Manager, as the case may be, does not have knowledge if such Lender Party is prohibited by law, rule or regulation from disclosing such requirement to the Co-Issuers or the Manager, as the case may be, (d) to Program Support Providers (after obtaining such Program Support Providers’ agreement to keep such Confidential Information confidential in a manner substantially similar to this </w:t>
      </w:r>
      <w:r>
        <w:rPr>
          <w:rFonts w:ascii="Arial" w:cs="Arial" w:eastAsia="Arial" w:hAnsi="Arial"/>
          <w:sz w:val="19"/>
          <w:szCs w:val="19"/>
          <w:u w:val="single" w:color="auto"/>
          <w:color w:val="auto"/>
        </w:rPr>
        <w:t>Section 9.11</w:t>
      </w:r>
      <w:r>
        <w:rPr>
          <w:rFonts w:ascii="Arial" w:cs="Arial" w:eastAsia="Arial" w:hAnsi="Arial"/>
          <w:sz w:val="19"/>
          <w:szCs w:val="19"/>
          <w:color w:val="auto"/>
        </w:rPr>
        <w:t>), (e) to any Rating Agency providing a rating for any Series or Class of Notes or any Conduit Investor’s debt, (f) in connection with the exercise of any remedies hereunder or under any other Related Document or any action or proceeding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6" w:name="page117"/>
    <w:bookmarkEnd w:id="116"/>
    <w:p>
      <w:pPr>
        <w:jc w:val="both"/>
        <w:spacing w:after="0" w:line="236" w:lineRule="auto"/>
        <w:rPr>
          <w:sz w:val="20"/>
          <w:szCs w:val="20"/>
          <w:color w:val="auto"/>
        </w:rPr>
      </w:pPr>
      <w:r>
        <w:rPr>
          <w:rFonts w:ascii="Arial" w:cs="Arial" w:eastAsia="Arial" w:hAnsi="Arial"/>
          <w:sz w:val="22"/>
          <w:szCs w:val="22"/>
          <w:color w:val="auto"/>
        </w:rPr>
        <w:t>this Agreement or any other Related Document or the enforcement of rights hereunder or thereunder or (g) in the course of litigation with the Co-Issuers, the Manager or such Lender Party. Any Person required to maintain the confidentiality of Confidential Information as provided in this Section shall be considered to have complied with its obligation to do so if such Person has exercised the same degree of care to maintain the confidentiality of such Confidential Information as such Person would accord to its own Confidential Information.</w:t>
      </w:r>
    </w:p>
    <w:p>
      <w:pPr>
        <w:spacing w:after="0" w:line="187"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information that the Co-Issuers or the Manager furnishes to a Lender Party, but does not include (i) any such information that is or becomes generally available to the public other than as a result of a disclosure by a Lender Party or other Person to which a Lender Party delivered such information, (ii) any such information that was in the possession of a Lender Party prior to its being furnished to such Lender Party by the Co-Issuers or the Manager or (iii) any such information that is or becomes available to a Lender Party from a source other than the Co-Issuers or the Manager;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herein, such source is not (x) known to a Lender Party to be bound by a confidentiality agreement with the Co-Issuers or the Manager, as the case may be, with respect to the information or (y) known to a Lender Party to be otherwise prohibited from transmitting the information by a contractual, legal or fiduciary obligation.</w:t>
      </w:r>
    </w:p>
    <w:p>
      <w:pPr>
        <w:spacing w:after="0" w:line="15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u w:val="single" w:color="auto"/>
          <w:color w:val="auto"/>
        </w:rPr>
        <w:t>Section 9.12GOVERNING LAW; CONFLICTS WITH INDENTURE.</w:t>
      </w:r>
      <w:r>
        <w:rPr>
          <w:rFonts w:ascii="Arial" w:cs="Arial" w:eastAsia="Arial" w:hAnsi="Arial"/>
          <w:sz w:val="22"/>
          <w:szCs w:val="22"/>
          <w:b w:val="1"/>
          <w:bCs w:val="1"/>
          <w:color w:val="auto"/>
        </w:rPr>
        <w:t xml:space="preserve"> THIS AGREEMENT AND ALL MATTERS ARISING UNDER OR IN ANY MANNER RELATING TO THIS AGREEMENT SHALL BE GOVERNED BY, AND CONSTRUED IN ACCORDANCE WITH, THE LAWS OF THE STATE OF NEW YORK WITHOUT GIVING EFFECT TO ANY CHOICE OF LAW OR CONFLICT PROVISION OR RULE (WHETHER OF THE STATE OF NEW YORK OR ANY OTHER JURISDICTION) THAT WOULD CAUSE THE APPLICATION OF THE LAWS OF ANY JURISDICTION OTHER THAN THE STATE OF NEW YORK, AND THE OBLIGATIONS, RIGHTS AND REMEDIES OF THE PARTIES HERETO SHALL BE DETERMINED IN ACCORDANCE WITH SUCH LAW. IN THE EVENT OF ANY CONFLICTS BETWEEN THIS AGREEMENT AND THE INDENTURE, THE INDENTURE SHALL GOVERN.</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u w:val="single" w:color="auto"/>
          <w:color w:val="auto"/>
        </w:rPr>
        <w:t>Section 9.13JURISDICTION</w:t>
      </w:r>
      <w:r>
        <w:rPr>
          <w:rFonts w:ascii="Arial" w:cs="Arial" w:eastAsia="Arial" w:hAnsi="Arial"/>
          <w:sz w:val="22"/>
          <w:szCs w:val="22"/>
          <w:b w:val="1"/>
          <w:bCs w:val="1"/>
          <w:color w:val="auto"/>
        </w:rPr>
        <w:t>. ALL JUDICIAL PROCEEDINGS BROUGHT AGAINST ANY OF THE PARTIES HEREUNDER WITH RESPECT TO THIS AGREEMENT MAY BE BROUGHT IN ANY STATE OR (TO THE EXTENT PERMITTED BY LAW) FEDERAL COURT OF COMPETENT JURISDICTION SITTING IN THE BOROUGH OF MANHATTAN IN THE CITY OF NEW YORK AND BY EXECUTION AND DELIVERY OF THIS AGREEMENT, EACH PARTY HEREUNDER ACCEPTS FOR ITSELF AND IN CONNECTION WITH ITS PROPERTIES, GENERALLY AND UNCONDITIONALLY, THE NONEXCLUSIVE JURISDICTION OF THE AFORESAID COURTS, AND IRREVOCABLY AGREES TO BE BOUND BY ANY JUDGMENT RENDERED THEREBY IN CONNECTION WITH THIS AGREEMENT.</w:t>
      </w:r>
    </w:p>
    <w:p>
      <w:pPr>
        <w:spacing w:after="0" w:line="18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u w:val="single" w:color="auto"/>
          <w:color w:val="auto"/>
        </w:rPr>
        <w:t>Section 9.14WAIVER OF JURY TRIAL</w:t>
      </w:r>
      <w:r>
        <w:rPr>
          <w:rFonts w:ascii="Arial" w:cs="Arial" w:eastAsia="Arial" w:hAnsi="Arial"/>
          <w:sz w:val="22"/>
          <w:szCs w:val="22"/>
          <w:b w:val="1"/>
          <w:bCs w:val="1"/>
          <w:color w:val="auto"/>
        </w:rPr>
        <w:t>. ALL PARTIES HEREUNDER HEREBY KNOWINGLY, VOLUNTARILY AND INTENTIONALLY WAIVE ANY RIGHTS THEY MAY HAVE TO A TRIAL BY JURY IN RESPECT OF ANY LITIGATION BASED HEREON, OR ARISING OUT OF, UNDER, OR IN CONNECTION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7" w:name="page118"/>
    <w:bookmarkEnd w:id="117"/>
    <w:p>
      <w:pPr>
        <w:jc w:val="both"/>
        <w:spacing w:after="0" w:line="237" w:lineRule="auto"/>
        <w:rPr>
          <w:sz w:val="20"/>
          <w:szCs w:val="20"/>
          <w:color w:val="auto"/>
        </w:rPr>
      </w:pPr>
      <w:r>
        <w:rPr>
          <w:rFonts w:ascii="Arial" w:cs="Arial" w:eastAsia="Arial" w:hAnsi="Arial"/>
          <w:sz w:val="22"/>
          <w:szCs w:val="22"/>
          <w:b w:val="1"/>
          <w:bCs w:val="1"/>
          <w:color w:val="auto"/>
        </w:rPr>
        <w:t>AGREEMENT, OR ANY COURSE OF CONDUCT, COURSE OF DEALING, STATEMENTS (WHETHER ORAL OR WRITTEN) OR ACTIONS OF THE PARTIES IN CONNECTION HEREWITH OR THEREWITH. ALL PARTIES ACKNOWLEDGE AND AGREE THAT THEY HAVE RECEIVED FULL AND SIGNIFICANT CONSIDERATION FOR THIS PROVISION AND THAT THIS PROVISION IS A MATERIAL INDUCEMENT FOR ALL PARTIES TO ENTER INTO THIS AGREEMENT.</w:t>
      </w:r>
    </w:p>
    <w:p>
      <w:pPr>
        <w:spacing w:after="0" w:line="188"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u w:val="single" w:color="auto"/>
          <w:color w:val="auto"/>
        </w:rPr>
        <w:t>Section 9.15Counterparts</w:t>
      </w:r>
      <w:r>
        <w:rPr>
          <w:rFonts w:ascii="Arial" w:cs="Arial" w:eastAsia="Arial" w:hAnsi="Arial"/>
          <w:sz w:val="19"/>
          <w:szCs w:val="19"/>
          <w:color w:val="auto"/>
        </w:rPr>
        <w:t>. This Agreement may be executed in any number of counterparts (which may include facsimile or other electronic transmission of counterparts) and by the different parties hereto in separate counterparts, each of which when so executed shall be deemed to be an original, and all of which together shall constitute one and the same instrument.</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u w:val="single" w:color="auto"/>
          <w:color w:val="auto"/>
        </w:rPr>
        <w:t>Section 9.16Third-Party Beneficiary</w:t>
      </w:r>
      <w:r>
        <w:rPr>
          <w:rFonts w:ascii="Arial" w:cs="Arial" w:eastAsia="Arial" w:hAnsi="Arial"/>
          <w:sz w:val="22"/>
          <w:szCs w:val="22"/>
          <w:color w:val="auto"/>
        </w:rPr>
        <w:t>. The Trustee, on behalf of the Secured Parties, and the Control Party are express third-party beneficiaries of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9.17Assignment.</w:t>
      </w:r>
    </w:p>
    <w:p>
      <w:pPr>
        <w:spacing w:after="0" w:line="206" w:lineRule="exact"/>
        <w:rPr>
          <w:sz w:val="20"/>
          <w:szCs w:val="20"/>
          <w:color w:val="auto"/>
        </w:rPr>
      </w:pPr>
    </w:p>
    <w:p>
      <w:pPr>
        <w:jc w:val="both"/>
        <w:ind w:firstLine="1505"/>
        <w:spacing w:after="0" w:line="273" w:lineRule="auto"/>
        <w:tabs>
          <w:tab w:leader="none" w:pos="20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9.17(f),</w:t>
      </w:r>
      <w:r>
        <w:rPr>
          <w:rFonts w:ascii="Arial" w:cs="Arial" w:eastAsia="Arial" w:hAnsi="Arial"/>
          <w:sz w:val="19"/>
          <w:szCs w:val="19"/>
          <w:color w:val="auto"/>
        </w:rPr>
        <w:t xml:space="preserve"> any Committed Note Purchaser may at any time sell all or any part of its rights and obligations under this Agreement, the Series 2021-1 Class A-1 Advance Notes and, in connection therewith, any other Related Documents to which it is a party, with the prior written consent (not to be unreasonably withheld or delayed) of the Co-Issuers, the Swingline Lender and the L/C Provider, to one or more financial institutions (an “</w:t>
      </w:r>
      <w:r>
        <w:rPr>
          <w:rFonts w:ascii="Arial" w:cs="Arial" w:eastAsia="Arial" w:hAnsi="Arial"/>
          <w:sz w:val="19"/>
          <w:szCs w:val="19"/>
          <w:u w:val="single" w:color="auto"/>
          <w:color w:val="auto"/>
        </w:rPr>
        <w:t>Acquiring Committed Note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pursuant to an assignment and assumption agreement,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Assignment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xml:space="preserve">”), executed by such Acquiring Committed Note Purchaser, such assigning Committed Note Purchaser, the Funding Agent with respect to such Committed Note Purchaser, the Co-Issuers, the Swingline Lender and the L/C Provider and delivered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Co-Issuers shall be required for an assignment to another Committed Note Purchaser or any Affiliate of a Committed Note Purchaser that has a rating equal to or higher than the assigning Committed Note Purchaser or if a Rapid Amortization Event or an Event of Default has occurred and is continuing.</w:t>
      </w:r>
    </w:p>
    <w:p>
      <w:pPr>
        <w:spacing w:after="0" w:line="160" w:lineRule="exact"/>
        <w:rPr>
          <w:rFonts w:ascii="Arial" w:cs="Arial" w:eastAsia="Arial" w:hAnsi="Arial"/>
          <w:sz w:val="19"/>
          <w:szCs w:val="19"/>
          <w:color w:val="auto"/>
        </w:rPr>
      </w:pPr>
    </w:p>
    <w:p>
      <w:pPr>
        <w:jc w:val="both"/>
        <w:ind w:firstLine="1505"/>
        <w:spacing w:after="0" w:line="273" w:lineRule="auto"/>
        <w:tabs>
          <w:tab w:leader="none" w:pos="20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Without limiting the foregoing, subject to </w:t>
      </w:r>
      <w:r>
        <w:rPr>
          <w:rFonts w:ascii="Arial" w:cs="Arial" w:eastAsia="Arial" w:hAnsi="Arial"/>
          <w:sz w:val="19"/>
          <w:szCs w:val="19"/>
          <w:u w:val="single" w:color="auto"/>
          <w:color w:val="auto"/>
        </w:rPr>
        <w:t>Sections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9.17(f),</w:t>
      </w:r>
      <w:r>
        <w:rPr>
          <w:rFonts w:ascii="Arial" w:cs="Arial" w:eastAsia="Arial" w:hAnsi="Arial"/>
          <w:sz w:val="19"/>
          <w:szCs w:val="19"/>
          <w:color w:val="auto"/>
        </w:rPr>
        <w:t xml:space="preserve"> each Conduit Investor may assign all or a portion of the Investor Group Principal Amount with respect to such Conduit Investor and its rights and obligations under this Agreement, the Series 2021-1 Class A-1 Advance Notes and, in connection therewith, any other Related Documents to which it is a party to a Conduit Assignee with respect to such Conduit Investor, without the prior written consent of the Co-Issuers. Upon such assignment by a Conduit Investor to a Conduit Assignee, (i) such Conduit Assignee shall be the owner of the Investor Group Principal Amount or such portion thereof with respect to such Conduit Investor, (ii) the related administrative or managing agent for such Conduit Assignee will act as the Funding Agent for such Conduit Assignee hereunder, with all corresponding rights and powers, express or implied, granted to the Funding Agent hereunder or under the other Related Documents, (iii) such Conduit Assignee and its liquidity support provider(s) and credit support provider(s) and other related parties, in each case relating to the Commercial Paper and/or the Series 2021-1 Class A-1 Advance Notes, shall have the benefit of all the rights and protections provided to such Conduit Investor herein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8" w:name="page119"/>
    <w:bookmarkEnd w:id="118"/>
    <w:p>
      <w:pPr>
        <w:jc w:val="both"/>
        <w:spacing w:after="0" w:line="270" w:lineRule="auto"/>
        <w:rPr>
          <w:sz w:val="20"/>
          <w:szCs w:val="20"/>
          <w:color w:val="auto"/>
        </w:rPr>
      </w:pPr>
      <w:r>
        <w:rPr>
          <w:rFonts w:ascii="Arial" w:cs="Arial" w:eastAsia="Arial" w:hAnsi="Arial"/>
          <w:sz w:val="19"/>
          <w:szCs w:val="19"/>
          <w:color w:val="auto"/>
        </w:rPr>
        <w:t xml:space="preserve">other Related Documents (including, without limitation, any limitation on recourse against such Conduit Assignee as provided in this paragraph), (iv) such Conduit Assignee shall assume all of such Conduit Investor’s obligations, if any, hereunder or under the Base Indenture or under any other Related Document with respect to such portion of the Investor Group Principal Amount and such Conduit Investor shall be released from such obligations, (v) all distributions in respect of the Investor Group Principal Amount or such portion thereof with respect to such Conduit Investor shall be made to the applicable Funding Agent on behalf of such Conduit Assignee, (vi) the definition of the term “CP Funding Rate” with respect to the portion of the Investor Group Principal Amount with respect to such Conduit Investor, as applicable, funded or maintained with commercial paper issued by such Conduit Assignee from time to time shall be determined in the manner set forth in the definition of “CP Funding Rate” applicable to such Conduit Assignee on the basis of the interest rate or discount applicable to Commercial Paper issued by or for the benefit of such Conduit Assignee (rather than any other Conduit Investor), (vii) the defined terms and other terms and provisions of this Agreement and the other Related Documents shall be interpreted in accordance with the foregoing, and (viii) if requested by the Funding Agent with respect to such Conduit Assignee, the parties will execute and deliver such further agreements and documents and take such other actions as the Funding Agent may reasonably request to evidence and give effect to the foregoing. No assignment by any Conduit Investor to a Conduit Assignee of all or any portion of the Investor Group Principal Amount with respect to such Conduit Investor shall in any way diminish the obligation of the Committed Note Purchasers in the same Investor Group as such Conduit Investor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fund any Increase not funded by such Conduit Investor or such Conduit Assignee.</w:t>
      </w:r>
    </w:p>
    <w:p>
      <w:pPr>
        <w:spacing w:after="0" w:line="200" w:lineRule="exact"/>
        <w:rPr>
          <w:sz w:val="20"/>
          <w:szCs w:val="20"/>
          <w:color w:val="auto"/>
        </w:rPr>
      </w:pPr>
    </w:p>
    <w:p>
      <w:pPr>
        <w:spacing w:after="0" w:line="214" w:lineRule="exact"/>
        <w:rPr>
          <w:sz w:val="20"/>
          <w:szCs w:val="20"/>
          <w:color w:val="auto"/>
        </w:rPr>
      </w:pPr>
    </w:p>
    <w:p>
      <w:pPr>
        <w:jc w:val="both"/>
        <w:ind w:firstLine="1505"/>
        <w:spacing w:after="0" w:line="270" w:lineRule="auto"/>
        <w:tabs>
          <w:tab w:leader="none" w:pos="20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9.17(f),</w:t>
      </w:r>
      <w:r>
        <w:rPr>
          <w:rFonts w:ascii="Arial" w:cs="Arial" w:eastAsia="Arial" w:hAnsi="Arial"/>
          <w:sz w:val="19"/>
          <w:szCs w:val="19"/>
          <w:color w:val="auto"/>
        </w:rPr>
        <w:t xml:space="preserve"> any Conduit Investor and the related Committed Note Purchaser(s) may at any time sell all or any part of their respective rights and obligations under this Agreement, the Series 2021-1 Class A-1 Advance Notes and, in connection therewith, any other Related Documents to which it is a party, with the prior written consent (not to be unreasonably withheld or delayed) of the Co-Issuers, the Swingline Lender and the L/C Provider, to a multi-seller commercial paper conduit, whose commercial paper is rated at least “A-1” from S&amp;P and/or “P-1” from Moody’s, as applicable, and one or more financial institutions providing support to such multi-seller commercial paper conduit (an “</w:t>
      </w:r>
      <w:r>
        <w:rPr>
          <w:rFonts w:ascii="Arial" w:cs="Arial" w:eastAsia="Arial" w:hAnsi="Arial"/>
          <w:sz w:val="19"/>
          <w:szCs w:val="19"/>
          <w:u w:val="single" w:color="auto"/>
          <w:color w:val="auto"/>
        </w:rPr>
        <w:t>Acquiring Investor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Group</w:t>
      </w:r>
      <w:r>
        <w:rPr>
          <w:rFonts w:ascii="Arial" w:cs="Arial" w:eastAsia="Arial" w:hAnsi="Arial"/>
          <w:sz w:val="19"/>
          <w:szCs w:val="19"/>
          <w:color w:val="auto"/>
        </w:rPr>
        <w:t xml:space="preserve">”) pursuant to a transfer supplement,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Investor Group Supplement</w:t>
      </w:r>
      <w:r>
        <w:rPr>
          <w:rFonts w:ascii="Arial" w:cs="Arial" w:eastAsia="Arial" w:hAnsi="Arial"/>
          <w:sz w:val="19"/>
          <w:szCs w:val="19"/>
          <w:color w:val="auto"/>
        </w:rPr>
        <w:t>” or the “</w:t>
      </w:r>
      <w:r>
        <w:rPr>
          <w:rFonts w:ascii="Arial" w:cs="Arial" w:eastAsia="Arial" w:hAnsi="Arial"/>
          <w:sz w:val="19"/>
          <w:szCs w:val="19"/>
          <w:u w:val="single" w:color="auto"/>
          <w:color w:val="auto"/>
        </w:rPr>
        <w:t>Series 2021-1 Class A-1 Investor Group Supplement</w:t>
      </w:r>
      <w:r>
        <w:rPr>
          <w:rFonts w:ascii="Arial" w:cs="Arial" w:eastAsia="Arial" w:hAnsi="Arial"/>
          <w:sz w:val="19"/>
          <w:szCs w:val="19"/>
          <w:color w:val="auto"/>
        </w:rPr>
        <w:t>”)</w:t>
      </w:r>
      <w:r>
        <w:rPr>
          <w:rFonts w:ascii="Arial" w:cs="Arial" w:eastAsia="Arial" w:hAnsi="Arial"/>
          <w:sz w:val="19"/>
          <w:szCs w:val="19"/>
          <w:u w:val="single" w:color="auto"/>
          <w:color w:val="auto"/>
        </w:rPr>
        <w:t>,</w:t>
      </w:r>
      <w:r>
        <w:rPr>
          <w:rFonts w:ascii="Arial" w:cs="Arial" w:eastAsia="Arial" w:hAnsi="Arial"/>
          <w:sz w:val="19"/>
          <w:szCs w:val="19"/>
          <w:color w:val="auto"/>
        </w:rPr>
        <w:t xml:space="preserve"> executed by such Acquiring Investor Group, the Funding Agent with respect to such Acquiring Investor Group (including the Conduit Investor and the Committed Note Purchasers with respect to such Investor Group), such assigning Conduit Investor and the Committed Note Purchasers with respect to such Conduit Investor, the Funding Agent with respect to such assigning Conduit Investor and Committed Note Purchasers, the Co-Issuers, the Swingline Lender and the L/C Provider and delivered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Co-Issuers shall be required for an assignment to another Committed Note Purchaser or any Affiliate of a Committed Note Purchaser and its related Conduit Investor or if a Rapid Amortization Event or an Event of Default has occurred and is continuing. For the avoidance of doubt, this </w:t>
      </w:r>
      <w:r>
        <w:rPr>
          <w:rFonts w:ascii="Arial" w:cs="Arial" w:eastAsia="Arial" w:hAnsi="Arial"/>
          <w:sz w:val="19"/>
          <w:szCs w:val="19"/>
          <w:u w:val="single" w:color="auto"/>
          <w:color w:val="auto"/>
        </w:rPr>
        <w:t>Section 9.17(c)</w:t>
      </w:r>
      <w:r>
        <w:rPr>
          <w:rFonts w:ascii="Arial" w:cs="Arial" w:eastAsia="Arial" w:hAnsi="Arial"/>
          <w:sz w:val="19"/>
          <w:szCs w:val="19"/>
          <w:color w:val="auto"/>
        </w:rPr>
        <w:t xml:space="preserve"> is intended to permit and provide for (i) assignments from a Committed Note Purchaser to a Conduit Investor in a different Investor Group and (ii) assignments from a Conduit Investor to a Committed Note Purchaser in a different Investor group, and, in each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shall be revised to reflect such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9" w:name="page120"/>
    <w:bookmarkEnd w:id="119"/>
    <w:p>
      <w:pPr>
        <w:jc w:val="both"/>
        <w:ind w:firstLine="1505"/>
        <w:spacing w:after="0" w:line="274" w:lineRule="auto"/>
        <w:tabs>
          <w:tab w:leader="none" w:pos="203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9.17(f)</w:t>
      </w:r>
      <w:r>
        <w:rPr>
          <w:rFonts w:ascii="Arial" w:cs="Arial" w:eastAsia="Arial" w:hAnsi="Arial"/>
          <w:sz w:val="19"/>
          <w:szCs w:val="19"/>
          <w:color w:val="auto"/>
        </w:rPr>
        <w:t xml:space="preserve">, the Swingline Lender may at any time assign all its rights and obligations hereunder and under the Series 2021-1 Class A-1 Swingline Note, in whole but not in part, with the prior written consent of the Co-Issuers and the Administrative Agent, which consent shall not be unreasonably withheld or delayed, to a financial institution pursuant to an agreement with, and in form and substance reasonably satisfactory to, the Administrative Agent and the Co-Issuers, whereupon the assignor shall be released from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Co-Issuers shall be required if a Rapid Amortization Event or an Event of Default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prior written consent of each Funding Agent (other than any Funding Agent with respect to which all of the Committed Note Purchasers in such Funding Agent’s Investor Group are Defaulting Investors), which consent shall not be unreasonably withheld or delayed, shall be required if such financial institution is not a Committed Note Purchaser.</w:t>
      </w:r>
    </w:p>
    <w:p>
      <w:pPr>
        <w:spacing w:after="0" w:line="158" w:lineRule="exact"/>
        <w:rPr>
          <w:rFonts w:ascii="Arial" w:cs="Arial" w:eastAsia="Arial" w:hAnsi="Arial"/>
          <w:sz w:val="19"/>
          <w:szCs w:val="19"/>
          <w:color w:val="auto"/>
        </w:rPr>
      </w:pPr>
    </w:p>
    <w:p>
      <w:pPr>
        <w:jc w:val="both"/>
        <w:ind w:firstLine="1505"/>
        <w:spacing w:after="0" w:line="279" w:lineRule="auto"/>
        <w:tabs>
          <w:tab w:leader="none" w:pos="203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6.03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9.17(f),</w:t>
      </w:r>
      <w:r>
        <w:rPr>
          <w:rFonts w:ascii="Arial" w:cs="Arial" w:eastAsia="Arial" w:hAnsi="Arial"/>
          <w:sz w:val="19"/>
          <w:szCs w:val="19"/>
          <w:color w:val="auto"/>
        </w:rPr>
        <w:t xml:space="preserve"> the L/C Provider may at any time assign all or any portion of its rights and obligations hereunder and under the Series 2021-1 Class A-1 L/C Note with the prior written consent of the Co-Issuers and the Administrative Agent, which consent shall not be unreasonably withheld or delayed, to a financial institution pursuant to an agreement with, and in form and substance reasonably satisfactory to, the Administrative Agent and the Co-Issuers, whereupon the assignor shall be released from its obligations hereunder to the extent so assigned;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Co-Issuers shall be required if a Rapid Amortization Event or an Event of Default has occurred and is continuing.</w:t>
      </w:r>
    </w:p>
    <w:p>
      <w:pPr>
        <w:spacing w:after="0" w:line="150" w:lineRule="exact"/>
        <w:rPr>
          <w:rFonts w:ascii="Arial" w:cs="Arial" w:eastAsia="Arial" w:hAnsi="Arial"/>
          <w:sz w:val="19"/>
          <w:szCs w:val="19"/>
          <w:color w:val="auto"/>
        </w:rPr>
      </w:pPr>
    </w:p>
    <w:p>
      <w:pPr>
        <w:ind w:firstLine="1505"/>
        <w:spacing w:after="0" w:line="250" w:lineRule="auto"/>
        <w:tabs>
          <w:tab w:leader="none" w:pos="20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assignment of the Series 2021-1 Class A-1 Notes shall be made in accordance with the applicable provisions of the Indenture.</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Section 9.18Defaulting Investors</w:t>
      </w:r>
      <w:r>
        <w:rPr>
          <w:rFonts w:ascii="Arial" w:cs="Arial" w:eastAsia="Arial" w:hAnsi="Arial"/>
          <w:sz w:val="19"/>
          <w:szCs w:val="19"/>
          <w:color w:val="auto"/>
        </w:rPr>
        <w:t xml:space="preserve">. (a) The Co-Issuers may, at their sole expense and effort, upon notice to such Defaulting Investor and the Administrative Agent, (i) require any Defaulting Investor to sell all of its rights, obligations and commitments under this Agreement, the Series 2021-1 Class A-1 Notes and, in connection therewith, any other Related Documents to which it is a party, to an assignee;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assignment is made in compliance with </w:t>
      </w:r>
      <w:r>
        <w:rPr>
          <w:rFonts w:ascii="Arial" w:cs="Arial" w:eastAsia="Arial" w:hAnsi="Arial"/>
          <w:sz w:val="19"/>
          <w:szCs w:val="19"/>
          <w:u w:val="single" w:color="auto"/>
          <w:color w:val="auto"/>
        </w:rPr>
        <w:t>Section 9.17</w:t>
      </w:r>
      <w:r>
        <w:rPr>
          <w:rFonts w:ascii="Arial" w:cs="Arial" w:eastAsia="Arial" w:hAnsi="Arial"/>
          <w:sz w:val="19"/>
          <w:szCs w:val="19"/>
          <w:color w:val="auto"/>
        </w:rPr>
        <w:t xml:space="preserve"> and</w:t>
      </w:r>
    </w:p>
    <w:p>
      <w:pPr>
        <w:spacing w:after="0" w:line="3" w:lineRule="exact"/>
        <w:rPr>
          <w:sz w:val="20"/>
          <w:szCs w:val="20"/>
          <w:color w:val="auto"/>
        </w:rPr>
      </w:pPr>
    </w:p>
    <w:p>
      <w:pPr>
        <w:jc w:val="both"/>
        <w:ind w:firstLine="8"/>
        <w:spacing w:after="0" w:line="275" w:lineRule="auto"/>
        <w:tabs>
          <w:tab w:leader="none" w:pos="324"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such Defaulting Investor shall have received from such assignee an amount equal to such Defaulting Investor’s Committed Note Purchaser Percentage of the related Investor Group Principal Amount of such Defaulting Investor and all accrued interest thereon, accrued fees and all other amounts payable to such Defaulting Investor hereunder or (ii) remove any Defaulting Investor as an Investor by paying to such Defaulting Investor an amount equal to such Defaulting Investor’s Committed Note Purchaser Percentage of the related Investor Group Principal Amount of such Defaulting Investor and all accrued interest thereon, accrued fees and all other amounts payable to such Defaulting Investor hereunder.</w:t>
      </w:r>
    </w:p>
    <w:p>
      <w:pPr>
        <w:spacing w:after="0" w:line="153" w:lineRule="exact"/>
        <w:rPr>
          <w:rFonts w:ascii="Arial" w:cs="Arial" w:eastAsia="Arial" w:hAnsi="Arial"/>
          <w:sz w:val="19"/>
          <w:szCs w:val="19"/>
          <w:color w:val="auto"/>
        </w:rPr>
      </w:pPr>
    </w:p>
    <w:p>
      <w:pPr>
        <w:jc w:val="both"/>
        <w:ind w:firstLine="1505"/>
        <w:spacing w:after="0" w:line="234" w:lineRule="auto"/>
        <w:tabs>
          <w:tab w:leader="none" w:pos="2036"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 the event that a Defaulting Investor desires to sell all or any portion of its rights, obligations and commitments under this Agreement, the Series 2021-1 Class A-1 Notes and, in connection therewith, any other Related Documents to which it is a party, to an unaffiliated third-party assignee for an amount less than 100% (or, if only a portion of such rights, obligations and commitments are proposed to be sold, such portion) of such Defaulting Investor’s Committed Note Purchaser Percentage of the related Investor Group Principal Amount of such Defaulting Investor and all accrued interest thereon, accrued fees and all other amounts payable to such Defaulting Investor hereunder, such Defaulting Investor shall promptly notify the Master Issuer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0" w:name="page121"/>
    <w:bookmarkEnd w:id="120"/>
    <w:p>
      <w:pPr>
        <w:jc w:val="both"/>
        <w:spacing w:after="0" w:line="272" w:lineRule="auto"/>
        <w:rPr>
          <w:sz w:val="20"/>
          <w:szCs w:val="20"/>
          <w:color w:val="auto"/>
        </w:rPr>
      </w:pPr>
      <w:r>
        <w:rPr>
          <w:rFonts w:ascii="Arial" w:cs="Arial" w:eastAsia="Arial" w:hAnsi="Arial"/>
          <w:sz w:val="19"/>
          <w:szCs w:val="19"/>
          <w:color w:val="auto"/>
        </w:rPr>
        <w:t>the proposed sale (the “</w:t>
      </w:r>
      <w:r>
        <w:rPr>
          <w:rFonts w:ascii="Arial" w:cs="Arial" w:eastAsia="Arial" w:hAnsi="Arial"/>
          <w:sz w:val="19"/>
          <w:szCs w:val="19"/>
          <w:u w:val="single" w:color="auto"/>
          <w:color w:val="auto"/>
        </w:rPr>
        <w:t>Sale Notice</w:t>
      </w:r>
      <w:r>
        <w:rPr>
          <w:rFonts w:ascii="Arial" w:cs="Arial" w:eastAsia="Arial" w:hAnsi="Arial"/>
          <w:sz w:val="19"/>
          <w:szCs w:val="19"/>
          <w:color w:val="auto"/>
        </w:rPr>
        <w:t>”). Each Sale Notice shall certify that such Defaulting Investor has received a firm offer from the prospective unaffiliated third party and shall contain the material terms of the proposed sale, including, without limitation, the purchase price of the proposed sale and the portion of such Defaulting Investor’s rights, obligations and commitments proposed to be sold. The Master Issuer and any of its Affiliates shall have an option for a period of three (3) Business Days from the date the Sale Notice is given to elect to purchase such rights, obligations and commitments at the same price and subject to the same material terms as described in the Sale Notice. The Master Issuer or any of its Affiliates may exercise such purchase option by notifying such Defaulting Investor before expiration of such three (3) Business Day period that it wishes to purchase all (but not a portion) of the rights, obligations and commitments of such Defaulting Investor proposed to be sold to such unaffiliated third party. If the Master Issuer or any of its Affiliates gives notice to such Defaulting Investor that it desires to purchase such rights, obligations and commitments, the Master Issuer or such Affiliate shall promptly pay the purchase price to such Defaulting Investor. If the Master Issuer or any of its Affiliates does not respond to any Sale Notice within such three (3) Business Day period, the Master Issuer and its Affiliates shall be deemed not to have exercised such purchase option.</w:t>
      </w:r>
    </w:p>
    <w:p>
      <w:pPr>
        <w:spacing w:after="0" w:line="161" w:lineRule="exact"/>
        <w:rPr>
          <w:sz w:val="20"/>
          <w:szCs w:val="20"/>
          <w:color w:val="auto"/>
        </w:rPr>
      </w:pPr>
    </w:p>
    <w:p>
      <w:pPr>
        <w:jc w:val="both"/>
        <w:ind w:firstLine="1505"/>
        <w:spacing w:after="0"/>
        <w:tabs>
          <w:tab w:leader="none" w:pos="20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if any Investor becomes a Defaulting Investor, then, until such time as such Investor is no longer a Defaulting Investor, to the extent permitted by applicable law:</w:t>
      </w:r>
    </w:p>
    <w:p>
      <w:pPr>
        <w:spacing w:after="0" w:line="169" w:lineRule="exact"/>
        <w:rPr>
          <w:rFonts w:ascii="Arial" w:cs="Arial" w:eastAsia="Arial" w:hAnsi="Arial"/>
          <w:sz w:val="22"/>
          <w:szCs w:val="22"/>
          <w:color w:val="auto"/>
        </w:rPr>
      </w:pPr>
    </w:p>
    <w:p>
      <w:pPr>
        <w:ind w:left="760" w:firstLine="1494"/>
        <w:spacing w:after="0" w:line="274" w:lineRule="auto"/>
        <w:tabs>
          <w:tab w:leader="none" w:pos="2557"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Such Defaultng Investor’s right to approve or disapprove any amendment, waiver or consent with respect to this Agreement shall be restricted as set forth in </w:t>
      </w:r>
      <w:r>
        <w:rPr>
          <w:rFonts w:ascii="Arial" w:cs="Arial" w:eastAsia="Arial" w:hAnsi="Arial"/>
          <w:sz w:val="20"/>
          <w:szCs w:val="20"/>
          <w:u w:val="single" w:color="auto"/>
          <w:color w:val="auto"/>
        </w:rPr>
        <w:t>Secton 9.01.</w:t>
      </w:r>
    </w:p>
    <w:p>
      <w:pPr>
        <w:spacing w:after="0" w:line="176" w:lineRule="exact"/>
        <w:rPr>
          <w:rFonts w:ascii="Arial" w:cs="Arial" w:eastAsia="Arial" w:hAnsi="Arial"/>
          <w:sz w:val="20"/>
          <w:szCs w:val="20"/>
          <w:color w:val="auto"/>
        </w:rPr>
      </w:pPr>
    </w:p>
    <w:p>
      <w:pPr>
        <w:jc w:val="both"/>
        <w:ind w:left="760" w:firstLine="1494"/>
        <w:spacing w:after="0" w:line="284" w:lineRule="auto"/>
        <w:tabs>
          <w:tab w:leader="none" w:pos="25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Any payment of principal, interest, fees or other amounts payable to the account of such Defaultng Investor (whether voluntary or mandatory, at maturity or otherwise) shall be applied (and the Co-Issuers shall instruct the Trustee to apply such amounts) as follows: </w:t>
      </w:r>
      <w:r>
        <w:rPr>
          <w:rFonts w:ascii="Arial" w:cs="Arial" w:eastAsia="Arial" w:hAnsi="Arial"/>
          <w:sz w:val="18"/>
          <w:szCs w:val="18"/>
          <w:u w:val="single" w:color="auto"/>
          <w:color w:val="auto"/>
        </w:rPr>
        <w:t>frst,</w:t>
      </w:r>
      <w:r>
        <w:rPr>
          <w:rFonts w:ascii="Arial" w:cs="Arial" w:eastAsia="Arial" w:hAnsi="Arial"/>
          <w:sz w:val="18"/>
          <w:szCs w:val="18"/>
          <w:color w:val="auto"/>
        </w:rPr>
        <w:t xml:space="preserve"> to the payment of any amounts owing by such Defaultng Investor to the Administratve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Defaultng Investor to the L/C Provider or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provide cash collateral to the L/C Provider in accordance with </w:t>
      </w:r>
      <w:r>
        <w:rPr>
          <w:rFonts w:ascii="Arial" w:cs="Arial" w:eastAsia="Arial" w:hAnsi="Arial"/>
          <w:sz w:val="18"/>
          <w:szCs w:val="18"/>
          <w:u w:val="single" w:color="auto"/>
          <w:color w:val="auto"/>
        </w:rPr>
        <w:t>Secton 4.03(b)</w:t>
      </w:r>
      <w:r>
        <w:rPr>
          <w:rFonts w:ascii="Arial" w:cs="Arial" w:eastAsia="Arial" w:hAnsi="Arial"/>
          <w:sz w:val="18"/>
          <w:szCs w:val="18"/>
          <w:color w:val="auto"/>
        </w:rPr>
        <w:t xml:space="preserve"> in an amount equal to the amount of Undrawn L/C Face Amounts at such tme multplied by the Commitment Percentage of such Defaultng Investor’s Investor Group multplied by the Commited Note Purchaser Percentage of such Defaultng Investor;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Co-Issuers may request (so long as no Default or Event of Default exists), to the funding of any Advance in respect of which such Defaultng Investor has failed to fund its porton thereof as required by this Agreement, as determined by the Administratve Agent; </w:t>
      </w:r>
      <w:r>
        <w:rPr>
          <w:rFonts w:ascii="Arial" w:cs="Arial" w:eastAsia="Arial" w:hAnsi="Arial"/>
          <w:sz w:val="18"/>
          <w:szCs w:val="18"/>
          <w:u w:val="single" w:color="auto"/>
          <w:color w:val="auto"/>
        </w:rPr>
        <w:t>ffh,</w:t>
      </w:r>
      <w:r>
        <w:rPr>
          <w:rFonts w:ascii="Arial" w:cs="Arial" w:eastAsia="Arial" w:hAnsi="Arial"/>
          <w:sz w:val="18"/>
          <w:szCs w:val="18"/>
          <w:color w:val="auto"/>
        </w:rPr>
        <w:t xml:space="preserve"> if so determined by the Administratve Agent and the Co-Issuers, to be held in a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 (x) satsfy such Defaultng Investor’s potental future funding obligatons with respect to Advances under this Agreement and (y) to provide cash collateral to the L/C Provider in accordance with </w:t>
      </w:r>
      <w:r>
        <w:rPr>
          <w:rFonts w:ascii="Arial" w:cs="Arial" w:eastAsia="Arial" w:hAnsi="Arial"/>
          <w:sz w:val="18"/>
          <w:szCs w:val="18"/>
          <w:u w:val="single" w:color="auto"/>
          <w:color w:val="auto"/>
        </w:rPr>
        <w:t>Secton 4.03(b)</w:t>
      </w:r>
      <w:r>
        <w:rPr>
          <w:rFonts w:ascii="Arial" w:cs="Arial" w:eastAsia="Arial" w:hAnsi="Arial"/>
          <w:sz w:val="18"/>
          <w:szCs w:val="18"/>
          <w:color w:val="auto"/>
        </w:rPr>
        <w:t xml:space="preserve"> in an amount equal to the amount of any future Undrawn L/C Face Amounts multplied by the Commitment Percentage of such Defaultng Investor’s Investor Group multplied by the Commited Note Purchaser Percentage of such Defaultng Investor;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Investors, the L/C Provider or the Swingline Lender as a result of any judgment of a court of competent jurisdicton obtained by any Investor, the L/C Provider or the Swingline Lender against such Defaultng Investor as a result of such Defaultng Investor’s breach of its obligatons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Co-Issuers as a result of any judgment of a court of competent jurisdicton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1" w:name="page122"/>
    <w:bookmarkEnd w:id="121"/>
    <w:p>
      <w:pPr>
        <w:jc w:val="both"/>
        <w:spacing w:after="0" w:line="269" w:lineRule="auto"/>
        <w:rPr>
          <w:sz w:val="20"/>
          <w:szCs w:val="20"/>
          <w:color w:val="auto"/>
        </w:rPr>
      </w:pPr>
      <w:r>
        <w:rPr>
          <w:rFonts w:ascii="Arial" w:cs="Arial" w:eastAsia="Arial" w:hAnsi="Arial"/>
          <w:sz w:val="19"/>
          <w:szCs w:val="19"/>
          <w:color w:val="auto"/>
        </w:rPr>
        <w:t xml:space="preserve">obtained by the Co-Issuers against such Defaultng Investor as a result of such Defaultng Investor’s breach of its obligatons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such Defaultng Investor or as otherwise directed by a court of competent jurisdicton;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Advances or any extensions of credit resultng from a drawing under any Leter of Credit that has not been reimbursed as an Advance pursuant to </w:t>
      </w:r>
      <w:r>
        <w:rPr>
          <w:rFonts w:ascii="Arial" w:cs="Arial" w:eastAsia="Arial" w:hAnsi="Arial"/>
          <w:sz w:val="19"/>
          <w:szCs w:val="19"/>
          <w:u w:val="single" w:color="auto"/>
          <w:color w:val="auto"/>
        </w:rPr>
        <w:t>Secton 2.08(a)</w:t>
      </w:r>
      <w:r>
        <w:rPr>
          <w:rFonts w:ascii="Arial" w:cs="Arial" w:eastAsia="Arial" w:hAnsi="Arial"/>
          <w:sz w:val="19"/>
          <w:szCs w:val="19"/>
          <w:color w:val="auto"/>
        </w:rPr>
        <w:t xml:space="preserve"> in respect of which such Defaultng Investor has not fully funded its appropriate share, and (y) such Advances were made or the related Leters of Credit were issued at a tme when the conditons set forth in </w:t>
      </w:r>
      <w:r>
        <w:rPr>
          <w:rFonts w:ascii="Arial" w:cs="Arial" w:eastAsia="Arial" w:hAnsi="Arial"/>
          <w:sz w:val="19"/>
          <w:szCs w:val="19"/>
          <w:u w:val="single" w:color="auto"/>
          <w:color w:val="auto"/>
        </w:rPr>
        <w:t>Secton 7.03</w:t>
      </w:r>
      <w:r>
        <w:rPr>
          <w:rFonts w:ascii="Arial" w:cs="Arial" w:eastAsia="Arial" w:hAnsi="Arial"/>
          <w:sz w:val="19"/>
          <w:szCs w:val="19"/>
          <w:color w:val="auto"/>
        </w:rPr>
        <w:t xml:space="preserve"> were satsfed or waived, such payment shall be applied solely to pay the Advances of, and extensions of credit resultng from a drawing under any Leter of Credit that has not been reimbursed as an Advance pursuant to </w:t>
      </w:r>
      <w:r>
        <w:rPr>
          <w:rFonts w:ascii="Arial" w:cs="Arial" w:eastAsia="Arial" w:hAnsi="Arial"/>
          <w:sz w:val="19"/>
          <w:szCs w:val="19"/>
          <w:u w:val="single" w:color="auto"/>
          <w:color w:val="auto"/>
        </w:rPr>
        <w:t>Secton 2.08(a)</w:t>
      </w:r>
      <w:r>
        <w:rPr>
          <w:rFonts w:ascii="Arial" w:cs="Arial" w:eastAsia="Arial" w:hAnsi="Arial"/>
          <w:sz w:val="19"/>
          <w:szCs w:val="19"/>
          <w:color w:val="auto"/>
        </w:rPr>
        <w:t xml:space="preserve"> owed to, all non-Defaultng Investors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prior to being applied to the payment of any Advances of, partcipatons required to be purchased pursuant to </w:t>
      </w:r>
      <w:r>
        <w:rPr>
          <w:rFonts w:ascii="Arial" w:cs="Arial" w:eastAsia="Arial" w:hAnsi="Arial"/>
          <w:sz w:val="19"/>
          <w:szCs w:val="19"/>
          <w:u w:val="single" w:color="auto"/>
          <w:color w:val="auto"/>
        </w:rPr>
        <w:t>Secton 2.09(a)</w:t>
      </w:r>
      <w:r>
        <w:rPr>
          <w:rFonts w:ascii="Arial" w:cs="Arial" w:eastAsia="Arial" w:hAnsi="Arial"/>
          <w:sz w:val="19"/>
          <w:szCs w:val="19"/>
          <w:color w:val="auto"/>
        </w:rPr>
        <w:t xml:space="preserve"> owed to, such Defaultng Investor untl such tme as all Advances and funded and unfunded partcipatons in L/C Obligatons and Swingline Loans are held by the Investors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the Commitments without giving efect to </w:t>
      </w:r>
      <w:r>
        <w:rPr>
          <w:rFonts w:ascii="Arial" w:cs="Arial" w:eastAsia="Arial" w:hAnsi="Arial"/>
          <w:sz w:val="19"/>
          <w:szCs w:val="19"/>
          <w:u w:val="single" w:color="auto"/>
          <w:color w:val="auto"/>
        </w:rPr>
        <w:t>Secton 9.1 8(c)(iii)</w:t>
      </w:r>
      <w:r>
        <w:rPr>
          <w:rFonts w:ascii="Arial" w:cs="Arial" w:eastAsia="Arial" w:hAnsi="Arial"/>
          <w:sz w:val="19"/>
          <w:szCs w:val="19"/>
          <w:color w:val="auto"/>
        </w:rPr>
        <w:t xml:space="preserve">. Any payments, prepayments or other amounts paid or payable to a Defaultng Investor that are applied (or held) to pay amounts owed by a Defaultng Investor or to post cash collateral pursuant to this </w:t>
      </w:r>
      <w:r>
        <w:rPr>
          <w:rFonts w:ascii="Arial" w:cs="Arial" w:eastAsia="Arial" w:hAnsi="Arial"/>
          <w:sz w:val="19"/>
          <w:szCs w:val="19"/>
          <w:u w:val="single" w:color="auto"/>
          <w:color w:val="auto"/>
        </w:rPr>
        <w:t>Secton 9.18(c)(ii)</w:t>
      </w:r>
      <w:r>
        <w:rPr>
          <w:rFonts w:ascii="Arial" w:cs="Arial" w:eastAsia="Arial" w:hAnsi="Arial"/>
          <w:sz w:val="19"/>
          <w:szCs w:val="19"/>
          <w:color w:val="auto"/>
        </w:rPr>
        <w:t xml:space="preserve"> shall be deemed paid to and redirected by such Defaultng Investor, and each Investor irrevocably consents hereto.</w:t>
      </w:r>
    </w:p>
    <w:p>
      <w:pPr>
        <w:spacing w:after="0" w:line="190" w:lineRule="exact"/>
        <w:rPr>
          <w:sz w:val="20"/>
          <w:szCs w:val="20"/>
          <w:color w:val="auto"/>
        </w:rPr>
      </w:pPr>
    </w:p>
    <w:p>
      <w:pPr>
        <w:jc w:val="both"/>
        <w:ind w:firstLine="1494"/>
        <w:spacing w:after="0" w:line="270" w:lineRule="auto"/>
        <w:tabs>
          <w:tab w:leader="none" w:pos="1797"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All or any part of such Defaultng Investor’s partcipaton in L/C Obligatons and Swingline Loans shall be reallocated among the non-Defaultng Investors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on their Commitments (calculated without regard to such Defaultng Investor’s Commitment) but only to the extent that (x) the conditons set forth in </w:t>
      </w:r>
      <w:r>
        <w:rPr>
          <w:rFonts w:ascii="Arial" w:cs="Arial" w:eastAsia="Arial" w:hAnsi="Arial"/>
          <w:sz w:val="19"/>
          <w:szCs w:val="19"/>
          <w:u w:val="single" w:color="auto"/>
          <w:color w:val="auto"/>
        </w:rPr>
        <w:t>Secton 7.03</w:t>
      </w:r>
      <w:r>
        <w:rPr>
          <w:rFonts w:ascii="Arial" w:cs="Arial" w:eastAsia="Arial" w:hAnsi="Arial"/>
          <w:sz w:val="19"/>
          <w:szCs w:val="19"/>
          <w:color w:val="auto"/>
        </w:rPr>
        <w:t xml:space="preserve"> are satsfed at the tme of such reallocaton (and, unless the Co-Issuers shall have otherwise notfed the Administratve Agent at such tme, the Co-Issuers shall be deemed to have represented and warranted that such conditons are satsfed at such tme), and (y) such reallocaton does not cause the product of any non-Defaultng Investor’s related Investor Group Principal Amount multplied by such non-Defaultng Investor’s Commited Note Purchaser Percentage to exceed such non-Defaultng Investor’s Commitment Amount. No reallocaton hereunder shall consttute a waiver or release of any claim of any party hereunder against a Defaultng Investor arising from that Investor having become a Defaultng Investor, including any claim of a non-Defaultng Investor as a result of such non-Defaultng Investor’s increased exposure following such reallocaton.</w:t>
      </w:r>
    </w:p>
    <w:p>
      <w:pPr>
        <w:spacing w:after="0" w:line="188" w:lineRule="exact"/>
        <w:rPr>
          <w:rFonts w:ascii="Arial" w:cs="Arial" w:eastAsia="Arial" w:hAnsi="Arial"/>
          <w:sz w:val="19"/>
          <w:szCs w:val="19"/>
          <w:color w:val="auto"/>
        </w:rPr>
      </w:pPr>
    </w:p>
    <w:p>
      <w:pPr>
        <w:jc w:val="both"/>
        <w:ind w:firstLine="1494"/>
        <w:spacing w:after="0" w:line="264" w:lineRule="auto"/>
        <w:tabs>
          <w:tab w:leader="none" w:pos="1797" w:val="left"/>
        </w:tabs>
        <w:numPr>
          <w:ilvl w:val="1"/>
          <w:numId w:val="93"/>
        </w:numPr>
        <w:rPr>
          <w:rFonts w:ascii="Arial" w:cs="Arial" w:eastAsia="Arial" w:hAnsi="Arial"/>
          <w:sz w:val="20"/>
          <w:szCs w:val="20"/>
          <w:color w:val="auto"/>
        </w:rPr>
      </w:pPr>
      <w:r>
        <w:rPr>
          <w:rFonts w:ascii="Arial" w:cs="Arial" w:eastAsia="Arial" w:hAnsi="Arial"/>
          <w:sz w:val="20"/>
          <w:szCs w:val="20"/>
          <w:color w:val="auto"/>
        </w:rPr>
        <w:t>If the reallocaton described in clause (iii) above cannot, or can only partally, be efected, the Co-Issuers shall, without prejudice to any right or remedy available to them hereunder or under law, prepay Swingline Loans in an amount equal to the amount that cannot be so reallocated.</w:t>
      </w:r>
    </w:p>
    <w:p>
      <w:pPr>
        <w:spacing w:after="0" w:line="203" w:lineRule="exact"/>
        <w:rPr>
          <w:rFonts w:ascii="Arial" w:cs="Arial" w:eastAsia="Arial" w:hAnsi="Arial"/>
          <w:sz w:val="20"/>
          <w:szCs w:val="20"/>
          <w:color w:val="auto"/>
        </w:rPr>
      </w:pPr>
    </w:p>
    <w:p>
      <w:pPr>
        <w:jc w:val="both"/>
        <w:ind w:left="-760" w:firstLine="1505"/>
        <w:spacing w:after="0" w:line="277" w:lineRule="auto"/>
        <w:tabs>
          <w:tab w:leader="none" w:pos="12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If the Co-Issuers, the Administrative Agent, the Swingline Lender and the L/C Provider agree in writing that an Investor is no longer a Defaulting Investor, the Administrative Agent will so notify the parties hereto, whereupon as of the effective date specified in such notice and subject to any conditions set forth therein (which may include arrangements with respect to any cash collateral), that Investor will, to the extent applicable, purchase that portion of outstanding Advances of the other Investors or take such other actions as the Administrative Agent may determine to be necessary to cause the Advances and funded and unfunded participations in Letters of Credit and Swingline Loans to be held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Investors in accordance with their respective Commitments (without giving effect to </w:t>
      </w:r>
      <w:r>
        <w:rPr>
          <w:rFonts w:ascii="Arial" w:cs="Arial" w:eastAsia="Arial" w:hAnsi="Arial"/>
          <w:sz w:val="19"/>
          <w:szCs w:val="19"/>
          <w:u w:val="single" w:color="auto"/>
          <w:color w:val="auto"/>
        </w:rPr>
        <w:t>Section 9.1 8(c)(iii)),</w:t>
      </w:r>
      <w:r>
        <w:rPr>
          <w:rFonts w:ascii="Arial" w:cs="Arial" w:eastAsia="Arial" w:hAnsi="Arial"/>
          <w:sz w:val="19"/>
          <w:szCs w:val="19"/>
          <w:color w:val="auto"/>
        </w:rPr>
        <w:t xml:space="preserve"> whereupon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491490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7" w:right="339" w:bottom="1440" w:gutter="0" w:footer="0" w:header="0"/>
        </w:sectPr>
      </w:pPr>
    </w:p>
    <w:bookmarkStart w:id="122" w:name="page123"/>
    <w:bookmarkEnd w:id="122"/>
    <w:p>
      <w:pPr>
        <w:jc w:val="both"/>
        <w:spacing w:after="0" w:line="287" w:lineRule="auto"/>
        <w:rPr>
          <w:sz w:val="20"/>
          <w:szCs w:val="20"/>
          <w:color w:val="auto"/>
        </w:rPr>
      </w:pPr>
      <w:r>
        <w:rPr>
          <w:rFonts w:ascii="Arial" w:cs="Arial" w:eastAsia="Arial" w:hAnsi="Arial"/>
          <w:sz w:val="19"/>
          <w:szCs w:val="19"/>
          <w:color w:val="auto"/>
        </w:rPr>
        <w:t xml:space="preserve">will cease to be a Defaulting Investor;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Co-Issuers while that Investor was a Defaulting Investor;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except to the extent otherwise expressly agreed by the affected parties, no change hereunder from Defaulting Investor to Investor will constitute a waiver or release of any claim of any party hereunder arising from that Investor’s having been a Defaulting Investor.</w:t>
      </w:r>
    </w:p>
    <w:p>
      <w:pPr>
        <w:spacing w:after="0" w:line="14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Section 9.19No Fiduciary Duties</w:t>
      </w:r>
      <w:r>
        <w:rPr>
          <w:rFonts w:ascii="Arial" w:cs="Arial" w:eastAsia="Arial" w:hAnsi="Arial"/>
          <w:sz w:val="19"/>
          <w:szCs w:val="19"/>
          <w:color w:val="auto"/>
        </w:rPr>
        <w:t>. Each of the Manager and the Securitization Entities acknowledge and agree that in connection with the transaction contemplated in this Agreement, or any other services the Lender Parties may be deemed to be providing hereunder, notwithstanding any preexisting relationship, advisory or otherwise, between the parties or any oral representations or assurances previously or subsequently made by the Lender Parties: (a) no fiduciary or agency relationship between any of the Manager, the Securitization Entities and any other person, on the one hand, and the Lender Parties, on the other, exists; (b) the Lender Parties are not acting as advisor, expert or otherwise, to the Manager or the Securitization Entities, and such relationship between any of the Manager or the Securitization Entities, on the one hand, and the Lender Parties, on the other, is entirely and solely commercial, based on arms-length negotiations; (c) any duties and obligations that the Lender Parties may have to the Manager and any of the Securitization Entities shall be limited to those duties and obligations specifically stated herein; (d) the Lender Parties and their respective affiliates may have interests that differ from those of the Manager or any of the Securitization Entities; and (e) the Manager and the Securitization Entities have consulted their own legal and financial advisors to the extent they deemed appropriate. For the avoidance of doubt, each of the Manager and the Securitization Entities hereby waive any claims that Manager or the Securitization Entities may have against the Lender Parties with respect to any breach of fiduciary duty in connection with the Series 2021-1 Class A-1 Notes.</w:t>
      </w:r>
    </w:p>
    <w:p>
      <w:pPr>
        <w:spacing w:after="0" w:line="16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u w:val="single" w:color="auto"/>
          <w:color w:val="auto"/>
        </w:rPr>
        <w:t>Section 9.20No Guarantee by the Manager</w:t>
      </w:r>
      <w:r>
        <w:rPr>
          <w:rFonts w:ascii="Arial" w:cs="Arial" w:eastAsia="Arial" w:hAnsi="Arial"/>
          <w:sz w:val="19"/>
          <w:szCs w:val="19"/>
          <w:color w:val="auto"/>
        </w:rPr>
        <w:t>. The execution and delivery of this Agreement by Manager shall not be construed as a guarantee or other credit support by the Manager of the obligations of the Securitization Entities hereunder. The Manager shall not be liable in any respect for any obligation of the Securitization Entities hereunder or any violation by any Securitization Entity of its covenants, representations and warranties or other agreements and obligations hereunder.</w:t>
      </w:r>
    </w:p>
    <w:p>
      <w:pPr>
        <w:spacing w:after="0" w:line="14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u w:val="single" w:color="auto"/>
          <w:color w:val="auto"/>
        </w:rPr>
        <w:t>Section 9.21Term; Termination of Agreement</w:t>
      </w:r>
      <w:r>
        <w:rPr>
          <w:rFonts w:ascii="Arial" w:cs="Arial" w:eastAsia="Arial" w:hAnsi="Arial"/>
          <w:sz w:val="19"/>
          <w:szCs w:val="19"/>
          <w:color w:val="auto"/>
        </w:rPr>
        <w:t xml:space="preserve">. This Agreement shall terminate upon the earlier to occur of (a) the permanent reduction of the Series 2021-1 Class A-1 Notes Maximum Principal Amount to zero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2.05(a)</w:t>
      </w:r>
      <w:r>
        <w:rPr>
          <w:rFonts w:ascii="Arial" w:cs="Arial" w:eastAsia="Arial" w:hAnsi="Arial"/>
          <w:sz w:val="19"/>
          <w:szCs w:val="19"/>
          <w:color w:val="auto"/>
        </w:rPr>
        <w:t xml:space="preserve"> and payment in full of all monetary Obligations in respect of the Series 2021-1 Class A-1 Notes, (b) the payment in full of all monetary Obligations in respect of the Series 2021-1 Class A-1 Notes on or after the Class A-1 Notes Renewal Date (as may be extended from time to time) and (c) the termination of the Series Supplement pursuant to Section 5.9 thereof.</w:t>
      </w:r>
    </w:p>
    <w:p>
      <w:pPr>
        <w:spacing w:after="0" w:line="14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u w:val="single" w:color="auto"/>
          <w:color w:val="auto"/>
        </w:rPr>
        <w:t>Section 9.22Acknowledgement and Consent to Bail-In of EEA Financial Institutions</w:t>
      </w:r>
      <w:r>
        <w:rPr>
          <w:rFonts w:ascii="Arial" w:cs="Arial" w:eastAsia="Arial" w:hAnsi="Arial"/>
          <w:sz w:val="21"/>
          <w:szCs w:val="21"/>
          <w:color w:val="auto"/>
        </w:rPr>
        <w:t>. Notwithstanding anything to the contrary in any Related Document or in any other agreement, arrangement or understanding among any such parties, each party hereto acknowledges that any liability of any EEA Financial Institution arising under any Related Document, to the extent such liability is unsecured, may be subject to the Write-Down and Conversion Powers of an EEA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3" w:name="page124"/>
    <w:bookmarkEnd w:id="123"/>
    <w:p>
      <w:pPr>
        <w:ind w:firstLine="1505"/>
        <w:spacing w:after="0" w:line="274" w:lineRule="auto"/>
        <w:tabs>
          <w:tab w:leader="none" w:pos="2036"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0" w:lineRule="exact"/>
        <w:rPr>
          <w:rFonts w:ascii="Arial" w:cs="Arial" w:eastAsia="Arial" w:hAnsi="Arial"/>
          <w:sz w:val="21"/>
          <w:szCs w:val="21"/>
          <w:color w:val="auto"/>
        </w:rPr>
      </w:pPr>
    </w:p>
    <w:p>
      <w:pPr>
        <w:ind w:left="2040" w:hanging="535"/>
        <w:spacing w:after="0"/>
        <w:tabs>
          <w:tab w:leader="none" w:pos="2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effects of any Bail-In Action or any such liability, including, if applicable:</w:t>
      </w:r>
    </w:p>
    <w:p>
      <w:pPr>
        <w:spacing w:after="0" w:line="189" w:lineRule="exact"/>
        <w:rPr>
          <w:rFonts w:ascii="Arial" w:cs="Arial" w:eastAsia="Arial" w:hAnsi="Arial"/>
          <w:sz w:val="22"/>
          <w:szCs w:val="22"/>
          <w:color w:val="auto"/>
        </w:rPr>
      </w:pPr>
    </w:p>
    <w:p>
      <w:pPr>
        <w:ind w:left="2560" w:hanging="306"/>
        <w:spacing w:after="0"/>
        <w:tabs>
          <w:tab w:leader="none" w:pos="2560" w:val="left"/>
        </w:tabs>
        <w:numPr>
          <w:ilvl w:val="1"/>
          <w:numId w:val="95"/>
        </w:numPr>
        <w:rPr>
          <w:rFonts w:ascii="Arial" w:cs="Arial" w:eastAsia="Arial" w:hAnsi="Arial"/>
          <w:sz w:val="20"/>
          <w:szCs w:val="20"/>
          <w:color w:val="auto"/>
        </w:rPr>
      </w:pPr>
      <w:r>
        <w:rPr>
          <w:rFonts w:ascii="Arial" w:cs="Arial" w:eastAsia="Arial" w:hAnsi="Arial"/>
          <w:sz w:val="20"/>
          <w:szCs w:val="20"/>
          <w:color w:val="auto"/>
        </w:rPr>
        <w:t>a reducton in full or in part or cancellaton of any such liability;</w:t>
      </w:r>
    </w:p>
    <w:p>
      <w:pPr>
        <w:spacing w:after="0" w:line="229" w:lineRule="exact"/>
        <w:rPr>
          <w:rFonts w:ascii="Arial" w:cs="Arial" w:eastAsia="Arial" w:hAnsi="Arial"/>
          <w:sz w:val="20"/>
          <w:szCs w:val="20"/>
          <w:color w:val="auto"/>
        </w:rPr>
      </w:pPr>
    </w:p>
    <w:p>
      <w:pPr>
        <w:jc w:val="both"/>
        <w:ind w:left="760" w:right="200" w:firstLine="1494"/>
        <w:spacing w:after="0" w:line="260" w:lineRule="auto"/>
        <w:tabs>
          <w:tab w:leader="none" w:pos="2557" w:val="left"/>
        </w:tabs>
        <w:numPr>
          <w:ilvl w:val="1"/>
          <w:numId w:val="95"/>
        </w:numPr>
        <w:rPr>
          <w:rFonts w:ascii="Arial" w:cs="Arial" w:eastAsia="Arial" w:hAnsi="Arial"/>
          <w:sz w:val="20"/>
          <w:szCs w:val="20"/>
          <w:color w:val="auto"/>
        </w:rPr>
      </w:pPr>
      <w:r>
        <w:rPr>
          <w:rFonts w:ascii="Arial" w:cs="Arial" w:eastAsia="Arial" w:hAnsi="Arial"/>
          <w:sz w:val="20"/>
          <w:szCs w:val="20"/>
          <w:color w:val="auto"/>
        </w:rPr>
        <w:t>a conversion of all, or a porton of, such liability into shares or other instruments of ownership in such EEA Financial Insttuton, its parent undertaking, or a bridge insttuton that may be issued to it or otherwise conferred on it, and that such shares or other instruments of ownership will be accepted by it in lieu of any rights with respect to any such liability under this Agreement or any other Related Document; or</w:t>
      </w:r>
    </w:p>
    <w:p>
      <w:pPr>
        <w:spacing w:after="0" w:line="191" w:lineRule="exact"/>
        <w:rPr>
          <w:rFonts w:ascii="Arial" w:cs="Arial" w:eastAsia="Arial" w:hAnsi="Arial"/>
          <w:sz w:val="20"/>
          <w:szCs w:val="20"/>
          <w:color w:val="auto"/>
        </w:rPr>
      </w:pPr>
    </w:p>
    <w:p>
      <w:pPr>
        <w:ind w:left="760" w:right="20" w:firstLine="1494"/>
        <w:spacing w:after="0" w:line="274" w:lineRule="auto"/>
        <w:tabs>
          <w:tab w:leader="none" w:pos="2557"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variaton of the terms of such liability in connecton with the exercise of the Write-Down and Conversion Powers of any EEA Resoluton Authority.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9.23[Reserved]</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u w:val="single" w:color="auto"/>
          <w:color w:val="auto"/>
        </w:rPr>
        <w:t>Section 9.24USA Patriot Act</w:t>
      </w:r>
      <w:r>
        <w:rPr>
          <w:rFonts w:ascii="Arial" w:cs="Arial" w:eastAsia="Arial" w:hAnsi="Arial"/>
          <w:sz w:val="21"/>
          <w:szCs w:val="21"/>
          <w:color w:val="auto"/>
        </w:rPr>
        <w:t>. In accordance with the USA PATRIOT Act (Title III of Pub. L. 107-56 (signed into law October 26, 2001)) (the “</w:t>
      </w:r>
      <w:r>
        <w:rPr>
          <w:rFonts w:ascii="Arial" w:cs="Arial" w:eastAsia="Arial" w:hAnsi="Arial"/>
          <w:sz w:val="21"/>
          <w:szCs w:val="21"/>
          <w:u w:val="single" w:color="auto"/>
          <w:color w:val="auto"/>
        </w:rPr>
        <w:t>USA PATRIOT Act</w:t>
      </w:r>
      <w:r>
        <w:rPr>
          <w:rFonts w:ascii="Arial" w:cs="Arial" w:eastAsia="Arial" w:hAnsi="Arial"/>
          <w:sz w:val="21"/>
          <w:szCs w:val="21"/>
          <w:color w:val="auto"/>
        </w:rPr>
        <w:t>”), any Lender Party that is subject to the USA PATRIOT Act may obtain, verify and record information that identifies individuals or entities that establish a relationship with such Lender Party, including the name, address, tax identification number and other information in accordance with the USA PATRIOT Act that will allow it to identify the individual or entity who is establishing the relationship or opening the account.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duly authorized officers and delivered as of the day and year first above written.</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MASTER ISSUER LLC,</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as Master Issuer and as a Co-Issuer</w:t>
      </w:r>
    </w:p>
    <w:p>
      <w:pPr>
        <w:spacing w:after="0" w:line="215"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By</w:t>
      </w:r>
    </w:p>
    <w:p>
      <w:pPr>
        <w:ind w:left="5680"/>
        <w:spacing w:after="0" w:line="238" w:lineRule="auto"/>
        <w:rPr>
          <w:sz w:val="20"/>
          <w:szCs w:val="20"/>
          <w:color w:val="auto"/>
        </w:rPr>
      </w:pPr>
      <w:r>
        <w:rPr>
          <w:rFonts w:ascii="Arial" w:cs="Arial" w:eastAsia="Arial" w:hAnsi="Arial"/>
          <w:sz w:val="22"/>
          <w:szCs w:val="22"/>
          <w:color w:val="auto"/>
        </w:rPr>
        <w:t>Name:</w:t>
      </w:r>
    </w:p>
    <w:p>
      <w:pPr>
        <w:ind w:left="5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DISTRIBUTION LLC,</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as the Domestic Distributor and as a Co-Issuer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4" w:name="page125"/>
    <w:bookmarkEnd w:id="124"/>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3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IP HOLDER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the IP Holder and as a Co-Issuer</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3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line="250" w:lineRule="auto"/>
        <w:rPr>
          <w:sz w:val="20"/>
          <w:szCs w:val="20"/>
          <w:color w:val="auto"/>
        </w:rPr>
      </w:pPr>
      <w:r>
        <w:rPr>
          <w:rFonts w:ascii="Arial" w:cs="Arial" w:eastAsia="Arial" w:hAnsi="Arial"/>
          <w:sz w:val="22"/>
          <w:szCs w:val="22"/>
          <w:color w:val="auto"/>
        </w:rPr>
        <w:t>DOMINO’S SPV CANADIAN HOLDING COMPANY INC., as the SPV Canadian HoldCo and as a Co-Issuer</w:t>
      </w:r>
    </w:p>
    <w:p>
      <w:pPr>
        <w:spacing w:after="0" w:line="20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3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440" w:top="388" w:right="919" w:bottom="1440" w:gutter="0" w:footer="0" w:header="0"/>
        </w:sectPr>
      </w:pPr>
    </w:p>
    <w:bookmarkStart w:id="125" w:name="page126"/>
    <w:bookmarkEnd w:id="125"/>
    <w:p>
      <w:pPr>
        <w:ind w:left="4120"/>
        <w:spacing w:after="0"/>
        <w:rPr>
          <w:sz w:val="20"/>
          <w:szCs w:val="20"/>
          <w:color w:val="auto"/>
        </w:rPr>
      </w:pPr>
      <w:r>
        <w:rPr>
          <w:rFonts w:ascii="Arial" w:cs="Arial" w:eastAsia="Arial" w:hAnsi="Arial"/>
          <w:sz w:val="22"/>
          <w:szCs w:val="22"/>
          <w:color w:val="auto"/>
        </w:rPr>
        <w:t>DOMINO’S PIZZA FRANCHISING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line="250" w:lineRule="auto"/>
        <w:rPr>
          <w:sz w:val="20"/>
          <w:szCs w:val="20"/>
          <w:color w:val="auto"/>
        </w:rPr>
      </w:pPr>
      <w:r>
        <w:rPr>
          <w:rFonts w:ascii="Arial" w:cs="Arial" w:eastAsia="Arial" w:hAnsi="Arial"/>
          <w:sz w:val="22"/>
          <w:szCs w:val="22"/>
          <w:color w:val="auto"/>
        </w:rPr>
        <w:t>DOMINO’S PIZZA INTERNATIONAL FRANCHISING INC., as a Guarantor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right="500"/>
        <w:spacing w:after="0" w:line="250" w:lineRule="auto"/>
        <w:rPr>
          <w:sz w:val="20"/>
          <w:szCs w:val="20"/>
          <w:color w:val="auto"/>
        </w:rPr>
      </w:pPr>
      <w:r>
        <w:rPr>
          <w:rFonts w:ascii="Arial" w:cs="Arial" w:eastAsia="Arial" w:hAnsi="Arial"/>
          <w:sz w:val="22"/>
          <w:szCs w:val="22"/>
          <w:color w:val="auto"/>
        </w:rPr>
        <w:t>DOMINO’S PIZZA CANADIAN DISTRIBUTION ULC, as a Guarantor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RE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440" w:top="388" w:right="779" w:bottom="1440" w:gutter="0" w:footer="0" w:header="0"/>
        </w:sectPr>
      </w:pPr>
    </w:p>
    <w:bookmarkStart w:id="126" w:name="page127"/>
    <w:bookmarkEnd w:id="126"/>
    <w:p>
      <w:pPr>
        <w:ind w:left="4120"/>
        <w:spacing w:after="0"/>
        <w:rPr>
          <w:sz w:val="20"/>
          <w:szCs w:val="20"/>
          <w:color w:val="auto"/>
        </w:rPr>
      </w:pPr>
      <w:r>
        <w:rPr>
          <w:rFonts w:ascii="Arial" w:cs="Arial" w:eastAsia="Arial" w:hAnsi="Arial"/>
          <w:sz w:val="22"/>
          <w:szCs w:val="22"/>
          <w:color w:val="auto"/>
        </w:rPr>
        <w:t>DOMINO’S EQ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58"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DOMINO’S SPV GUARANTOR LLC,</w:t>
      </w:r>
    </w:p>
    <w:p>
      <w:pPr>
        <w:spacing w:after="0" w:line="2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a Guarantor</w:t>
      </w:r>
    </w:p>
    <w:p>
      <w:pPr>
        <w:spacing w:after="0" w:line="200" w:lineRule="exact"/>
        <w:rPr>
          <w:sz w:val="20"/>
          <w:szCs w:val="20"/>
          <w:color w:val="auto"/>
        </w:rPr>
      </w:pPr>
    </w:p>
    <w:p>
      <w:pPr>
        <w:spacing w:after="0" w:line="258"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DOMINO’S PIZZA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as Manager</w:t>
      </w:r>
    </w:p>
    <w:p>
      <w:pPr>
        <w:spacing w:after="0" w:line="200" w:lineRule="exact"/>
        <w:rPr>
          <w:sz w:val="20"/>
          <w:szCs w:val="20"/>
          <w:color w:val="auto"/>
        </w:rPr>
      </w:pPr>
    </w:p>
    <w:p>
      <w:pPr>
        <w:spacing w:after="0" w:line="258"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127" w:name="page128"/>
    <w:bookmarkEnd w:id="127"/>
    <w:p>
      <w:pPr>
        <w:ind w:left="4120"/>
        <w:spacing w:after="0" w:line="250" w:lineRule="auto"/>
        <w:rPr>
          <w:sz w:val="20"/>
          <w:szCs w:val="20"/>
          <w:color w:val="auto"/>
        </w:rPr>
      </w:pPr>
      <w:r>
        <w:rPr>
          <w:rFonts w:ascii="Arial" w:cs="Arial" w:eastAsia="Arial" w:hAnsi="Arial"/>
          <w:sz w:val="22"/>
          <w:szCs w:val="22"/>
          <w:color w:val="auto"/>
        </w:rPr>
        <w:t>COÖPERATIEVE RABOBANK U.A., NEW YORK BRANCH, as Administrative Agent</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line="250" w:lineRule="auto"/>
        <w:rPr>
          <w:sz w:val="20"/>
          <w:szCs w:val="20"/>
          <w:color w:val="auto"/>
        </w:rPr>
      </w:pPr>
      <w:r>
        <w:rPr>
          <w:rFonts w:ascii="Arial" w:cs="Arial" w:eastAsia="Arial" w:hAnsi="Arial"/>
          <w:sz w:val="22"/>
          <w:szCs w:val="22"/>
          <w:color w:val="auto"/>
        </w:rPr>
        <w:t>COÖPERATIEVE RABOBANK U.A., NEW YORK BRANCH, as L/C Provider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388" w:right="719" w:bottom="1440" w:gutter="0" w:footer="0" w:header="0"/>
        </w:sectPr>
      </w:pPr>
    </w:p>
    <w:bookmarkStart w:id="128" w:name="page129"/>
    <w:bookmarkEnd w:id="128"/>
    <w:p>
      <w:pPr>
        <w:ind w:left="4120"/>
        <w:spacing w:after="0" w:line="250" w:lineRule="auto"/>
        <w:rPr>
          <w:sz w:val="20"/>
          <w:szCs w:val="20"/>
          <w:color w:val="auto"/>
        </w:rPr>
      </w:pPr>
      <w:r>
        <w:rPr>
          <w:rFonts w:ascii="Arial" w:cs="Arial" w:eastAsia="Arial" w:hAnsi="Arial"/>
          <w:sz w:val="22"/>
          <w:szCs w:val="22"/>
          <w:color w:val="auto"/>
        </w:rPr>
        <w:t>COÖPERATIEVE RABOBANK U.A., NEW YORK BRANCH, as Swingline Lender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line="250" w:lineRule="auto"/>
        <w:rPr>
          <w:sz w:val="20"/>
          <w:szCs w:val="20"/>
          <w:color w:val="auto"/>
        </w:rPr>
      </w:pPr>
      <w:r>
        <w:rPr>
          <w:rFonts w:ascii="Arial" w:cs="Arial" w:eastAsia="Arial" w:hAnsi="Arial"/>
          <w:sz w:val="22"/>
          <w:szCs w:val="22"/>
          <w:color w:val="auto"/>
        </w:rPr>
        <w:t>COÖPERATIEVE RABOBANK U.A., NEW YORK BRANCH, as Committed Note Purchaser</w:t>
      </w: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jc w:val="center"/>
        <w:ind w:righ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822960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388" w:right="719" w:bottom="1440" w:gutter="0" w:footer="0" w:header="0"/>
        </w:sectPr>
      </w:pPr>
    </w:p>
    <w:bookmarkStart w:id="129" w:name="page130"/>
    <w:bookmarkEnd w:id="129"/>
    <w:p>
      <w:pPr>
        <w:ind w:left="4120"/>
        <w:spacing w:after="0"/>
        <w:rPr>
          <w:sz w:val="20"/>
          <w:szCs w:val="20"/>
          <w:color w:val="auto"/>
        </w:rPr>
      </w:pPr>
      <w:r>
        <w:rPr>
          <w:rFonts w:ascii="Arial" w:cs="Arial" w:eastAsia="Arial" w:hAnsi="Arial"/>
          <w:sz w:val="22"/>
          <w:szCs w:val="22"/>
          <w:color w:val="auto"/>
        </w:rPr>
        <w:t>BARCLAYS BANK PLC,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as Committed Note Purchaser</w:t>
      </w:r>
    </w:p>
    <w:p>
      <w:pPr>
        <w:spacing w:after="0" w:line="200" w:lineRule="exact"/>
        <w:rPr>
          <w:sz w:val="20"/>
          <w:szCs w:val="20"/>
          <w:color w:val="auto"/>
        </w:rPr>
      </w:pP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By:</w:t>
      </w:r>
    </w:p>
    <w:p>
      <w:pPr>
        <w:ind w:left="4560"/>
        <w:spacing w:after="0" w:line="238" w:lineRule="auto"/>
        <w:rPr>
          <w:sz w:val="20"/>
          <w:szCs w:val="20"/>
          <w:color w:val="auto"/>
        </w:rPr>
      </w:pPr>
      <w:r>
        <w:rPr>
          <w:rFonts w:ascii="Arial" w:cs="Arial" w:eastAsia="Arial" w:hAnsi="Arial"/>
          <w:sz w:val="22"/>
          <w:szCs w:val="22"/>
          <w:color w:val="auto"/>
        </w:rPr>
        <w:t>Name:</w:t>
      </w:r>
    </w:p>
    <w:p>
      <w:pPr>
        <w:ind w:left="45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130" w:name="page131"/>
    <w:bookmarkEnd w:id="130"/>
    <w:p>
      <w:pPr>
        <w:jc w:val="right"/>
        <w:ind w:right="720"/>
        <w:spacing w:after="0"/>
        <w:rPr>
          <w:sz w:val="20"/>
          <w:szCs w:val="20"/>
          <w:color w:val="auto"/>
        </w:rPr>
      </w:pPr>
      <w:r>
        <w:rPr>
          <w:rFonts w:ascii="Arial" w:cs="Arial" w:eastAsia="Arial" w:hAnsi="Arial"/>
          <w:sz w:val="22"/>
          <w:szCs w:val="22"/>
          <w:b w:val="1"/>
          <w:bCs w:val="1"/>
          <w:color w:val="auto"/>
        </w:rPr>
        <w:t>SCHEDULE I TO CLASS A-1</w:t>
      </w:r>
    </w:p>
    <w:p>
      <w:pPr>
        <w:spacing w:after="0" w:line="14" w:lineRule="exact"/>
        <w:rPr>
          <w:sz w:val="20"/>
          <w:szCs w:val="20"/>
          <w:color w:val="auto"/>
        </w:rPr>
      </w:pPr>
    </w:p>
    <w:p>
      <w:pPr>
        <w:jc w:val="right"/>
        <w:ind w:right="720"/>
        <w:spacing w:after="0"/>
        <w:rPr>
          <w:sz w:val="20"/>
          <w:szCs w:val="20"/>
          <w:color w:val="auto"/>
        </w:rPr>
      </w:pPr>
      <w:r>
        <w:rPr>
          <w:rFonts w:ascii="Arial" w:cs="Arial" w:eastAsia="Arial" w:hAnsi="Arial"/>
          <w:sz w:val="22"/>
          <w:szCs w:val="22"/>
          <w:b w:val="1"/>
          <w:bCs w:val="1"/>
          <w:color w:val="auto"/>
        </w:rPr>
        <w:t>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4445</wp:posOffset>
            </wp:positionV>
            <wp:extent cx="288036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80360" cy="26035"/>
                    </a:xfrm>
                    <a:prstGeom prst="rect">
                      <a:avLst/>
                    </a:prstGeom>
                    <a:noFill/>
                  </pic:spPr>
                </pic:pic>
              </a:graphicData>
            </a:graphic>
          </wp:anchor>
        </w:drawing>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INVESTOR GROUPS AND COMMITMENTS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60" w:type="dxa"/>
            <w:vAlign w:val="bottom"/>
          </w:tcPr>
          <w:p>
            <w:pPr>
              <w:ind w:left="1040"/>
              <w:spacing w:after="0"/>
              <w:rPr>
                <w:sz w:val="20"/>
                <w:szCs w:val="20"/>
                <w:color w:val="auto"/>
              </w:rPr>
            </w:pPr>
            <w:r>
              <w:rPr>
                <w:rFonts w:ascii="Arial" w:cs="Arial" w:eastAsia="Arial" w:hAnsi="Arial"/>
                <w:sz w:val="22"/>
                <w:szCs w:val="22"/>
                <w:b w:val="1"/>
                <w:bCs w:val="1"/>
                <w:color w:val="auto"/>
              </w:rPr>
              <w:t>Investor</w:t>
            </w:r>
          </w:p>
        </w:tc>
        <w:tc>
          <w:tcPr>
            <w:tcW w:w="2100" w:type="dxa"/>
            <w:vAlign w:val="bottom"/>
          </w:tcPr>
          <w:p>
            <w:pPr>
              <w:jc w:val="center"/>
              <w:ind w:left="72"/>
              <w:spacing w:after="0"/>
              <w:rPr>
                <w:sz w:val="20"/>
                <w:szCs w:val="20"/>
                <w:color w:val="auto"/>
              </w:rPr>
            </w:pPr>
            <w:r>
              <w:rPr>
                <w:rFonts w:ascii="Arial" w:cs="Arial" w:eastAsia="Arial" w:hAnsi="Arial"/>
                <w:sz w:val="22"/>
                <w:szCs w:val="22"/>
                <w:b w:val="1"/>
                <w:bCs w:val="1"/>
                <w:color w:val="auto"/>
                <w:w w:val="94"/>
              </w:rPr>
              <w:t>Maximum</w:t>
            </w:r>
          </w:p>
        </w:tc>
        <w:tc>
          <w:tcPr>
            <w:tcW w:w="1860" w:type="dxa"/>
            <w:vAlign w:val="bottom"/>
          </w:tcPr>
          <w:p>
            <w:pPr>
              <w:jc w:val="center"/>
              <w:spacing w:after="0"/>
              <w:rPr>
                <w:sz w:val="20"/>
                <w:szCs w:val="20"/>
                <w:color w:val="auto"/>
              </w:rPr>
            </w:pPr>
            <w:r>
              <w:rPr>
                <w:rFonts w:ascii="Arial" w:cs="Arial" w:eastAsia="Arial" w:hAnsi="Arial"/>
                <w:sz w:val="22"/>
                <w:szCs w:val="22"/>
                <w:b w:val="1"/>
                <w:bCs w:val="1"/>
                <w:color w:val="auto"/>
                <w:w w:val="91"/>
              </w:rPr>
              <w:t>Conduit</w:t>
            </w:r>
          </w:p>
        </w:tc>
        <w:tc>
          <w:tcPr>
            <w:tcW w:w="2440" w:type="dxa"/>
            <w:vAlign w:val="bottom"/>
          </w:tcPr>
          <w:p>
            <w:pPr>
              <w:ind w:left="240"/>
              <w:spacing w:after="0"/>
              <w:rPr>
                <w:sz w:val="20"/>
                <w:szCs w:val="20"/>
                <w:color w:val="auto"/>
              </w:rPr>
            </w:pPr>
            <w:r>
              <w:rPr>
                <w:rFonts w:ascii="Arial" w:cs="Arial" w:eastAsia="Arial" w:hAnsi="Arial"/>
                <w:sz w:val="22"/>
                <w:szCs w:val="22"/>
                <w:b w:val="1"/>
                <w:bCs w:val="1"/>
                <w:color w:val="auto"/>
              </w:rPr>
              <w:t>Committed Note</w:t>
            </w:r>
          </w:p>
        </w:tc>
        <w:tc>
          <w:tcPr>
            <w:tcW w:w="1580" w:type="dxa"/>
            <w:vAlign w:val="bottom"/>
          </w:tcPr>
          <w:p>
            <w:pPr>
              <w:jc w:val="center"/>
              <w:ind w:left="232"/>
              <w:spacing w:after="0"/>
              <w:rPr>
                <w:sz w:val="20"/>
                <w:szCs w:val="20"/>
                <w:color w:val="auto"/>
              </w:rPr>
            </w:pPr>
            <w:r>
              <w:rPr>
                <w:rFonts w:ascii="Arial" w:cs="Arial" w:eastAsia="Arial" w:hAnsi="Arial"/>
                <w:sz w:val="22"/>
                <w:szCs w:val="22"/>
                <w:b w:val="1"/>
                <w:bCs w:val="1"/>
                <w:color w:val="auto"/>
                <w:w w:val="92"/>
              </w:rPr>
              <w:t>Commitment</w:t>
            </w:r>
          </w:p>
        </w:tc>
      </w:tr>
      <w:tr>
        <w:trPr>
          <w:trHeight w:val="280"/>
        </w:trPr>
        <w:tc>
          <w:tcPr>
            <w:tcW w:w="2660" w:type="dxa"/>
            <w:vAlign w:val="bottom"/>
          </w:tcPr>
          <w:p>
            <w:pPr>
              <w:ind w:left="760"/>
              <w:spacing w:after="0"/>
              <w:rPr>
                <w:sz w:val="20"/>
                <w:szCs w:val="20"/>
                <w:color w:val="auto"/>
              </w:rPr>
            </w:pPr>
            <w:r>
              <w:rPr>
                <w:rFonts w:ascii="Arial" w:cs="Arial" w:eastAsia="Arial" w:hAnsi="Arial"/>
                <w:sz w:val="22"/>
                <w:szCs w:val="22"/>
                <w:b w:val="1"/>
                <w:bCs w:val="1"/>
                <w:color w:val="auto"/>
              </w:rPr>
              <w:t>Group/Funding</w:t>
            </w:r>
          </w:p>
        </w:tc>
        <w:tc>
          <w:tcPr>
            <w:tcW w:w="21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Investor Group</w:t>
            </w:r>
          </w:p>
        </w:tc>
        <w:tc>
          <w:tcPr>
            <w:tcW w:w="1860" w:type="dxa"/>
            <w:vAlign w:val="bottom"/>
          </w:tcPr>
          <w:p>
            <w:pPr>
              <w:jc w:val="center"/>
              <w:spacing w:after="0"/>
              <w:rPr>
                <w:sz w:val="20"/>
                <w:szCs w:val="20"/>
                <w:color w:val="auto"/>
              </w:rPr>
            </w:pPr>
            <w:r>
              <w:rPr>
                <w:rFonts w:ascii="Arial" w:cs="Arial" w:eastAsia="Arial" w:hAnsi="Arial"/>
                <w:sz w:val="22"/>
                <w:szCs w:val="22"/>
                <w:b w:val="1"/>
                <w:bCs w:val="1"/>
                <w:color w:val="auto"/>
                <w:w w:val="92"/>
              </w:rPr>
              <w:t>Lender (if any)</w:t>
            </w:r>
          </w:p>
        </w:tc>
        <w:tc>
          <w:tcPr>
            <w:tcW w:w="2440" w:type="dxa"/>
            <w:vAlign w:val="bottom"/>
          </w:tcPr>
          <w:p>
            <w:pPr>
              <w:ind w:left="680"/>
              <w:spacing w:after="0"/>
              <w:rPr>
                <w:sz w:val="20"/>
                <w:szCs w:val="20"/>
                <w:color w:val="auto"/>
              </w:rPr>
            </w:pPr>
            <w:r>
              <w:rPr>
                <w:rFonts w:ascii="Arial" w:cs="Arial" w:eastAsia="Arial" w:hAnsi="Arial"/>
                <w:sz w:val="22"/>
                <w:szCs w:val="22"/>
                <w:b w:val="1"/>
                <w:bCs w:val="1"/>
                <w:color w:val="auto"/>
              </w:rPr>
              <w:t>Purchaser(s)</w:t>
            </w:r>
          </w:p>
        </w:tc>
        <w:tc>
          <w:tcPr>
            <w:tcW w:w="1580" w:type="dxa"/>
            <w:vAlign w:val="bottom"/>
          </w:tcPr>
          <w:p>
            <w:pPr>
              <w:jc w:val="center"/>
              <w:ind w:left="232"/>
              <w:spacing w:after="0"/>
              <w:rPr>
                <w:sz w:val="20"/>
                <w:szCs w:val="20"/>
                <w:color w:val="auto"/>
              </w:rPr>
            </w:pPr>
            <w:r>
              <w:rPr>
                <w:rFonts w:ascii="Arial" w:cs="Arial" w:eastAsia="Arial" w:hAnsi="Arial"/>
                <w:sz w:val="22"/>
                <w:szCs w:val="22"/>
                <w:b w:val="1"/>
                <w:bCs w:val="1"/>
                <w:color w:val="auto"/>
                <w:w w:val="91"/>
              </w:rPr>
              <w:t>Amount</w:t>
            </w:r>
          </w:p>
        </w:tc>
      </w:tr>
      <w:tr>
        <w:trPr>
          <w:trHeight w:val="273"/>
        </w:trPr>
        <w:tc>
          <w:tcPr>
            <w:tcW w:w="2660" w:type="dxa"/>
            <w:vAlign w:val="bottom"/>
          </w:tcPr>
          <w:p>
            <w:pPr>
              <w:ind w:left="1180"/>
              <w:spacing w:after="0"/>
              <w:rPr>
                <w:sz w:val="20"/>
                <w:szCs w:val="20"/>
                <w:color w:val="auto"/>
              </w:rPr>
            </w:pPr>
            <w:r>
              <w:rPr>
                <w:rFonts w:ascii="Arial" w:cs="Arial" w:eastAsia="Arial" w:hAnsi="Arial"/>
                <w:sz w:val="22"/>
                <w:szCs w:val="22"/>
                <w:b w:val="1"/>
                <w:bCs w:val="1"/>
                <w:color w:val="auto"/>
              </w:rPr>
              <w:t>Agent</w:t>
            </w:r>
          </w:p>
        </w:tc>
        <w:tc>
          <w:tcPr>
            <w:tcW w:w="210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Principal</w:t>
            </w:r>
          </w:p>
        </w:tc>
        <w:tc>
          <w:tcPr>
            <w:tcW w:w="18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80"/>
        </w:trPr>
        <w:tc>
          <w:tcPr>
            <w:tcW w:w="2660" w:type="dxa"/>
            <w:vAlign w:val="bottom"/>
          </w:tcPr>
          <w:p>
            <w:pPr>
              <w:spacing w:after="0"/>
              <w:rPr>
                <w:sz w:val="24"/>
                <w:szCs w:val="24"/>
                <w:color w:val="auto"/>
              </w:rPr>
            </w:pPr>
          </w:p>
        </w:tc>
        <w:tc>
          <w:tcPr>
            <w:tcW w:w="210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Amount</w:t>
            </w:r>
          </w:p>
        </w:tc>
        <w:tc>
          <w:tcPr>
            <w:tcW w:w="1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8"/>
        </w:trPr>
        <w:tc>
          <w:tcPr>
            <w:tcW w:w="2660" w:type="dxa"/>
            <w:vAlign w:val="bottom"/>
          </w:tcPr>
          <w:p>
            <w:pPr>
              <w:ind w:left="20"/>
              <w:spacing w:after="0"/>
              <w:rPr>
                <w:sz w:val="20"/>
                <w:szCs w:val="20"/>
                <w:color w:val="auto"/>
              </w:rPr>
            </w:pPr>
            <w:r>
              <w:rPr>
                <w:rFonts w:ascii="Arial" w:cs="Arial" w:eastAsia="Arial" w:hAnsi="Arial"/>
                <w:sz w:val="22"/>
                <w:szCs w:val="22"/>
                <w:color w:val="auto"/>
              </w:rPr>
              <w:t>Coöperatieve</w:t>
            </w:r>
          </w:p>
        </w:tc>
        <w:tc>
          <w:tcPr>
            <w:tcW w:w="2100" w:type="dxa"/>
            <w:vAlign w:val="bottom"/>
          </w:tcPr>
          <w:p>
            <w:pPr>
              <w:jc w:val="right"/>
              <w:ind w:right="212"/>
              <w:spacing w:after="0"/>
              <w:rPr>
                <w:sz w:val="20"/>
                <w:szCs w:val="20"/>
                <w:color w:val="auto"/>
              </w:rPr>
            </w:pPr>
            <w:r>
              <w:rPr>
                <w:rFonts w:ascii="Arial" w:cs="Arial" w:eastAsia="Arial" w:hAnsi="Arial"/>
                <w:sz w:val="22"/>
                <w:szCs w:val="22"/>
                <w:color w:val="auto"/>
              </w:rPr>
              <w:t>$150,000,000</w:t>
            </w:r>
          </w:p>
        </w:tc>
        <w:tc>
          <w:tcPr>
            <w:tcW w:w="1860" w:type="dxa"/>
            <w:vAlign w:val="bottom"/>
          </w:tcPr>
          <w:p>
            <w:pPr>
              <w:jc w:val="center"/>
              <w:spacing w:after="0"/>
              <w:rPr>
                <w:sz w:val="20"/>
                <w:szCs w:val="20"/>
                <w:color w:val="auto"/>
              </w:rPr>
            </w:pPr>
            <w:r>
              <w:rPr>
                <w:rFonts w:ascii="Arial" w:cs="Arial" w:eastAsia="Arial" w:hAnsi="Arial"/>
                <w:sz w:val="22"/>
                <w:szCs w:val="22"/>
                <w:color w:val="auto"/>
                <w:w w:val="98"/>
              </w:rPr>
              <w:t>N/A</w:t>
            </w:r>
          </w:p>
        </w:tc>
        <w:tc>
          <w:tcPr>
            <w:tcW w:w="2440" w:type="dxa"/>
            <w:vAlign w:val="bottom"/>
          </w:tcPr>
          <w:p>
            <w:pPr>
              <w:ind w:left="240"/>
              <w:spacing w:after="0"/>
              <w:rPr>
                <w:sz w:val="20"/>
                <w:szCs w:val="20"/>
                <w:color w:val="auto"/>
              </w:rPr>
            </w:pPr>
            <w:r>
              <w:rPr>
                <w:rFonts w:ascii="Arial" w:cs="Arial" w:eastAsia="Arial" w:hAnsi="Arial"/>
                <w:sz w:val="22"/>
                <w:szCs w:val="22"/>
                <w:color w:val="auto"/>
              </w:rPr>
              <w:t>Coöperatieve</w:t>
            </w:r>
          </w:p>
        </w:tc>
        <w:tc>
          <w:tcPr>
            <w:tcW w:w="1580" w:type="dxa"/>
            <w:vAlign w:val="bottom"/>
          </w:tcPr>
          <w:p>
            <w:pPr>
              <w:jc w:val="right"/>
              <w:spacing w:after="0"/>
              <w:rPr>
                <w:sz w:val="20"/>
                <w:szCs w:val="20"/>
                <w:color w:val="auto"/>
              </w:rPr>
            </w:pPr>
            <w:r>
              <w:rPr>
                <w:rFonts w:ascii="Arial" w:cs="Arial" w:eastAsia="Arial" w:hAnsi="Arial"/>
                <w:sz w:val="22"/>
                <w:szCs w:val="22"/>
                <w:color w:val="auto"/>
              </w:rPr>
              <w:t>$150,000,000</w:t>
            </w:r>
          </w:p>
        </w:tc>
      </w:tr>
      <w:tr>
        <w:trPr>
          <w:trHeight w:val="243"/>
        </w:trPr>
        <w:tc>
          <w:tcPr>
            <w:tcW w:w="2660" w:type="dxa"/>
            <w:vAlign w:val="bottom"/>
          </w:tcPr>
          <w:p>
            <w:pPr>
              <w:spacing w:after="0" w:line="243" w:lineRule="exact"/>
              <w:rPr>
                <w:sz w:val="20"/>
                <w:szCs w:val="20"/>
                <w:color w:val="auto"/>
              </w:rPr>
            </w:pPr>
            <w:r>
              <w:rPr>
                <w:rFonts w:ascii="Arial" w:cs="Arial" w:eastAsia="Arial" w:hAnsi="Arial"/>
                <w:sz w:val="22"/>
                <w:szCs w:val="22"/>
                <w:color w:val="auto"/>
              </w:rPr>
              <w:t>Rabobank U.A., New</w:t>
            </w:r>
          </w:p>
        </w:tc>
        <w:tc>
          <w:tcPr>
            <w:tcW w:w="2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440" w:type="dxa"/>
            <w:vAlign w:val="bottom"/>
          </w:tcPr>
          <w:p>
            <w:pPr>
              <w:ind w:left="220"/>
              <w:spacing w:after="0" w:line="243" w:lineRule="exact"/>
              <w:rPr>
                <w:sz w:val="20"/>
                <w:szCs w:val="20"/>
                <w:color w:val="auto"/>
              </w:rPr>
            </w:pPr>
            <w:r>
              <w:rPr>
                <w:rFonts w:ascii="Arial" w:cs="Arial" w:eastAsia="Arial" w:hAnsi="Arial"/>
                <w:sz w:val="22"/>
                <w:szCs w:val="22"/>
                <w:color w:val="auto"/>
              </w:rPr>
              <w:t>Rabobank U.A., New</w:t>
            </w:r>
          </w:p>
        </w:tc>
        <w:tc>
          <w:tcPr>
            <w:tcW w:w="1580" w:type="dxa"/>
            <w:vAlign w:val="bottom"/>
          </w:tcPr>
          <w:p>
            <w:pPr>
              <w:spacing w:after="0"/>
              <w:rPr>
                <w:sz w:val="21"/>
                <w:szCs w:val="21"/>
                <w:color w:val="auto"/>
              </w:rPr>
            </w:pPr>
          </w:p>
        </w:tc>
      </w:tr>
      <w:tr>
        <w:trPr>
          <w:trHeight w:val="274"/>
        </w:trPr>
        <w:tc>
          <w:tcPr>
            <w:tcW w:w="2660" w:type="dxa"/>
            <w:vAlign w:val="bottom"/>
          </w:tcPr>
          <w:p>
            <w:pPr>
              <w:spacing w:after="0"/>
              <w:rPr>
                <w:sz w:val="20"/>
                <w:szCs w:val="20"/>
                <w:color w:val="auto"/>
              </w:rPr>
            </w:pPr>
            <w:r>
              <w:rPr>
                <w:rFonts w:ascii="Arial" w:cs="Arial" w:eastAsia="Arial" w:hAnsi="Arial"/>
                <w:sz w:val="22"/>
                <w:szCs w:val="22"/>
                <w:color w:val="auto"/>
              </w:rPr>
              <w:t>York Branch</w:t>
            </w:r>
          </w:p>
        </w:tc>
        <w:tc>
          <w:tcPr>
            <w:tcW w:w="2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40" w:type="dxa"/>
            <w:vAlign w:val="bottom"/>
          </w:tcPr>
          <w:p>
            <w:pPr>
              <w:ind w:left="220"/>
              <w:spacing w:after="0"/>
              <w:rPr>
                <w:sz w:val="20"/>
                <w:szCs w:val="20"/>
                <w:color w:val="auto"/>
              </w:rPr>
            </w:pPr>
            <w:r>
              <w:rPr>
                <w:rFonts w:ascii="Arial" w:cs="Arial" w:eastAsia="Arial" w:hAnsi="Arial"/>
                <w:sz w:val="22"/>
                <w:szCs w:val="22"/>
                <w:color w:val="auto"/>
              </w:rPr>
              <w:t>York Branch</w:t>
            </w:r>
          </w:p>
        </w:tc>
        <w:tc>
          <w:tcPr>
            <w:tcW w:w="1580" w:type="dxa"/>
            <w:vAlign w:val="bottom"/>
          </w:tcPr>
          <w:p>
            <w:pPr>
              <w:spacing w:after="0"/>
              <w:rPr>
                <w:sz w:val="23"/>
                <w:szCs w:val="23"/>
                <w:color w:val="auto"/>
              </w:rPr>
            </w:pPr>
          </w:p>
        </w:tc>
      </w:tr>
      <w:tr>
        <w:trPr>
          <w:trHeight w:val="698"/>
        </w:trPr>
        <w:tc>
          <w:tcPr>
            <w:tcW w:w="2660" w:type="dxa"/>
            <w:vAlign w:val="bottom"/>
          </w:tcPr>
          <w:p>
            <w:pPr>
              <w:ind w:left="20"/>
              <w:spacing w:after="0"/>
              <w:rPr>
                <w:sz w:val="20"/>
                <w:szCs w:val="20"/>
                <w:color w:val="auto"/>
              </w:rPr>
            </w:pPr>
            <w:r>
              <w:rPr>
                <w:rFonts w:ascii="Arial" w:cs="Arial" w:eastAsia="Arial" w:hAnsi="Arial"/>
                <w:sz w:val="22"/>
                <w:szCs w:val="22"/>
                <w:color w:val="auto"/>
              </w:rPr>
              <w:t>Barclays Bank PLC</w:t>
            </w:r>
          </w:p>
        </w:tc>
        <w:tc>
          <w:tcPr>
            <w:tcW w:w="2100" w:type="dxa"/>
            <w:vAlign w:val="bottom"/>
          </w:tcPr>
          <w:p>
            <w:pPr>
              <w:jc w:val="center"/>
              <w:ind w:left="112"/>
              <w:spacing w:after="0"/>
              <w:rPr>
                <w:sz w:val="20"/>
                <w:szCs w:val="20"/>
                <w:color w:val="auto"/>
              </w:rPr>
            </w:pPr>
            <w:r>
              <w:rPr>
                <w:rFonts w:ascii="Arial" w:cs="Arial" w:eastAsia="Arial" w:hAnsi="Arial"/>
                <w:sz w:val="22"/>
                <w:szCs w:val="22"/>
                <w:color w:val="auto"/>
                <w:w w:val="88"/>
              </w:rPr>
              <w:t>$50,000,000</w:t>
            </w:r>
          </w:p>
        </w:tc>
        <w:tc>
          <w:tcPr>
            <w:tcW w:w="1860" w:type="dxa"/>
            <w:vAlign w:val="bottom"/>
          </w:tcPr>
          <w:p>
            <w:pPr>
              <w:jc w:val="center"/>
              <w:spacing w:after="0"/>
              <w:rPr>
                <w:sz w:val="20"/>
                <w:szCs w:val="20"/>
                <w:color w:val="auto"/>
              </w:rPr>
            </w:pPr>
            <w:r>
              <w:rPr>
                <w:rFonts w:ascii="Arial" w:cs="Arial" w:eastAsia="Arial" w:hAnsi="Arial"/>
                <w:sz w:val="22"/>
                <w:szCs w:val="22"/>
                <w:color w:val="auto"/>
                <w:w w:val="98"/>
              </w:rPr>
              <w:t>N/A</w:t>
            </w:r>
          </w:p>
        </w:tc>
        <w:tc>
          <w:tcPr>
            <w:tcW w:w="2440" w:type="dxa"/>
            <w:vAlign w:val="bottom"/>
          </w:tcPr>
          <w:p>
            <w:pPr>
              <w:ind w:left="240"/>
              <w:spacing w:after="0"/>
              <w:rPr>
                <w:sz w:val="20"/>
                <w:szCs w:val="20"/>
                <w:color w:val="auto"/>
              </w:rPr>
            </w:pPr>
            <w:r>
              <w:rPr>
                <w:rFonts w:ascii="Arial" w:cs="Arial" w:eastAsia="Arial" w:hAnsi="Arial"/>
                <w:sz w:val="22"/>
                <w:szCs w:val="22"/>
                <w:color w:val="auto"/>
              </w:rPr>
              <w:t>Barclays Bank</w:t>
            </w:r>
          </w:p>
        </w:tc>
        <w:tc>
          <w:tcPr>
            <w:tcW w:w="1580" w:type="dxa"/>
            <w:vAlign w:val="bottom"/>
          </w:tcPr>
          <w:p>
            <w:pPr>
              <w:jc w:val="right"/>
              <w:spacing w:after="0"/>
              <w:rPr>
                <w:sz w:val="20"/>
                <w:szCs w:val="20"/>
                <w:color w:val="auto"/>
              </w:rPr>
            </w:pPr>
            <w:r>
              <w:rPr>
                <w:rFonts w:ascii="Arial" w:cs="Arial" w:eastAsia="Arial" w:hAnsi="Arial"/>
                <w:sz w:val="22"/>
                <w:szCs w:val="22"/>
                <w:color w:val="auto"/>
              </w:rPr>
              <w:t>$50,000,000</w:t>
            </w:r>
          </w:p>
        </w:tc>
      </w:tr>
      <w:tr>
        <w:trPr>
          <w:trHeight w:val="274"/>
        </w:trPr>
        <w:tc>
          <w:tcPr>
            <w:tcW w:w="2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440" w:type="dxa"/>
            <w:vAlign w:val="bottom"/>
          </w:tcPr>
          <w:p>
            <w:pPr>
              <w:ind w:left="240"/>
              <w:spacing w:after="0"/>
              <w:rPr>
                <w:sz w:val="20"/>
                <w:szCs w:val="20"/>
                <w:color w:val="auto"/>
              </w:rPr>
            </w:pPr>
            <w:r>
              <w:rPr>
                <w:rFonts w:ascii="Arial" w:cs="Arial" w:eastAsia="Arial" w:hAnsi="Arial"/>
                <w:sz w:val="22"/>
                <w:szCs w:val="22"/>
                <w:color w:val="auto"/>
              </w:rPr>
              <w:t>PLC</w:t>
            </w:r>
          </w:p>
        </w:tc>
        <w:tc>
          <w:tcPr>
            <w:tcW w:w="15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II TO CLASS A-1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NOTE PURCHASE AGREEMENT</w:t>
      </w:r>
    </w:p>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NOTICE ADDRESSES FOR LENDER PARTIES, AGENTS, CO-ISSUERS AND</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CONDUIT INVESTORS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COMMITTED PURCHASERS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Coöperatieve Rabobank U.A., New York Branch</w:t>
      </w:r>
    </w:p>
    <w:p>
      <w:pPr>
        <w:ind w:left="20"/>
        <w:spacing w:after="0" w:line="207" w:lineRule="auto"/>
        <w:rPr>
          <w:sz w:val="20"/>
          <w:szCs w:val="20"/>
          <w:color w:val="auto"/>
        </w:rPr>
      </w:pPr>
      <w:r>
        <w:rPr>
          <w:rFonts w:ascii="Arial" w:cs="Arial" w:eastAsia="Arial" w:hAnsi="Arial"/>
          <w:sz w:val="22"/>
          <w:szCs w:val="22"/>
          <w:color w:val="auto"/>
        </w:rPr>
        <w:t>245 Park Avenue,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0"/>
        <w:spacing w:after="0" w:line="230" w:lineRule="auto"/>
        <w:rPr>
          <w:sz w:val="20"/>
          <w:szCs w:val="20"/>
          <w:color w:val="auto"/>
        </w:rPr>
      </w:pPr>
      <w:r>
        <w:rPr>
          <w:rFonts w:ascii="Arial" w:cs="Arial" w:eastAsia="Arial" w:hAnsi="Arial"/>
          <w:sz w:val="22"/>
          <w:szCs w:val="22"/>
          <w:color w:val="auto"/>
        </w:rPr>
        <w:t>New York, NY 10167</w:t>
      </w:r>
    </w:p>
    <w:p>
      <w:pPr>
        <w:ind w:left="20"/>
        <w:spacing w:after="0" w:line="231" w:lineRule="auto"/>
        <w:rPr>
          <w:sz w:val="20"/>
          <w:szCs w:val="20"/>
          <w:color w:val="auto"/>
        </w:rPr>
      </w:pPr>
      <w:r>
        <w:rPr>
          <w:rFonts w:ascii="Arial" w:cs="Arial" w:eastAsia="Arial" w:hAnsi="Arial"/>
          <w:sz w:val="22"/>
          <w:szCs w:val="22"/>
          <w:color w:val="auto"/>
        </w:rPr>
        <w:t>Attention: General Counsel</w:t>
      </w:r>
    </w:p>
    <w:p>
      <w:pPr>
        <w:ind w:left="20"/>
        <w:spacing w:after="0" w:line="230" w:lineRule="auto"/>
        <w:rPr>
          <w:sz w:val="20"/>
          <w:szCs w:val="20"/>
          <w:color w:val="auto"/>
        </w:rPr>
      </w:pPr>
      <w:r>
        <w:rPr>
          <w:rFonts w:ascii="Arial" w:cs="Arial" w:eastAsia="Arial" w:hAnsi="Arial"/>
          <w:sz w:val="22"/>
          <w:szCs w:val="22"/>
          <w:color w:val="auto"/>
        </w:rPr>
        <w:t xml:space="preserve">With a copy by e-mail to: </w:t>
      </w:r>
      <w:r>
        <w:rPr>
          <w:rFonts w:ascii="Arial" w:cs="Arial" w:eastAsia="Arial" w:hAnsi="Arial"/>
          <w:sz w:val="22"/>
          <w:szCs w:val="22"/>
          <w:u w:val="single" w:color="auto"/>
          <w:color w:val="auto"/>
        </w:rPr>
        <w:t>tmteam@rabobank.com</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And a copy to:</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Susan Williams</w:t>
      </w:r>
    </w:p>
    <w:p>
      <w:pPr>
        <w:ind w:left="20"/>
        <w:spacing w:after="0" w:line="238" w:lineRule="auto"/>
        <w:rPr>
          <w:sz w:val="20"/>
          <w:szCs w:val="20"/>
          <w:color w:val="auto"/>
        </w:rPr>
      </w:pPr>
      <w:r>
        <w:rPr>
          <w:rFonts w:ascii="Arial" w:cs="Arial" w:eastAsia="Arial" w:hAnsi="Arial"/>
          <w:sz w:val="22"/>
          <w:szCs w:val="22"/>
          <w:color w:val="auto"/>
        </w:rPr>
        <w:t>Assistant Vice President</w:t>
      </w:r>
    </w:p>
    <w:p>
      <w:pPr>
        <w:ind w:left="20"/>
        <w:spacing w:after="0"/>
        <w:rPr>
          <w:sz w:val="20"/>
          <w:szCs w:val="20"/>
          <w:color w:val="auto"/>
        </w:rPr>
      </w:pPr>
      <w:r>
        <w:rPr>
          <w:rFonts w:ascii="Arial" w:cs="Arial" w:eastAsia="Arial" w:hAnsi="Arial"/>
          <w:sz w:val="22"/>
          <w:szCs w:val="22"/>
          <w:color w:val="auto"/>
        </w:rPr>
        <w:t>245 Park Avenue, 38th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386080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40" w:top="652" w:right="479" w:bottom="1440" w:gutter="0" w:footer="0" w:header="0"/>
        </w:sectPr>
      </w:pPr>
    </w:p>
    <w:bookmarkStart w:id="131" w:name="page132"/>
    <w:bookmarkEnd w:id="131"/>
    <w:p>
      <w:pPr>
        <w:ind w:left="240"/>
        <w:spacing w:after="0"/>
        <w:rPr>
          <w:sz w:val="20"/>
          <w:szCs w:val="20"/>
          <w:color w:val="auto"/>
        </w:rPr>
      </w:pPr>
      <w:r>
        <w:rPr>
          <w:rFonts w:ascii="Arial" w:cs="Arial" w:eastAsia="Arial" w:hAnsi="Arial"/>
          <w:sz w:val="22"/>
          <w:szCs w:val="22"/>
          <w:color w:val="auto"/>
        </w:rPr>
        <w:t>New York, NY 10167</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Fax: 914.304.9326</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22"/>
          <w:szCs w:val="22"/>
          <w:u w:val="single" w:color="auto"/>
          <w:color w:val="auto"/>
        </w:rPr>
        <w:t>fm.us.bilateralloansfax@rabobank.com</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Barclays Capital</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745 Seventh Avenue</w:t>
      </w:r>
    </w:p>
    <w:p>
      <w:pPr>
        <w:ind w:left="240"/>
        <w:spacing w:after="0" w:line="233" w:lineRule="auto"/>
        <w:rPr>
          <w:sz w:val="20"/>
          <w:szCs w:val="20"/>
          <w:color w:val="auto"/>
        </w:rPr>
      </w:pPr>
      <w:r>
        <w:rPr>
          <w:rFonts w:ascii="Arial" w:cs="Arial" w:eastAsia="Arial" w:hAnsi="Arial"/>
          <w:sz w:val="22"/>
          <w:szCs w:val="22"/>
          <w:color w:val="auto"/>
        </w:rPr>
        <w:t>New York, New York 10019</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Chin-Yong Choe</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 xml:space="preserve">With a copy by e-mail to: </w:t>
      </w:r>
      <w:r>
        <w:rPr>
          <w:rFonts w:ascii="Arial" w:cs="Arial" w:eastAsia="Arial" w:hAnsi="Arial"/>
          <w:sz w:val="19"/>
          <w:szCs w:val="19"/>
          <w:u w:val="single" w:color="auto"/>
          <w:color w:val="auto"/>
        </w:rPr>
        <w:t>barcapconduitops@barclays.com</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And a copy by e-mail to:</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22"/>
          <w:szCs w:val="22"/>
          <w:u w:val="single" w:color="auto"/>
          <w:color w:val="auto"/>
        </w:rPr>
        <w:t>asgreports@barclays.com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FUNDING AGENTS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Coöperatieve Rabobank U.A., New York Branch</w:t>
      </w:r>
    </w:p>
    <w:p>
      <w:pPr>
        <w:spacing w:after="0" w:line="217" w:lineRule="auto"/>
        <w:rPr>
          <w:sz w:val="20"/>
          <w:szCs w:val="20"/>
          <w:color w:val="auto"/>
        </w:rPr>
      </w:pPr>
      <w:r>
        <w:rPr>
          <w:rFonts w:ascii="Arial" w:cs="Arial" w:eastAsia="Arial" w:hAnsi="Arial"/>
          <w:sz w:val="22"/>
          <w:szCs w:val="22"/>
          <w:color w:val="auto"/>
        </w:rPr>
        <w:t>245 Park Avenue,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New York, NY 10167</w:t>
      </w:r>
    </w:p>
    <w:p>
      <w:pPr>
        <w:spacing w:after="0" w:line="231"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With a copy by e-mail to: tmteam@rabobank.com</w:t>
      </w:r>
    </w:p>
    <w:p>
      <w:pPr>
        <w:spacing w:after="0"/>
        <w:rPr>
          <w:sz w:val="20"/>
          <w:szCs w:val="20"/>
          <w:color w:val="auto"/>
        </w:rPr>
      </w:pPr>
      <w:r>
        <w:rPr>
          <w:rFonts w:ascii="Arial" w:cs="Arial" w:eastAsia="Arial" w:hAnsi="Arial"/>
          <w:sz w:val="22"/>
          <w:szCs w:val="22"/>
          <w:color w:val="auto"/>
        </w:rPr>
        <w:t>And a copy to: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Susan Williams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Assistant Vice President</w:t>
      </w:r>
    </w:p>
    <w:p>
      <w:pPr>
        <w:spacing w:after="0"/>
        <w:rPr>
          <w:sz w:val="20"/>
          <w:szCs w:val="20"/>
          <w:color w:val="auto"/>
        </w:rPr>
      </w:pPr>
      <w:r>
        <w:rPr>
          <w:rFonts w:ascii="Arial" w:cs="Arial" w:eastAsia="Arial" w:hAnsi="Arial"/>
          <w:sz w:val="22"/>
          <w:szCs w:val="22"/>
          <w:color w:val="auto"/>
        </w:rPr>
        <w:t>245 Park Avenue, 38th Floor</w:t>
      </w:r>
    </w:p>
    <w:p>
      <w:pPr>
        <w:spacing w:after="0" w:line="233" w:lineRule="auto"/>
        <w:rPr>
          <w:sz w:val="20"/>
          <w:szCs w:val="20"/>
          <w:color w:val="auto"/>
        </w:rPr>
      </w:pPr>
      <w:r>
        <w:rPr>
          <w:rFonts w:ascii="Arial" w:cs="Arial" w:eastAsia="Arial" w:hAnsi="Arial"/>
          <w:sz w:val="22"/>
          <w:szCs w:val="22"/>
          <w:color w:val="auto"/>
        </w:rPr>
        <w:t>New York, NY 10167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914.304.9326</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fm.us.bilateralloansfax@rabobank.com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ADMINISTRATIVE AGENT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Coöperatieve Rabobank U.A., New York Branch</w:t>
      </w:r>
    </w:p>
    <w:p>
      <w:pPr>
        <w:spacing w:after="0" w:line="217" w:lineRule="auto"/>
        <w:rPr>
          <w:sz w:val="20"/>
          <w:szCs w:val="20"/>
          <w:color w:val="auto"/>
        </w:rPr>
      </w:pPr>
      <w:r>
        <w:rPr>
          <w:rFonts w:ascii="Arial" w:cs="Arial" w:eastAsia="Arial" w:hAnsi="Arial"/>
          <w:sz w:val="22"/>
          <w:szCs w:val="22"/>
          <w:color w:val="auto"/>
        </w:rPr>
        <w:t>245 Park Avenue,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New York, NY 10167</w:t>
      </w:r>
    </w:p>
    <w:p>
      <w:pPr>
        <w:spacing w:after="0" w:line="233"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 xml:space="preserve">With a copy by e-mail to: </w:t>
      </w:r>
      <w:r>
        <w:rPr>
          <w:rFonts w:ascii="Arial" w:cs="Arial" w:eastAsia="Arial" w:hAnsi="Arial"/>
          <w:sz w:val="22"/>
          <w:szCs w:val="22"/>
          <w:u w:val="single" w:color="auto"/>
          <w:color w:val="auto"/>
        </w:rPr>
        <w:t>tmteam@rabobank.com</w:t>
      </w:r>
    </w:p>
    <w:p>
      <w:pPr>
        <w:spacing w:after="0"/>
        <w:rPr>
          <w:sz w:val="20"/>
          <w:szCs w:val="20"/>
          <w:color w:val="auto"/>
        </w:rPr>
      </w:pPr>
      <w:r>
        <w:rPr>
          <w:rFonts w:ascii="Arial" w:cs="Arial" w:eastAsia="Arial" w:hAnsi="Arial"/>
          <w:sz w:val="22"/>
          <w:szCs w:val="22"/>
          <w:color w:val="auto"/>
        </w:rPr>
        <w:t>And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Susan Williams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Assistant Vice President</w:t>
      </w:r>
    </w:p>
    <w:p>
      <w:pPr>
        <w:spacing w:after="0"/>
        <w:rPr>
          <w:sz w:val="20"/>
          <w:szCs w:val="20"/>
          <w:color w:val="auto"/>
        </w:rPr>
      </w:pPr>
      <w:r>
        <w:rPr>
          <w:rFonts w:ascii="Arial" w:cs="Arial" w:eastAsia="Arial" w:hAnsi="Arial"/>
          <w:sz w:val="22"/>
          <w:szCs w:val="22"/>
          <w:color w:val="auto"/>
        </w:rPr>
        <w:t>245 Park Avenue, 38th Floor</w:t>
      </w:r>
    </w:p>
    <w:p>
      <w:pPr>
        <w:spacing w:after="0" w:line="233" w:lineRule="auto"/>
        <w:rPr>
          <w:sz w:val="20"/>
          <w:szCs w:val="20"/>
          <w:color w:val="auto"/>
        </w:rPr>
      </w:pPr>
      <w:r>
        <w:rPr>
          <w:rFonts w:ascii="Arial" w:cs="Arial" w:eastAsia="Arial" w:hAnsi="Arial"/>
          <w:sz w:val="22"/>
          <w:szCs w:val="22"/>
          <w:color w:val="auto"/>
        </w:rPr>
        <w:t>New York, NY 10167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914.304.9326</w:t>
      </w:r>
    </w:p>
    <w:p>
      <w:pPr>
        <w:spacing w:after="0" w:line="233" w:lineRule="auto"/>
        <w:rPr>
          <w:sz w:val="20"/>
          <w:szCs w:val="20"/>
          <w:color w:val="auto"/>
        </w:rPr>
      </w:pPr>
      <w:r>
        <w:rPr>
          <w:rFonts w:ascii="Arial" w:cs="Arial" w:eastAsia="Arial" w:hAnsi="Arial"/>
          <w:sz w:val="22"/>
          <w:szCs w:val="22"/>
          <w:u w:val="single" w:color="auto"/>
          <w:color w:val="auto"/>
        </w:rPr>
        <w:t>fm.us.bilateralloansfax@rabobank.com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SWINGLINE LENDER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Coöperatieve Rabobank U.A., New York Branch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245 Park Avenue,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New York, NY 10167</w:t>
      </w:r>
    </w:p>
    <w:p>
      <w:pPr>
        <w:spacing w:after="0" w:line="231" w:lineRule="auto"/>
        <w:rPr>
          <w:sz w:val="20"/>
          <w:szCs w:val="20"/>
          <w:color w:val="auto"/>
        </w:rPr>
      </w:pPr>
      <w:r>
        <w:rPr>
          <w:rFonts w:ascii="Arial" w:cs="Arial" w:eastAsia="Arial" w:hAnsi="Arial"/>
          <w:sz w:val="22"/>
          <w:szCs w:val="22"/>
          <w:color w:val="auto"/>
        </w:rPr>
        <w:t>Attention: General Counsel</w:t>
      </w:r>
    </w:p>
    <w:p>
      <w:pPr>
        <w:spacing w:after="0"/>
        <w:rPr>
          <w:sz w:val="20"/>
          <w:szCs w:val="20"/>
          <w:color w:val="auto"/>
        </w:rPr>
      </w:pPr>
      <w:r>
        <w:rPr>
          <w:rFonts w:ascii="Arial" w:cs="Arial" w:eastAsia="Arial" w:hAnsi="Arial"/>
          <w:sz w:val="19"/>
          <w:szCs w:val="19"/>
          <w:color w:val="auto"/>
        </w:rPr>
        <w:t xml:space="preserve">With a copy by e-mail to: </w:t>
      </w:r>
      <w:r>
        <w:rPr>
          <w:rFonts w:ascii="Arial" w:cs="Arial" w:eastAsia="Arial" w:hAnsi="Arial"/>
          <w:sz w:val="19"/>
          <w:szCs w:val="19"/>
          <w:u w:val="single" w:color="auto"/>
          <w:color w:val="auto"/>
        </w:rPr>
        <w:t>tmteam@rabobank.com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a copy to: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Susan Williams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Assistant Vice President</w:t>
      </w:r>
    </w:p>
    <w:p>
      <w:pPr>
        <w:spacing w:after="0"/>
        <w:rPr>
          <w:sz w:val="20"/>
          <w:szCs w:val="20"/>
          <w:color w:val="auto"/>
        </w:rPr>
      </w:pPr>
      <w:r>
        <w:rPr>
          <w:rFonts w:ascii="Arial" w:cs="Arial" w:eastAsia="Arial" w:hAnsi="Arial"/>
          <w:sz w:val="22"/>
          <w:szCs w:val="22"/>
          <w:color w:val="auto"/>
        </w:rPr>
        <w:t>245 Park Avenue, 38th Floor</w:t>
      </w:r>
    </w:p>
    <w:p>
      <w:pPr>
        <w:spacing w:after="0" w:line="233" w:lineRule="auto"/>
        <w:rPr>
          <w:sz w:val="20"/>
          <w:szCs w:val="20"/>
          <w:color w:val="auto"/>
        </w:rPr>
      </w:pPr>
      <w:r>
        <w:rPr>
          <w:rFonts w:ascii="Arial" w:cs="Arial" w:eastAsia="Arial" w:hAnsi="Arial"/>
          <w:sz w:val="22"/>
          <w:szCs w:val="22"/>
          <w:color w:val="auto"/>
        </w:rPr>
        <w:t>New York, NY 10167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914.304.9326</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fm.us.bilateralloansfax@rabobank.com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L/C PROVIDER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Coöperatieve Rabobank U.A., New York Branch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245 Park Avenue, 37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New York, NY 10167</w:t>
      </w:r>
    </w:p>
    <w:p>
      <w:pPr>
        <w:spacing w:after="0" w:line="231" w:lineRule="auto"/>
        <w:rPr>
          <w:sz w:val="20"/>
          <w:szCs w:val="20"/>
          <w:color w:val="auto"/>
        </w:rPr>
      </w:pPr>
      <w:r>
        <w:rPr>
          <w:rFonts w:ascii="Arial" w:cs="Arial" w:eastAsia="Arial" w:hAnsi="Arial"/>
          <w:sz w:val="22"/>
          <w:szCs w:val="22"/>
          <w:color w:val="auto"/>
        </w:rPr>
        <w:t>Attention: General Counsel</w:t>
      </w:r>
    </w:p>
    <w:p>
      <w:pPr>
        <w:spacing w:after="0"/>
        <w:rPr>
          <w:sz w:val="20"/>
          <w:szCs w:val="20"/>
          <w:color w:val="auto"/>
        </w:rPr>
      </w:pPr>
      <w:r>
        <w:rPr>
          <w:rFonts w:ascii="Arial" w:cs="Arial" w:eastAsia="Arial" w:hAnsi="Arial"/>
          <w:sz w:val="19"/>
          <w:szCs w:val="19"/>
          <w:color w:val="auto"/>
        </w:rPr>
        <w:t xml:space="preserve">With a copy by e-mail to: </w:t>
      </w:r>
      <w:r>
        <w:rPr>
          <w:rFonts w:ascii="Arial" w:cs="Arial" w:eastAsia="Arial" w:hAnsi="Arial"/>
          <w:sz w:val="19"/>
          <w:szCs w:val="19"/>
          <w:u w:val="single" w:color="auto"/>
          <w:color w:val="auto"/>
        </w:rPr>
        <w:t>tmteam@rabobank.com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a copy to:</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Bibi Mohamed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rPr>
          <w:sz w:val="20"/>
          <w:szCs w:val="20"/>
          <w:color w:val="auto"/>
        </w:rPr>
      </w:pPr>
      <w:r>
        <w:rPr>
          <w:rFonts w:ascii="Arial" w:cs="Arial" w:eastAsia="Arial" w:hAnsi="Arial"/>
          <w:sz w:val="22"/>
          <w:szCs w:val="22"/>
          <w:color w:val="auto"/>
        </w:rPr>
        <w:t>245 Park Avenue, 38th Floor</w:t>
      </w:r>
    </w:p>
    <w:p>
      <w:pPr>
        <w:spacing w:after="0" w:line="233" w:lineRule="auto"/>
        <w:rPr>
          <w:sz w:val="20"/>
          <w:szCs w:val="20"/>
          <w:color w:val="auto"/>
        </w:rPr>
      </w:pPr>
      <w:r>
        <w:rPr>
          <w:rFonts w:ascii="Arial" w:cs="Arial" w:eastAsia="Arial" w:hAnsi="Arial"/>
          <w:sz w:val="22"/>
          <w:szCs w:val="22"/>
          <w:color w:val="auto"/>
        </w:rPr>
        <w:t>New York, NY 10167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Phone: 212.574.7315</w:t>
      </w:r>
    </w:p>
    <w:p>
      <w:pPr>
        <w:spacing w:after="0" w:line="233" w:lineRule="auto"/>
        <w:rPr>
          <w:sz w:val="20"/>
          <w:szCs w:val="20"/>
          <w:color w:val="auto"/>
        </w:rPr>
      </w:pPr>
      <w:r>
        <w:rPr>
          <w:rFonts w:ascii="Arial" w:cs="Arial" w:eastAsia="Arial" w:hAnsi="Arial"/>
          <w:sz w:val="22"/>
          <w:szCs w:val="22"/>
          <w:color w:val="auto"/>
        </w:rPr>
        <w:t>Fax: 201.499.5479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rabonysblc@rabobank.com</w:t>
      </w:r>
    </w:p>
    <w:p>
      <w:pPr>
        <w:spacing w:after="0" w:line="3"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CO-ISSUERS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Domino’s Pizza Master Issuer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24 Frank Lloyd Wright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5" w:right="1440"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P.O. Box 485</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Ann Arbor, MI 48105</w:t>
      </w:r>
    </w:p>
    <w:p>
      <w:pPr>
        <w:spacing w:after="0" w:line="230" w:lineRule="auto"/>
        <w:rPr>
          <w:sz w:val="20"/>
          <w:szCs w:val="20"/>
          <w:color w:val="auto"/>
        </w:rPr>
      </w:pPr>
      <w:r>
        <w:rPr>
          <w:rFonts w:ascii="Arial" w:cs="Arial" w:eastAsia="Arial" w:hAnsi="Arial"/>
          <w:sz w:val="22"/>
          <w:szCs w:val="22"/>
          <w:color w:val="auto"/>
        </w:rPr>
        <w:t>Attention: Secretary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866.282.3872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And a copy to (which shall not constitute notice):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Ropes &amp; Gray LLP</w:t>
      </w:r>
    </w:p>
    <w:p>
      <w:pPr>
        <w:spacing w:after="0" w:line="238" w:lineRule="auto"/>
        <w:rPr>
          <w:sz w:val="20"/>
          <w:szCs w:val="20"/>
          <w:color w:val="auto"/>
        </w:rPr>
      </w:pPr>
      <w:r>
        <w:rPr>
          <w:rFonts w:ascii="Arial" w:cs="Arial" w:eastAsia="Arial" w:hAnsi="Arial"/>
          <w:sz w:val="22"/>
          <w:szCs w:val="22"/>
          <w:color w:val="auto"/>
        </w:rPr>
        <w:t>Prudential Tower</w:t>
      </w:r>
    </w:p>
    <w:p>
      <w:pPr>
        <w:spacing w:after="0" w:line="230" w:lineRule="auto"/>
        <w:rPr>
          <w:sz w:val="20"/>
          <w:szCs w:val="20"/>
          <w:color w:val="auto"/>
        </w:rPr>
      </w:pPr>
      <w:r>
        <w:rPr>
          <w:rFonts w:ascii="Arial" w:cs="Arial" w:eastAsia="Arial" w:hAnsi="Arial"/>
          <w:sz w:val="22"/>
          <w:szCs w:val="22"/>
          <w:color w:val="auto"/>
        </w:rPr>
        <w:t>800 Boylston Street</w:t>
      </w:r>
    </w:p>
    <w:p>
      <w:pPr>
        <w:spacing w:after="0" w:line="231" w:lineRule="auto"/>
        <w:rPr>
          <w:sz w:val="20"/>
          <w:szCs w:val="20"/>
          <w:color w:val="auto"/>
        </w:rPr>
      </w:pPr>
      <w:r>
        <w:rPr>
          <w:rFonts w:ascii="Arial" w:cs="Arial" w:eastAsia="Arial" w:hAnsi="Arial"/>
          <w:sz w:val="22"/>
          <w:szCs w:val="22"/>
          <w:color w:val="auto"/>
        </w:rPr>
        <w:t>Boston, MA 02199</w:t>
      </w:r>
    </w:p>
    <w:p>
      <w:pPr>
        <w:spacing w:after="0"/>
        <w:rPr>
          <w:sz w:val="20"/>
          <w:szCs w:val="20"/>
          <w:color w:val="auto"/>
        </w:rPr>
      </w:pPr>
      <w:r>
        <w:rPr>
          <w:rFonts w:ascii="Arial" w:cs="Arial" w:eastAsia="Arial" w:hAnsi="Arial"/>
          <w:sz w:val="22"/>
          <w:szCs w:val="22"/>
          <w:color w:val="auto"/>
        </w:rPr>
        <w:t>Attention: Patricia Lynch</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Facsimile: 617-235-9384</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Domino’s SPV Canadian Holding Company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24 Frank Lloyd Wright Drive</w:t>
      </w:r>
    </w:p>
    <w:p>
      <w:pPr>
        <w:spacing w:after="0" w:line="233" w:lineRule="auto"/>
        <w:rPr>
          <w:sz w:val="20"/>
          <w:szCs w:val="20"/>
          <w:color w:val="auto"/>
        </w:rPr>
      </w:pPr>
      <w:r>
        <w:rPr>
          <w:rFonts w:ascii="Arial" w:cs="Arial" w:eastAsia="Arial" w:hAnsi="Arial"/>
          <w:sz w:val="22"/>
          <w:szCs w:val="22"/>
          <w:color w:val="auto"/>
        </w:rPr>
        <w:t>P.O. Box 485</w:t>
      </w:r>
    </w:p>
    <w:p>
      <w:pPr>
        <w:spacing w:after="0" w:line="231" w:lineRule="auto"/>
        <w:rPr>
          <w:sz w:val="20"/>
          <w:szCs w:val="20"/>
          <w:color w:val="auto"/>
        </w:rPr>
      </w:pPr>
      <w:r>
        <w:rPr>
          <w:rFonts w:ascii="Arial" w:cs="Arial" w:eastAsia="Arial" w:hAnsi="Arial"/>
          <w:sz w:val="22"/>
          <w:szCs w:val="22"/>
          <w:color w:val="auto"/>
        </w:rPr>
        <w:t>Ann Arbor, MI 48105</w:t>
      </w:r>
    </w:p>
    <w:p>
      <w:pPr>
        <w:spacing w:after="0" w:line="231" w:lineRule="auto"/>
        <w:rPr>
          <w:sz w:val="20"/>
          <w:szCs w:val="20"/>
          <w:color w:val="auto"/>
        </w:rPr>
      </w:pPr>
      <w:r>
        <w:rPr>
          <w:rFonts w:ascii="Arial" w:cs="Arial" w:eastAsia="Arial" w:hAnsi="Arial"/>
          <w:sz w:val="22"/>
          <w:szCs w:val="22"/>
          <w:color w:val="auto"/>
        </w:rPr>
        <w:t>Attention: Secretary</w:t>
      </w:r>
    </w:p>
    <w:p>
      <w:pPr>
        <w:spacing w:after="0"/>
        <w:rPr>
          <w:sz w:val="20"/>
          <w:szCs w:val="20"/>
          <w:color w:val="auto"/>
        </w:rPr>
      </w:pPr>
      <w:r>
        <w:rPr>
          <w:rFonts w:ascii="Arial" w:cs="Arial" w:eastAsia="Arial" w:hAnsi="Arial"/>
          <w:sz w:val="22"/>
          <w:szCs w:val="22"/>
          <w:color w:val="auto"/>
        </w:rPr>
        <w:t>Fax: 866.282.3872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And a copy to (which shall not constitute notice):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Ropes &amp; Gray LLP</w:t>
      </w:r>
    </w:p>
    <w:p>
      <w:pPr>
        <w:spacing w:after="0" w:line="238" w:lineRule="auto"/>
        <w:rPr>
          <w:sz w:val="20"/>
          <w:szCs w:val="20"/>
          <w:color w:val="auto"/>
        </w:rPr>
      </w:pPr>
      <w:r>
        <w:rPr>
          <w:rFonts w:ascii="Arial" w:cs="Arial" w:eastAsia="Arial" w:hAnsi="Arial"/>
          <w:sz w:val="22"/>
          <w:szCs w:val="22"/>
          <w:color w:val="auto"/>
        </w:rPr>
        <w:t>Prudential Tower</w:t>
      </w:r>
    </w:p>
    <w:p>
      <w:pPr>
        <w:spacing w:after="0" w:line="230" w:lineRule="auto"/>
        <w:rPr>
          <w:sz w:val="20"/>
          <w:szCs w:val="20"/>
          <w:color w:val="auto"/>
        </w:rPr>
      </w:pPr>
      <w:r>
        <w:rPr>
          <w:rFonts w:ascii="Arial" w:cs="Arial" w:eastAsia="Arial" w:hAnsi="Arial"/>
          <w:sz w:val="22"/>
          <w:szCs w:val="22"/>
          <w:color w:val="auto"/>
        </w:rPr>
        <w:t>800 Boylston Street</w:t>
      </w:r>
    </w:p>
    <w:p>
      <w:pPr>
        <w:spacing w:after="0" w:line="231" w:lineRule="auto"/>
        <w:rPr>
          <w:sz w:val="20"/>
          <w:szCs w:val="20"/>
          <w:color w:val="auto"/>
        </w:rPr>
      </w:pPr>
      <w:r>
        <w:rPr>
          <w:rFonts w:ascii="Arial" w:cs="Arial" w:eastAsia="Arial" w:hAnsi="Arial"/>
          <w:sz w:val="22"/>
          <w:szCs w:val="22"/>
          <w:color w:val="auto"/>
        </w:rPr>
        <w:t>Boston, MA 02199</w:t>
      </w:r>
    </w:p>
    <w:p>
      <w:pPr>
        <w:spacing w:after="0" w:line="230" w:lineRule="auto"/>
        <w:rPr>
          <w:sz w:val="20"/>
          <w:szCs w:val="20"/>
          <w:color w:val="auto"/>
        </w:rPr>
      </w:pPr>
      <w:r>
        <w:rPr>
          <w:rFonts w:ascii="Arial" w:cs="Arial" w:eastAsia="Arial" w:hAnsi="Arial"/>
          <w:sz w:val="22"/>
          <w:szCs w:val="22"/>
          <w:color w:val="auto"/>
        </w:rPr>
        <w:t>Attention: Patricia Lynch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617-235-9384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Domino’s Pizza Distribution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24 Frank Lloyd Wright Drive</w:t>
      </w:r>
    </w:p>
    <w:p>
      <w:pPr>
        <w:spacing w:after="0"/>
        <w:rPr>
          <w:sz w:val="20"/>
          <w:szCs w:val="20"/>
          <w:color w:val="auto"/>
        </w:rPr>
      </w:pPr>
      <w:r>
        <w:rPr>
          <w:rFonts w:ascii="Arial" w:cs="Arial" w:eastAsia="Arial" w:hAnsi="Arial"/>
          <w:sz w:val="22"/>
          <w:szCs w:val="22"/>
          <w:color w:val="auto"/>
        </w:rPr>
        <w:t>P.O. Box 485</w:t>
      </w:r>
    </w:p>
    <w:p>
      <w:pPr>
        <w:spacing w:after="0" w:line="233" w:lineRule="auto"/>
        <w:rPr>
          <w:sz w:val="20"/>
          <w:szCs w:val="20"/>
          <w:color w:val="auto"/>
        </w:rPr>
      </w:pPr>
      <w:r>
        <w:rPr>
          <w:rFonts w:ascii="Arial" w:cs="Arial" w:eastAsia="Arial" w:hAnsi="Arial"/>
          <w:sz w:val="22"/>
          <w:szCs w:val="22"/>
          <w:color w:val="auto"/>
        </w:rPr>
        <w:t>Ann Arbor, MI 48105</w:t>
      </w:r>
    </w:p>
    <w:p>
      <w:pPr>
        <w:spacing w:after="0" w:line="231" w:lineRule="auto"/>
        <w:rPr>
          <w:sz w:val="20"/>
          <w:szCs w:val="20"/>
          <w:color w:val="auto"/>
        </w:rPr>
      </w:pPr>
      <w:r>
        <w:rPr>
          <w:rFonts w:ascii="Arial" w:cs="Arial" w:eastAsia="Arial" w:hAnsi="Arial"/>
          <w:sz w:val="22"/>
          <w:szCs w:val="22"/>
          <w:color w:val="auto"/>
        </w:rPr>
        <w:t>Attention: Secretary</w:t>
      </w:r>
    </w:p>
    <w:p>
      <w:pPr>
        <w:spacing w:after="0"/>
        <w:rPr>
          <w:sz w:val="20"/>
          <w:szCs w:val="20"/>
          <w:color w:val="auto"/>
        </w:rPr>
      </w:pPr>
      <w:r>
        <w:rPr>
          <w:rFonts w:ascii="Arial" w:cs="Arial" w:eastAsia="Arial" w:hAnsi="Arial"/>
          <w:sz w:val="22"/>
          <w:szCs w:val="22"/>
          <w:color w:val="auto"/>
        </w:rPr>
        <w:t>Fax: 866.282.3872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And a copy to (which shall not constitute notice):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Ropes &amp; Gray LLP</w:t>
      </w:r>
    </w:p>
    <w:p>
      <w:pPr>
        <w:spacing w:after="0" w:line="238" w:lineRule="auto"/>
        <w:rPr>
          <w:sz w:val="20"/>
          <w:szCs w:val="20"/>
          <w:color w:val="auto"/>
        </w:rPr>
      </w:pPr>
      <w:r>
        <w:rPr>
          <w:rFonts w:ascii="Arial" w:cs="Arial" w:eastAsia="Arial" w:hAnsi="Arial"/>
          <w:sz w:val="22"/>
          <w:szCs w:val="22"/>
          <w:color w:val="auto"/>
        </w:rPr>
        <w:t>Prudential Tower</w:t>
      </w:r>
    </w:p>
    <w:p>
      <w:pPr>
        <w:spacing w:after="0" w:line="230" w:lineRule="auto"/>
        <w:rPr>
          <w:sz w:val="20"/>
          <w:szCs w:val="20"/>
          <w:color w:val="auto"/>
        </w:rPr>
      </w:pPr>
      <w:r>
        <w:rPr>
          <w:rFonts w:ascii="Arial" w:cs="Arial" w:eastAsia="Arial" w:hAnsi="Arial"/>
          <w:sz w:val="22"/>
          <w:szCs w:val="22"/>
          <w:color w:val="auto"/>
        </w:rPr>
        <w:t>800 Boylston Street</w:t>
      </w:r>
    </w:p>
    <w:p>
      <w:pPr>
        <w:spacing w:after="0" w:line="231" w:lineRule="auto"/>
        <w:rPr>
          <w:sz w:val="20"/>
          <w:szCs w:val="20"/>
          <w:color w:val="auto"/>
        </w:rPr>
      </w:pPr>
      <w:r>
        <w:rPr>
          <w:rFonts w:ascii="Arial" w:cs="Arial" w:eastAsia="Arial" w:hAnsi="Arial"/>
          <w:sz w:val="22"/>
          <w:szCs w:val="22"/>
          <w:color w:val="auto"/>
        </w:rPr>
        <w:t>Boston, MA 02199</w:t>
      </w:r>
    </w:p>
    <w:p>
      <w:pPr>
        <w:spacing w:after="0"/>
        <w:rPr>
          <w:sz w:val="20"/>
          <w:szCs w:val="20"/>
          <w:color w:val="auto"/>
        </w:rPr>
      </w:pPr>
      <w:r>
        <w:rPr>
          <w:rFonts w:ascii="Arial" w:cs="Arial" w:eastAsia="Arial" w:hAnsi="Arial"/>
          <w:sz w:val="22"/>
          <w:szCs w:val="22"/>
          <w:color w:val="auto"/>
        </w:rPr>
        <w:t>Attention: Patricia Lynch</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Facsimile: 617-235-9384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Domino’s IP Holder LLC</w:t>
      </w:r>
    </w:p>
    <w:p>
      <w:pPr>
        <w:spacing w:after="0" w:line="238" w:lineRule="auto"/>
        <w:rPr>
          <w:sz w:val="20"/>
          <w:szCs w:val="20"/>
          <w:color w:val="auto"/>
        </w:rPr>
      </w:pPr>
      <w:r>
        <w:rPr>
          <w:rFonts w:ascii="Arial" w:cs="Arial" w:eastAsia="Arial" w:hAnsi="Arial"/>
          <w:sz w:val="22"/>
          <w:szCs w:val="22"/>
          <w:color w:val="auto"/>
        </w:rPr>
        <w:t>24 Frank Lloyd Wright Drive</w:t>
      </w:r>
    </w:p>
    <w:p>
      <w:pPr>
        <w:spacing w:after="0" w:line="230" w:lineRule="auto"/>
        <w:rPr>
          <w:sz w:val="20"/>
          <w:szCs w:val="20"/>
          <w:color w:val="auto"/>
        </w:rPr>
      </w:pPr>
      <w:r>
        <w:rPr>
          <w:rFonts w:ascii="Arial" w:cs="Arial" w:eastAsia="Arial" w:hAnsi="Arial"/>
          <w:sz w:val="22"/>
          <w:szCs w:val="22"/>
          <w:color w:val="auto"/>
        </w:rPr>
        <w:t>P.O. Box 485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Ann Arbor, MI 48105</w:t>
      </w:r>
    </w:p>
    <w:p>
      <w:pPr>
        <w:spacing w:after="0" w:line="233" w:lineRule="auto"/>
        <w:rPr>
          <w:sz w:val="20"/>
          <w:szCs w:val="20"/>
          <w:color w:val="auto"/>
        </w:rPr>
      </w:pPr>
      <w:r>
        <w:rPr>
          <w:rFonts w:ascii="Arial" w:cs="Arial" w:eastAsia="Arial" w:hAnsi="Arial"/>
          <w:sz w:val="22"/>
          <w:szCs w:val="22"/>
          <w:color w:val="auto"/>
        </w:rPr>
        <w:t>Attention: Secretary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866.282.3872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 a copy to (which shall not constitute notice):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Ropes &amp; Gray LLP</w:t>
      </w:r>
    </w:p>
    <w:p>
      <w:pPr>
        <w:spacing w:after="0" w:line="238" w:lineRule="auto"/>
        <w:rPr>
          <w:sz w:val="20"/>
          <w:szCs w:val="20"/>
          <w:color w:val="auto"/>
        </w:rPr>
      </w:pPr>
      <w:r>
        <w:rPr>
          <w:rFonts w:ascii="Arial" w:cs="Arial" w:eastAsia="Arial" w:hAnsi="Arial"/>
          <w:sz w:val="22"/>
          <w:szCs w:val="22"/>
          <w:color w:val="auto"/>
        </w:rPr>
        <w:t>Prudential Tower</w:t>
      </w:r>
    </w:p>
    <w:p>
      <w:pPr>
        <w:spacing w:after="0" w:line="230" w:lineRule="auto"/>
        <w:rPr>
          <w:sz w:val="20"/>
          <w:szCs w:val="20"/>
          <w:color w:val="auto"/>
        </w:rPr>
      </w:pPr>
      <w:r>
        <w:rPr>
          <w:rFonts w:ascii="Arial" w:cs="Arial" w:eastAsia="Arial" w:hAnsi="Arial"/>
          <w:sz w:val="22"/>
          <w:szCs w:val="22"/>
          <w:color w:val="auto"/>
        </w:rPr>
        <w:t>800 Boylston Street</w:t>
      </w:r>
    </w:p>
    <w:p>
      <w:pPr>
        <w:spacing w:after="0" w:line="231" w:lineRule="auto"/>
        <w:rPr>
          <w:sz w:val="20"/>
          <w:szCs w:val="20"/>
          <w:color w:val="auto"/>
        </w:rPr>
      </w:pPr>
      <w:r>
        <w:rPr>
          <w:rFonts w:ascii="Arial" w:cs="Arial" w:eastAsia="Arial" w:hAnsi="Arial"/>
          <w:sz w:val="22"/>
          <w:szCs w:val="22"/>
          <w:color w:val="auto"/>
        </w:rPr>
        <w:t>Boston, MA 02199</w:t>
      </w:r>
    </w:p>
    <w:p>
      <w:pPr>
        <w:spacing w:after="0" w:line="230" w:lineRule="auto"/>
        <w:rPr>
          <w:sz w:val="20"/>
          <w:szCs w:val="20"/>
          <w:color w:val="auto"/>
        </w:rPr>
      </w:pPr>
      <w:r>
        <w:rPr>
          <w:rFonts w:ascii="Arial" w:cs="Arial" w:eastAsia="Arial" w:hAnsi="Arial"/>
          <w:sz w:val="22"/>
          <w:szCs w:val="22"/>
          <w:color w:val="auto"/>
        </w:rPr>
        <w:t>Attention: Patricia Lynch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617-235-9384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DOMINO’S PIZZA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24 Frank Lloyd Wright Drive</w:t>
      </w:r>
    </w:p>
    <w:p>
      <w:pPr>
        <w:spacing w:after="0" w:line="230" w:lineRule="auto"/>
        <w:rPr>
          <w:sz w:val="20"/>
          <w:szCs w:val="20"/>
          <w:color w:val="auto"/>
        </w:rPr>
      </w:pPr>
      <w:r>
        <w:rPr>
          <w:rFonts w:ascii="Arial" w:cs="Arial" w:eastAsia="Arial" w:hAnsi="Arial"/>
          <w:sz w:val="22"/>
          <w:szCs w:val="22"/>
          <w:color w:val="auto"/>
        </w:rPr>
        <w:t>P.O. Box 485</w:t>
      </w:r>
    </w:p>
    <w:p>
      <w:pPr>
        <w:spacing w:after="0" w:line="231" w:lineRule="auto"/>
        <w:rPr>
          <w:sz w:val="20"/>
          <w:szCs w:val="20"/>
          <w:color w:val="auto"/>
        </w:rPr>
      </w:pPr>
      <w:r>
        <w:rPr>
          <w:rFonts w:ascii="Arial" w:cs="Arial" w:eastAsia="Arial" w:hAnsi="Arial"/>
          <w:sz w:val="22"/>
          <w:szCs w:val="22"/>
          <w:color w:val="auto"/>
        </w:rPr>
        <w:t>Ann Arbor, MI 48105</w:t>
      </w:r>
    </w:p>
    <w:p>
      <w:pPr>
        <w:spacing w:after="0" w:line="230" w:lineRule="auto"/>
        <w:rPr>
          <w:sz w:val="20"/>
          <w:szCs w:val="20"/>
          <w:color w:val="auto"/>
        </w:rPr>
      </w:pPr>
      <w:r>
        <w:rPr>
          <w:rFonts w:ascii="Arial" w:cs="Arial" w:eastAsia="Arial" w:hAnsi="Arial"/>
          <w:sz w:val="22"/>
          <w:szCs w:val="22"/>
          <w:color w:val="auto"/>
        </w:rPr>
        <w:t>Attention: Secretary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866.282.3872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 a copy to (which shall not constitute notice):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Ropes &amp; Gray LLP</w:t>
      </w:r>
    </w:p>
    <w:p>
      <w:pPr>
        <w:spacing w:after="0" w:line="238" w:lineRule="auto"/>
        <w:rPr>
          <w:sz w:val="20"/>
          <w:szCs w:val="20"/>
          <w:color w:val="auto"/>
        </w:rPr>
      </w:pPr>
      <w:r>
        <w:rPr>
          <w:rFonts w:ascii="Arial" w:cs="Arial" w:eastAsia="Arial" w:hAnsi="Arial"/>
          <w:sz w:val="22"/>
          <w:szCs w:val="22"/>
          <w:color w:val="auto"/>
        </w:rPr>
        <w:t>Prudential Tower</w:t>
      </w:r>
    </w:p>
    <w:p>
      <w:pPr>
        <w:spacing w:after="0" w:line="230" w:lineRule="auto"/>
        <w:rPr>
          <w:sz w:val="20"/>
          <w:szCs w:val="20"/>
          <w:color w:val="auto"/>
        </w:rPr>
      </w:pPr>
      <w:r>
        <w:rPr>
          <w:rFonts w:ascii="Arial" w:cs="Arial" w:eastAsia="Arial" w:hAnsi="Arial"/>
          <w:sz w:val="22"/>
          <w:szCs w:val="22"/>
          <w:color w:val="auto"/>
        </w:rPr>
        <w:t>800 Boylston Street</w:t>
      </w:r>
    </w:p>
    <w:p>
      <w:pPr>
        <w:spacing w:after="0" w:line="231" w:lineRule="auto"/>
        <w:rPr>
          <w:sz w:val="20"/>
          <w:szCs w:val="20"/>
          <w:color w:val="auto"/>
        </w:rPr>
      </w:pPr>
      <w:r>
        <w:rPr>
          <w:rFonts w:ascii="Arial" w:cs="Arial" w:eastAsia="Arial" w:hAnsi="Arial"/>
          <w:sz w:val="22"/>
          <w:szCs w:val="22"/>
          <w:color w:val="auto"/>
        </w:rPr>
        <w:t>Boston, MA 02199</w:t>
      </w:r>
    </w:p>
    <w:p>
      <w:pPr>
        <w:spacing w:after="0" w:line="230" w:lineRule="auto"/>
        <w:rPr>
          <w:sz w:val="20"/>
          <w:szCs w:val="20"/>
          <w:color w:val="auto"/>
        </w:rPr>
      </w:pPr>
      <w:r>
        <w:rPr>
          <w:rFonts w:ascii="Arial" w:cs="Arial" w:eastAsia="Arial" w:hAnsi="Arial"/>
          <w:sz w:val="22"/>
          <w:szCs w:val="22"/>
          <w:color w:val="auto"/>
        </w:rPr>
        <w:t>Attention: Patricia Lynch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617-235-9384</w:t>
      </w:r>
    </w:p>
    <w:p>
      <w:pPr>
        <w:jc w:val="right"/>
        <w:ind w:right="40"/>
        <w:spacing w:after="0" w:line="233" w:lineRule="auto"/>
        <w:rPr>
          <w:sz w:val="20"/>
          <w:szCs w:val="20"/>
          <w:color w:val="auto"/>
        </w:rPr>
      </w:pPr>
      <w:r>
        <w:rPr>
          <w:rFonts w:ascii="Arial" w:cs="Arial" w:eastAsia="Arial" w:hAnsi="Arial"/>
          <w:sz w:val="22"/>
          <w:szCs w:val="22"/>
          <w:b w:val="1"/>
          <w:bCs w:val="1"/>
          <w:u w:val="single" w:color="auto"/>
          <w:color w:val="auto"/>
        </w:rPr>
        <w:t>SCHEDULE III TO CLASS A-1 NOTE PURCHASE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AGREEMENT</w:t>
      </w:r>
    </w:p>
    <w:p>
      <w:pPr>
        <w:spacing w:after="0" w:line="182"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ADDITIONAL CLOSING CONDITIONS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following are the additional conditions to initial issuance and effectiveness referred to in </w:t>
      </w:r>
      <w:r>
        <w:rPr>
          <w:rFonts w:ascii="Arial" w:cs="Arial" w:eastAsia="Arial" w:hAnsi="Arial"/>
          <w:sz w:val="22"/>
          <w:szCs w:val="22"/>
          <w:u w:val="single" w:color="auto"/>
          <w:color w:val="auto"/>
        </w:rPr>
        <w:t>Section 7.01(c)</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97" w:lineRule="auto"/>
        <w:tabs>
          <w:tab w:leader="none" w:pos="2036" w:val="left"/>
        </w:tabs>
        <w:numPr>
          <w:ilvl w:val="0"/>
          <w:numId w:val="96"/>
        </w:numPr>
        <w:rPr>
          <w:rFonts w:ascii="Arial" w:cs="Arial" w:eastAsia="Arial" w:hAnsi="Arial"/>
          <w:sz w:val="19"/>
          <w:szCs w:val="19"/>
          <w:color w:val="auto"/>
        </w:rPr>
      </w:pPr>
      <w:r>
        <w:rPr>
          <w:rFonts w:ascii="Arial" w:cs="Arial" w:eastAsia="Arial" w:hAnsi="Arial"/>
          <w:sz w:val="19"/>
          <w:szCs w:val="19"/>
          <w:color w:val="auto"/>
        </w:rPr>
        <w:t>All corporate proceedings and other legal matters incident to the authorization, form and validity of each of the Related Documents, and all other legal matters relating to the Related Documents and the transactions contemplated thereby, shall be satisfactory in all material respects to the Lender Parties, and the Co-Issuers and the Guarantors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35" w:name="page136"/>
    <w:bookmarkEnd w:id="135"/>
    <w:p>
      <w:pPr>
        <w:spacing w:after="0" w:line="250" w:lineRule="auto"/>
        <w:rPr>
          <w:sz w:val="20"/>
          <w:szCs w:val="20"/>
          <w:color w:val="auto"/>
        </w:rPr>
      </w:pPr>
      <w:r>
        <w:rPr>
          <w:rFonts w:ascii="Arial" w:cs="Arial" w:eastAsia="Arial" w:hAnsi="Arial"/>
          <w:sz w:val="22"/>
          <w:szCs w:val="22"/>
          <w:color w:val="auto"/>
        </w:rPr>
        <w:t>furnished to the Lender Parties all documents and information that the Lender Parties or their counsel may reasonably request to enable them to pass upon such matters.</w:t>
      </w:r>
    </w:p>
    <w:p>
      <w:pPr>
        <w:spacing w:after="0" w:line="175" w:lineRule="exact"/>
        <w:rPr>
          <w:sz w:val="20"/>
          <w:szCs w:val="20"/>
          <w:color w:val="auto"/>
        </w:rPr>
      </w:pPr>
    </w:p>
    <w:p>
      <w:pPr>
        <w:jc w:val="both"/>
        <w:ind w:firstLine="1505"/>
        <w:spacing w:after="0" w:line="252" w:lineRule="auto"/>
        <w:tabs>
          <w:tab w:leader="none" w:pos="2036"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Lender Parties shall have received evidence satisfactory to the Lender Parties and their counsel, that, on or before the Series 2021-1 Closing Date, all existing Liens (other than Permitted Liens) on the Collateral shall have been released and UCC-1 financing statements and assignments and other instruments required to be filed on or prior to the Series 2021-1 Closing Date pursuant to the Related Documents have been or are being filed.</w:t>
      </w:r>
    </w:p>
    <w:p>
      <w:pPr>
        <w:spacing w:after="0" w:line="173" w:lineRule="exact"/>
        <w:rPr>
          <w:rFonts w:ascii="Arial" w:cs="Arial" w:eastAsia="Arial" w:hAnsi="Arial"/>
          <w:sz w:val="21"/>
          <w:szCs w:val="21"/>
          <w:color w:val="auto"/>
        </w:rPr>
      </w:pPr>
    </w:p>
    <w:p>
      <w:pPr>
        <w:jc w:val="both"/>
        <w:ind w:firstLine="1505"/>
        <w:spacing w:after="0" w:line="287" w:lineRule="auto"/>
        <w:tabs>
          <w:tab w:leader="none" w:pos="2036"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Lender Party shall have received one or more opinions of counsel, in each case dated as of the Closing Date and addressed to the Lender Parties, from Ropes &amp; Gray LLP, counsel to the Domino’s Parties, with respect to such matters as the Administrative Agent shall reasonably request (including, without limitation, company matters, non-consolidation matters, security interest matters relating to the Collateral, no-conflicts matters and “true contribution” matters).</w:t>
      </w:r>
    </w:p>
    <w:p>
      <w:pPr>
        <w:spacing w:after="0" w:line="142" w:lineRule="exact"/>
        <w:rPr>
          <w:rFonts w:ascii="Arial" w:cs="Arial" w:eastAsia="Arial" w:hAnsi="Arial"/>
          <w:sz w:val="19"/>
          <w:szCs w:val="19"/>
          <w:color w:val="auto"/>
        </w:rPr>
      </w:pPr>
    </w:p>
    <w:p>
      <w:pPr>
        <w:jc w:val="both"/>
        <w:ind w:firstLine="1505"/>
        <w:spacing w:after="0"/>
        <w:tabs>
          <w:tab w:leader="none" w:pos="2036"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Lender Party shall have received an opinion of in-house counsel to the Domino’s Parties, addressed to the Committed Purchasers and dated the Series 2021-1 Closing Date, in form and substance reasonably satisfactory to each Lender Party and its counsel.</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Lender Party shall have received an opinion of DLA Piper LLP (US), franchise counsel to the Domino’s Parties, addressed to the Committed Purchasers and dated the Series 2021-1 Closing Date, in form and substance reasonably satisfactory to each Lender Party and its counsel.</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Lender Party shall have received an opinion of Richards, Layton &amp; Finger, PA, Delaware counsel, addressed to the Committed Purchasers and dated as of the Series 2021-1 Closing Date, in form and substance reasonably satisfactory to each Lender Party and its counsel.</w:t>
      </w:r>
    </w:p>
    <w:p>
      <w:pPr>
        <w:spacing w:after="0" w:line="186" w:lineRule="exact"/>
        <w:rPr>
          <w:rFonts w:ascii="Arial" w:cs="Arial" w:eastAsia="Arial" w:hAnsi="Arial"/>
          <w:sz w:val="22"/>
          <w:szCs w:val="22"/>
          <w:color w:val="auto"/>
        </w:rPr>
      </w:pPr>
    </w:p>
    <w:p>
      <w:pPr>
        <w:jc w:val="both"/>
        <w:ind w:firstLine="1505"/>
        <w:spacing w:after="0"/>
        <w:tabs>
          <w:tab w:leader="none" w:pos="2036"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Lender Party shall have received an opinion from Miller, Canfield, Paddock &amp; Stone, P.L.C., Michigan counsel, addressed to the Committed Purchasers and dated as of the Series 2021-1 Closing Date, in form and substance reasonably satisfactory to each Lender Party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-1830705</wp:posOffset>
            </wp:positionV>
            <wp:extent cx="342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-1230630</wp:posOffset>
            </wp:positionV>
            <wp:extent cx="342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-30480</wp:posOffset>
            </wp:positionV>
            <wp:extent cx="342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Each Lender Party shall have received an opinion from Stewart McKelvey, Nova Scotia counsel, Stikeman Elliot LLP, Alberta, British Columbia and Ontario counsel, Thompson Dorman Sweatman LLP, Manitoba counsel, and Loyens Loeff, Dutch counsel, each addressed to the Committed Purchasers and dated as of the Series 2021-1 Closing Date, in form and substance reasonably satisfactory to each Lender Party and its counsel.</w:t>
      </w:r>
    </w:p>
    <w:p>
      <w:pPr>
        <w:spacing w:after="0" w:line="185" w:lineRule="exact"/>
        <w:rPr>
          <w:sz w:val="20"/>
          <w:szCs w:val="20"/>
          <w:color w:val="auto"/>
        </w:rPr>
      </w:pPr>
    </w:p>
    <w:p>
      <w:pPr>
        <w:jc w:val="both"/>
        <w:ind w:firstLine="1505"/>
        <w:spacing w:after="0"/>
        <w:tabs>
          <w:tab w:leader="none" w:pos="2036"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Lender Party shall have received an opinion of Dentons US LLP, counsel to the Trustee, addressed to the Committed Purchasers and dated as of the Series 2021-1 Closing Date, in form and substance reasonably satisfactory to each Lender Party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-30480</wp:posOffset>
            </wp:positionV>
            <wp:extent cx="342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6" w:lineRule="exact"/>
        <w:rPr>
          <w:sz w:val="20"/>
          <w:szCs w:val="20"/>
          <w:color w:val="auto"/>
        </w:rPr>
      </w:pPr>
    </w:p>
    <w:p>
      <w:pPr>
        <w:ind w:firstLine="1505"/>
        <w:spacing w:after="0" w:line="250" w:lineRule="auto"/>
        <w:tabs>
          <w:tab w:leader="none" w:pos="20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Lender Party shall have received an opinion of Mayer Brown LLP, counsel to the Servicer, and an opinion of in-house counsel to the Servicer, each addressed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6" w:name="page137"/>
    <w:bookmarkEnd w:id="136"/>
    <w:p>
      <w:pPr>
        <w:spacing w:after="0" w:line="250" w:lineRule="auto"/>
        <w:rPr>
          <w:sz w:val="20"/>
          <w:szCs w:val="20"/>
          <w:color w:val="auto"/>
        </w:rPr>
      </w:pPr>
      <w:r>
        <w:rPr>
          <w:rFonts w:ascii="Arial" w:cs="Arial" w:eastAsia="Arial" w:hAnsi="Arial"/>
          <w:sz w:val="22"/>
          <w:szCs w:val="22"/>
          <w:color w:val="auto"/>
        </w:rPr>
        <w:t>Committed Purchasers and dated the Series 2021-1 Closing Date, in form and substance reasonably satisfactory to each Lender Party and its counsel.</w:t>
      </w:r>
    </w:p>
    <w:p>
      <w:pPr>
        <w:spacing w:after="0" w:line="161" w:lineRule="exact"/>
        <w:rPr>
          <w:sz w:val="20"/>
          <w:szCs w:val="20"/>
          <w:color w:val="auto"/>
        </w:rPr>
      </w:pPr>
    </w:p>
    <w:p>
      <w:pPr>
        <w:jc w:val="both"/>
        <w:ind w:firstLine="1505"/>
        <w:spacing w:after="0" w:line="238" w:lineRule="auto"/>
        <w:tabs>
          <w:tab w:leader="none" w:pos="203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Lender Party shall have received a bring down letter to the opinion of in-house counsel to the Back-Up Manager delivered in connection with the issuance and sale of the Series 2012-1 Notes, addressed to the Committed Purchasers and dated as of the Series 2021-1 Closing Date, in form and substance reasonably satisfactory to each Lender Party and its counsel.</w:t>
      </w:r>
    </w:p>
    <w:p>
      <w:pPr>
        <w:spacing w:after="0" w:line="184" w:lineRule="exact"/>
        <w:rPr>
          <w:rFonts w:ascii="Arial" w:cs="Arial" w:eastAsia="Arial" w:hAnsi="Arial"/>
          <w:sz w:val="22"/>
          <w:szCs w:val="22"/>
          <w:color w:val="auto"/>
        </w:rPr>
      </w:pPr>
    </w:p>
    <w:p>
      <w:pPr>
        <w:jc w:val="both"/>
        <w:ind w:firstLine="1505"/>
        <w:spacing w:after="0" w:line="249" w:lineRule="auto"/>
        <w:tabs>
          <w:tab w:leader="none" w:pos="203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There shall exist at and as of the Series 2021-1 Closing Date no condition that would constitute an “Event of Default” (or an event that with notice or the lapse of time, or both, would constitute an “Event of Default”) under, and as defined in, the Indenture or a material breach under any of the Related Documents as in effect at the Series 2021-1 Closing Date (or an event that, with notice or lapse of time, or both, would constitute such a material breach). On the Series 2021-1 Closing Date, each of the Related Documents shall be in full force and effect.</w:t>
      </w:r>
    </w:p>
    <w:p>
      <w:pPr>
        <w:spacing w:after="0" w:line="178" w:lineRule="exact"/>
        <w:rPr>
          <w:rFonts w:ascii="Arial" w:cs="Arial" w:eastAsia="Arial" w:hAnsi="Arial"/>
          <w:sz w:val="21"/>
          <w:szCs w:val="21"/>
          <w:color w:val="auto"/>
        </w:rPr>
      </w:pPr>
    </w:p>
    <w:p>
      <w:pPr>
        <w:jc w:val="both"/>
        <w:ind w:firstLine="1505"/>
        <w:spacing w:after="0" w:line="279" w:lineRule="auto"/>
        <w:tabs>
          <w:tab w:leader="none" w:pos="203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Manager, each Guarantor and each Co-Issuer shall have furnished to the Administrative Agent a certificate, in form and substance reasonably satisfactory to the Representative, dated as of the Series 2021-1 Closing Date, of the Chief Financial Officer (or, if such entity has no Chief Financial Officer, of another Authorized Officer) of such entity that such entity will be Solvent immediately after the consummation of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each Securitization Entity, the liabilities of the other Securitization Entities with respect to debts, liabilities and obligations for which such Securitization Entity is jointly and severally liable shall be taken into account.</w:t>
      </w:r>
    </w:p>
    <w:p>
      <w:pPr>
        <w:spacing w:after="0" w:line="136" w:lineRule="exact"/>
        <w:rPr>
          <w:rFonts w:ascii="Arial" w:cs="Arial" w:eastAsia="Arial" w:hAnsi="Arial"/>
          <w:sz w:val="19"/>
          <w:szCs w:val="19"/>
          <w:color w:val="auto"/>
        </w:rPr>
      </w:pPr>
    </w:p>
    <w:p>
      <w:pPr>
        <w:jc w:val="both"/>
        <w:ind w:firstLine="1505"/>
        <w:spacing w:after="0" w:line="248" w:lineRule="auto"/>
        <w:tabs>
          <w:tab w:leader="none" w:pos="203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None of the transactions contemplated by this Agreement shall be subject to an injunction (temporary or permanent) and no restraining order or other injunctive order shall have been issued; and there shall not have been any legal action, order, decree or other administrative proceeding instituted or threatened against the Co-Issuers, the Parent Companies or the Lender Parties that would reasonably be expected to adversely impact the issuance of the Series 2021-1 Notes and the Guarantee thereof under the Global G&amp;C Agreement or the Lender Parties’ activities in connection therewith or any other transactions contemplated by the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-3062605</wp:posOffset>
            </wp:positionV>
            <wp:extent cx="342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The representations and warranties of each of the Co-Issuers, the Parent Companies and the Manager (to the extent a party thereto) contained in the Related Documents to which each of the Co-Issuers, the Parent Companies and the Manager is a party will be true and correct (i) if qualified as to materiality or Material Adverse Effect, in all respects, and (ii) if not so qualified, in all material respects, as of the Series 2021-1 Closing Date (unless stated to relate solely to an earlier date, in which case such representations and warranties shall be true and correct (x) if qualified as to materiality, in all respects, and (y) if not so qualified, in all material respects, as of such earlier date).</w:t>
      </w:r>
    </w:p>
    <w:p>
      <w:pPr>
        <w:spacing w:after="0" w:line="163" w:lineRule="exact"/>
        <w:rPr>
          <w:sz w:val="20"/>
          <w:szCs w:val="20"/>
          <w:color w:val="auto"/>
        </w:rPr>
      </w:pPr>
    </w:p>
    <w:p>
      <w:pPr>
        <w:ind w:firstLine="1505"/>
        <w:spacing w:after="0" w:line="250" w:lineRule="auto"/>
        <w:tabs>
          <w:tab w:leader="none" w:pos="203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Co-Issuers shall have delivered $1,675,000,000 of the Series 2021-1 Class A-2 Notes to the Initial Purchasers on the Series 2021-1 Closing Date.</w:t>
      </w:r>
    </w:p>
    <w:p>
      <w:pPr>
        <w:spacing w:after="0" w:line="174" w:lineRule="exact"/>
        <w:rPr>
          <w:rFonts w:ascii="Arial" w:cs="Arial" w:eastAsia="Arial" w:hAnsi="Arial"/>
          <w:sz w:val="22"/>
          <w:szCs w:val="22"/>
          <w:color w:val="auto"/>
        </w:rPr>
      </w:pPr>
    </w:p>
    <w:p>
      <w:pPr>
        <w:ind w:firstLine="1505"/>
        <w:spacing w:after="0" w:line="250" w:lineRule="auto"/>
        <w:tabs>
          <w:tab w:leader="none" w:pos="203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Lender Parties shall have received a certificate from each Co-Issuer, and the Manager, in each case executed on behalf of such Person by any Authorized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7" w:name="page138"/>
    <w:bookmarkEnd w:id="137"/>
    <w:p>
      <w:pPr>
        <w:jc w:val="both"/>
        <w:spacing w:after="0" w:line="270" w:lineRule="auto"/>
        <w:rPr>
          <w:sz w:val="20"/>
          <w:szCs w:val="20"/>
          <w:color w:val="auto"/>
        </w:rPr>
      </w:pPr>
      <w:r>
        <w:rPr>
          <w:rFonts w:ascii="Arial" w:cs="Arial" w:eastAsia="Arial" w:hAnsi="Arial"/>
          <w:sz w:val="19"/>
          <w:szCs w:val="19"/>
          <w:color w:val="auto"/>
        </w:rPr>
        <w:t>such Person, dated the Series 2021-1 Closing Date, to the effect that, to the best of each such Authorized Officer’s knowledge, (i) the representations and warranties of such Person in this Agreement and in each other Related Document to which such Person is a party are true and correct (A) if qualified as to materiality or Material Adverse Effect, in all respects and (B) if not so qualified, in all material respects, in each case, on and as of the Series 2021-1 Closing Date (unless stated to relate solely to an earlier date, in which case such representations and warranties shall be true and correct (x) if qualified as to materiality or Material Adverse Effect, in all respects, and (y) if not so qualified, in all material respects, in each case, as of such earlier date); (ii) such Person has complied with all agreements in all material respects and satisfied all conditions on its part to be performed or satisfied hereunder or under the Related Documents at or prior to the Series 2021-1 Closing Date; (iii) subsequent to the date as of which information is given in the Pricing Disclosure Package (as defined in the Series 2021-1 Class A-2 Note Purchase Agreement), there has not been any development in the general affairs, business, properties, capitalization, condition (financial or otherwise) or results of operation of such Person except as set forth or contemplated in the Pricing Disclosure Package or as described in such certificate or certificates that could reasonably be expected to result in a Material Adverse Effect; and (iv) nothing has come to such officer’s attention that would lead such Authorized Officer to believe that the Pricing Disclosure Package, as of the Applicable Time (as defined in the Series 2021-1 Class A-2 Note Purchase Agreement), and as of the Series 2021-1 Closing Date, or the Offering Memorandum as of its date and as of the Series 2021-1 Closing Date included or includes any untrue statement of a material fact or omitted or omits to state any material fact necessary in order to make the statements therein, in light of the circumstances under which they were made, not misleading.</w:t>
      </w:r>
    </w:p>
    <w:p>
      <w:pPr>
        <w:spacing w:after="0" w:line="155" w:lineRule="exact"/>
        <w:rPr>
          <w:sz w:val="20"/>
          <w:szCs w:val="20"/>
          <w:color w:val="auto"/>
        </w:rPr>
      </w:pPr>
    </w:p>
    <w:p>
      <w:pPr>
        <w:jc w:val="both"/>
        <w:ind w:firstLine="1505"/>
        <w:spacing w:after="0" w:line="276" w:lineRule="auto"/>
        <w:tabs>
          <w:tab w:leader="none" w:pos="203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On or prior to the Series 2021-1 Closing Date, the Co-Issuers shall have jointly and severally paid to the Administrative Agent (i) the Upfront Commitment Fee (under and as defined in the Series 2021-1 Class A-1 VFN Fee Letter) and</w:t>
      </w:r>
    </w:p>
    <w:p>
      <w:pPr>
        <w:spacing w:after="0" w:line="1" w:lineRule="exact"/>
        <w:rPr>
          <w:rFonts w:ascii="Arial" w:cs="Arial" w:eastAsia="Arial" w:hAnsi="Arial"/>
          <w:sz w:val="19"/>
          <w:szCs w:val="19"/>
          <w:color w:val="auto"/>
        </w:rPr>
      </w:pPr>
    </w:p>
    <w:p>
      <w:pPr>
        <w:ind w:firstLine="8"/>
        <w:spacing w:after="0" w:line="236" w:lineRule="auto"/>
        <w:tabs>
          <w:tab w:leader="none" w:pos="32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initial installment of Administrative Agent Fee (under and as defined in the Series 2021-1 Class A-1 VFN Rabobank Fee Letter).</w:t>
      </w:r>
    </w:p>
    <w:tbl>
      <w:tblPr>
        <w:tblLayout w:type="fixed"/>
        <w:tblInd w:w="10" w:type="dxa"/>
        <w:tblCellMar>
          <w:top w:w="0" w:type="dxa"/>
          <w:left w:w="0" w:type="dxa"/>
          <w:bottom w:w="0" w:type="dxa"/>
          <w:right w:w="0" w:type="dxa"/>
        </w:tblCellMar>
      </w:tblPr>
      <w:tr>
        <w:trPr>
          <w:trHeight w:val="208"/>
        </w:trPr>
        <w:tc>
          <w:tcPr>
            <w:tcW w:w="2640" w:type="dxa"/>
            <w:vAlign w:val="bottom"/>
          </w:tcPr>
          <w:p>
            <w:pPr>
              <w:spacing w:after="0"/>
              <w:rPr>
                <w:sz w:val="18"/>
                <w:szCs w:val="18"/>
                <w:color w:val="auto"/>
              </w:rPr>
            </w:pPr>
          </w:p>
        </w:tc>
        <w:tc>
          <w:tcPr>
            <w:tcW w:w="8600" w:type="dxa"/>
            <w:vAlign w:val="bottom"/>
            <w:gridSpan w:val="5"/>
          </w:tcPr>
          <w:p>
            <w:pPr>
              <w:ind w:left="2260"/>
              <w:spacing w:after="0" w:line="208" w:lineRule="exact"/>
              <w:rPr>
                <w:sz w:val="20"/>
                <w:szCs w:val="20"/>
                <w:color w:val="auto"/>
              </w:rPr>
            </w:pPr>
            <w:r>
              <w:rPr>
                <w:rFonts w:ascii="Arial" w:cs="Arial" w:eastAsia="Arial" w:hAnsi="Arial"/>
                <w:sz w:val="22"/>
                <w:szCs w:val="22"/>
                <w:b w:val="1"/>
                <w:bCs w:val="1"/>
                <w:color w:val="auto"/>
                <w:w w:val="96"/>
              </w:rPr>
              <w:t>SCHEDULE IV TO CLASS A-1 NOTE PURCHASE AGREEMENT</w:t>
            </w:r>
          </w:p>
        </w:tc>
      </w:tr>
      <w:tr>
        <w:trPr>
          <w:trHeight w:val="489"/>
        </w:trPr>
        <w:tc>
          <w:tcPr>
            <w:tcW w:w="2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tcBorders>
              <w:top w:val="single" w:sz="8" w:color="auto"/>
            </w:tcBorders>
            <w:gridSpan w:val="2"/>
          </w:tcPr>
          <w:p>
            <w:pPr>
              <w:ind w:left="140"/>
              <w:spacing w:after="0"/>
              <w:rPr>
                <w:sz w:val="20"/>
                <w:szCs w:val="20"/>
                <w:color w:val="auto"/>
              </w:rPr>
            </w:pPr>
            <w:r>
              <w:rPr>
                <w:rFonts w:ascii="Arial" w:cs="Arial" w:eastAsia="Arial" w:hAnsi="Arial"/>
                <w:sz w:val="22"/>
                <w:szCs w:val="22"/>
                <w:b w:val="1"/>
                <w:bCs w:val="1"/>
                <w:color w:val="auto"/>
                <w:w w:val="91"/>
              </w:rPr>
              <w:t>Letters of Credit</w:t>
            </w:r>
          </w:p>
        </w:tc>
        <w:tc>
          <w:tcPr>
            <w:tcW w:w="16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r>
      <w:tr>
        <w:trPr>
          <w:trHeight w:val="223"/>
        </w:trPr>
        <w:tc>
          <w:tcPr>
            <w:tcW w:w="26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r>
      <w:tr>
        <w:trPr>
          <w:trHeight w:val="243"/>
        </w:trPr>
        <w:tc>
          <w:tcPr>
            <w:tcW w:w="2640" w:type="dxa"/>
            <w:vAlign w:val="bottom"/>
            <w:tcBorders>
              <w:left w:val="single" w:sz="8" w:color="auto"/>
              <w:bottom w:val="single" w:sz="8" w:color="auto"/>
              <w:right w:val="single" w:sz="8" w:color="auto"/>
            </w:tcBorders>
          </w:tcPr>
          <w:p>
            <w:pPr>
              <w:ind w:left="620"/>
              <w:spacing w:after="0" w:line="244" w:lineRule="exact"/>
              <w:rPr>
                <w:sz w:val="20"/>
                <w:szCs w:val="20"/>
                <w:color w:val="auto"/>
              </w:rPr>
            </w:pPr>
            <w:r>
              <w:rPr>
                <w:rFonts w:ascii="Arial" w:cs="Arial" w:eastAsia="Arial" w:hAnsi="Arial"/>
                <w:sz w:val="22"/>
                <w:szCs w:val="22"/>
                <w:b w:val="1"/>
                <w:bCs w:val="1"/>
                <w:color w:val="auto"/>
              </w:rPr>
              <w:t>Letter of Credit</w:t>
            </w:r>
          </w:p>
        </w:tc>
        <w:tc>
          <w:tcPr>
            <w:tcW w:w="3500" w:type="dxa"/>
            <w:vAlign w:val="bottom"/>
            <w:tcBorders>
              <w:bottom w:val="single" w:sz="8" w:color="auto"/>
              <w:right w:val="single" w:sz="8" w:color="auto"/>
            </w:tcBorders>
            <w:gridSpan w:val="2"/>
          </w:tcPr>
          <w:p>
            <w:pPr>
              <w:jc w:val="center"/>
              <w:spacing w:after="0" w:line="244" w:lineRule="exact"/>
              <w:rPr>
                <w:sz w:val="20"/>
                <w:szCs w:val="20"/>
                <w:color w:val="auto"/>
              </w:rPr>
            </w:pPr>
            <w:r>
              <w:rPr>
                <w:rFonts w:ascii="Arial" w:cs="Arial" w:eastAsia="Arial" w:hAnsi="Arial"/>
                <w:sz w:val="22"/>
                <w:szCs w:val="22"/>
                <w:b w:val="1"/>
                <w:bCs w:val="1"/>
                <w:color w:val="auto"/>
                <w:w w:val="89"/>
              </w:rPr>
              <w:t>Beneficiary</w:t>
            </w:r>
          </w:p>
        </w:tc>
        <w:tc>
          <w:tcPr>
            <w:tcW w:w="48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ind w:left="180"/>
              <w:spacing w:after="0" w:line="244" w:lineRule="exact"/>
              <w:rPr>
                <w:sz w:val="20"/>
                <w:szCs w:val="20"/>
                <w:color w:val="auto"/>
              </w:rPr>
            </w:pPr>
            <w:r>
              <w:rPr>
                <w:rFonts w:ascii="Arial" w:cs="Arial" w:eastAsia="Arial" w:hAnsi="Arial"/>
                <w:sz w:val="22"/>
                <w:szCs w:val="22"/>
                <w:b w:val="1"/>
                <w:bCs w:val="1"/>
                <w:color w:val="auto"/>
              </w:rPr>
              <w:t>Amount</w:t>
            </w:r>
          </w:p>
        </w:tc>
        <w:tc>
          <w:tcPr>
            <w:tcW w:w="2940" w:type="dxa"/>
            <w:vAlign w:val="bottom"/>
            <w:tcBorders>
              <w:bottom w:val="single" w:sz="8" w:color="auto"/>
              <w:right w:val="single" w:sz="8" w:color="auto"/>
            </w:tcBorders>
          </w:tcPr>
          <w:p>
            <w:pPr>
              <w:jc w:val="center"/>
              <w:spacing w:after="0" w:line="244" w:lineRule="exact"/>
              <w:rPr>
                <w:sz w:val="20"/>
                <w:szCs w:val="20"/>
                <w:color w:val="auto"/>
              </w:rPr>
            </w:pPr>
            <w:r>
              <w:rPr>
                <w:rFonts w:ascii="Arial" w:cs="Arial" w:eastAsia="Arial" w:hAnsi="Arial"/>
                <w:sz w:val="22"/>
                <w:szCs w:val="22"/>
                <w:b w:val="1"/>
                <w:bCs w:val="1"/>
                <w:color w:val="auto"/>
                <w:w w:val="94"/>
              </w:rPr>
              <w:t>Maturity Date</w:t>
            </w:r>
          </w:p>
        </w:tc>
      </w:tr>
      <w:tr>
        <w:trPr>
          <w:trHeight w:val="574"/>
        </w:trPr>
        <w:tc>
          <w:tcPr>
            <w:tcW w:w="264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22"/>
                <w:szCs w:val="22"/>
                <w:color w:val="auto"/>
              </w:rPr>
              <w:t>SB19941</w:t>
            </w:r>
          </w:p>
        </w:tc>
        <w:tc>
          <w:tcPr>
            <w:tcW w:w="350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9"/>
              </w:rPr>
              <w:t>ACE American Insurance Company</w:t>
            </w:r>
          </w:p>
        </w:tc>
        <w:tc>
          <w:tcPr>
            <w:tcW w:w="480" w:type="dxa"/>
            <w:vAlign w:val="bottom"/>
          </w:tcPr>
          <w:p>
            <w:pPr>
              <w:spacing w:after="0"/>
              <w:rPr>
                <w:sz w:val="24"/>
                <w:szCs w:val="24"/>
                <w:color w:val="auto"/>
              </w:rPr>
            </w:pPr>
          </w:p>
        </w:tc>
        <w:tc>
          <w:tcPr>
            <w:tcW w:w="1680" w:type="dxa"/>
            <w:vAlign w:val="bottom"/>
            <w:tcBorders>
              <w:right w:val="single" w:sz="8" w:color="auto"/>
            </w:tcBorders>
          </w:tcPr>
          <w:p>
            <w:pPr>
              <w:jc w:val="center"/>
              <w:ind w:right="412"/>
              <w:spacing w:after="0"/>
              <w:rPr>
                <w:sz w:val="20"/>
                <w:szCs w:val="20"/>
                <w:color w:val="auto"/>
              </w:rPr>
            </w:pPr>
            <w:r>
              <w:rPr>
                <w:rFonts w:ascii="Arial" w:cs="Arial" w:eastAsia="Arial" w:hAnsi="Arial"/>
                <w:sz w:val="22"/>
                <w:szCs w:val="22"/>
                <w:color w:val="auto"/>
                <w:w w:val="88"/>
              </w:rPr>
              <w:t>$33,143,044</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10/21/2021</w:t>
            </w:r>
          </w:p>
        </w:tc>
      </w:tr>
      <w:tr>
        <w:trPr>
          <w:trHeight w:val="328"/>
        </w:trPr>
        <w:tc>
          <w:tcPr>
            <w:tcW w:w="264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r>
      <w:tr>
        <w:trPr>
          <w:trHeight w:val="517"/>
        </w:trPr>
        <w:tc>
          <w:tcPr>
            <w:tcW w:w="264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22"/>
                <w:szCs w:val="22"/>
                <w:color w:val="auto"/>
              </w:rPr>
              <w:t>SB19942</w:t>
            </w:r>
          </w:p>
        </w:tc>
        <w:tc>
          <w:tcPr>
            <w:tcW w:w="350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2"/>
              </w:rPr>
              <w:t>Arrowood Indemnity Company</w:t>
            </w:r>
          </w:p>
        </w:tc>
        <w:tc>
          <w:tcPr>
            <w:tcW w:w="480" w:type="dxa"/>
            <w:vAlign w:val="bottom"/>
          </w:tcPr>
          <w:p>
            <w:pPr>
              <w:spacing w:after="0"/>
              <w:rPr>
                <w:sz w:val="24"/>
                <w:szCs w:val="24"/>
                <w:color w:val="auto"/>
              </w:rPr>
            </w:pPr>
          </w:p>
        </w:tc>
        <w:tc>
          <w:tcPr>
            <w:tcW w:w="1680" w:type="dxa"/>
            <w:vAlign w:val="bottom"/>
            <w:tcBorders>
              <w:right w:val="single" w:sz="8" w:color="auto"/>
            </w:tcBorders>
          </w:tcPr>
          <w:p>
            <w:pPr>
              <w:jc w:val="center"/>
              <w:ind w:right="412"/>
              <w:spacing w:after="0"/>
              <w:rPr>
                <w:sz w:val="20"/>
                <w:szCs w:val="20"/>
                <w:color w:val="auto"/>
              </w:rPr>
            </w:pPr>
            <w:r>
              <w:rPr>
                <w:rFonts w:ascii="Arial" w:cs="Arial" w:eastAsia="Arial" w:hAnsi="Arial"/>
                <w:sz w:val="22"/>
                <w:szCs w:val="22"/>
                <w:color w:val="auto"/>
                <w:w w:val="87"/>
              </w:rPr>
              <w:t>$310,000</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10/21/2021</w:t>
            </w:r>
          </w:p>
        </w:tc>
      </w:tr>
      <w:tr>
        <w:trPr>
          <w:trHeight w:val="273"/>
        </w:trPr>
        <w:tc>
          <w:tcPr>
            <w:tcW w:w="264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r>
      <w:tr>
        <w:trPr>
          <w:trHeight w:val="517"/>
        </w:trPr>
        <w:tc>
          <w:tcPr>
            <w:tcW w:w="2640" w:type="dxa"/>
            <w:vAlign w:val="bottom"/>
            <w:tcBorders>
              <w:left w:val="single" w:sz="8" w:color="auto"/>
              <w:right w:val="single" w:sz="8" w:color="auto"/>
            </w:tcBorders>
          </w:tcPr>
          <w:p>
            <w:pPr>
              <w:ind w:left="920"/>
              <w:spacing w:after="0"/>
              <w:rPr>
                <w:sz w:val="20"/>
                <w:szCs w:val="20"/>
                <w:color w:val="auto"/>
              </w:rPr>
            </w:pPr>
            <w:r>
              <w:rPr>
                <w:rFonts w:ascii="Arial" w:cs="Arial" w:eastAsia="Arial" w:hAnsi="Arial"/>
                <w:sz w:val="22"/>
                <w:szCs w:val="22"/>
                <w:color w:val="auto"/>
              </w:rPr>
              <w:t>SB19943</w:t>
            </w:r>
          </w:p>
        </w:tc>
        <w:tc>
          <w:tcPr>
            <w:tcW w:w="350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9"/>
              </w:rPr>
              <w:t>Old Republic Insurance Company</w:t>
            </w:r>
          </w:p>
        </w:tc>
        <w:tc>
          <w:tcPr>
            <w:tcW w:w="480" w:type="dxa"/>
            <w:vAlign w:val="bottom"/>
          </w:tcPr>
          <w:p>
            <w:pPr>
              <w:spacing w:after="0"/>
              <w:rPr>
                <w:sz w:val="24"/>
                <w:szCs w:val="24"/>
                <w:color w:val="auto"/>
              </w:rPr>
            </w:pPr>
          </w:p>
        </w:tc>
        <w:tc>
          <w:tcPr>
            <w:tcW w:w="1680" w:type="dxa"/>
            <w:vAlign w:val="bottom"/>
            <w:tcBorders>
              <w:right w:val="single" w:sz="8" w:color="auto"/>
            </w:tcBorders>
          </w:tcPr>
          <w:p>
            <w:pPr>
              <w:jc w:val="center"/>
              <w:ind w:right="392"/>
              <w:spacing w:after="0"/>
              <w:rPr>
                <w:sz w:val="20"/>
                <w:szCs w:val="20"/>
                <w:color w:val="auto"/>
              </w:rPr>
            </w:pPr>
            <w:r>
              <w:rPr>
                <w:rFonts w:ascii="Arial" w:cs="Arial" w:eastAsia="Arial" w:hAnsi="Arial"/>
                <w:sz w:val="22"/>
                <w:szCs w:val="22"/>
                <w:color w:val="auto"/>
                <w:w w:val="88"/>
              </w:rPr>
              <w:t>$8,944,405</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10/21/2021</w:t>
            </w:r>
          </w:p>
        </w:tc>
      </w:tr>
      <w:tr>
        <w:trPr>
          <w:trHeight w:val="273"/>
        </w:trPr>
        <w:tc>
          <w:tcPr>
            <w:tcW w:w="264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r>
      <w:tr>
        <w:trPr>
          <w:trHeight w:val="621"/>
        </w:trPr>
        <w:tc>
          <w:tcPr>
            <w:tcW w:w="26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553"/>
        </w:trPr>
        <w:tc>
          <w:tcPr>
            <w:tcW w:w="2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22"/>
                <w:szCs w:val="22"/>
                <w:color w:val="auto"/>
              </w:rPr>
              <w:t>SB50062</w:t>
            </w:r>
          </w:p>
        </w:tc>
        <w:tc>
          <w:tcPr>
            <w:tcW w:w="35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22"/>
                <w:szCs w:val="22"/>
                <w:color w:val="auto"/>
              </w:rPr>
              <w:t>Rabobank Nederland</w:t>
            </w:r>
          </w:p>
        </w:tc>
        <w:tc>
          <w:tcPr>
            <w:tcW w:w="2160" w:type="dxa"/>
            <w:vAlign w:val="bottom"/>
            <w:tcBorders>
              <w:top w:val="single" w:sz="8" w:color="auto"/>
              <w:right w:val="single" w:sz="8" w:color="auto"/>
            </w:tcBorders>
          </w:tcPr>
          <w:p>
            <w:pPr>
              <w:jc w:val="right"/>
              <w:ind w:right="632"/>
              <w:spacing w:after="0"/>
              <w:rPr>
                <w:sz w:val="20"/>
                <w:szCs w:val="20"/>
                <w:color w:val="auto"/>
              </w:rPr>
            </w:pPr>
            <w:r>
              <w:rPr>
                <w:rFonts w:ascii="Arial" w:cs="Arial" w:eastAsia="Arial" w:hAnsi="Arial"/>
                <w:sz w:val="22"/>
                <w:szCs w:val="22"/>
                <w:color w:val="auto"/>
              </w:rPr>
              <w:t>$60,000</w:t>
            </w:r>
          </w:p>
        </w:tc>
        <w:tc>
          <w:tcPr>
            <w:tcW w:w="2940" w:type="dxa"/>
            <w:vAlign w:val="bottom"/>
            <w:tcBorders>
              <w:top w:val="single" w:sz="8" w:color="auto"/>
              <w:right w:val="single" w:sz="8" w:color="auto"/>
            </w:tcBorders>
          </w:tcPr>
          <w:p>
            <w:pPr>
              <w:jc w:val="right"/>
              <w:ind w:right="932"/>
              <w:spacing w:after="0"/>
              <w:rPr>
                <w:sz w:val="20"/>
                <w:szCs w:val="20"/>
                <w:color w:val="auto"/>
              </w:rPr>
            </w:pPr>
            <w:r>
              <w:rPr>
                <w:rFonts w:ascii="Arial" w:cs="Arial" w:eastAsia="Arial" w:hAnsi="Arial"/>
                <w:sz w:val="22"/>
                <w:szCs w:val="22"/>
                <w:color w:val="auto"/>
              </w:rPr>
              <w:t>6/22/2021</w:t>
            </w:r>
          </w:p>
        </w:tc>
      </w:tr>
      <w:tr>
        <w:trPr>
          <w:trHeight w:val="270"/>
        </w:trPr>
        <w:tc>
          <w:tcPr>
            <w:tcW w:w="2620" w:type="dxa"/>
            <w:vAlign w:val="bottom"/>
            <w:tcBorders>
              <w:left w:val="single" w:sz="8" w:color="auto"/>
              <w:bottom w:val="single" w:sz="8" w:color="auto"/>
              <w:right w:val="single" w:sz="8" w:color="auto"/>
            </w:tcBorders>
          </w:tcPr>
          <w:p>
            <w:pPr>
              <w:spacing w:after="0"/>
              <w:rPr>
                <w:sz w:val="23"/>
                <w:szCs w:val="23"/>
                <w:color w:val="auto"/>
              </w:rPr>
            </w:pPr>
          </w:p>
        </w:tc>
        <w:tc>
          <w:tcPr>
            <w:tcW w:w="352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A-1 TO CLASS A-1</w:t>
      </w:r>
    </w:p>
    <w:p>
      <w:pPr>
        <w:spacing w:after="0" w:line="14" w:lineRule="exact"/>
        <w:rPr>
          <w:sz w:val="20"/>
          <w:szCs w:val="20"/>
          <w:color w:val="auto"/>
        </w:rPr>
      </w:pPr>
    </w:p>
    <w:p>
      <w:pPr>
        <w:ind w:left="7920"/>
        <w:spacing w:after="0"/>
        <w:rPr>
          <w:sz w:val="20"/>
          <w:szCs w:val="20"/>
          <w:color w:val="auto"/>
        </w:rPr>
      </w:pPr>
      <w:r>
        <w:rPr>
          <w:rFonts w:ascii="Arial" w:cs="Arial" w:eastAsia="Arial" w:hAnsi="Arial"/>
          <w:sz w:val="21"/>
          <w:szCs w:val="21"/>
          <w:b w:val="1"/>
          <w:bCs w:val="1"/>
          <w:u w:val="single" w:color="auto"/>
          <w:color w:val="auto"/>
        </w:rPr>
        <w:t>NOTE PURCHASE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 REQUEST</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DOMINO’S PIZZA MASTER ISSUER LLC</w:t>
      </w:r>
    </w:p>
    <w:p>
      <w:pPr>
        <w:jc w:val="center"/>
        <w:ind w:right="40"/>
        <w:spacing w:after="0" w:line="238" w:lineRule="auto"/>
        <w:rPr>
          <w:sz w:val="20"/>
          <w:szCs w:val="20"/>
          <w:color w:val="auto"/>
        </w:rPr>
      </w:pPr>
      <w:r>
        <w:rPr>
          <w:rFonts w:ascii="Arial" w:cs="Arial" w:eastAsia="Arial" w:hAnsi="Arial"/>
          <w:sz w:val="22"/>
          <w:szCs w:val="22"/>
          <w:color w:val="auto"/>
        </w:rPr>
        <w:t>DOMINO’S SPV CANADIAN HOLDING COMPANY INC.</w:t>
      </w:r>
    </w:p>
    <w:p>
      <w:pPr>
        <w:jc w:val="center"/>
        <w:ind w:right="40"/>
        <w:spacing w:after="0" w:line="230" w:lineRule="auto"/>
        <w:rPr>
          <w:sz w:val="20"/>
          <w:szCs w:val="20"/>
          <w:color w:val="auto"/>
        </w:rPr>
      </w:pPr>
      <w:r>
        <w:rPr>
          <w:rFonts w:ascii="Arial" w:cs="Arial" w:eastAsia="Arial" w:hAnsi="Arial"/>
          <w:sz w:val="22"/>
          <w:szCs w:val="22"/>
          <w:color w:val="auto"/>
        </w:rPr>
        <w:t>DOMINO’S PIZZA DISTRIBUTION LLC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DOMINO’S IP HOLDER LLC</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22"/>
          <w:szCs w:val="22"/>
          <w:b w:val="1"/>
          <w:bCs w:val="1"/>
          <w:u w:val="single" w:color="auto"/>
          <w:color w:val="auto"/>
        </w:rPr>
        <w:t>SERIES 2021-1 VARIABLE FUNDING SENIOR NOTES, CLASS A-1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Coöperatieve Rabobank U.A., New York Branch</w:t>
      </w:r>
      <w:r>
        <w:rPr>
          <w:rFonts w:ascii="Arial" w:cs="Arial" w:eastAsia="Arial" w:hAnsi="Arial"/>
          <w:sz w:val="22"/>
          <w:szCs w:val="22"/>
          <w:color w:val="auto"/>
        </w:rPr>
        <w:t>, as Administrative Agent Ladies and Gentlemen:</w:t>
      </w:r>
    </w:p>
    <w:p>
      <w:pPr>
        <w:spacing w:after="0" w:line="226" w:lineRule="exact"/>
        <w:rPr>
          <w:sz w:val="20"/>
          <w:szCs w:val="20"/>
          <w:color w:val="auto"/>
        </w:rPr>
      </w:pPr>
    </w:p>
    <w:p>
      <w:pPr>
        <w:ind w:left="80" w:right="40" w:firstLine="1498"/>
        <w:spacing w:after="0" w:line="245" w:lineRule="auto"/>
        <w:rPr>
          <w:sz w:val="20"/>
          <w:szCs w:val="20"/>
          <w:color w:val="auto"/>
        </w:rPr>
      </w:pPr>
      <w:r>
        <w:rPr>
          <w:rFonts w:ascii="Arial" w:cs="Arial" w:eastAsia="Arial" w:hAnsi="Arial"/>
          <w:sz w:val="21"/>
          <w:szCs w:val="21"/>
          <w:color w:val="auto"/>
        </w:rPr>
        <w:t xml:space="preserve">This Advance Request is delivered to you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of that certain Series 2021-1 Class A-1 Note Purchase Agreement, dated as of April 16, 2021 (as amended, supplemented, amended and restated or otherwise modified from time to time, the “</w:t>
      </w:r>
      <w:r>
        <w:rPr>
          <w:rFonts w:ascii="Arial" w:cs="Arial" w:eastAsia="Arial" w:hAnsi="Arial"/>
          <w:sz w:val="21"/>
          <w:szCs w:val="21"/>
          <w:u w:val="single" w:color="auto"/>
          <w:color w:val="auto"/>
        </w:rPr>
        <w:t>Series 2021-1 Class A-1 Note Purchase Agreement</w:t>
      </w:r>
      <w:r>
        <w:rPr>
          <w:rFonts w:ascii="Arial" w:cs="Arial" w:eastAsia="Arial" w:hAnsi="Arial"/>
          <w:sz w:val="21"/>
          <w:szCs w:val="21"/>
          <w:color w:val="auto"/>
        </w:rPr>
        <w:t>”), by and among Domino’s Pizza Master Issuer LLC, Domino’s SPV Canadian Holding Company Inc., Domino’s Pizza Distribution, LLC and Domino’s IP Holder LLC, as Co-Issuers, Domino’s Pizza Franchising LLC, Domino’s Pizza International Franchising Inc., Domino’s Pizza Canadian Distribution ULC, Domino’s Re LLC, Domino’s EQ LLC And Domino’s SPV Guarantor LLC, as Guarantors, Domino’s Pizza LLC, as Manager, the Conduit Investors, Committed Note Purchasers and Funding Agents named therein, the L/C Provider and Swingline Lender named therein, and Coöperatieve Rabobank U.A., New York Branch,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84" w:lineRule="exact"/>
        <w:rPr>
          <w:sz w:val="20"/>
          <w:szCs w:val="20"/>
          <w:color w:val="auto"/>
        </w:rPr>
      </w:pPr>
    </w:p>
    <w:p>
      <w:pPr>
        <w:ind w:left="80" w:right="20" w:firstLine="1498"/>
        <w:spacing w:after="0" w:line="328" w:lineRule="auto"/>
        <w:rPr>
          <w:sz w:val="20"/>
          <w:szCs w:val="20"/>
          <w:color w:val="auto"/>
        </w:rPr>
      </w:pPr>
      <w:r>
        <w:rPr>
          <w:rFonts w:ascii="Arial" w:cs="Arial" w:eastAsia="Arial" w:hAnsi="Arial"/>
          <w:sz w:val="19"/>
          <w:szCs w:val="19"/>
          <w:color w:val="auto"/>
        </w:rPr>
        <w:t xml:space="preserve">Unless otherwise defined herein or as the context otherwise requires, terms used herein have the meaning assigned thereto under or as provided in the Recitals and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Series 2021-1 Class A-1 Note Purchase Agreement.</w:t>
      </w:r>
    </w:p>
    <w:p>
      <w:pPr>
        <w:spacing w:after="0" w:line="105"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The undersigned hereby requests that Advances be made in the aggregate</w:t>
      </w:r>
    </w:p>
    <w:p>
      <w:pPr>
        <w:spacing w:after="0" w:line="21" w:lineRule="exact"/>
        <w:rPr>
          <w:sz w:val="20"/>
          <w:szCs w:val="20"/>
          <w:color w:val="auto"/>
        </w:rPr>
      </w:pPr>
    </w:p>
    <w:p>
      <w:pPr>
        <w:ind w:left="80"/>
        <w:spacing w:after="0"/>
        <w:tabs>
          <w:tab w:leader="none" w:pos="2660" w:val="left"/>
        </w:tabs>
        <w:rPr>
          <w:sz w:val="20"/>
          <w:szCs w:val="20"/>
          <w:color w:val="auto"/>
        </w:rPr>
      </w:pPr>
      <w:r>
        <w:rPr>
          <w:rFonts w:ascii="Arial" w:cs="Arial" w:eastAsia="Arial" w:hAnsi="Arial"/>
          <w:sz w:val="22"/>
          <w:szCs w:val="22"/>
          <w:color w:val="auto"/>
        </w:rPr>
        <w:t>principal amount of $ on</w:t>
      </w:r>
      <w:r>
        <w:rPr>
          <w:sz w:val="20"/>
          <w:szCs w:val="20"/>
          <w:color w:val="auto"/>
        </w:rPr>
        <w:tab/>
      </w:r>
      <w:r>
        <w:rPr>
          <w:rFonts w:ascii="Arial" w:cs="Arial" w:eastAsia="Arial" w:hAnsi="Arial"/>
          <w:sz w:val="19"/>
          <w:szCs w:val="19"/>
          <w:color w:val="auto"/>
        </w:rPr>
        <w:t>, 20___.</w:t>
      </w:r>
    </w:p>
    <w:p>
      <w:pPr>
        <w:spacing w:after="0" w:line="236" w:lineRule="exact"/>
        <w:rPr>
          <w:sz w:val="20"/>
          <w:szCs w:val="20"/>
          <w:color w:val="auto"/>
        </w:rPr>
      </w:pPr>
    </w:p>
    <w:p>
      <w:pPr>
        <w:ind w:right="440"/>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IF THE CO-ISSUERS IS ELECTING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FF0000"/>
          <w:strike w:val="1"/>
        </w:rPr>
        <w:t>EURODOLLAR RATE</w:t>
      </w:r>
      <w:r>
        <w:rPr>
          <w:rFonts w:ascii="Arial" w:cs="Arial" w:eastAsia="Arial" w:hAnsi="Arial"/>
          <w:sz w:val="22"/>
          <w:szCs w:val="22"/>
          <w:b w:val="1"/>
          <w:bCs w:val="1"/>
          <w:u w:val="single" w:color="auto"/>
          <w:color w:val="0000FF"/>
        </w:rPr>
        <w:t>ADJUSTED TERM SOFR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FOR THESE ADVANCES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ON THE DATE MADE IN ACCORDANCE WITH SECTION 3.01(b) OF THE CLASS A-1 NOTE PURCHASE AGREEMENT, ADD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139" w:name="page140"/>
    <w:bookmarkEnd w:id="139"/>
    <w:p>
      <w:pPr>
        <w:ind w:right="100"/>
        <w:spacing w:after="0" w:line="249" w:lineRule="auto"/>
        <w:rPr>
          <w:sz w:val="20"/>
          <w:szCs w:val="20"/>
          <w:color w:val="auto"/>
        </w:rPr>
      </w:pPr>
      <w:r>
        <w:rPr>
          <w:rFonts w:ascii="Arial" w:cs="Arial" w:eastAsia="Arial" w:hAnsi="Arial"/>
          <w:sz w:val="21"/>
          <w:szCs w:val="21"/>
          <w:b w:val="1"/>
          <w:bCs w:val="1"/>
          <w:u w:val="single" w:color="auto"/>
          <w:color w:val="auto"/>
        </w:rPr>
        <w:t xml:space="preserve">FOLLOWING SENTENCE: The undersigned hereby elects that the Advances that are not funded at the CP Rate by an Eligible Conduit Investor shall be </w:t>
      </w:r>
      <w:r>
        <w:rPr>
          <w:rFonts w:ascii="Arial" w:cs="Arial" w:eastAsia="Arial" w:hAnsi="Arial"/>
          <w:sz w:val="21"/>
          <w:szCs w:val="21"/>
          <w:b w:val="1"/>
          <w:bCs w:val="1"/>
          <w:u w:val="single" w:color="auto"/>
          <w:color w:val="FF0000"/>
          <w:strike w:val="1"/>
        </w:rPr>
        <w:t>Eurodollar</w:t>
      </w:r>
      <w:r>
        <w:rPr>
          <w:rFonts w:ascii="Arial" w:cs="Arial" w:eastAsia="Arial" w:hAnsi="Arial"/>
          <w:sz w:val="21"/>
          <w:szCs w:val="21"/>
          <w:b w:val="1"/>
          <w:bCs w:val="1"/>
          <w:u w:val="single" w:color="auto"/>
          <w:color w:val="0000FF"/>
        </w:rPr>
        <w:t>SOFR</w:t>
      </w:r>
      <w:r>
        <w:rPr>
          <w:rFonts w:ascii="Arial" w:cs="Arial" w:eastAsia="Arial" w:hAnsi="Arial"/>
          <w:sz w:val="21"/>
          <w:szCs w:val="21"/>
          <w:b w:val="1"/>
          <w:bCs w:val="1"/>
          <w:u w:val="single" w:color="auto"/>
          <w:color w:val="auto"/>
        </w:rPr>
        <w:t xml:space="preserve"> Advances and the related </w:t>
      </w:r>
      <w:r>
        <w:rPr>
          <w:rFonts w:ascii="Arial" w:cs="Arial" w:eastAsia="Arial" w:hAnsi="Arial"/>
          <w:sz w:val="21"/>
          <w:szCs w:val="21"/>
          <w:b w:val="1"/>
          <w:bCs w:val="1"/>
          <w:u w:val="single" w:color="auto"/>
          <w:color w:val="FF0000"/>
          <w:strike w:val="1"/>
        </w:rPr>
        <w:t>Eurodollar</w:t>
      </w:r>
      <w:r>
        <w:rPr>
          <w:rFonts w:ascii="Arial" w:cs="Arial" w:eastAsia="Arial" w:hAnsi="Arial"/>
          <w:sz w:val="21"/>
          <w:szCs w:val="21"/>
          <w:b w:val="1"/>
          <w:bCs w:val="1"/>
          <w:u w:val="single" w:color="auto"/>
          <w:color w:val="0000FF"/>
        </w:rPr>
        <w:t>SOFR</w:t>
      </w:r>
      <w:r>
        <w:rPr>
          <w:rFonts w:ascii="Arial" w:cs="Arial" w:eastAsia="Arial" w:hAnsi="Arial"/>
          <w:sz w:val="21"/>
          <w:szCs w:val="21"/>
          <w:b w:val="1"/>
          <w:bCs w:val="1"/>
          <w:u w:val="single" w:color="auto"/>
          <w:color w:val="auto"/>
        </w:rPr>
        <w:t xml:space="preserve"> Interest </w:t>
      </w:r>
      <w:r>
        <w:rPr>
          <w:rFonts w:ascii="Arial" w:cs="Arial" w:eastAsia="Arial" w:hAnsi="Arial"/>
          <w:sz w:val="21"/>
          <w:szCs w:val="21"/>
          <w:b w:val="1"/>
          <w:bCs w:val="1"/>
          <w:u w:val="single" w:color="auto"/>
          <w:color w:val="0000FF"/>
        </w:rPr>
        <w:t>Accrual</w:t>
      </w:r>
      <w:r>
        <w:rPr>
          <w:rFonts w:ascii="Arial" w:cs="Arial" w:eastAsia="Arial" w:hAnsi="Arial"/>
          <w:sz w:val="21"/>
          <w:szCs w:val="21"/>
          <w:b w:val="1"/>
          <w:bCs w:val="1"/>
          <w:u w:val="single" w:color="auto"/>
          <w:color w:val="auto"/>
        </w:rPr>
        <w:t xml:space="preserve"> Period shall commence on the date of such </w:t>
      </w:r>
      <w:r>
        <w:rPr>
          <w:rFonts w:ascii="Arial" w:cs="Arial" w:eastAsia="Arial" w:hAnsi="Arial"/>
          <w:sz w:val="21"/>
          <w:szCs w:val="21"/>
          <w:b w:val="1"/>
          <w:bCs w:val="1"/>
          <w:u w:val="single" w:color="auto"/>
          <w:color w:val="FF0000"/>
          <w:strike w:val="1"/>
        </w:rPr>
        <w:t>Eurodollar</w:t>
      </w:r>
      <w:r>
        <w:rPr>
          <w:rFonts w:ascii="Arial" w:cs="Arial" w:eastAsia="Arial" w:hAnsi="Arial"/>
          <w:sz w:val="21"/>
          <w:szCs w:val="21"/>
          <w:b w:val="1"/>
          <w:bCs w:val="1"/>
          <w:u w:val="single" w:color="auto"/>
          <w:color w:val="0000FF"/>
        </w:rPr>
        <w:t>SOFR</w:t>
      </w:r>
      <w:r>
        <w:rPr>
          <w:rFonts w:ascii="Arial" w:cs="Arial" w:eastAsia="Arial" w:hAnsi="Arial"/>
          <w:sz w:val="21"/>
          <w:szCs w:val="21"/>
          <w:b w:val="1"/>
          <w:bCs w:val="1"/>
          <w:u w:val="single" w:color="auto"/>
          <w:color w:val="auto"/>
        </w:rPr>
        <w:t xml:space="preserve"> Advances and end on but excluding the date [one month subsequent to such date] [</w:t>
      </w:r>
      <w:r>
        <w:rPr>
          <w:rFonts w:ascii="Arial" w:cs="Arial" w:eastAsia="Arial" w:hAnsi="Arial"/>
          <w:sz w:val="21"/>
          <w:szCs w:val="21"/>
          <w:b w:val="1"/>
          <w:bCs w:val="1"/>
          <w:u w:val="single" w:color="auto"/>
          <w:color w:val="FF0000"/>
          <w:strike w:val="1"/>
        </w:rPr>
        <w:t>two months subsequent to such date] [</w:t>
      </w:r>
      <w:r>
        <w:rPr>
          <w:rFonts w:ascii="Arial" w:cs="Arial" w:eastAsia="Arial" w:hAnsi="Arial"/>
          <w:sz w:val="21"/>
          <w:szCs w:val="21"/>
          <w:b w:val="1"/>
          <w:bCs w:val="1"/>
          <w:u w:val="single" w:color="auto"/>
          <w:color w:val="auto"/>
        </w:rPr>
        <w:t>three months subsequent to such date] [six months subsequent to such date] [or such other time period subsequent to such date not to exceed six months as agreed upon by the Master Issuer and Administrative Agent.]</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0" w:firstLine="1497"/>
        <w:spacing w:after="0" w:line="282" w:lineRule="auto"/>
        <w:rPr>
          <w:sz w:val="20"/>
          <w:szCs w:val="20"/>
          <w:color w:val="auto"/>
        </w:rPr>
      </w:pPr>
      <w:r>
        <w:rPr>
          <w:rFonts w:ascii="Arial" w:cs="Arial" w:eastAsia="Arial" w:hAnsi="Arial"/>
          <w:sz w:val="19"/>
          <w:szCs w:val="19"/>
          <w:color w:val="auto"/>
        </w:rPr>
        <w:t xml:space="preserve">The undersigned hereby acknowledges that the delivery of this Advance Request and the acceptance by the undersigned of the proceeds of the Advances requested hereby constitute a representation and warranty by the undersigned that, on the date of such Advances, and before and after giving effect thereto and to the application of the proceeds therefrom, all conditions set forth in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of the Series 2021-1 Class A-1 Note Purchase Agreement have been satisfied and all statements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Series 2021-1 Class A-1 Note Purchase Agreement are true and correct.</w:t>
      </w:r>
    </w:p>
    <w:p>
      <w:pPr>
        <w:spacing w:after="0" w:line="147"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The undersigned agrees that if prior to the time of the Advances requested hereby any matter certified to herein by it will not be true and correct at such time as if then made, it will immediately so notify both you and each Investor. Except to the extent, if any, that prior to the time of the Advances requested hereby you and each Investor shall receive written notice to the contrary from the undersigned, each matter certified to herein shall be deemed once again to be certified as true and correct at the date of such Advances as if then made.</w:t>
      </w:r>
    </w:p>
    <w:p>
      <w:pPr>
        <w:spacing w:after="0" w:line="187"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 xml:space="preserve">Please wire transfer the proceeds of the Advances,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 ] to the Swingline Lender and $[ ] to the L/C Provider for application to repayment of outstanding Swingline Loans and Unreimbursed L/C Drawings, as applicable, and, </w:t>
      </w:r>
      <w:r>
        <w:rPr>
          <w:rFonts w:ascii="Arial" w:cs="Arial" w:eastAsia="Arial" w:hAnsi="Arial"/>
          <w:sz w:val="22"/>
          <w:szCs w:val="22"/>
          <w:u w:val="single" w:color="auto"/>
          <w:color w:val="auto"/>
        </w:rPr>
        <w:t>second</w:t>
      </w:r>
      <w:r>
        <w:rPr>
          <w:rFonts w:ascii="Arial" w:cs="Arial" w:eastAsia="Arial" w:hAnsi="Arial"/>
          <w:sz w:val="22"/>
          <w:szCs w:val="22"/>
          <w:color w:val="auto"/>
        </w:rPr>
        <w:t>, pursuant to the following instructions: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[insert payment instructions]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60" w:firstLine="1572"/>
        <w:spacing w:after="0" w:line="274" w:lineRule="auto"/>
        <w:rPr>
          <w:sz w:val="20"/>
          <w:szCs w:val="20"/>
          <w:color w:val="auto"/>
        </w:rPr>
      </w:pPr>
      <w:r>
        <w:rPr>
          <w:rFonts w:ascii="Arial" w:cs="Arial" w:eastAsia="Arial" w:hAnsi="Arial"/>
          <w:sz w:val="21"/>
          <w:szCs w:val="21"/>
          <w:color w:val="auto"/>
        </w:rPr>
        <w:t>The undersigned has caused this Advance Request to be executed and delivered, and the certification and warranties contained herein to be made, by its duly Authorized Officer this ____ day of , 20___.</w:t>
      </w:r>
    </w:p>
    <w:p>
      <w:pPr>
        <w:spacing w:after="0" w:line="200" w:lineRule="exact"/>
        <w:rPr>
          <w:sz w:val="20"/>
          <w:szCs w:val="20"/>
          <w:color w:val="auto"/>
        </w:rPr>
      </w:pPr>
    </w:p>
    <w:p>
      <w:pPr>
        <w:spacing w:after="0" w:line="38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DOMINO’S PIZZA LLC,</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as Manager on behalf of the Co-Issuers</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ind w:left="5540"/>
        <w:spacing w:after="0" w:line="238" w:lineRule="auto"/>
        <w:rPr>
          <w:sz w:val="20"/>
          <w:szCs w:val="20"/>
          <w:color w:val="auto"/>
        </w:rPr>
      </w:pPr>
      <w:r>
        <w:rPr>
          <w:rFonts w:ascii="Arial" w:cs="Arial" w:eastAsia="Arial" w:hAnsi="Arial"/>
          <w:sz w:val="22"/>
          <w:szCs w:val="22"/>
          <w:color w:val="auto"/>
        </w:rPr>
        <w:t>Name:</w:t>
      </w:r>
    </w:p>
    <w:p>
      <w:pPr>
        <w:jc w:val="center"/>
        <w:ind w:right="-39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96" w:right="45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u w:val="single" w:color="auto"/>
          <w:color w:val="auto"/>
        </w:rPr>
        <w:t>EXHIBIT A-2 TO CLASS A-1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NOTE PURCHASE AGREEMENT</w:t>
      </w:r>
    </w:p>
    <w:p>
      <w:pPr>
        <w:spacing w:after="0" w:line="19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SWINGLINE LOAN REQUEST</w:t>
      </w:r>
    </w:p>
    <w:p>
      <w:pPr>
        <w:spacing w:after="0" w:line="19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DOMINO’S PIZZA MASTER ISSUER LLC,</w:t>
      </w:r>
    </w:p>
    <w:p>
      <w:pPr>
        <w:spacing w:after="0" w:line="14" w:lineRule="exact"/>
        <w:rPr>
          <w:sz w:val="20"/>
          <w:szCs w:val="20"/>
          <w:color w:val="auto"/>
        </w:rPr>
      </w:pPr>
    </w:p>
    <w:p>
      <w:pPr>
        <w:jc w:val="center"/>
        <w:ind w:right="40"/>
        <w:spacing w:after="0" w:line="234" w:lineRule="auto"/>
        <w:rPr>
          <w:sz w:val="20"/>
          <w:szCs w:val="20"/>
          <w:color w:val="auto"/>
        </w:rPr>
      </w:pPr>
      <w:r>
        <w:rPr>
          <w:rFonts w:ascii="Arial" w:cs="Arial" w:eastAsia="Arial" w:hAnsi="Arial"/>
          <w:sz w:val="22"/>
          <w:szCs w:val="22"/>
          <w:b w:val="1"/>
          <w:bCs w:val="1"/>
          <w:color w:val="auto"/>
        </w:rPr>
        <w:t>DOMINO’S SPV CANADIAN HOLDING COMPANY INC., DOMINO’S PIZZA DISTRIBUTION LLC, AND DOMINO’S IP HOLDER LLC</w:t>
      </w:r>
    </w:p>
    <w:p>
      <w:pPr>
        <w:spacing w:after="0" w:line="195" w:lineRule="exact"/>
        <w:rPr>
          <w:sz w:val="20"/>
          <w:szCs w:val="20"/>
          <w:color w:val="auto"/>
        </w:rPr>
      </w:pPr>
    </w:p>
    <w:p>
      <w:pPr>
        <w:ind w:right="2360" w:firstLine="2361"/>
        <w:spacing w:after="0" w:line="474" w:lineRule="auto"/>
        <w:rPr>
          <w:sz w:val="20"/>
          <w:szCs w:val="20"/>
          <w:color w:val="auto"/>
        </w:rPr>
      </w:pPr>
      <w:r>
        <w:rPr>
          <w:rFonts w:ascii="Arial" w:cs="Arial" w:eastAsia="Arial" w:hAnsi="Arial"/>
          <w:sz w:val="22"/>
          <w:szCs w:val="22"/>
          <w:b w:val="1"/>
          <w:bCs w:val="1"/>
          <w:u w:val="single" w:color="auto"/>
          <w:color w:val="auto"/>
        </w:rPr>
        <w:t xml:space="preserve">SERIES 2021-1 VARIABLE FUNDING SENIOR NOTES, CLASS A-1 </w:t>
      </w:r>
      <w:r>
        <w:rPr>
          <w:rFonts w:ascii="Arial" w:cs="Arial" w:eastAsia="Arial" w:hAnsi="Arial"/>
          <w:sz w:val="22"/>
          <w:szCs w:val="22"/>
          <w:b w:val="1"/>
          <w:bCs w:val="1"/>
          <w:color w:val="auto"/>
        </w:rPr>
        <w:t>TO: Coöperatieve Rabobank U.A., New York Branch</w:t>
      </w:r>
      <w:r>
        <w:rPr>
          <w:rFonts w:ascii="Arial" w:cs="Arial" w:eastAsia="Arial" w:hAnsi="Arial"/>
          <w:sz w:val="22"/>
          <w:szCs w:val="22"/>
          <w:color w:val="auto"/>
        </w:rPr>
        <w:t>, as Swingline Lender</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160" w:firstLine="1497"/>
        <w:spacing w:after="0" w:line="245" w:lineRule="auto"/>
        <w:rPr>
          <w:sz w:val="20"/>
          <w:szCs w:val="20"/>
          <w:color w:val="auto"/>
        </w:rPr>
      </w:pPr>
      <w:r>
        <w:rPr>
          <w:rFonts w:ascii="Arial" w:cs="Arial" w:eastAsia="Arial" w:hAnsi="Arial"/>
          <w:sz w:val="21"/>
          <w:szCs w:val="21"/>
          <w:color w:val="auto"/>
        </w:rPr>
        <w:t xml:space="preserve">This Swingline Loan Request is delivered to you pursuant to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of that certain Series 2021-1 Class A-1 Note Purchase Agreement, dated as of April 16, 2021 (as amended, supplemented, amended and restated or otherwise modified from time to time, the </w:t>
      </w:r>
      <w:r>
        <w:rPr>
          <w:rFonts w:ascii="Arial" w:cs="Arial" w:eastAsia="Arial" w:hAnsi="Arial"/>
          <w:sz w:val="21"/>
          <w:szCs w:val="21"/>
          <w:u w:val="single" w:color="auto"/>
          <w:color w:val="auto"/>
        </w:rPr>
        <w:t>“Series 2021-1 Class A-1 Note Purchase Agreement”)</w:t>
      </w:r>
      <w:r>
        <w:rPr>
          <w:rFonts w:ascii="Arial" w:cs="Arial" w:eastAsia="Arial" w:hAnsi="Arial"/>
          <w:sz w:val="21"/>
          <w:szCs w:val="21"/>
          <w:color w:val="auto"/>
        </w:rPr>
        <w:t>, by and among Domino’s Pizza Master Issuer LLC, Domino’s SPV Canadian Holding Company Inc., Domino’s Pizza Distribution, LLC and Domino’s IP Holder LLC, as Co-Issuers, Domino’s Pizza Franchising LLC, Domino’s Pizza International Franchising Inc., Domino’s Pizza Canadian Distribution ULC, Domino’s Re LLC, Domino’s EQ LLC And Domino’s SPV Guarantor LLC, as Guarantors, Domino’s Pizza LLC, as Manager, the Conduit Investors, Committed Note Purchasers and Funding Agents named therein, the L/C Provider and Swingline Lender named therein, and Coöperatieve Rabobank U.A., New York Branch,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84" w:lineRule="exact"/>
        <w:rPr>
          <w:sz w:val="20"/>
          <w:szCs w:val="20"/>
          <w:color w:val="auto"/>
        </w:rPr>
      </w:pPr>
    </w:p>
    <w:p>
      <w:pPr>
        <w:ind w:right="100" w:firstLine="1497"/>
        <w:spacing w:after="0" w:line="328" w:lineRule="auto"/>
        <w:rPr>
          <w:sz w:val="20"/>
          <w:szCs w:val="20"/>
          <w:color w:val="auto"/>
        </w:rPr>
      </w:pPr>
      <w:r>
        <w:rPr>
          <w:rFonts w:ascii="Arial" w:cs="Arial" w:eastAsia="Arial" w:hAnsi="Arial"/>
          <w:sz w:val="19"/>
          <w:szCs w:val="19"/>
          <w:color w:val="auto"/>
        </w:rPr>
        <w:t xml:space="preserve">Unless otherwise defined herein or as the context otherwise requires, terms used herein have the meaning assigned thereto under or as provided in the Recitals and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Series 2021-1 Class A-1 Note Purchase Agreement.</w:t>
      </w:r>
    </w:p>
    <w:p>
      <w:pPr>
        <w:spacing w:after="0" w:line="118" w:lineRule="exact"/>
        <w:rPr>
          <w:sz w:val="20"/>
          <w:szCs w:val="20"/>
          <w:color w:val="auto"/>
        </w:rPr>
      </w:pPr>
    </w:p>
    <w:p>
      <w:pPr>
        <w:ind w:right="3680" w:firstLine="1497"/>
        <w:spacing w:after="0" w:line="250" w:lineRule="auto"/>
        <w:rPr>
          <w:sz w:val="20"/>
          <w:szCs w:val="20"/>
          <w:color w:val="auto"/>
        </w:rPr>
      </w:pPr>
      <w:r>
        <w:rPr>
          <w:rFonts w:ascii="Arial" w:cs="Arial" w:eastAsia="Arial" w:hAnsi="Arial"/>
          <w:sz w:val="22"/>
          <w:szCs w:val="22"/>
          <w:color w:val="auto"/>
        </w:rPr>
        <w:t>The undersigned hereby requests that Swingline Loans be made in the aggregate principal amount of $ on , 20___.</w:t>
      </w:r>
    </w:p>
    <w:p>
      <w:pPr>
        <w:spacing w:after="0" w:line="175" w:lineRule="exact"/>
        <w:rPr>
          <w:sz w:val="20"/>
          <w:szCs w:val="20"/>
          <w:color w:val="auto"/>
        </w:rPr>
      </w:pPr>
    </w:p>
    <w:p>
      <w:pPr>
        <w:ind w:right="180" w:firstLine="1497"/>
        <w:spacing w:after="0" w:line="282" w:lineRule="auto"/>
        <w:rPr>
          <w:sz w:val="20"/>
          <w:szCs w:val="20"/>
          <w:color w:val="auto"/>
        </w:rPr>
      </w:pPr>
      <w:r>
        <w:rPr>
          <w:rFonts w:ascii="Arial" w:cs="Arial" w:eastAsia="Arial" w:hAnsi="Arial"/>
          <w:sz w:val="19"/>
          <w:szCs w:val="19"/>
          <w:color w:val="auto"/>
        </w:rPr>
        <w:t xml:space="preserve">The undersigned hereby acknowledges that the delivery of this Swingline Loan Request and the acceptance by the undersigned of the proceeds of the Swingline Loans requested hereby constitute a representation and warranty by the undersigned that, on the date of such Advances, and before and after giving effect thereto and to the application of the proceeds therefrom, all conditions set forth in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of the Series 2021-1 Class A-1 Note Purchase Agreement have been satisfied and all statements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Series 2021-1 Class A-1 Note Purchase Agreement are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41" w:name="page142"/>
    <w:bookmarkEnd w:id="141"/>
    <w:p>
      <w:pPr>
        <w:ind w:right="120" w:firstLine="1497"/>
        <w:spacing w:after="0" w:line="236" w:lineRule="auto"/>
        <w:rPr>
          <w:sz w:val="20"/>
          <w:szCs w:val="20"/>
          <w:color w:val="auto"/>
        </w:rPr>
      </w:pPr>
      <w:r>
        <w:rPr>
          <w:rFonts w:ascii="Arial" w:cs="Arial" w:eastAsia="Arial" w:hAnsi="Arial"/>
          <w:sz w:val="22"/>
          <w:szCs w:val="22"/>
          <w:color w:val="auto"/>
        </w:rPr>
        <w:t>The undersigned agrees that if prior to the time of the Swingline Loans requested hereby any matter certified to herein by it will not be true and correct at such time as if then made, it will immediately so notify you. Except to the extent, if any, that prior to the time of the Swingline Loans requested hereby you shall receive written notice to the contrary from the undersigned, each matter certified to herein shall be deemed once again to be certified as true and correct at the date of such Swingline Loans as if then made.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Please wire transfer the proceeds of the Swingline Loans pursuant to the following instructions: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[insert payment instructions]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20" w:firstLine="1572"/>
        <w:spacing w:after="0" w:line="245" w:lineRule="auto"/>
        <w:rPr>
          <w:sz w:val="20"/>
          <w:szCs w:val="20"/>
          <w:color w:val="auto"/>
        </w:rPr>
      </w:pPr>
      <w:r>
        <w:rPr>
          <w:rFonts w:ascii="Arial" w:cs="Arial" w:eastAsia="Arial" w:hAnsi="Arial"/>
          <w:sz w:val="22"/>
          <w:szCs w:val="22"/>
          <w:color w:val="auto"/>
        </w:rPr>
        <w:t>The undersigned has caused this Swingline Loan Request to be executed and delivered, and the certification and warranties contained herein to be made, by its duly</w:t>
      </w:r>
    </w:p>
    <w:p>
      <w:pPr>
        <w:spacing w:after="0" w:line="1"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Authorized Officer this ____ day of</w:t>
      </w:r>
      <w:r>
        <w:rPr>
          <w:sz w:val="20"/>
          <w:szCs w:val="20"/>
          <w:color w:val="auto"/>
        </w:rPr>
        <w:tab/>
      </w:r>
      <w:r>
        <w:rPr>
          <w:rFonts w:ascii="Arial" w:cs="Arial" w:eastAsia="Arial" w:hAnsi="Arial"/>
          <w:sz w:val="19"/>
          <w:szCs w:val="19"/>
          <w:color w:val="auto"/>
        </w:rPr>
        <w:t>, 20___.</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DOMINO’S PIZZA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Manager on behalf of the Co-Issuers</w:t>
      </w:r>
    </w:p>
    <w:p>
      <w:pPr>
        <w:spacing w:after="0" w:line="200" w:lineRule="exact"/>
        <w:rPr>
          <w:sz w:val="20"/>
          <w:szCs w:val="20"/>
          <w:color w:val="auto"/>
        </w:rPr>
      </w:pPr>
    </w:p>
    <w:p>
      <w:pPr>
        <w:spacing w:after="0" w:line="27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ind w:left="4960"/>
        <w:spacing w:after="0" w:line="238" w:lineRule="auto"/>
        <w:rPr>
          <w:sz w:val="20"/>
          <w:szCs w:val="20"/>
          <w:color w:val="auto"/>
        </w:rPr>
      </w:pPr>
      <w:r>
        <w:rPr>
          <w:rFonts w:ascii="Arial" w:cs="Arial" w:eastAsia="Arial" w:hAnsi="Arial"/>
          <w:sz w:val="22"/>
          <w:szCs w:val="22"/>
          <w:color w:val="auto"/>
        </w:rPr>
        <w:t>Name:</w:t>
      </w:r>
    </w:p>
    <w:p>
      <w:pPr>
        <w:ind w:left="49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40"/>
        <w:spacing w:after="0"/>
        <w:rPr>
          <w:sz w:val="20"/>
          <w:szCs w:val="20"/>
          <w:color w:val="auto"/>
        </w:rPr>
      </w:pPr>
      <w:r>
        <w:rPr>
          <w:rFonts w:ascii="Arial" w:cs="Arial" w:eastAsia="Arial" w:hAnsi="Arial"/>
          <w:sz w:val="21"/>
          <w:szCs w:val="21"/>
          <w:b w:val="1"/>
          <w:bCs w:val="1"/>
          <w:u w:val="single" w:color="auto"/>
          <w:color w:val="auto"/>
        </w:rPr>
        <w:t>EXHIBIT B TO CLASS A-1</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21"/>
          <w:szCs w:val="21"/>
          <w:b w:val="1"/>
          <w:bCs w:val="1"/>
          <w:u w:val="single" w:color="auto"/>
          <w:color w:val="auto"/>
        </w:rPr>
        <w:t>NOTE PURCHASE AGREEMENT</w:t>
      </w:r>
    </w:p>
    <w:p>
      <w:pPr>
        <w:spacing w:after="0" w:line="194" w:lineRule="exact"/>
        <w:rPr>
          <w:sz w:val="20"/>
          <w:szCs w:val="20"/>
          <w:color w:val="auto"/>
        </w:rPr>
      </w:pPr>
    </w:p>
    <w:p>
      <w:pPr>
        <w:ind w:firstLine="4348"/>
        <w:spacing w:after="0" w:line="241" w:lineRule="auto"/>
        <w:rPr>
          <w:sz w:val="20"/>
          <w:szCs w:val="20"/>
          <w:color w:val="auto"/>
        </w:rPr>
      </w:pPr>
      <w:r>
        <w:rPr>
          <w:rFonts w:ascii="Arial" w:cs="Arial" w:eastAsia="Arial" w:hAnsi="Arial"/>
          <w:sz w:val="22"/>
          <w:szCs w:val="22"/>
          <w:b w:val="1"/>
          <w:bCs w:val="1"/>
          <w:color w:val="auto"/>
        </w:rPr>
        <w:t>ASSIGNMENT AND ASSUMPTION AGREEMENT</w:t>
      </w:r>
      <w:r>
        <w:rPr>
          <w:rFonts w:ascii="Arial" w:cs="Arial" w:eastAsia="Arial" w:hAnsi="Arial"/>
          <w:sz w:val="22"/>
          <w:szCs w:val="22"/>
          <w:color w:val="auto"/>
        </w:rPr>
        <w:t>, dated as of [ ], by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among [ </w:t>
      </w:r>
      <w:r>
        <w:rPr>
          <w:rFonts w:ascii="Arial" w:cs="Arial" w:eastAsia="Arial" w:hAnsi="Arial"/>
          <w:sz w:val="22"/>
          <w:szCs w:val="22"/>
          <w:u w:val="single" w:color="auto"/>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Transferor</w:t>
      </w:r>
      <w:r>
        <w:rPr>
          <w:rFonts w:ascii="Arial" w:cs="Arial" w:eastAsia="Arial" w:hAnsi="Arial"/>
          <w:sz w:val="22"/>
          <w:szCs w:val="22"/>
          <w:color w:val="auto"/>
        </w:rPr>
        <w:t>”), each purchaser listed as an Acquiring Committed</w:t>
      </w:r>
    </w:p>
    <w:p>
      <w:pPr>
        <w:spacing w:after="0" w:line="2" w:lineRule="exact"/>
        <w:rPr>
          <w:sz w:val="20"/>
          <w:szCs w:val="20"/>
          <w:color w:val="auto"/>
        </w:rPr>
      </w:pPr>
    </w:p>
    <w:p>
      <w:pPr>
        <w:ind w:right="440"/>
        <w:spacing w:after="0" w:line="234" w:lineRule="auto"/>
        <w:rPr>
          <w:sz w:val="20"/>
          <w:szCs w:val="20"/>
          <w:color w:val="auto"/>
        </w:rPr>
      </w:pPr>
      <w:r>
        <w:rPr>
          <w:rFonts w:ascii="Arial" w:cs="Arial" w:eastAsia="Arial" w:hAnsi="Arial"/>
          <w:sz w:val="22"/>
          <w:szCs w:val="22"/>
          <w:color w:val="auto"/>
        </w:rPr>
        <w:t>Note Purchaser on the signature pages hereof (each, an “</w:t>
      </w:r>
      <w:r>
        <w:rPr>
          <w:rFonts w:ascii="Arial" w:cs="Arial" w:eastAsia="Arial" w:hAnsi="Arial"/>
          <w:sz w:val="22"/>
          <w:szCs w:val="22"/>
          <w:u w:val="single" w:color="auto"/>
          <w:color w:val="auto"/>
        </w:rPr>
        <w:t>Acquiring Committed Note Purchaser</w:t>
      </w:r>
      <w:r>
        <w:rPr>
          <w:rFonts w:ascii="Arial" w:cs="Arial" w:eastAsia="Arial" w:hAnsi="Arial"/>
          <w:sz w:val="22"/>
          <w:szCs w:val="22"/>
          <w:color w:val="auto"/>
        </w:rPr>
        <w:t>”), the Funding Agent with respect to such Acquiring Committed Note Purchaser listed on the signature pages hereof (each, a “</w:t>
      </w:r>
      <w:r>
        <w:rPr>
          <w:rFonts w:ascii="Arial" w:cs="Arial" w:eastAsia="Arial" w:hAnsi="Arial"/>
          <w:sz w:val="22"/>
          <w:szCs w:val="22"/>
          <w:u w:val="single" w:color="auto"/>
          <w:color w:val="auto"/>
        </w:rPr>
        <w:t>Funding Agent</w:t>
      </w:r>
      <w:r>
        <w:rPr>
          <w:rFonts w:ascii="Arial" w:cs="Arial" w:eastAsia="Arial" w:hAnsi="Arial"/>
          <w:sz w:val="22"/>
          <w:szCs w:val="22"/>
          <w:color w:val="auto"/>
        </w:rPr>
        <w:t>”), and the Co-Issuers, Swingline Lender and L/C Provider listed on the signature pages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-338455</wp:posOffset>
            </wp:positionV>
            <wp:extent cx="342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p>
    <w:p>
      <w:pPr>
        <w:spacing w:after="0" w:line="206" w:lineRule="exact"/>
        <w:rPr>
          <w:sz w:val="20"/>
          <w:szCs w:val="20"/>
          <w:color w:val="auto"/>
        </w:rPr>
      </w:pPr>
    </w:p>
    <w:p>
      <w:pPr>
        <w:ind w:right="220" w:firstLine="1497"/>
        <w:spacing w:after="0" w:line="236" w:lineRule="auto"/>
        <w:rPr>
          <w:sz w:val="20"/>
          <w:szCs w:val="20"/>
          <w:color w:val="auto"/>
        </w:rPr>
      </w:pPr>
      <w:r>
        <w:rPr>
          <w:rFonts w:ascii="Arial" w:cs="Arial" w:eastAsia="Arial" w:hAnsi="Arial"/>
          <w:sz w:val="22"/>
          <w:szCs w:val="22"/>
          <w:color w:val="auto"/>
        </w:rPr>
        <w:t xml:space="preserve">WHEREAS, this Assignment and Assumption Agreement is being executed and delivered in accordance with </w:t>
      </w:r>
      <w:r>
        <w:rPr>
          <w:rFonts w:ascii="Arial" w:cs="Arial" w:eastAsia="Arial" w:hAnsi="Arial"/>
          <w:sz w:val="22"/>
          <w:szCs w:val="22"/>
          <w:u w:val="single" w:color="auto"/>
          <w:color w:val="auto"/>
        </w:rPr>
        <w:t>Section 9.17(a)</w:t>
      </w:r>
      <w:r>
        <w:rPr>
          <w:rFonts w:ascii="Arial" w:cs="Arial" w:eastAsia="Arial" w:hAnsi="Arial"/>
          <w:sz w:val="22"/>
          <w:szCs w:val="22"/>
          <w:color w:val="auto"/>
        </w:rPr>
        <w:t xml:space="preserve"> of the Series 2021-1 Class A-1 Note Purchase Agreement, dated as of April 16, 2021 (as from time to time amended, supplemented or otherwise modified in accordance with the terms thereof, the “</w:t>
      </w:r>
      <w:r>
        <w:rPr>
          <w:rFonts w:ascii="Arial" w:cs="Arial" w:eastAsia="Arial" w:hAnsi="Arial"/>
          <w:sz w:val="22"/>
          <w:szCs w:val="22"/>
          <w:u w:val="single" w:color="auto"/>
          <w:color w:val="auto"/>
        </w:rPr>
        <w:t>Series 2021-1 Class A-1 Note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Agreement</w:t>
      </w:r>
      <w:r>
        <w:rPr>
          <w:rFonts w:ascii="Arial" w:cs="Arial" w:eastAsia="Arial" w:hAnsi="Arial"/>
          <w:sz w:val="22"/>
          <w:szCs w:val="22"/>
          <w:color w:val="auto"/>
        </w:rPr>
        <w:t>”; terms used but not otherwise defined herein having the meanings ascribed to such terms therein), by and among the Co-Issuers, the Guarantors, the Manager,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42" w:name="page143"/>
    <w:bookmarkEnd w:id="142"/>
    <w:p>
      <w:pPr>
        <w:jc w:val="both"/>
        <w:ind w:right="460"/>
        <w:spacing w:after="0"/>
        <w:rPr>
          <w:sz w:val="20"/>
          <w:szCs w:val="20"/>
          <w:color w:val="auto"/>
        </w:rPr>
      </w:pPr>
      <w:r>
        <w:rPr>
          <w:rFonts w:ascii="Arial" w:cs="Arial" w:eastAsia="Arial" w:hAnsi="Arial"/>
          <w:sz w:val="22"/>
          <w:szCs w:val="22"/>
          <w:color w:val="auto"/>
        </w:rPr>
        <w:t>Conduit Investors, Committed Note Purchasers and Funding Agents named therein, the L/C Provider and Swingline Lender named therein, Domino’s Pizza LLC, as Manager, and Coöperatieve Rabobank U.A., New York Branch,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6" w:lineRule="exact"/>
        <w:rPr>
          <w:sz w:val="20"/>
          <w:szCs w:val="20"/>
          <w:color w:val="auto"/>
        </w:rPr>
      </w:pPr>
    </w:p>
    <w:p>
      <w:pPr>
        <w:ind w:right="160" w:firstLine="1497"/>
        <w:spacing w:after="0" w:line="328" w:lineRule="auto"/>
        <w:rPr>
          <w:sz w:val="20"/>
          <w:szCs w:val="20"/>
          <w:color w:val="auto"/>
        </w:rPr>
      </w:pPr>
      <w:r>
        <w:rPr>
          <w:rFonts w:ascii="Arial" w:cs="Arial" w:eastAsia="Arial" w:hAnsi="Arial"/>
          <w:sz w:val="19"/>
          <w:szCs w:val="19"/>
          <w:color w:val="auto"/>
        </w:rPr>
        <w:t>WHEREAS, each Acquiring Committed Note Purchaser (if it is not already an existing Committed Note Purchaser) wishes to become a Committed Note Purchaser party to the Series 2021-1 Class A-1 Note Purchase Agreement; and</w:t>
      </w:r>
    </w:p>
    <w:p>
      <w:pPr>
        <w:spacing w:after="0" w:line="105" w:lineRule="exact"/>
        <w:rPr>
          <w:sz w:val="20"/>
          <w:szCs w:val="20"/>
          <w:color w:val="auto"/>
        </w:rPr>
      </w:pPr>
    </w:p>
    <w:p>
      <w:pPr>
        <w:ind w:right="340" w:firstLine="1497"/>
        <w:spacing w:after="0" w:line="238" w:lineRule="auto"/>
        <w:rPr>
          <w:sz w:val="20"/>
          <w:szCs w:val="20"/>
          <w:color w:val="auto"/>
        </w:rPr>
      </w:pPr>
      <w:r>
        <w:rPr>
          <w:rFonts w:ascii="Arial" w:cs="Arial" w:eastAsia="Arial" w:hAnsi="Arial"/>
          <w:sz w:val="22"/>
          <w:szCs w:val="22"/>
          <w:color w:val="auto"/>
        </w:rPr>
        <w:t xml:space="preserve">WHEREAS, the Transferor is selling and assigning to each Acquiring Committed Note Purchaser, [all] [a portion of] its rights, obligations and commitments under the Series 2021-1 Class A-1 Note Purchase Agreement, the Series 2021-1 Class A-1 Advance Notes and each other Related Document to which it is a party with respect to the percentage of its Commitment Amount specified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20" w:lineRule="exact"/>
        <w:rPr>
          <w:sz w:val="20"/>
          <w:szCs w:val="20"/>
          <w:color w:val="auto"/>
        </w:rPr>
      </w:pPr>
    </w:p>
    <w:p>
      <w:pPr>
        <w:ind w:right="40" w:firstLine="1497"/>
        <w:spacing w:after="0" w:line="249" w:lineRule="auto"/>
        <w:rPr>
          <w:sz w:val="20"/>
          <w:szCs w:val="20"/>
          <w:color w:val="auto"/>
        </w:rPr>
      </w:pPr>
      <w:r>
        <w:rPr>
          <w:rFonts w:ascii="Arial" w:cs="Arial" w:eastAsia="Arial" w:hAnsi="Arial"/>
          <w:sz w:val="21"/>
          <w:szCs w:val="21"/>
          <w:color w:val="auto"/>
        </w:rPr>
        <w:t xml:space="preserve">Upon the execution and delivery of this Assignment and Assumption Agreement by each Acquiring Committed Note Purchaser, each related Funding Agent, the Transferor, the Swingline Lender, the L/C Provider and, to the extent required by </w:t>
      </w:r>
      <w:r>
        <w:rPr>
          <w:rFonts w:ascii="Arial" w:cs="Arial" w:eastAsia="Arial" w:hAnsi="Arial"/>
          <w:sz w:val="21"/>
          <w:szCs w:val="21"/>
          <w:u w:val="single" w:color="auto"/>
          <w:color w:val="auto"/>
        </w:rPr>
        <w:t>Section 9.17(a)</w:t>
      </w:r>
      <w:r>
        <w:rPr>
          <w:rFonts w:ascii="Arial" w:cs="Arial" w:eastAsia="Arial" w:hAnsi="Arial"/>
          <w:sz w:val="21"/>
          <w:szCs w:val="21"/>
          <w:color w:val="auto"/>
        </w:rPr>
        <w:t xml:space="preserve"> of the Series 2021-1 Class A-1 Note Purchase Agreement, the Co-Issuers (the date of such execution and delivery, the “</w:t>
      </w:r>
      <w:r>
        <w:rPr>
          <w:rFonts w:ascii="Arial" w:cs="Arial" w:eastAsia="Arial" w:hAnsi="Arial"/>
          <w:sz w:val="21"/>
          <w:szCs w:val="21"/>
          <w:u w:val="single" w:color="auto"/>
          <w:color w:val="auto"/>
        </w:rPr>
        <w:t>Transfer Issuance Date</w:t>
      </w:r>
      <w:r>
        <w:rPr>
          <w:rFonts w:ascii="Arial" w:cs="Arial" w:eastAsia="Arial" w:hAnsi="Arial"/>
          <w:sz w:val="21"/>
          <w:szCs w:val="21"/>
          <w:color w:val="auto"/>
        </w:rPr>
        <w:t>”), each Acquiring Committed Note Purchaser shall be a Committed Note Purchaser party to the Series 2021-1 Class A-1 Note Purchase Agreement for all purposes thereof.</w:t>
      </w:r>
    </w:p>
    <w:p>
      <w:pPr>
        <w:spacing w:after="0" w:line="165" w:lineRule="exact"/>
        <w:rPr>
          <w:sz w:val="20"/>
          <w:szCs w:val="20"/>
          <w:color w:val="auto"/>
        </w:rPr>
      </w:pPr>
    </w:p>
    <w:p>
      <w:pPr>
        <w:ind w:right="200" w:firstLine="1497"/>
        <w:spacing w:after="0" w:line="271" w:lineRule="auto"/>
        <w:rPr>
          <w:sz w:val="20"/>
          <w:szCs w:val="20"/>
          <w:color w:val="auto"/>
        </w:rPr>
      </w:pPr>
      <w:r>
        <w:rPr>
          <w:rFonts w:ascii="Arial" w:cs="Arial" w:eastAsia="Arial" w:hAnsi="Arial"/>
          <w:sz w:val="19"/>
          <w:szCs w:val="19"/>
          <w:color w:val="auto"/>
        </w:rPr>
        <w:t>The Transferor acknowledges receipt from each Acquiring Committed Note Purchaser of an amount equal to the purchase price, as agreed between the Transferor and such Acquiring Committed Note Purchaser (the “</w:t>
      </w:r>
      <w:r>
        <w:rPr>
          <w:rFonts w:ascii="Arial" w:cs="Arial" w:eastAsia="Arial" w:hAnsi="Arial"/>
          <w:sz w:val="19"/>
          <w:szCs w:val="19"/>
          <w:u w:val="single" w:color="auto"/>
          <w:color w:val="auto"/>
        </w:rPr>
        <w:t>Purchase Price</w:t>
      </w:r>
      <w:r>
        <w:rPr>
          <w:rFonts w:ascii="Arial" w:cs="Arial" w:eastAsia="Arial" w:hAnsi="Arial"/>
          <w:sz w:val="19"/>
          <w:szCs w:val="19"/>
          <w:color w:val="auto"/>
        </w:rPr>
        <w:t>”), of the portion being purchased by such Acquiring Committed Note Purchaser (such Acquiring Committed Note Purchaser’s “</w:t>
      </w:r>
      <w:r>
        <w:rPr>
          <w:rFonts w:ascii="Arial" w:cs="Arial" w:eastAsia="Arial" w:hAnsi="Arial"/>
          <w:sz w:val="19"/>
          <w:szCs w:val="19"/>
          <w:u w:val="single" w:color="auto"/>
          <w:color w:val="auto"/>
        </w:rPr>
        <w:t>Purchased Percentage</w:t>
      </w:r>
      <w:r>
        <w:rPr>
          <w:rFonts w:ascii="Arial" w:cs="Arial" w:eastAsia="Arial" w:hAnsi="Arial"/>
          <w:sz w:val="19"/>
          <w:szCs w:val="19"/>
          <w:color w:val="auto"/>
        </w:rPr>
        <w:t>”) of (i) the Transferor’s Commitment under the Series 2021-1 Class A-1</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Note Purchase Agreement and (ii) the Transferor’s Committed Note Purchaser Percentage of the related Investor Group Principal Amount. The Transferor hereby irrevocably sells, assigns and transfers to each Acquiring Committed Note Purchaser, without recourse, representation or warranty, and each Acquiring Committed Note Purchaser hereby irrevocably purchases, takes and assumes from the Transferor, such Acquiring Committed Note Purchaser’s Purchased Percentage of (x) the Transferor’s Commitment under the Series 2021-1 Class A-1 Note Purchase Agreement and (y) the Transferor’s Committed Note Purchaser Percentage of the related Investor Group Principal Amount.</w:t>
      </w:r>
    </w:p>
    <w:p>
      <w:pPr>
        <w:spacing w:after="0" w:line="183" w:lineRule="exact"/>
        <w:rPr>
          <w:sz w:val="20"/>
          <w:szCs w:val="20"/>
          <w:color w:val="auto"/>
        </w:rPr>
      </w:pPr>
    </w:p>
    <w:p>
      <w:pPr>
        <w:ind w:right="160" w:firstLine="1497"/>
        <w:spacing w:after="0" w:line="235" w:lineRule="auto"/>
        <w:rPr>
          <w:sz w:val="20"/>
          <w:szCs w:val="20"/>
          <w:color w:val="auto"/>
        </w:rPr>
      </w:pPr>
      <w:r>
        <w:rPr>
          <w:rFonts w:ascii="Arial" w:cs="Arial" w:eastAsia="Arial" w:hAnsi="Arial"/>
          <w:sz w:val="22"/>
          <w:szCs w:val="22"/>
          <w:color w:val="auto"/>
        </w:rPr>
        <w:t>The Transferor has made arrangements with each Acquiring Committed Note Purchaser with respect to (i) the portion, if any, to be paid, and the date or dates for payment, by the Transferor to such Acquiring Committed Note Purchaser of any program fees, undrawn facility fee, structuring and commitment fees or other fees (collectively, the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[heretofore received] by the Transferor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the Series 2021-1 Class A-1 Note Purchase Agreement prior to the Transfer Issuance Date [and (ii) the portion, if any, to be paid, and the date or dates for payment, by such Acquiring Committed Note Purchaser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4" w:right="419" w:bottom="1440" w:gutter="0" w:footer="0" w:header="0"/>
        </w:sectPr>
      </w:pPr>
    </w:p>
    <w:bookmarkStart w:id="143" w:name="page144"/>
    <w:bookmarkEnd w:id="143"/>
    <w:p>
      <w:pPr>
        <w:ind w:right="3740"/>
        <w:spacing w:after="0" w:line="328" w:lineRule="auto"/>
        <w:rPr>
          <w:sz w:val="20"/>
          <w:szCs w:val="20"/>
          <w:color w:val="auto"/>
        </w:rPr>
      </w:pPr>
      <w:r>
        <w:rPr>
          <w:rFonts w:ascii="Arial" w:cs="Arial" w:eastAsia="Arial" w:hAnsi="Arial"/>
          <w:sz w:val="19"/>
          <w:szCs w:val="19"/>
          <w:color w:val="auto"/>
        </w:rPr>
        <w:t xml:space="preserve">Transferor of Fees or [ </w:t>
      </w:r>
      <w:r>
        <w:rPr>
          <w:rFonts w:ascii="Arial" w:cs="Arial" w:eastAsia="Arial" w:hAnsi="Arial"/>
          <w:sz w:val="19"/>
          <w:szCs w:val="19"/>
          <w:u w:val="single" w:color="auto"/>
          <w:color w:val="auto"/>
        </w:rPr>
        <w:t>]</w:t>
      </w:r>
      <w:r>
        <w:rPr>
          <w:rFonts w:ascii="Arial" w:cs="Arial" w:eastAsia="Arial" w:hAnsi="Arial"/>
          <w:sz w:val="19"/>
          <w:szCs w:val="19"/>
          <w:color w:val="auto"/>
        </w:rPr>
        <w:t xml:space="preserve"> received by such Acquiring Committed Note Purchaser pursuant to the Series 2021-1 Supplement from and after the Transfer Issuance Date].</w:t>
      </w:r>
    </w:p>
    <w:p>
      <w:pPr>
        <w:spacing w:after="0" w:line="105" w:lineRule="exact"/>
        <w:rPr>
          <w:sz w:val="20"/>
          <w:szCs w:val="20"/>
          <w:color w:val="auto"/>
        </w:rPr>
      </w:pPr>
    </w:p>
    <w:p>
      <w:pPr>
        <w:ind w:firstLine="1497"/>
        <w:spacing w:after="0" w:line="282" w:lineRule="auto"/>
        <w:rPr>
          <w:sz w:val="20"/>
          <w:szCs w:val="20"/>
          <w:color w:val="auto"/>
        </w:rPr>
      </w:pPr>
      <w:r>
        <w:rPr>
          <w:rFonts w:ascii="Arial" w:cs="Arial" w:eastAsia="Arial" w:hAnsi="Arial"/>
          <w:sz w:val="19"/>
          <w:szCs w:val="19"/>
          <w:color w:val="auto"/>
        </w:rPr>
        <w:t>From and after the Transfer Issuance Date, amounts that would otherwise be payable to or for the account of the Transferor pursuant to the Series 2021-1 Supplement or the Series 2021-1 Class A-1 Note Purchase Agreement shall, instead, be payable to or for the account of the Transferor and the Acquiring Committed Note Purchasers, as the case may be, in accordance with their respective interests as reflected in this Assignment and Assumption Agreement, whether such amounts have accrued prior to the Transfer Issuance Date or accrue subsequent to the Transfer Issuance Date.</w:t>
      </w:r>
    </w:p>
    <w:p>
      <w:pPr>
        <w:spacing w:after="0" w:line="147" w:lineRule="exact"/>
        <w:rPr>
          <w:sz w:val="20"/>
          <w:szCs w:val="20"/>
          <w:color w:val="auto"/>
        </w:rPr>
      </w:pPr>
    </w:p>
    <w:p>
      <w:pPr>
        <w:ind w:right="20" w:firstLine="1497"/>
        <w:spacing w:after="0" w:line="297" w:lineRule="auto"/>
        <w:rPr>
          <w:sz w:val="20"/>
          <w:szCs w:val="20"/>
          <w:color w:val="auto"/>
        </w:rPr>
      </w:pPr>
      <w:r>
        <w:rPr>
          <w:rFonts w:ascii="Arial" w:cs="Arial" w:eastAsia="Arial" w:hAnsi="Arial"/>
          <w:sz w:val="19"/>
          <w:szCs w:val="19"/>
          <w:color w:val="auto"/>
        </w:rPr>
        <w:t>Each of the parties to this Assignment and Assumption Agreement agrees that, at any time and from time to time upon the written request of any other party, it will execute and deliver such further documents and do such further acts and things as such other party may reasonably request in order to effect the purposes of this Assignment and Assumption Agreement.</w:t>
      </w:r>
    </w:p>
    <w:p>
      <w:pPr>
        <w:spacing w:after="0" w:line="120" w:lineRule="exact"/>
        <w:rPr>
          <w:sz w:val="20"/>
          <w:szCs w:val="20"/>
          <w:color w:val="auto"/>
        </w:rPr>
      </w:pPr>
    </w:p>
    <w:p>
      <w:pPr>
        <w:ind w:right="40" w:firstLine="1497"/>
        <w:spacing w:after="0" w:line="268" w:lineRule="auto"/>
        <w:rPr>
          <w:sz w:val="20"/>
          <w:szCs w:val="20"/>
          <w:color w:val="auto"/>
        </w:rPr>
      </w:pPr>
      <w:r>
        <w:rPr>
          <w:rFonts w:ascii="Arial" w:cs="Arial" w:eastAsia="Arial" w:hAnsi="Arial"/>
          <w:sz w:val="19"/>
          <w:szCs w:val="19"/>
          <w:color w:val="auto"/>
        </w:rPr>
        <w:t>By executing and delivering this Assignment and Assumption Agreement, the Transferor and each Acquiring Committed Note Purchaser confirm to and agree with each other and the other parties to the Series 2021-1 Class A-1 Note Purchase Agreement as follows: (i) other than the representation and warranty that it is the legal and beneficial owner of the interest being assigned hereby free and clear of any adverse claim, the Transferor makes no representation or warranty and assumes no responsibility with respect to any statements, warranties or representations made in or in connection with the Series 2021-1 Supplement, the Series 2021-1 Class A-1 Note Purchase Agreement or the execution, legality, validity, enforceability, genuineness, sufficiency or value of the Indenture, the Series 2021-1 Class A-1 Notes, the Related Documents or any instrument or document furnished pursuant thereto; (ii) the Transferor makes no representation or warranty and assumes no responsibility with respect to the financial condition of the Co-Issuers or the performance or observance by the Co-Issuers of any of the Co-Issuers’ obligations under the Indenture, the Series 2021-1 Class A-1 Note Purchase Agreement, the Related Documents or any other instrument or document furnished pursuant hereto; (iii) each</w:t>
      </w:r>
    </w:p>
    <w:p>
      <w:pPr>
        <w:spacing w:after="0" w:line="7" w:lineRule="exact"/>
        <w:rPr>
          <w:sz w:val="20"/>
          <w:szCs w:val="20"/>
          <w:color w:val="auto"/>
        </w:rPr>
      </w:pPr>
    </w:p>
    <w:p>
      <w:pPr>
        <w:ind w:left="80"/>
        <w:spacing w:after="0" w:line="270" w:lineRule="auto"/>
        <w:rPr>
          <w:sz w:val="20"/>
          <w:szCs w:val="20"/>
          <w:color w:val="auto"/>
        </w:rPr>
      </w:pPr>
      <w:r>
        <w:rPr>
          <w:rFonts w:ascii="Arial" w:cs="Arial" w:eastAsia="Arial" w:hAnsi="Arial"/>
          <w:sz w:val="19"/>
          <w:szCs w:val="19"/>
          <w:color w:val="auto"/>
        </w:rPr>
        <w:t xml:space="preserve">Acquiring Committed Note Purchaser confirms that it has received a copy of the Indenture, the Series 2021-1 Class A-1 Note Purchase Agreement and such other Related Documents and other documents and information as it has deemed appropriate to make its own credit analysis and decision to enter into this Assignment and Assumption Agreement; (iv) each Acquiring Committed Note Purchaser will, independently and without reliance upon the Administrative Agent, the Transferor, the Funding Agent or any other Investor Group and based on such documents and information as it shall deem appropriate at the time, continue to make its own credit decisions in taking or not taking action under the Series 2021-1 Class A-1 Note Purchase Agreement; (v) each Acquiring Committed Note Purchaser appoints and authorizes the Administrative Agent to take such action as agent on its behalf and to exercise such powers under the Series 2021-1 Class A-1 Note Purchase Agreement as are delegated to the Administrative Agent by the terms thereof, together with such powers as are reasonably incidental thereto, all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Series 2021-1 Class A-1 Note Purchase Agreement; (vi) each Acquiring Committed Note Purchaser appoints and authorizes its related Funding Agent to take such action as agent on its behalf and to exercise such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8" w:right="439" w:bottom="1440" w:gutter="0" w:footer="0" w:header="0"/>
        </w:sectPr>
      </w:pPr>
    </w:p>
    <w:bookmarkStart w:id="144" w:name="page145"/>
    <w:bookmarkEnd w:id="144"/>
    <w:p>
      <w:pPr>
        <w:ind w:right="40"/>
        <w:spacing w:after="0" w:line="269" w:lineRule="auto"/>
        <w:rPr>
          <w:sz w:val="20"/>
          <w:szCs w:val="20"/>
          <w:color w:val="auto"/>
        </w:rPr>
      </w:pPr>
      <w:r>
        <w:rPr>
          <w:rFonts w:ascii="Arial" w:cs="Arial" w:eastAsia="Arial" w:hAnsi="Arial"/>
          <w:sz w:val="19"/>
          <w:szCs w:val="19"/>
          <w:color w:val="auto"/>
        </w:rPr>
        <w:t xml:space="preserve">under the Series 2021-1 Class A-1 Note Purchase Agreement as are delegated to such Funding Agent by the terms thereof, together with such powers as are reasonably incidental thereto, all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Series 2021-1 Class A-1 Note Purchase Agreement; (vii) each Acquiring Committed Note Purchaser agrees that it will perform in accordance with their terms all of the obligations that by the terms of the Series 2021-1 Class A-1 Note Purchase Agreement are required to be performed by it as a Committed Note Purchaser; and (viii) each Acquiring Committed Note Purchaser hereby represents and warrants to the Co-Issuers and the Manager that: (A) it has had an opportunity to discuss the Co-Issuers’ and the Manager’s business, management and financial affairs, and the terms and conditions of the proposed purchase, with the Co-Issuers and the Manager and their respective representatives; (B) it is a “qualified institutional buyer” within the meaning of Rule 144A under the Securities Act and otherwise meets the criteria in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of the Series 2021-1 Class A-1 Note Purchase Agreement and has sufficient knowledge and experience in financial and business matters to be capable of evaluating the merits and risks of investing in, and is able and prepared to bear the economic risk of investing in, the Series 2021-1 Class A-1 Notes; (C) it is purchasing the Series 2021-1 Class A-1 Notes for its own account, or for the account of one or more “qualified institutional buyers” within the meaning of Rule 144A under the Securities Act that meet the criteria described in </w:t>
      </w:r>
      <w:r>
        <w:rPr>
          <w:rFonts w:ascii="Arial" w:cs="Arial" w:eastAsia="Arial" w:hAnsi="Arial"/>
          <w:sz w:val="19"/>
          <w:szCs w:val="19"/>
          <w:u w:val="single" w:color="auto"/>
          <w:color w:val="auto"/>
        </w:rPr>
        <w:t>clause (viii)(B)</w:t>
      </w:r>
      <w:r>
        <w:rPr>
          <w:rFonts w:ascii="Arial" w:cs="Arial" w:eastAsia="Arial" w:hAnsi="Arial"/>
          <w:sz w:val="19"/>
          <w:szCs w:val="19"/>
          <w:color w:val="auto"/>
        </w:rPr>
        <w:t xml:space="preserve"> above and for which it is acting with complete investment discretion, for investment purposes only and not with a view to distribution, subject, nevertheless, to the understanding that the disposition of its property shall at all times be and remain within its control, and neither it nor its Affiliates has engaged in any general solicitation or general advertising within the meaning of the Securities Act with respect to the Series 2021-1 Class A-1 Notes; (D) it understands that (I) the Series 2021-1 Class A-1 Notes have not been and will not be registered or qualified under the Securities Act or any applicable state securities laws or the securities laws of any other jurisdiction and are being offered only in a transaction not involving any public offering within the meaning of the Securities Act and may not be resold or otherwise transferred unless so registered or qualified or unless an exemption from registration or qualification is available and an opinion of counsel shall have been delivered in advance to the Co-Issuers, (II) the Co-Issuers is not required to register the Series 2021-1 Class A-1 Notes, (III) any permitted transferee hereunder must be a “qualified institutional buyer” within the meaning of Rule 144A under the Securities Act and must otherwise meet the criteria described under </w:t>
      </w:r>
      <w:r>
        <w:rPr>
          <w:rFonts w:ascii="Arial" w:cs="Arial" w:eastAsia="Arial" w:hAnsi="Arial"/>
          <w:sz w:val="19"/>
          <w:szCs w:val="19"/>
          <w:u w:val="single" w:color="auto"/>
          <w:color w:val="auto"/>
        </w:rPr>
        <w:t>clause (viii)(B)</w:t>
      </w:r>
      <w:r>
        <w:rPr>
          <w:rFonts w:ascii="Arial" w:cs="Arial" w:eastAsia="Arial" w:hAnsi="Arial"/>
          <w:sz w:val="19"/>
          <w:szCs w:val="19"/>
          <w:color w:val="auto"/>
        </w:rPr>
        <w:t xml:space="preserve"> above and (IV) any transfer must comply with the provisions of</w:t>
      </w:r>
    </w:p>
    <w:p>
      <w:pPr>
        <w:spacing w:after="0" w:line="34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Section 2.8 of the Base Indenture, Section 4.03 of the Series 2021-1 Supplement and Sections 9.03 or 9.17, as applicable, of the Series 2021-1 Class A-1 Note Purchase Agreement; (E) it will comply with the requirements of </w:t>
      </w:r>
      <w:r>
        <w:rPr>
          <w:rFonts w:ascii="Arial" w:cs="Arial" w:eastAsia="Arial" w:hAnsi="Arial"/>
          <w:sz w:val="19"/>
          <w:szCs w:val="19"/>
          <w:u w:val="single" w:color="auto"/>
          <w:color w:val="auto"/>
        </w:rPr>
        <w:t>clause (viii)(D)</w:t>
      </w:r>
      <w:r>
        <w:rPr>
          <w:rFonts w:ascii="Arial" w:cs="Arial" w:eastAsia="Arial" w:hAnsi="Arial"/>
          <w:sz w:val="19"/>
          <w:szCs w:val="19"/>
          <w:color w:val="auto"/>
        </w:rPr>
        <w:t xml:space="preserve"> above in connection with any transfer by it of the Series 2021-1 Class A-1 Notes; (F) it understands that the Series 2021-1 Class A-1 Notes in the form of definitive notes will bear the legend set out in the form of Series 2021-1 Class A-1 Notes attached to the Series 2021-1 Supplement and that the Series 2021-1 Class A-1 Notes will be subject to the restrictions on transfer described in such legend; (G) it will obtain for the benefit of the Co-Issuers from any purchaser of the Series 2021-1 Class A-1 Notes substantially the same representations and warranties contained in the foregoing paragraphs; and (H) it has executed a Purchaser’s Letter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the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358140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388" w:right="459" w:bottom="1440" w:gutter="0" w:footer="0" w:header="0"/>
        </w:sectPr>
      </w:pPr>
    </w:p>
    <w:bookmarkStart w:id="145" w:name="page146"/>
    <w:bookmarkEnd w:id="145"/>
    <w:p>
      <w:pPr>
        <w:ind w:left="80" w:firstLine="1413"/>
        <w:spacing w:after="0" w:line="246" w:lineRule="auto"/>
        <w:rPr>
          <w:sz w:val="20"/>
          <w:szCs w:val="20"/>
          <w:color w:val="auto"/>
        </w:rPr>
      </w:pP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sets forth (i) the Purchased Percentage for each Acquiring Committed Note Purchaser, (ii) the revised Commitment Amounts of the Transferor and each Acquiring Committed Note Purchaser, and (iii) the revised Maximum Investor Group Principal Amounts for the Investor Groups of the Transferor and each Acquiring Committed Note Purchaser (it being understood that if the Transferor was part of a Conduit Investor’s Investor Group and the Acquiring Committed Note Purchaser is intended to be part of the same Investor Group, there will not be any change to the Maximum Investor Group Principal Amount for that Investor Group) and (iv) administrative information with respect to each Acquiring Committed Note Purchaser and its related Funding Agent.</w:t>
      </w:r>
    </w:p>
    <w:p>
      <w:pPr>
        <w:spacing w:after="0" w:line="184" w:lineRule="exact"/>
        <w:rPr>
          <w:sz w:val="20"/>
          <w:szCs w:val="20"/>
          <w:color w:val="auto"/>
        </w:rPr>
      </w:pPr>
    </w:p>
    <w:p>
      <w:pPr>
        <w:ind w:left="80" w:right="180" w:firstLine="1413"/>
        <w:spacing w:after="0" w:line="238" w:lineRule="auto"/>
        <w:rPr>
          <w:sz w:val="20"/>
          <w:szCs w:val="20"/>
          <w:color w:val="auto"/>
        </w:rPr>
      </w:pPr>
      <w:r>
        <w:rPr>
          <w:rFonts w:ascii="Arial" w:cs="Arial" w:eastAsia="Arial" w:hAnsi="Arial"/>
          <w:sz w:val="22"/>
          <w:szCs w:val="22"/>
          <w:color w:val="auto"/>
        </w:rPr>
        <w:t>This Assignment and Assumption Agreement may be executed in any number of counterparts (which may include facsimile or other electronic transmission of counterparts) and by the different parties hereto in separate counterparts, each of which when so executed shall be deemed to be an original, and all of which together shall constitute one and the same instrument.</w:t>
      </w:r>
    </w:p>
    <w:p>
      <w:pPr>
        <w:spacing w:after="0" w:line="185" w:lineRule="exact"/>
        <w:rPr>
          <w:sz w:val="20"/>
          <w:szCs w:val="20"/>
          <w:color w:val="auto"/>
        </w:rPr>
      </w:pPr>
    </w:p>
    <w:p>
      <w:pPr>
        <w:ind w:left="80" w:right="180" w:firstLine="1413"/>
        <w:spacing w:after="0" w:line="282" w:lineRule="auto"/>
        <w:rPr>
          <w:sz w:val="20"/>
          <w:szCs w:val="20"/>
          <w:color w:val="auto"/>
        </w:rPr>
      </w:pPr>
      <w:r>
        <w:rPr>
          <w:rFonts w:ascii="Arial" w:cs="Arial" w:eastAsia="Arial" w:hAnsi="Arial"/>
          <w:sz w:val="19"/>
          <w:szCs w:val="19"/>
          <w:color w:val="auto"/>
        </w:rPr>
        <w:t>This Assignment and Assumption Agreement and all matters arising under or in any manner relating to this Assignment and Assumption Agreement shall be governed by, and construed in accordance with, the laws of the State of New York without giving effect to any choice of law or conflict provision or rule (whether of the State of New York or any other jurisdiction) that would cause the application of the laws of any jurisdiction other than the State of New York), and the obligations, rights and remedies of the parties hereto shall be determined in accordance with such law.</w:t>
      </w:r>
    </w:p>
    <w:p>
      <w:pPr>
        <w:spacing w:after="0" w:line="147" w:lineRule="exact"/>
        <w:rPr>
          <w:sz w:val="20"/>
          <w:szCs w:val="20"/>
          <w:color w:val="auto"/>
        </w:rPr>
      </w:pPr>
    </w:p>
    <w:p>
      <w:pPr>
        <w:ind w:left="80" w:right="80" w:firstLine="1413"/>
        <w:spacing w:after="0" w:line="245" w:lineRule="auto"/>
        <w:rPr>
          <w:sz w:val="20"/>
          <w:szCs w:val="20"/>
          <w:color w:val="auto"/>
        </w:rPr>
      </w:pPr>
      <w:r>
        <w:rPr>
          <w:rFonts w:ascii="Arial" w:cs="Arial" w:eastAsia="Arial" w:hAnsi="Arial"/>
          <w:sz w:val="21"/>
          <w:szCs w:val="21"/>
          <w:color w:val="auto"/>
        </w:rPr>
        <w:t>ALL PARTIES HEREUNDER HEREBY KNOWINGLY, VOLUNTARILY AND INTENTIONALLY WAIVE ANY RIGHTS THEY MAY HAVE TO A TRIAL BY JURY IN RESPECT OF ANY LITIGATION BASED HEREON OR ON THE SERIES 2021-1 CLASS A-1 NOTE PURCHASE AGREEMENT, OR ARISING OUT OF, UNDER, OR IN CONNECTION WITH, THIS ASSIGNMENT AND ASSUMPTION AGREEMENT OR THE SERIES 2021-1 CLASS A-1 NOTE PURCHASE AGREEMENT, OR ANY COURSE OF CONDUCT, COURSE OF DEALING, STATEMENTS (WHETHER ORAL OR WRITTEN) OR ACTIONS OF THE PARTIES IN CONNECTION HEREWITH OR THEREWITH. ALL PARTIES ACKNOWLEDGE AND AGREE THAT THEY HAVE RECEIVED FULL AND SIGNIFICANT CONSIDERATION FOR THIS PROVISION AND THAT THIS PROVISION IS A MATERIAL INDUCEMENT FOR ALL PARTIES TO ENTER INTO THIS ASSIGNMENT AND ASSUMPTION AGREEMENT.</w:t>
      </w:r>
    </w:p>
    <w:p>
      <w:pPr>
        <w:spacing w:after="0" w:line="200" w:lineRule="exact"/>
        <w:rPr>
          <w:sz w:val="20"/>
          <w:szCs w:val="20"/>
          <w:color w:val="auto"/>
        </w:rPr>
      </w:pPr>
    </w:p>
    <w:p>
      <w:pPr>
        <w:spacing w:after="0" w:line="295" w:lineRule="exact"/>
        <w:rPr>
          <w:sz w:val="20"/>
          <w:szCs w:val="20"/>
          <w:color w:val="auto"/>
        </w:rPr>
      </w:pPr>
    </w:p>
    <w:p>
      <w:pPr>
        <w:ind w:right="200" w:firstLine="1572"/>
        <w:spacing w:after="0" w:line="250" w:lineRule="auto"/>
        <w:rPr>
          <w:sz w:val="20"/>
          <w:szCs w:val="20"/>
          <w:color w:val="auto"/>
        </w:rPr>
      </w:pPr>
      <w:r>
        <w:rPr>
          <w:rFonts w:ascii="Arial" w:cs="Arial" w:eastAsia="Arial" w:hAnsi="Arial"/>
          <w:sz w:val="22"/>
          <w:szCs w:val="22"/>
          <w:color w:val="auto"/>
        </w:rPr>
        <w:t>IN WITNESS WHEREOF, the parties hereto have caused this Assignment and Assumption Agreement to be executed by their respective duly authorized officers as of the date first set forth above.</w:t>
      </w:r>
    </w:p>
    <w:p>
      <w:pPr>
        <w:spacing w:after="0" w:line="175" w:lineRule="exact"/>
        <w:rPr>
          <w:sz w:val="20"/>
          <w:szCs w:val="20"/>
          <w:color w:val="auto"/>
        </w:rPr>
      </w:pPr>
    </w:p>
    <w:p>
      <w:pPr>
        <w:ind w:left="5760" w:hanging="436"/>
        <w:spacing w:after="0"/>
        <w:tabs>
          <w:tab w:leader="none" w:pos="57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as Transferor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5320"/>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397510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4" w:right="439" w:bottom="1440" w:gutter="0" w:footer="0" w:header="0"/>
        </w:sectPr>
      </w:pPr>
    </w:p>
    <w:bookmarkStart w:id="146" w:name="page147"/>
    <w:bookmarkEnd w:id="146"/>
    <w:p>
      <w:pPr>
        <w:ind w:left="578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ind w:left="5780"/>
        <w:spacing w:after="0" w:line="238" w:lineRule="auto"/>
        <w:rPr>
          <w:sz w:val="20"/>
          <w:szCs w:val="20"/>
          <w:color w:val="auto"/>
        </w:rPr>
      </w:pPr>
      <w:r>
        <w:rPr>
          <w:rFonts w:ascii="Arial" w:cs="Arial" w:eastAsia="Arial" w:hAnsi="Arial"/>
          <w:sz w:val="22"/>
          <w:szCs w:val="22"/>
          <w:color w:val="auto"/>
        </w:rPr>
        <w:t>Name:</w:t>
      </w:r>
    </w:p>
    <w:p>
      <w:pPr>
        <w:ind w:left="5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jc w:val="both"/>
        <w:ind w:left="5320"/>
        <w:spacing w:after="0"/>
        <w:tabs>
          <w:tab w:leader="none" w:pos="57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as Acquiring Committed Note Purchaser</w:t>
      </w:r>
    </w:p>
    <w:p>
      <w:pPr>
        <w:spacing w:after="0" w:line="200" w:lineRule="exact"/>
        <w:rPr>
          <w:sz w:val="20"/>
          <w:szCs w:val="20"/>
          <w:color w:val="auto"/>
        </w:rPr>
      </w:pPr>
    </w:p>
    <w:p>
      <w:pPr>
        <w:spacing w:after="0" w:line="30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ind w:left="5780"/>
        <w:spacing w:after="0" w:line="238" w:lineRule="auto"/>
        <w:rPr>
          <w:sz w:val="20"/>
          <w:szCs w:val="20"/>
          <w:color w:val="auto"/>
        </w:rPr>
      </w:pPr>
      <w:r>
        <w:rPr>
          <w:rFonts w:ascii="Arial" w:cs="Arial" w:eastAsia="Arial" w:hAnsi="Arial"/>
          <w:sz w:val="22"/>
          <w:szCs w:val="22"/>
          <w:color w:val="auto"/>
        </w:rPr>
        <w:t>Name:</w:t>
      </w:r>
    </w:p>
    <w:p>
      <w:pPr>
        <w:ind w:left="5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85" w:lineRule="exact"/>
        <w:rPr>
          <w:sz w:val="20"/>
          <w:szCs w:val="20"/>
          <w:color w:val="auto"/>
        </w:rPr>
      </w:pPr>
    </w:p>
    <w:p>
      <w:pPr>
        <w:ind w:left="5320"/>
        <w:spacing w:after="0"/>
        <w:tabs>
          <w:tab w:leader="none" w:pos="57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as Funding Agent</w:t>
      </w:r>
    </w:p>
    <w:p>
      <w:pPr>
        <w:spacing w:after="0" w:line="23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w:t>
      </w:r>
    </w:p>
    <w:p>
      <w:pPr>
        <w:ind w:left="5400"/>
        <w:spacing w:after="0" w:line="238" w:lineRule="auto"/>
        <w:rPr>
          <w:sz w:val="20"/>
          <w:szCs w:val="20"/>
          <w:color w:val="auto"/>
        </w:rPr>
      </w:pPr>
      <w:r>
        <w:rPr>
          <w:rFonts w:ascii="Arial" w:cs="Arial" w:eastAsia="Arial" w:hAnsi="Arial"/>
          <w:sz w:val="22"/>
          <w:szCs w:val="22"/>
          <w:color w:val="auto"/>
        </w:rPr>
        <w:t>Title:</w:t>
      </w:r>
    </w:p>
    <w:p>
      <w:pPr>
        <w:spacing w:after="0"/>
        <w:rPr>
          <w:sz w:val="20"/>
          <w:szCs w:val="20"/>
          <w:color w:val="auto"/>
        </w:rPr>
      </w:pPr>
      <w:r>
        <w:rPr>
          <w:rFonts w:ascii="Arial" w:cs="Arial" w:eastAsia="Arial" w:hAnsi="Arial"/>
          <w:sz w:val="22"/>
          <w:szCs w:val="22"/>
          <w:color w:val="auto"/>
        </w:rPr>
        <w:t>CONSENTED AND ACKNOWLEDGED BY THE CO-ISSUERS: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DOMINO’S PIZZA MASTER ISSUER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339"/>
        <w:spacing w:after="0" w:line="250" w:lineRule="auto"/>
        <w:rPr>
          <w:sz w:val="20"/>
          <w:szCs w:val="20"/>
          <w:color w:val="auto"/>
        </w:rPr>
      </w:pPr>
      <w:r>
        <w:rPr>
          <w:rFonts w:ascii="Arial" w:cs="Arial" w:eastAsia="Arial" w:hAnsi="Arial"/>
          <w:sz w:val="22"/>
          <w:szCs w:val="22"/>
          <w:color w:val="auto"/>
        </w:rPr>
        <w:t>DOMINO’S SPV CANADIAN HOLDING COMPANY INC., as a Co-Issuer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760"/>
        <w:spacing w:after="0" w:line="238" w:lineRule="auto"/>
        <w:rPr>
          <w:sz w:val="20"/>
          <w:szCs w:val="20"/>
          <w:color w:val="auto"/>
        </w:rPr>
      </w:pPr>
      <w:r>
        <w:rPr>
          <w:rFonts w:ascii="Arial" w:cs="Arial" w:eastAsia="Arial" w:hAnsi="Arial"/>
          <w:sz w:val="22"/>
          <w:szCs w:val="22"/>
          <w:color w:val="auto"/>
        </w:rPr>
        <w:t>Name:</w:t>
      </w:r>
    </w:p>
    <w:p>
      <w:pPr>
        <w:ind w:left="7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DOMINO’S PIZZA DISTRIBUTION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760"/>
        <w:spacing w:after="0" w:line="238" w:lineRule="auto"/>
        <w:rPr>
          <w:sz w:val="20"/>
          <w:szCs w:val="20"/>
          <w:color w:val="auto"/>
        </w:rPr>
      </w:pPr>
      <w:r>
        <w:rPr>
          <w:rFonts w:ascii="Arial" w:cs="Arial" w:eastAsia="Arial" w:hAnsi="Arial"/>
          <w:sz w:val="22"/>
          <w:szCs w:val="22"/>
          <w:color w:val="auto"/>
        </w:rPr>
        <w:t>Name:</w:t>
      </w: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DOMINO’S IP HOLDER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760"/>
        <w:spacing w:after="0" w:line="238" w:lineRule="auto"/>
        <w:rPr>
          <w:sz w:val="20"/>
          <w:szCs w:val="20"/>
          <w:color w:val="auto"/>
        </w:rPr>
      </w:pPr>
      <w:r>
        <w:rPr>
          <w:rFonts w:ascii="Arial" w:cs="Arial" w:eastAsia="Arial" w:hAnsi="Arial"/>
          <w:sz w:val="22"/>
          <w:szCs w:val="22"/>
          <w:color w:val="auto"/>
        </w:rPr>
        <w:t>Name:</w:t>
      </w:r>
    </w:p>
    <w:p>
      <w:pPr>
        <w:ind w:left="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CONSENTED BY:</w:t>
      </w:r>
    </w:p>
    <w:p>
      <w:pPr>
        <w:spacing w:after="0" w:line="260" w:lineRule="exact"/>
        <w:rPr>
          <w:sz w:val="20"/>
          <w:szCs w:val="20"/>
          <w:color w:val="auto"/>
        </w:rPr>
      </w:pPr>
    </w:p>
    <w:p>
      <w:pPr>
        <w:ind w:right="5380"/>
        <w:spacing w:after="0" w:line="250" w:lineRule="auto"/>
        <w:rPr>
          <w:sz w:val="20"/>
          <w:szCs w:val="20"/>
          <w:color w:val="auto"/>
        </w:rPr>
      </w:pPr>
      <w:r>
        <w:rPr>
          <w:rFonts w:ascii="Arial" w:cs="Arial" w:eastAsia="Arial" w:hAnsi="Arial"/>
          <w:sz w:val="22"/>
          <w:szCs w:val="22"/>
          <w:color w:val="auto"/>
        </w:rPr>
        <w:t>COÖPERATIEVE RABOBANK U.A., NEW YORK BRANCH, as Swingline Lender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460"/>
        <w:spacing w:after="0" w:line="238" w:lineRule="auto"/>
        <w:rPr>
          <w:sz w:val="20"/>
          <w:szCs w:val="20"/>
          <w:color w:val="auto"/>
        </w:rPr>
      </w:pPr>
      <w:r>
        <w:rPr>
          <w:rFonts w:ascii="Arial" w:cs="Arial" w:eastAsia="Arial" w:hAnsi="Arial"/>
          <w:sz w:val="22"/>
          <w:szCs w:val="22"/>
          <w:color w:val="auto"/>
        </w:rPr>
        <w:t>Name:</w:t>
      </w:r>
    </w:p>
    <w:p>
      <w:pPr>
        <w:ind w:left="4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right="5380"/>
        <w:spacing w:after="0" w:line="250" w:lineRule="auto"/>
        <w:rPr>
          <w:sz w:val="20"/>
          <w:szCs w:val="20"/>
          <w:color w:val="auto"/>
        </w:rPr>
      </w:pPr>
      <w:r>
        <w:rPr>
          <w:rFonts w:ascii="Arial" w:cs="Arial" w:eastAsia="Arial" w:hAnsi="Arial"/>
          <w:sz w:val="22"/>
          <w:szCs w:val="22"/>
          <w:color w:val="auto"/>
        </w:rPr>
        <w:t>COÖPERATIEVE RABOBANK U.A., NEW YORK BRANCH, as L/C Provider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Title:</w:t>
      </w:r>
    </w:p>
    <w:p>
      <w:pPr>
        <w:jc w:val="right"/>
        <w:spacing w:after="0" w:line="233" w:lineRule="auto"/>
        <w:rPr>
          <w:sz w:val="20"/>
          <w:szCs w:val="20"/>
          <w:color w:val="auto"/>
        </w:rPr>
      </w:pPr>
      <w:r>
        <w:rPr>
          <w:rFonts w:ascii="Arial" w:cs="Arial" w:eastAsia="Arial" w:hAnsi="Arial"/>
          <w:sz w:val="22"/>
          <w:szCs w:val="22"/>
          <w:b w:val="1"/>
          <w:bCs w:val="1"/>
          <w:color w:val="auto"/>
        </w:rPr>
        <w:t>SCHEDULE I TO</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ASSIGNMENT AND ASSUMPTION AGREEMENT</w:t>
      </w:r>
    </w:p>
    <w:p>
      <w:pPr>
        <w:spacing w:after="0" w:line="209"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LIST OF ADDRESSES FOR NOTICES</w:t>
      </w:r>
    </w:p>
    <w:p>
      <w:pPr>
        <w:spacing w:after="0" w:line="14"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AND OF COMMITMENT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48" w:name="page149"/>
    <w:bookmarkEnd w:id="148"/>
    <w:p>
      <w:pPr>
        <w:ind w:left="20"/>
        <w:spacing w:after="0"/>
        <w:tabs>
          <w:tab w:leader="none" w:pos="2600" w:val="left"/>
        </w:tabs>
        <w:rPr>
          <w:sz w:val="20"/>
          <w:szCs w:val="20"/>
          <w:color w:val="auto"/>
        </w:rPr>
      </w:pPr>
      <w:r>
        <w:rPr>
          <w:rFonts w:ascii="Arial" w:cs="Arial" w:eastAsia="Arial" w:hAnsi="Arial"/>
          <w:sz w:val="22"/>
          <w:szCs w:val="22"/>
          <w:b w:val="1"/>
          <w:bCs w:val="1"/>
          <w:color w:val="auto"/>
        </w:rPr>
        <w:t>[____________________],</w:t>
      </w:r>
      <w:r>
        <w:rPr>
          <w:sz w:val="20"/>
          <w:szCs w:val="20"/>
          <w:color w:val="auto"/>
        </w:rPr>
        <w:tab/>
      </w:r>
      <w:r>
        <w:rPr>
          <w:rFonts w:ascii="Arial" w:cs="Arial" w:eastAsia="Arial" w:hAnsi="Arial"/>
          <w:sz w:val="16"/>
          <w:szCs w:val="16"/>
          <w:b w:val="1"/>
          <w:bCs w:val="1"/>
          <w:color w:val="auto"/>
        </w:rPr>
        <w:t>as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Transferor</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Prior Commitment Amount: $[</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Revised Commitment Amount: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Prior Maximum Investor Group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Principal Amount: $[</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Revised Maximum Investor</w:t>
      </w:r>
    </w:p>
    <w:p>
      <w:pPr>
        <w:spacing w:after="0" w:line="31"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Group Principal Amount:</w:t>
      </w:r>
      <w:r>
        <w:rPr>
          <w:sz w:val="20"/>
          <w:szCs w:val="20"/>
          <w:color w:val="auto"/>
        </w:rPr>
        <w:tab/>
      </w:r>
      <w:r>
        <w:rPr>
          <w:rFonts w:ascii="Arial" w:cs="Arial" w:eastAsia="Arial" w:hAnsi="Arial"/>
          <w:sz w:val="21"/>
          <w:szCs w:val="21"/>
          <w:color w:val="auto"/>
        </w:rPr>
        <w: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Related Conduit Investor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(if applicable) [</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Acquiring Committed Note Purchaser Address: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Attention:</w:t>
      </w:r>
    </w:p>
    <w:p>
      <w:pPr>
        <w:spacing w:after="0" w:line="233" w:lineRule="auto"/>
        <w:rPr>
          <w:sz w:val="20"/>
          <w:szCs w:val="20"/>
          <w:color w:val="auto"/>
        </w:rPr>
      </w:pPr>
      <w:r>
        <w:rPr>
          <w:rFonts w:ascii="Arial" w:cs="Arial" w:eastAsia="Arial" w:hAnsi="Arial"/>
          <w:sz w:val="22"/>
          <w:szCs w:val="22"/>
          <w:color w:val="auto"/>
        </w:rPr>
        <w:t>Telephone: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Purchased Percentage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Transferor’s Commitment: [ ]%</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gridSpan w:val="3"/>
          </w:tcPr>
          <w:p>
            <w:pPr>
              <w:spacing w:after="0"/>
              <w:rPr>
                <w:sz w:val="20"/>
                <w:szCs w:val="20"/>
                <w:color w:val="auto"/>
              </w:rPr>
            </w:pPr>
            <w:r>
              <w:rPr>
                <w:rFonts w:ascii="Arial" w:cs="Arial" w:eastAsia="Arial" w:hAnsi="Arial"/>
                <w:sz w:val="22"/>
                <w:szCs w:val="22"/>
                <w:color w:val="auto"/>
                <w:w w:val="99"/>
              </w:rPr>
              <w:t>Prior Commitment Amount: $[</w:t>
            </w:r>
          </w:p>
        </w:tc>
        <w:tc>
          <w:tcPr>
            <w:tcW w:w="640" w:type="dxa"/>
            <w:vAlign w:val="bottom"/>
          </w:tcPr>
          <w:p>
            <w:pPr>
              <w:ind w:left="140"/>
              <w:spacing w:after="0"/>
              <w:rPr>
                <w:sz w:val="20"/>
                <w:szCs w:val="20"/>
                <w:color w:val="auto"/>
              </w:rPr>
            </w:pPr>
            <w:r>
              <w:rPr>
                <w:rFonts w:ascii="Arial" w:cs="Arial" w:eastAsia="Arial" w:hAnsi="Arial"/>
                <w:sz w:val="22"/>
                <w:szCs w:val="22"/>
                <w:color w:val="auto"/>
              </w:rPr>
              <w:t>]</w:t>
            </w:r>
          </w:p>
        </w:tc>
      </w:tr>
      <w:tr>
        <w:trPr>
          <w:trHeight w:val="243"/>
        </w:trPr>
        <w:tc>
          <w:tcPr>
            <w:tcW w:w="2900" w:type="dxa"/>
            <w:vAlign w:val="bottom"/>
            <w:gridSpan w:val="3"/>
          </w:tcPr>
          <w:p>
            <w:pPr>
              <w:spacing w:after="0" w:line="243" w:lineRule="exact"/>
              <w:rPr>
                <w:sz w:val="20"/>
                <w:szCs w:val="20"/>
                <w:color w:val="auto"/>
              </w:rPr>
            </w:pPr>
            <w:r>
              <w:rPr>
                <w:rFonts w:ascii="Arial" w:cs="Arial" w:eastAsia="Arial" w:hAnsi="Arial"/>
                <w:sz w:val="22"/>
                <w:szCs w:val="22"/>
                <w:color w:val="auto"/>
                <w:w w:val="96"/>
              </w:rPr>
              <w:t>Revised Commitment Amount:</w:t>
            </w:r>
          </w:p>
        </w:tc>
        <w:tc>
          <w:tcPr>
            <w:tcW w:w="640" w:type="dxa"/>
            <w:vAlign w:val="bottom"/>
          </w:tcPr>
          <w:p>
            <w:pPr>
              <w:ind w:left="140"/>
              <w:spacing w:after="0" w:line="243" w:lineRule="exact"/>
              <w:rPr>
                <w:sz w:val="20"/>
                <w:szCs w:val="20"/>
                <w:color w:val="auto"/>
              </w:rPr>
            </w:pPr>
            <w:r>
              <w:rPr>
                <w:rFonts w:ascii="Arial" w:cs="Arial" w:eastAsia="Arial" w:hAnsi="Arial"/>
                <w:sz w:val="22"/>
                <w:szCs w:val="22"/>
                <w:color w:val="auto"/>
              </w:rPr>
              <w:t>$[  ]</w:t>
            </w:r>
          </w:p>
        </w:tc>
      </w:tr>
      <w:tr>
        <w:trPr>
          <w:trHeight w:val="257"/>
        </w:trPr>
        <w:tc>
          <w:tcPr>
            <w:tcW w:w="2900" w:type="dxa"/>
            <w:vAlign w:val="bottom"/>
            <w:gridSpan w:val="3"/>
          </w:tcPr>
          <w:p>
            <w:pPr>
              <w:spacing w:after="0"/>
              <w:rPr>
                <w:sz w:val="20"/>
                <w:szCs w:val="20"/>
                <w:color w:val="auto"/>
              </w:rPr>
            </w:pPr>
            <w:r>
              <w:rPr>
                <w:rFonts w:ascii="Arial" w:cs="Arial" w:eastAsia="Arial" w:hAnsi="Arial"/>
                <w:sz w:val="22"/>
                <w:szCs w:val="22"/>
                <w:color w:val="auto"/>
                <w:w w:val="96"/>
              </w:rPr>
              <w:t>Prior Maximum Investor Group</w:t>
            </w:r>
          </w:p>
        </w:tc>
        <w:tc>
          <w:tcPr>
            <w:tcW w:w="640" w:type="dxa"/>
            <w:vAlign w:val="bottom"/>
          </w:tcPr>
          <w:p>
            <w:pPr>
              <w:spacing w:after="0"/>
              <w:rPr>
                <w:sz w:val="22"/>
                <w:szCs w:val="22"/>
                <w:color w:val="auto"/>
              </w:rPr>
            </w:pPr>
          </w:p>
        </w:tc>
      </w:tr>
      <w:tr>
        <w:trPr>
          <w:trHeight w:val="243"/>
        </w:trPr>
        <w:tc>
          <w:tcPr>
            <w:tcW w:w="2500" w:type="dxa"/>
            <w:vAlign w:val="bottom"/>
            <w:gridSpan w:val="2"/>
          </w:tcPr>
          <w:p>
            <w:pPr>
              <w:spacing w:after="0" w:line="243" w:lineRule="exact"/>
              <w:rPr>
                <w:sz w:val="20"/>
                <w:szCs w:val="20"/>
                <w:color w:val="auto"/>
              </w:rPr>
            </w:pPr>
            <w:r>
              <w:rPr>
                <w:rFonts w:ascii="Arial" w:cs="Arial" w:eastAsia="Arial" w:hAnsi="Arial"/>
                <w:sz w:val="22"/>
                <w:szCs w:val="22"/>
                <w:color w:val="auto"/>
              </w:rPr>
              <w:t>Principal Amount: $[  ]</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4"/>
        </w:trPr>
        <w:tc>
          <w:tcPr>
            <w:tcW w:w="2500" w:type="dxa"/>
            <w:vAlign w:val="bottom"/>
            <w:gridSpan w:val="2"/>
          </w:tcPr>
          <w:p>
            <w:pPr>
              <w:spacing w:after="0"/>
              <w:rPr>
                <w:sz w:val="20"/>
                <w:szCs w:val="20"/>
                <w:color w:val="auto"/>
              </w:rPr>
            </w:pPr>
            <w:r>
              <w:rPr>
                <w:rFonts w:ascii="Arial" w:cs="Arial" w:eastAsia="Arial" w:hAnsi="Arial"/>
                <w:sz w:val="22"/>
                <w:szCs w:val="22"/>
                <w:color w:val="auto"/>
                <w:w w:val="93"/>
              </w:rPr>
              <w:t>Revised Maximum Investor</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580"/>
        </w:trPr>
        <w:tc>
          <w:tcPr>
            <w:tcW w:w="2500" w:type="dxa"/>
            <w:vAlign w:val="bottom"/>
            <w:gridSpan w:val="2"/>
          </w:tcPr>
          <w:p>
            <w:pPr>
              <w:spacing w:after="0"/>
              <w:rPr>
                <w:sz w:val="20"/>
                <w:szCs w:val="20"/>
                <w:color w:val="auto"/>
              </w:rPr>
            </w:pPr>
            <w:r>
              <w:rPr>
                <w:rFonts w:ascii="Arial" w:cs="Arial" w:eastAsia="Arial" w:hAnsi="Arial"/>
                <w:sz w:val="22"/>
                <w:szCs w:val="22"/>
                <w:color w:val="auto"/>
              </w:rPr>
              <w:t>Group Principal Amount:</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40" w:type="dxa"/>
            <w:vAlign w:val="bottom"/>
          </w:tcPr>
          <w:p>
            <w:pPr>
              <w:ind w:left="140"/>
              <w:spacing w:after="0"/>
              <w:rPr>
                <w:sz w:val="20"/>
                <w:szCs w:val="20"/>
                <w:color w:val="auto"/>
              </w:rPr>
            </w:pPr>
            <w:r>
              <w:rPr>
                <w:rFonts w:ascii="Arial" w:cs="Arial" w:eastAsia="Arial" w:hAnsi="Arial"/>
                <w:sz w:val="22"/>
                <w:szCs w:val="22"/>
                <w:color w:val="auto"/>
              </w:rPr>
              <w:t>]</w:t>
            </w:r>
          </w:p>
        </w:tc>
      </w:tr>
      <w:tr>
        <w:trPr>
          <w:trHeight w:val="459"/>
        </w:trPr>
        <w:tc>
          <w:tcPr>
            <w:tcW w:w="2500" w:type="dxa"/>
            <w:vAlign w:val="bottom"/>
            <w:gridSpan w:val="2"/>
          </w:tcPr>
          <w:p>
            <w:pPr>
              <w:spacing w:after="0"/>
              <w:rPr>
                <w:sz w:val="20"/>
                <w:szCs w:val="20"/>
                <w:color w:val="auto"/>
              </w:rPr>
            </w:pPr>
            <w:r>
              <w:rPr>
                <w:rFonts w:ascii="Arial" w:cs="Arial" w:eastAsia="Arial" w:hAnsi="Arial"/>
                <w:sz w:val="22"/>
                <w:szCs w:val="22"/>
                <w:color w:val="auto"/>
              </w:rPr>
              <w:t>Related Conduit Investor</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2"/>
                <w:szCs w:val="22"/>
                <w:color w:val="auto"/>
              </w:rPr>
              <w:t>(if applicable) [</w:t>
            </w:r>
          </w:p>
        </w:tc>
        <w:tc>
          <w:tcPr>
            <w:tcW w:w="960" w:type="dxa"/>
            <w:vAlign w:val="bottom"/>
          </w:tcPr>
          <w:p>
            <w:pPr>
              <w:jc w:val="right"/>
              <w:ind w:right="592"/>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as</w:t>
      </w:r>
    </w:p>
    <w:p>
      <w:pPr>
        <w:sectPr>
          <w:pgSz w:w="11900" w:h="16838" w:orient="portrait"/>
          <w:cols w:equalWidth="0" w:num="2">
            <w:col w:w="8780" w:space="720"/>
            <w:col w:w="1720"/>
          </w:cols>
          <w:pgMar w:left="320" w:top="814" w:right="359" w:bottom="1440" w:gutter="0" w:footer="0" w:header="0"/>
        </w:sectPr>
      </w:pPr>
    </w:p>
    <w:bookmarkStart w:id="149" w:name="page150"/>
    <w:bookmarkEnd w:id="149"/>
    <w:p>
      <w:pPr>
        <w:ind w:left="440" w:hanging="432"/>
        <w:spacing w:after="0"/>
        <w:tabs>
          <w:tab w:leader="none" w:pos="440" w:val="left"/>
        </w:tabs>
        <w:numPr>
          <w:ilvl w:val="0"/>
          <w:numId w:val="105"/>
        </w:numPr>
        <w:rPr>
          <w:rFonts w:ascii="Arial" w:cs="Arial" w:eastAsia="Arial" w:hAnsi="Arial"/>
          <w:sz w:val="22"/>
          <w:szCs w:val="22"/>
          <w:b w:val="1"/>
          <w:bCs w:val="1"/>
          <w:u w:val="single" w:color="auto"/>
          <w:color w:val="auto"/>
        </w:rPr>
      </w:pPr>
      <w:r>
        <w:rPr>
          <w:rFonts w:ascii="Arial" w:cs="Arial" w:eastAsia="Arial" w:hAnsi="Arial"/>
          <w:sz w:val="22"/>
          <w:szCs w:val="22"/>
          <w:b w:val="1"/>
          <w:bCs w:val="1"/>
          <w:color w:val="auto"/>
        </w:rPr>
        <w:t>],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Funding Agent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Address:</w:t>
      </w:r>
    </w:p>
    <w:p>
      <w:pPr>
        <w:jc w:val="center"/>
        <w:ind w:right="60"/>
        <w:spacing w:after="0" w:line="238" w:lineRule="auto"/>
        <w:rPr>
          <w:sz w:val="20"/>
          <w:szCs w:val="20"/>
          <w:color w:val="auto"/>
        </w:rPr>
      </w:pPr>
      <w:r>
        <w:rPr>
          <w:rFonts w:ascii="Arial" w:cs="Arial" w:eastAsia="Arial" w:hAnsi="Arial"/>
          <w:sz w:val="22"/>
          <w:szCs w:val="22"/>
          <w:color w:val="auto"/>
        </w:rPr>
        <w:t>Attention:</w:t>
      </w:r>
    </w:p>
    <w:p>
      <w:pPr>
        <w:jc w:val="center"/>
        <w:ind w:right="60"/>
        <w:spacing w:after="0" w:line="230" w:lineRule="auto"/>
        <w:rPr>
          <w:sz w:val="20"/>
          <w:szCs w:val="20"/>
          <w:color w:val="auto"/>
        </w:rPr>
      </w:pPr>
      <w:r>
        <w:rPr>
          <w:rFonts w:ascii="Arial" w:cs="Arial" w:eastAsia="Arial" w:hAnsi="Arial"/>
          <w:sz w:val="22"/>
          <w:szCs w:val="22"/>
          <w:color w:val="auto"/>
        </w:rPr>
        <w:t>Telephone: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Facsimile:</w:t>
      </w:r>
    </w:p>
    <w:p>
      <w:pPr>
        <w:jc w:val="right"/>
        <w:spacing w:after="0" w:line="233" w:lineRule="auto"/>
        <w:rPr>
          <w:sz w:val="20"/>
          <w:szCs w:val="20"/>
          <w:color w:val="auto"/>
        </w:rPr>
      </w:pPr>
      <w:r>
        <w:rPr>
          <w:rFonts w:ascii="Arial" w:cs="Arial" w:eastAsia="Arial" w:hAnsi="Arial"/>
          <w:sz w:val="22"/>
          <w:szCs w:val="22"/>
          <w:b w:val="1"/>
          <w:bCs w:val="1"/>
          <w:color w:val="auto"/>
        </w:rPr>
        <w:t>EXHIBIT C TO CLASS A-1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NOTE PURCHASE AGREEMENT</w:t>
      </w:r>
    </w:p>
    <w:p>
      <w:pPr>
        <w:spacing w:after="0" w:line="182" w:lineRule="exact"/>
        <w:rPr>
          <w:sz w:val="20"/>
          <w:szCs w:val="20"/>
          <w:color w:val="auto"/>
        </w:rPr>
      </w:pPr>
    </w:p>
    <w:p>
      <w:pPr>
        <w:ind w:right="3580" w:firstLine="1497"/>
        <w:spacing w:after="0" w:line="241" w:lineRule="auto"/>
        <w:rPr>
          <w:sz w:val="20"/>
          <w:szCs w:val="20"/>
          <w:color w:val="auto"/>
        </w:rPr>
      </w:pPr>
      <w:r>
        <w:rPr>
          <w:rFonts w:ascii="Arial" w:cs="Arial" w:eastAsia="Arial" w:hAnsi="Arial"/>
          <w:sz w:val="22"/>
          <w:szCs w:val="22"/>
          <w:b w:val="1"/>
          <w:bCs w:val="1"/>
          <w:color w:val="auto"/>
        </w:rPr>
        <w:t>INVESTOR GROUP SUPPLEMENT</w:t>
      </w:r>
      <w:r>
        <w:rPr>
          <w:rFonts w:ascii="Arial" w:cs="Arial" w:eastAsia="Arial" w:hAnsi="Arial"/>
          <w:sz w:val="22"/>
          <w:szCs w:val="22"/>
          <w:color w:val="auto"/>
        </w:rPr>
        <w:t>, dated as of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 by and among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 </w:t>
      </w:r>
      <w:r>
        <w:rPr>
          <w:rFonts w:ascii="Arial" w:cs="Arial" w:eastAsia="Arial" w:hAnsi="Arial"/>
          <w:sz w:val="22"/>
          <w:szCs w:val="22"/>
          <w:u w:val="single" w:color="auto"/>
          <w:color w:val="auto"/>
        </w:rPr>
        <w:t>[ ]</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Transferor Investor Group</w:t>
      </w:r>
      <w:r>
        <w:rPr>
          <w:rFonts w:ascii="Arial" w:cs="Arial" w:eastAsia="Arial" w:hAnsi="Arial"/>
          <w:sz w:val="22"/>
          <w:szCs w:val="22"/>
          <w:color w:val="auto"/>
        </w:rPr>
        <w:t xml:space="preserve">”), (ii) </w:t>
      </w:r>
      <w:r>
        <w:rPr>
          <w:rFonts w:ascii="Arial" w:cs="Arial" w:eastAsia="Arial" w:hAnsi="Arial"/>
          <w:sz w:val="22"/>
          <w:szCs w:val="22"/>
          <w:u w:val="single" w:color="auto"/>
          <w:color w:val="auto"/>
        </w:rPr>
        <w:t>[ ]</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Acquiring</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u w:val="single" w:color="auto"/>
          <w:color w:val="auto"/>
        </w:rPr>
        <w:t>Investor Group</w:t>
      </w:r>
      <w:r>
        <w:rPr>
          <w:rFonts w:ascii="Arial" w:cs="Arial" w:eastAsia="Arial" w:hAnsi="Arial"/>
          <w:sz w:val="19"/>
          <w:szCs w:val="19"/>
          <w:color w:val="auto"/>
        </w:rPr>
        <w:t>”), (iii) the Funding Agent with respect to the Acquiring Investor Group listed on the signature pages hereof (each, a “</w:t>
      </w:r>
      <w:r>
        <w:rPr>
          <w:rFonts w:ascii="Arial" w:cs="Arial" w:eastAsia="Arial" w:hAnsi="Arial"/>
          <w:sz w:val="19"/>
          <w:szCs w:val="19"/>
          <w:u w:val="single" w:color="auto"/>
          <w:color w:val="auto"/>
        </w:rPr>
        <w:t>Funding Agent</w:t>
      </w:r>
      <w:r>
        <w:rPr>
          <w:rFonts w:ascii="Arial" w:cs="Arial" w:eastAsia="Arial" w:hAnsi="Arial"/>
          <w:sz w:val="19"/>
          <w:szCs w:val="19"/>
          <w:color w:val="auto"/>
        </w:rPr>
        <w:t>”), and (iv) the Co-Issuers, the Swingline Lender and the L/C Provider listed on the signature pages hereof.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E T H:</w:t>
      </w:r>
    </w:p>
    <w:p>
      <w:pPr>
        <w:spacing w:after="0" w:line="193" w:lineRule="exact"/>
        <w:rPr>
          <w:sz w:val="20"/>
          <w:szCs w:val="20"/>
          <w:color w:val="auto"/>
        </w:rPr>
      </w:pPr>
    </w:p>
    <w:p>
      <w:pPr>
        <w:ind w:right="80" w:firstLine="1497"/>
        <w:spacing w:after="0" w:line="277" w:lineRule="auto"/>
        <w:rPr>
          <w:sz w:val="20"/>
          <w:szCs w:val="20"/>
          <w:color w:val="auto"/>
        </w:rPr>
      </w:pPr>
      <w:r>
        <w:rPr>
          <w:rFonts w:ascii="Arial" w:cs="Arial" w:eastAsia="Arial" w:hAnsi="Arial"/>
          <w:sz w:val="19"/>
          <w:szCs w:val="19"/>
          <w:color w:val="auto"/>
        </w:rPr>
        <w:t xml:space="preserve">WHEREAS, this Investor Group Supplement is being executed and delivered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9.17(c)</w:t>
      </w:r>
      <w:r>
        <w:rPr>
          <w:rFonts w:ascii="Arial" w:cs="Arial" w:eastAsia="Arial" w:hAnsi="Arial"/>
          <w:sz w:val="19"/>
          <w:szCs w:val="19"/>
          <w:color w:val="auto"/>
        </w:rPr>
        <w:t xml:space="preserve"> of the Series 2021-1 Class A-1 Note Purchase Agreement, dated as of April 16, 2021 (as from time to time amended, supplemented or otherwise modified in accordance with the terms thereof, the “</w:t>
      </w:r>
      <w:r>
        <w:rPr>
          <w:rFonts w:ascii="Arial" w:cs="Arial" w:eastAsia="Arial" w:hAnsi="Arial"/>
          <w:sz w:val="19"/>
          <w:szCs w:val="19"/>
          <w:u w:val="single" w:color="auto"/>
          <w:color w:val="auto"/>
        </w:rPr>
        <w:t>Series 2021-1 Class A-1 Note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terms used but not otherwise defined herein having the meanings ascribed to such terms therein), by and among the Co-Issuers, the Guarantors, the Manager, the Conduit Investors, Committed Note Purchasers and Funding Agents named therein, the L/C Provider and Swingline Lender named therein, Domino’s Pizza LLC, as Manager, and Coöperatieve Rabobank U.A., New York Branch,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52" w:lineRule="exact"/>
        <w:rPr>
          <w:sz w:val="20"/>
          <w:szCs w:val="20"/>
          <w:color w:val="auto"/>
        </w:rPr>
      </w:pPr>
    </w:p>
    <w:p>
      <w:pPr>
        <w:ind w:right="620" w:firstLine="1497"/>
        <w:spacing w:after="0" w:line="328" w:lineRule="auto"/>
        <w:rPr>
          <w:sz w:val="20"/>
          <w:szCs w:val="20"/>
          <w:color w:val="auto"/>
        </w:rPr>
      </w:pPr>
      <w:r>
        <w:rPr>
          <w:rFonts w:ascii="Arial" w:cs="Arial" w:eastAsia="Arial" w:hAnsi="Arial"/>
          <w:sz w:val="19"/>
          <w:szCs w:val="19"/>
          <w:color w:val="auto"/>
        </w:rPr>
        <w:t>WHEREAS, the Acquiring Investor Group wishes to become a Conduit Investor and [a] Committed Note Purchaser[s] with respect to such Conduit Investor under the Series 2021-1 Class A-1 Note Purchase Agreement; and</w:t>
      </w:r>
    </w:p>
    <w:p>
      <w:pPr>
        <w:spacing w:after="0" w:line="105" w:lineRule="exact"/>
        <w:rPr>
          <w:sz w:val="20"/>
          <w:szCs w:val="20"/>
          <w:color w:val="auto"/>
        </w:rPr>
      </w:pPr>
    </w:p>
    <w:p>
      <w:pPr>
        <w:ind w:right="100" w:firstLine="1497"/>
        <w:spacing w:after="0" w:line="238" w:lineRule="auto"/>
        <w:rPr>
          <w:sz w:val="20"/>
          <w:szCs w:val="20"/>
          <w:color w:val="auto"/>
        </w:rPr>
      </w:pPr>
      <w:r>
        <w:rPr>
          <w:rFonts w:ascii="Arial" w:cs="Arial" w:eastAsia="Arial" w:hAnsi="Arial"/>
          <w:sz w:val="22"/>
          <w:szCs w:val="22"/>
          <w:color w:val="auto"/>
        </w:rPr>
        <w:t xml:space="preserve">WHEREAS, the Transferor Investor Group is selling and assigning to the Acquiring Investor Group [all] [a portion of] its respective rights, obligations and commitments under the Series 2021-1 Class A-1 Note Purchase Agreement, the Series 2021-1 Class A-1 Advance Notes and each other Related Document to which it is a party with respect to the percentage of its Commitment Amount specified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06" w:lineRule="exact"/>
        <w:rPr>
          <w:sz w:val="20"/>
          <w:szCs w:val="20"/>
          <w:color w:val="auto"/>
        </w:rPr>
      </w:pPr>
    </w:p>
    <w:p>
      <w:pPr>
        <w:ind w:right="380" w:firstLine="1497"/>
        <w:spacing w:after="0"/>
        <w:rPr>
          <w:sz w:val="20"/>
          <w:szCs w:val="20"/>
          <w:color w:val="auto"/>
        </w:rPr>
      </w:pPr>
      <w:r>
        <w:rPr>
          <w:rFonts w:ascii="Arial" w:cs="Arial" w:eastAsia="Arial" w:hAnsi="Arial"/>
          <w:sz w:val="22"/>
          <w:szCs w:val="22"/>
          <w:color w:val="auto"/>
        </w:rPr>
        <w:t xml:space="preserve">Upon the execution and delivery of this Investor Group Supplement by the Acquiring Investor Group, each related Funding Agent with respect thereto, the Transferor Investor Group, the Swingline Lender, the L/C Provider and, to the extent required by </w:t>
      </w:r>
      <w:r>
        <w:rPr>
          <w:rFonts w:ascii="Arial" w:cs="Arial" w:eastAsia="Arial" w:hAnsi="Arial"/>
          <w:sz w:val="22"/>
          <w:szCs w:val="22"/>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50" w:name="page151"/>
    <w:bookmarkEnd w:id="150"/>
    <w:p>
      <w:pPr>
        <w:jc w:val="both"/>
        <w:ind w:right="40"/>
        <w:spacing w:after="0" w:line="297" w:lineRule="auto"/>
        <w:rPr>
          <w:sz w:val="20"/>
          <w:szCs w:val="20"/>
          <w:color w:val="auto"/>
        </w:rPr>
      </w:pPr>
      <w:r>
        <w:rPr>
          <w:rFonts w:ascii="Arial" w:cs="Arial" w:eastAsia="Arial" w:hAnsi="Arial"/>
          <w:sz w:val="19"/>
          <w:szCs w:val="19"/>
          <w:u w:val="single" w:color="auto"/>
          <w:color w:val="auto"/>
        </w:rPr>
        <w:t>9.17(c)</w:t>
      </w:r>
      <w:r>
        <w:rPr>
          <w:rFonts w:ascii="Arial" w:cs="Arial" w:eastAsia="Arial" w:hAnsi="Arial"/>
          <w:sz w:val="19"/>
          <w:szCs w:val="19"/>
          <w:color w:val="auto"/>
        </w:rPr>
        <w:t xml:space="preserve"> of the Series 2021-1 Class A-1 Note Purchase Agreement (the date of such execution and delivery, the “</w:t>
      </w:r>
      <w:r>
        <w:rPr>
          <w:rFonts w:ascii="Arial" w:cs="Arial" w:eastAsia="Arial" w:hAnsi="Arial"/>
          <w:sz w:val="19"/>
          <w:szCs w:val="19"/>
          <w:u w:val="single" w:color="auto"/>
          <w:color w:val="auto"/>
        </w:rPr>
        <w:t>Transfer Issuance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Co-Issuers, the Conduit Investor and the Committed Note Purchaser[s] with respect to the Acquiring Investor Group shall be parties to the Series 2021-1 Class A-1 Note Purchase Agreement for all purposes thereof.</w:t>
      </w:r>
    </w:p>
    <w:p>
      <w:pPr>
        <w:spacing w:after="0" w:line="120" w:lineRule="exact"/>
        <w:rPr>
          <w:sz w:val="20"/>
          <w:szCs w:val="20"/>
          <w:color w:val="auto"/>
        </w:rPr>
      </w:pPr>
    </w:p>
    <w:p>
      <w:pPr>
        <w:ind w:firstLine="1497"/>
        <w:spacing w:after="0" w:line="233" w:lineRule="auto"/>
        <w:rPr>
          <w:sz w:val="20"/>
          <w:szCs w:val="20"/>
          <w:color w:val="auto"/>
        </w:rPr>
      </w:pPr>
      <w:r>
        <w:rPr>
          <w:rFonts w:ascii="Arial" w:cs="Arial" w:eastAsia="Arial" w:hAnsi="Arial"/>
          <w:sz w:val="22"/>
          <w:szCs w:val="22"/>
          <w:color w:val="auto"/>
        </w:rPr>
        <w:t>The Transferor Investor Group acknowledges receipt from the Acquiring Investor Group of an amount equal to the purchase price, as agreed between the Transferor Investor Group and the Acquiring Investor Group (the “</w:t>
      </w:r>
      <w:r>
        <w:rPr>
          <w:rFonts w:ascii="Arial" w:cs="Arial" w:eastAsia="Arial" w:hAnsi="Arial"/>
          <w:sz w:val="22"/>
          <w:szCs w:val="22"/>
          <w:u w:val="single" w:color="auto"/>
          <w:color w:val="auto"/>
        </w:rPr>
        <w:t>Purchase Price</w:t>
      </w:r>
      <w:r>
        <w:rPr>
          <w:rFonts w:ascii="Arial" w:cs="Arial" w:eastAsia="Arial" w:hAnsi="Arial"/>
          <w:sz w:val="22"/>
          <w:szCs w:val="22"/>
          <w:color w:val="auto"/>
        </w:rPr>
        <w:t>”), of the portion being purchased by the Acquiring Investor Group (the Acquiring Investor Group’s “</w:t>
      </w:r>
      <w:r>
        <w:rPr>
          <w:rFonts w:ascii="Arial" w:cs="Arial" w:eastAsia="Arial" w:hAnsi="Arial"/>
          <w:sz w:val="22"/>
          <w:szCs w:val="22"/>
          <w:u w:val="single" w:color="auto"/>
          <w:color w:val="auto"/>
        </w:rPr>
        <w:t>Purchased Percentage</w:t>
      </w:r>
      <w:r>
        <w:rPr>
          <w:rFonts w:ascii="Arial" w:cs="Arial" w:eastAsia="Arial" w:hAnsi="Arial"/>
          <w:sz w:val="22"/>
          <w:szCs w:val="22"/>
          <w:color w:val="auto"/>
        </w:rPr>
        <w:t>”) of (i) the aggregate Commitment[s] of the Committed Note Purchaser[s] included in the Transferor Investor Group under the Series 2021-1 Class A-1 Note Purchase Agreement and (ii) the aggregate related Committed Note Purchaser Percentage[s] of the related Investor Group</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Principal Amount. The Transferor Investor Group hereby irrevocably sells, assigns and transfers to the Acquiring Investor Group, without recourse, representation or warranty, and the Acquiring Investor Group hereby irrevocably purchases, takes and assumes from the Transferor Investor Group, such Acquiring Investor Group’s Purchased Percentage of (x) the aggregate Commitment[s] of the Committed Note Purchaser[s] included in the Transferor Investor Group under the Series 2021-1 Class A-1 Note Purchase Agreement and (y) the aggregate related Committed Note Purchaser Percentage[s] of the related Investor Group Principal Amount.</w:t>
      </w:r>
    </w:p>
    <w:p>
      <w:pPr>
        <w:spacing w:after="0" w:line="189" w:lineRule="exact"/>
        <w:rPr>
          <w:sz w:val="20"/>
          <w:szCs w:val="20"/>
          <w:color w:val="auto"/>
        </w:rPr>
      </w:pPr>
    </w:p>
    <w:p>
      <w:pPr>
        <w:ind w:right="40" w:firstLine="1497"/>
        <w:spacing w:after="0" w:line="233" w:lineRule="auto"/>
        <w:rPr>
          <w:sz w:val="20"/>
          <w:szCs w:val="20"/>
          <w:color w:val="auto"/>
        </w:rPr>
      </w:pPr>
      <w:r>
        <w:rPr>
          <w:rFonts w:ascii="Arial" w:cs="Arial" w:eastAsia="Arial" w:hAnsi="Arial"/>
          <w:sz w:val="22"/>
          <w:szCs w:val="22"/>
          <w:color w:val="auto"/>
        </w:rPr>
        <w:t>The Transferor Investor Group has made arrangements with the Acquiring Investor Group with respect to (i) the portion, if any, to be paid, and the date or dates for payment, by the Transferor Investor Group to such Acquiring Investor Group of any program fees, undrawn facility fee, structuring and commitment fees or other fees (collectively, the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[heretofore received] by the Transferor Investor Group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the Series 2021-1 Class A-1 Note Purchase Agreement prior to the Transfer Issuance Date [and (ii) the portion, if any, to be paid, and the date or dates for payment, by such Acquiring Investor Group to the Transferor</w:t>
      </w:r>
    </w:p>
    <w:p>
      <w:pPr>
        <w:spacing w:after="0" w:line="2" w:lineRule="exact"/>
        <w:rPr>
          <w:sz w:val="20"/>
          <w:szCs w:val="20"/>
          <w:color w:val="auto"/>
        </w:rPr>
      </w:pPr>
    </w:p>
    <w:p>
      <w:pPr>
        <w:ind w:right="3420"/>
        <w:spacing w:after="0" w:line="256" w:lineRule="auto"/>
        <w:rPr>
          <w:sz w:val="20"/>
          <w:szCs w:val="20"/>
          <w:color w:val="auto"/>
        </w:rPr>
      </w:pPr>
      <w:r>
        <w:rPr>
          <w:rFonts w:ascii="Arial" w:cs="Arial" w:eastAsia="Arial" w:hAnsi="Arial"/>
          <w:sz w:val="21"/>
          <w:szCs w:val="21"/>
          <w:color w:val="auto"/>
        </w:rPr>
        <w:t xml:space="preserve">Investor Group of Fees or [ </w:t>
      </w:r>
      <w:r>
        <w:rPr>
          <w:rFonts w:ascii="Arial" w:cs="Arial" w:eastAsia="Arial" w:hAnsi="Arial"/>
          <w:sz w:val="21"/>
          <w:szCs w:val="21"/>
          <w:u w:val="single" w:color="auto"/>
          <w:color w:val="auto"/>
        </w:rPr>
        <w:t>]</w:t>
      </w:r>
      <w:r>
        <w:rPr>
          <w:rFonts w:ascii="Arial" w:cs="Arial" w:eastAsia="Arial" w:hAnsi="Arial"/>
          <w:sz w:val="21"/>
          <w:szCs w:val="21"/>
          <w:color w:val="auto"/>
        </w:rPr>
        <w:t xml:space="preserve"> received by such Acquiring Investor Group pursuant to the Series 2021-1 Supplement from and after the Transfer Issuance Date].</w:t>
      </w:r>
    </w:p>
    <w:p>
      <w:pPr>
        <w:spacing w:after="0" w:line="169" w:lineRule="exact"/>
        <w:rPr>
          <w:sz w:val="20"/>
          <w:szCs w:val="20"/>
          <w:color w:val="auto"/>
        </w:rPr>
      </w:pPr>
    </w:p>
    <w:p>
      <w:pPr>
        <w:ind w:right="40" w:firstLine="1497"/>
        <w:spacing w:after="0" w:line="282" w:lineRule="auto"/>
        <w:rPr>
          <w:sz w:val="20"/>
          <w:szCs w:val="20"/>
          <w:color w:val="auto"/>
        </w:rPr>
      </w:pPr>
      <w:r>
        <w:rPr>
          <w:rFonts w:ascii="Arial" w:cs="Arial" w:eastAsia="Arial" w:hAnsi="Arial"/>
          <w:sz w:val="19"/>
          <w:szCs w:val="19"/>
          <w:color w:val="auto"/>
        </w:rPr>
        <w:t>From and after the Transfer Issuance Date, amounts that would otherwise be payable to or for the account of the Transferor Investor Group pursuant to the Series 2021-1 Supplement or the Series 2021-1 Class A-1 Note Purchase Agreement shall, instead, be payable to or for the account of the Transferor Investor Group and the Acquiring Investor Group, as the case may be, in accordance with their respective interests as reflected in this Investor Group Supplement, whether such amounts have accrued prior to the Transfer Issuance Date or accrue subsequent to the Transfer Issuance Date.</w:t>
      </w:r>
    </w:p>
    <w:p>
      <w:pPr>
        <w:spacing w:after="0" w:line="147" w:lineRule="exact"/>
        <w:rPr>
          <w:sz w:val="20"/>
          <w:szCs w:val="20"/>
          <w:color w:val="auto"/>
        </w:rPr>
      </w:pPr>
    </w:p>
    <w:p>
      <w:pPr>
        <w:jc w:val="both"/>
        <w:ind w:right="160" w:firstLine="1497"/>
        <w:spacing w:after="0" w:line="297" w:lineRule="auto"/>
        <w:rPr>
          <w:sz w:val="20"/>
          <w:szCs w:val="20"/>
          <w:color w:val="auto"/>
        </w:rPr>
      </w:pPr>
      <w:r>
        <w:rPr>
          <w:rFonts w:ascii="Arial" w:cs="Arial" w:eastAsia="Arial" w:hAnsi="Arial"/>
          <w:sz w:val="19"/>
          <w:szCs w:val="19"/>
          <w:color w:val="auto"/>
        </w:rPr>
        <w:t>Each of the parties to this Investor Group Supplement agrees that, at any time and from time to time upon the written request of any other party, it will execute and deliver such further documents and do such further acts and things as such other party may reasonably request in order to effect the purposes of this Investor Group Supplement.</w:t>
      </w:r>
    </w:p>
    <w:p>
      <w:pPr>
        <w:spacing w:after="0" w:line="134" w:lineRule="exact"/>
        <w:rPr>
          <w:sz w:val="20"/>
          <w:szCs w:val="20"/>
          <w:color w:val="auto"/>
        </w:rPr>
      </w:pPr>
    </w:p>
    <w:p>
      <w:pPr>
        <w:ind w:right="480" w:firstLine="1497"/>
        <w:spacing w:after="0" w:line="274" w:lineRule="auto"/>
        <w:rPr>
          <w:sz w:val="20"/>
          <w:szCs w:val="20"/>
          <w:color w:val="auto"/>
        </w:rPr>
      </w:pPr>
      <w:r>
        <w:rPr>
          <w:rFonts w:ascii="Arial" w:cs="Arial" w:eastAsia="Arial" w:hAnsi="Arial"/>
          <w:sz w:val="21"/>
          <w:szCs w:val="21"/>
          <w:color w:val="auto"/>
        </w:rPr>
        <w:t xml:space="preserve">The Acquiring Investor Group has executed and delivered to the Administrative Agent a Purchaser’s Letter substantially in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to the Series 2021-1 Class A-1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51" w:name="page152"/>
    <w:bookmarkEnd w:id="151"/>
    <w:p>
      <w:pPr>
        <w:ind w:right="100" w:firstLine="1497"/>
        <w:spacing w:after="0" w:line="274" w:lineRule="auto"/>
        <w:rPr>
          <w:sz w:val="20"/>
          <w:szCs w:val="20"/>
          <w:color w:val="auto"/>
        </w:rPr>
      </w:pPr>
      <w:r>
        <w:rPr>
          <w:rFonts w:ascii="Arial" w:cs="Arial" w:eastAsia="Arial" w:hAnsi="Arial"/>
          <w:sz w:val="19"/>
          <w:szCs w:val="19"/>
          <w:color w:val="auto"/>
        </w:rPr>
        <w:t>By executing and delivering this Investor Group Supplement, the Transferor Investor Group and the Acquiring Investor Group confirm to and agree with each other and the other parties to the Series 2021-1 Class A-1 Note Purchase Agreement as follows: (i) other than the representation and warranty that it is the legal and beneficial owner of the interest being assigned hereby free and clear of any adverse claim, the Transferor Investor Group makes no representation or warranty and assumes no responsibility with respect to any statements, warranties or representations made in or in connection with the Series 2021-1 Supplement, the Series 2021-1 Class A-1 Note Purchase Agreement or the execution, legality, validity, enforceability, genuineness, sufficiency or value of the Indenture, the Series 2021-1 Class A-1 Notes, the Related Documents or any instrument or document furnished pursuant thereto; (ii) the Transferor Investor Group makes no representation or warranty and assumes no responsibility with respect to the financial condition of the Co-Issuers or the performance or observance by the</w:t>
      </w:r>
    </w:p>
    <w:p>
      <w:pPr>
        <w:spacing w:after="0" w:line="34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Co-Issuers of any of the Co-Issuers’ obligations under the Indenture, the Series 2021-1 Class A-1 Note Purchase Agreement, the Related Documents or any other instrument or document furnished pursuant hereto; (iii) the Acquiring Investor Group confirms that it has received a copy of the Indenture, the Series 2021-1 Class A-1 Note Purchase Agreement and such other Related Documents and other documents and information as it has deemed appropriate to make its own credit analysis and decision to enter into this Investor Group Supplement; (iv) the Acquiring Investor Group will, independently and without reliance upon the Administrative Agent, the Transferor Investor Group, the Funding Agents or any other Person and based on such documents and information as it shall deem appropriate at the time, continue to make its own credit decisions in taking or not taking action under the Series 2021-1 Class A-1 Note Purchase Agreement; (v) the Acquiring Investor Group appoints and authorizes the Administrative Agent to take such action as agent on its behalf and to exercise such powers under the Series 2021-1 Class A-1 Note Purchase Agreement as are delegated to the Administrative Agent by the terms thereof, together with such powers as are reasonably incidental thereto, all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Series 2021-1 Class A-1 Note Purchase Agreement; (vi) each member of the Acquiring Investor Group appoints and authorizes its related Funding Agent,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to take such action as agent on its behalf and to exercise such powers under the Series 2021-1 Class A-1 Note Purchase Agreement as are delegated to such Funding Agent by the terms thereof, together with such powers as are reasonably incidental thereto, all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Series 2021-1 Class A-1 Note Purchase Agreement; (vii) each member of the Acquiring Investor Group agrees that it will perform in accordance with their terms all of the obligations that by the terms of the Series 2021-1 Class A-1 Note Purchase Agreement are required to be performed by it as a member of the Acquiring Investor Group; and (viii) each member of the Acquiring Investor Group hereby represents and warrants to the Co-Issuers and the Manager that: (A) it has had an opportunity to discuss the Co-Issuers’ and the Manager’s business, management and financial affairs, and the terms and conditions of the proposed purchase, with the Co-Issuers and the Manager and their respective representatives; (B) it is a “qualified institutional buyer” within the meaning of Rule 144A under the Securities Act and has sufficient knowledge and experience in financial and business matters to be capable of evaluating the merits and risks of investing in, and is able and prepared to bear the economic risk of investing in, the Series 2021-1 Class A-1 Notes; (C) it is purchasing the Series 2021-1 Class A-1 Notes for its own account, or for the account of one or more “qualified institutional buyers” within the meaning of Rule 144A under the Securities Act that meet the criteria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52" w:name="page153"/>
    <w:bookmarkEnd w:id="152"/>
    <w:p>
      <w:pPr>
        <w:ind w:right="40"/>
        <w:spacing w:after="0" w:line="273" w:lineRule="auto"/>
        <w:rPr>
          <w:sz w:val="20"/>
          <w:szCs w:val="20"/>
          <w:color w:val="auto"/>
        </w:rPr>
      </w:pPr>
      <w:r>
        <w:rPr>
          <w:rFonts w:ascii="Arial" w:cs="Arial" w:eastAsia="Arial" w:hAnsi="Arial"/>
          <w:sz w:val="19"/>
          <w:szCs w:val="19"/>
          <w:u w:val="single" w:color="auto"/>
          <w:color w:val="auto"/>
        </w:rPr>
        <w:t>clause (viii)(B)</w:t>
      </w:r>
      <w:r>
        <w:rPr>
          <w:rFonts w:ascii="Arial" w:cs="Arial" w:eastAsia="Arial" w:hAnsi="Arial"/>
          <w:sz w:val="19"/>
          <w:szCs w:val="19"/>
          <w:color w:val="auto"/>
        </w:rPr>
        <w:t xml:space="preserve"> above and for which it is acting with complete investment discretion, for investment purposes only and not with a view to distribution, subject, nevertheless, to the understanding that the disposition of its property shall at all times be and remain within its control, and neither it nor its Affiliates has engaged in any general solicitation or general advertising within the meaning of the Securities Act with respect to the Series 2021-1 Class A-1 Notes; (D) it understands that (I) the Series 2021-1 Class A-1 Notes have not been and will not be registered or qualified under the Securities Act or any applicable state securities laws or the securities laws of any other jurisdiction and are being offered only in a transaction not involving any public offering within the meaning of the Securities Act and may not be resold or otherwise transferred unless so registered or qualified or unless an exemption from registration or qualification is available and an opinion of counsel shall have been delivered in advance to the Co-Issuers, (II) the Co-Issuers is not required to register the Series 2021-1 Class A-1 Notes, (III) any permitted transferee hereunder must meet the criteria described under </w:t>
      </w:r>
      <w:r>
        <w:rPr>
          <w:rFonts w:ascii="Arial" w:cs="Arial" w:eastAsia="Arial" w:hAnsi="Arial"/>
          <w:sz w:val="19"/>
          <w:szCs w:val="19"/>
          <w:u w:val="single" w:color="auto"/>
          <w:color w:val="auto"/>
        </w:rPr>
        <w:t>clause (viii)(B)</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44"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and (IV) any transfer must comply with the provisions of Section 2.8 of the Base Indenture, Section 4.03 of the Series 2021-1 Supplement and Sections 9.03 or 9.17, as applicable, of the Series 2021-1 Class A-1 Note Purchase Agreement; (E) it will comply with the requirements of </w:t>
      </w:r>
      <w:r>
        <w:rPr>
          <w:rFonts w:ascii="Arial" w:cs="Arial" w:eastAsia="Arial" w:hAnsi="Arial"/>
          <w:sz w:val="21"/>
          <w:szCs w:val="21"/>
          <w:u w:val="single" w:color="auto"/>
          <w:color w:val="auto"/>
        </w:rPr>
        <w:t>clause (viii)(D)</w:t>
      </w:r>
      <w:r>
        <w:rPr>
          <w:rFonts w:ascii="Arial" w:cs="Arial" w:eastAsia="Arial" w:hAnsi="Arial"/>
          <w:sz w:val="21"/>
          <w:szCs w:val="21"/>
          <w:color w:val="auto"/>
        </w:rPr>
        <w:t xml:space="preserve"> above in connection with any transfer by it of the Series 2021-1 Class A-1 Notes; (F) it understands that the Series 2021-1 Class A-1 Notes in the form of definitive notes will bear the legend set out in the form of Series 2021-1 Class A-1 Notes attached to the Series 2021-1 Supplement and that the Series 2021-1 Class A-1 Notes will be subject to the restrictions on transfer described in such legend; (G) it will obtain for the benefit of the Co-Issuers from any purchaser of the Series 2021-1 Class A-1 Notes substantially the same representations and warranties contained in the foregoing paragraphs; and (H) it has executed a Purchaser’s Letter substantially in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to the Series 2021-1 Class A-1 Note Purchase Agreement.</w:t>
      </w:r>
    </w:p>
    <w:p>
      <w:pPr>
        <w:spacing w:after="0" w:line="184" w:lineRule="exact"/>
        <w:rPr>
          <w:sz w:val="20"/>
          <w:szCs w:val="20"/>
          <w:color w:val="auto"/>
        </w:rPr>
      </w:pPr>
    </w:p>
    <w:p>
      <w:pPr>
        <w:ind w:right="320" w:firstLine="1497"/>
        <w:spacing w:after="0" w:line="252" w:lineRule="auto"/>
        <w:rPr>
          <w:sz w:val="20"/>
          <w:szCs w:val="20"/>
          <w:color w:val="auto"/>
        </w:rPr>
      </w:pP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sets forth (i) the Purchased Percentage for the Acquiring Investor Group, (ii) the revised Commitment Amounts of the Transferor Investor Group and the Acquiring Investor Group, and (iii) the revised Maximum Investor Group Principal Amounts for the Transferor Investor Group and the Acquiring Investor Group and (iv) administrative information with respect to the Acquiring Investor Group and its related Funding Agent.</w:t>
      </w:r>
    </w:p>
    <w:p>
      <w:pPr>
        <w:spacing w:after="0" w:line="174"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This Investor Group Supplement and all matters arising under or in any manner relating to this Investor Group Supplement shall be governed by, and construed in accordance with, the laws of the State of New York without giving effect to any choice of law or conflict provision or rule (whether of the State of New York or any other jurisdiction) that would cause the application of the laws of any jurisdiction other than the State of New York, and the obligations, rights and remedies of the parties hereto shall be determined in accordance with such law.</w:t>
      </w:r>
    </w:p>
    <w:p>
      <w:pPr>
        <w:spacing w:after="0" w:line="187" w:lineRule="exact"/>
        <w:rPr>
          <w:sz w:val="20"/>
          <w:szCs w:val="20"/>
          <w:color w:val="auto"/>
        </w:rPr>
      </w:pPr>
    </w:p>
    <w:p>
      <w:pPr>
        <w:ind w:right="120" w:firstLine="1497"/>
        <w:spacing w:after="0" w:line="236" w:lineRule="auto"/>
        <w:rPr>
          <w:sz w:val="20"/>
          <w:szCs w:val="20"/>
          <w:color w:val="auto"/>
        </w:rPr>
      </w:pPr>
      <w:r>
        <w:rPr>
          <w:rFonts w:ascii="Arial" w:cs="Arial" w:eastAsia="Arial" w:hAnsi="Arial"/>
          <w:sz w:val="22"/>
          <w:szCs w:val="22"/>
          <w:color w:val="auto"/>
        </w:rPr>
        <w:t>ALL PARTIES HEREUNDER HEREBY KNOWINGLY, VOLUNTARILY AND INTENTIONALLY WAIVE ANY RIGHTS THEY MAY HAVE TO A TRIAL BY JURY IN RESPECT OF ANY LITIGATION BASED HEREON OR ON THE SERIES 2021-1 CLASS A-1 NOTE PURCHASE AGREEMENT, OR ARISING OUT OF, UNDER, OR IN CONNECTION WITH, THIS INVESTOR GROUP SUPPLEMENT OR THE SERIES 2021-1 CLASS A-1 NOTE PURCHASE AGREEMENT, OR ANY COURSE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53" w:name="page154"/>
    <w:bookmarkEnd w:id="153"/>
    <w:p>
      <w:pPr>
        <w:ind w:right="20"/>
        <w:spacing w:after="0" w:line="252" w:lineRule="auto"/>
        <w:rPr>
          <w:sz w:val="20"/>
          <w:szCs w:val="20"/>
          <w:color w:val="auto"/>
        </w:rPr>
      </w:pPr>
      <w:r>
        <w:rPr>
          <w:rFonts w:ascii="Arial" w:cs="Arial" w:eastAsia="Arial" w:hAnsi="Arial"/>
          <w:sz w:val="21"/>
          <w:szCs w:val="21"/>
          <w:color w:val="auto"/>
        </w:rPr>
        <w:t>COURSE OF DEALING, STATEMENTS (WHETHER ORAL OR WRITTEN) OR ACTIONS OF THE PARTIES IN CONNECTION HEREWITH OR THEREWITH. ALL PARTIES ACKNOWLEDGE AND AGREE THAT THEY HAVE RECEIVED FULL AND SIGNIFICANT CONSIDERATION FOR THIS PROVISION AND THAT THIS PROVISION IS A MATERIAL INDUCEMENT FOR ALL PARTIES TO ENTER INTO THIS INVESTOR GROUP SUPPLEMENT.</w:t>
      </w:r>
    </w:p>
    <w:p>
      <w:pPr>
        <w:spacing w:after="0" w:line="174"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IN WITNESS WHEREOF, the parties hereto have caused this Investor Group Supplement to be executed by their respective duly authorized officers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40" w:hanging="439"/>
        <w:spacing w:after="0"/>
        <w:tabs>
          <w:tab w:leader="none" w:pos="49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as Transferor Investor Group</w:t>
      </w:r>
    </w:p>
    <w:p>
      <w:pPr>
        <w:spacing w:after="0" w:line="200" w:lineRule="exact"/>
        <w:rPr>
          <w:sz w:val="20"/>
          <w:szCs w:val="20"/>
          <w:color w:val="auto"/>
        </w:rPr>
      </w:pPr>
    </w:p>
    <w:p>
      <w:pPr>
        <w:spacing w:after="0" w:line="29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left="4940" w:hanging="439"/>
        <w:spacing w:after="0"/>
        <w:tabs>
          <w:tab w:leader="none" w:pos="494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as Acquiring Investor Group</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ind w:left="4500"/>
        <w:spacing w:after="0" w:line="238" w:lineRule="auto"/>
        <w:rPr>
          <w:sz w:val="20"/>
          <w:szCs w:val="20"/>
          <w:color w:val="auto"/>
        </w:rPr>
      </w:pPr>
      <w:r>
        <w:rPr>
          <w:rFonts w:ascii="Arial" w:cs="Arial" w:eastAsia="Arial" w:hAnsi="Arial"/>
          <w:sz w:val="22"/>
          <w:szCs w:val="22"/>
          <w:color w:val="auto"/>
        </w:rPr>
        <w:t>Name:</w:t>
      </w: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left="4940" w:hanging="439"/>
        <w:spacing w:after="0"/>
        <w:tabs>
          <w:tab w:leader="none" w:pos="4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as Funding Agent</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ind w:left="4500"/>
        <w:spacing w:after="0" w:line="238" w:lineRule="auto"/>
        <w:rPr>
          <w:sz w:val="20"/>
          <w:szCs w:val="20"/>
          <w:color w:val="auto"/>
        </w:rPr>
      </w:pPr>
      <w:r>
        <w:rPr>
          <w:rFonts w:ascii="Arial" w:cs="Arial" w:eastAsia="Arial" w:hAnsi="Arial"/>
          <w:sz w:val="22"/>
          <w:szCs w:val="22"/>
          <w:color w:val="auto"/>
        </w:rPr>
        <w:t>Name:</w:t>
      </w:r>
    </w:p>
    <w:p>
      <w:pPr>
        <w:ind w:left="4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CONSENTED AND ACKNOWLEDGED BY THE CO-ISSUERS: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DOMINO’S PIZZA MASTER ISSUER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04" w:right="69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339"/>
        <w:spacing w:after="0" w:line="250" w:lineRule="auto"/>
        <w:rPr>
          <w:sz w:val="20"/>
          <w:szCs w:val="20"/>
          <w:color w:val="auto"/>
        </w:rPr>
      </w:pPr>
      <w:r>
        <w:rPr>
          <w:rFonts w:ascii="Arial" w:cs="Arial" w:eastAsia="Arial" w:hAnsi="Arial"/>
          <w:sz w:val="22"/>
          <w:szCs w:val="22"/>
          <w:color w:val="auto"/>
        </w:rPr>
        <w:t>DOMINO’S SPV CANADIAN HOLDING COMPANY INC., as a Co-Issuer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DOMINO’S PIZZA DISTRIBUTION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DOMINO’S IP HOLDER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CONSENTED BY:</w:t>
      </w:r>
    </w:p>
    <w:p>
      <w:pPr>
        <w:spacing w:after="0" w:line="200" w:lineRule="exact"/>
        <w:rPr>
          <w:sz w:val="20"/>
          <w:szCs w:val="20"/>
          <w:color w:val="auto"/>
        </w:rPr>
      </w:pPr>
    </w:p>
    <w:p>
      <w:pPr>
        <w:spacing w:after="0" w:line="290" w:lineRule="exact"/>
        <w:rPr>
          <w:sz w:val="20"/>
          <w:szCs w:val="20"/>
          <w:color w:val="auto"/>
        </w:rPr>
      </w:pPr>
    </w:p>
    <w:p>
      <w:pPr>
        <w:ind w:right="4279"/>
        <w:spacing w:after="0" w:line="250" w:lineRule="auto"/>
        <w:rPr>
          <w:sz w:val="20"/>
          <w:szCs w:val="20"/>
          <w:color w:val="auto"/>
        </w:rPr>
      </w:pPr>
      <w:r>
        <w:rPr>
          <w:rFonts w:ascii="Arial" w:cs="Arial" w:eastAsia="Arial" w:hAnsi="Arial"/>
          <w:sz w:val="22"/>
          <w:szCs w:val="22"/>
          <w:color w:val="auto"/>
        </w:rPr>
        <w:t>COÖPERATIEVE RABOBANK U.A., NEW YORK BRANCH, as Swingline Lender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460"/>
        <w:spacing w:after="0" w:line="238" w:lineRule="auto"/>
        <w:rPr>
          <w:sz w:val="20"/>
          <w:szCs w:val="20"/>
          <w:color w:val="auto"/>
        </w:rPr>
      </w:pPr>
      <w:r>
        <w:rPr>
          <w:rFonts w:ascii="Arial" w:cs="Arial" w:eastAsia="Arial" w:hAnsi="Arial"/>
          <w:sz w:val="22"/>
          <w:szCs w:val="22"/>
          <w:color w:val="auto"/>
        </w:rPr>
        <w:t>Name:</w:t>
      </w:r>
    </w:p>
    <w:p>
      <w:pPr>
        <w:ind w:left="4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8" w:right="1440" w:bottom="1440" w:gutter="0" w:footer="0" w:header="0"/>
        </w:sectPr>
      </w:pPr>
    </w:p>
    <w:bookmarkStart w:id="155" w:name="page156"/>
    <w:bookmarkEnd w:id="155"/>
    <w:p>
      <w:pPr>
        <w:ind w:right="5380"/>
        <w:spacing w:after="0" w:line="250" w:lineRule="auto"/>
        <w:rPr>
          <w:sz w:val="20"/>
          <w:szCs w:val="20"/>
          <w:color w:val="auto"/>
        </w:rPr>
      </w:pPr>
      <w:r>
        <w:rPr>
          <w:rFonts w:ascii="Arial" w:cs="Arial" w:eastAsia="Arial" w:hAnsi="Arial"/>
          <w:sz w:val="22"/>
          <w:szCs w:val="22"/>
          <w:color w:val="auto"/>
        </w:rPr>
        <w:t>COÖPERATIEVE RABOBANK U.A., NEW YORK BRANCH, as L/C Provider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Title: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I TO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INVESTOR GROUP SUPPLEMENT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LIST OF ADDRESSES FOR NOTICES AND OF COMMITMENT AMOUNTS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Transferor Investor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gridSpan w:val="2"/>
          </w:tcPr>
          <w:p>
            <w:pPr>
              <w:spacing w:after="0"/>
              <w:rPr>
                <w:sz w:val="20"/>
                <w:szCs w:val="20"/>
                <w:color w:val="auto"/>
              </w:rPr>
            </w:pPr>
            <w:r>
              <w:rPr>
                <w:rFonts w:ascii="Arial" w:cs="Arial" w:eastAsia="Arial" w:hAnsi="Arial"/>
                <w:sz w:val="22"/>
                <w:szCs w:val="22"/>
                <w:color w:val="auto"/>
                <w:w w:val="99"/>
              </w:rPr>
              <w:t>Prior Commitment Amount: $[</w:t>
            </w:r>
          </w:p>
        </w:tc>
        <w:tc>
          <w:tcPr>
            <w:tcW w:w="640" w:type="dxa"/>
            <w:vAlign w:val="bottom"/>
          </w:tcPr>
          <w:p>
            <w:pPr>
              <w:ind w:left="140"/>
              <w:spacing w:after="0"/>
              <w:rPr>
                <w:sz w:val="20"/>
                <w:szCs w:val="20"/>
                <w:color w:val="auto"/>
              </w:rPr>
            </w:pPr>
            <w:r>
              <w:rPr>
                <w:rFonts w:ascii="Arial" w:cs="Arial" w:eastAsia="Arial" w:hAnsi="Arial"/>
                <w:sz w:val="22"/>
                <w:szCs w:val="22"/>
                <w:color w:val="auto"/>
              </w:rPr>
              <w:t>]</w:t>
            </w:r>
          </w:p>
        </w:tc>
      </w:tr>
      <w:tr>
        <w:trPr>
          <w:trHeight w:val="243"/>
        </w:trPr>
        <w:tc>
          <w:tcPr>
            <w:tcW w:w="2900" w:type="dxa"/>
            <w:vAlign w:val="bottom"/>
            <w:gridSpan w:val="2"/>
          </w:tcPr>
          <w:p>
            <w:pPr>
              <w:spacing w:after="0" w:line="243" w:lineRule="exact"/>
              <w:rPr>
                <w:sz w:val="20"/>
                <w:szCs w:val="20"/>
                <w:color w:val="auto"/>
              </w:rPr>
            </w:pPr>
            <w:r>
              <w:rPr>
                <w:rFonts w:ascii="Arial" w:cs="Arial" w:eastAsia="Arial" w:hAnsi="Arial"/>
                <w:sz w:val="22"/>
                <w:szCs w:val="22"/>
                <w:color w:val="auto"/>
                <w:w w:val="96"/>
              </w:rPr>
              <w:t>Revised Commitment Amount:</w:t>
            </w:r>
          </w:p>
        </w:tc>
        <w:tc>
          <w:tcPr>
            <w:tcW w:w="640" w:type="dxa"/>
            <w:vAlign w:val="bottom"/>
          </w:tcPr>
          <w:p>
            <w:pPr>
              <w:ind w:left="140"/>
              <w:spacing w:after="0" w:line="243" w:lineRule="exact"/>
              <w:rPr>
                <w:sz w:val="20"/>
                <w:szCs w:val="20"/>
                <w:color w:val="auto"/>
              </w:rPr>
            </w:pPr>
            <w:r>
              <w:rPr>
                <w:rFonts w:ascii="Arial" w:cs="Arial" w:eastAsia="Arial" w:hAnsi="Arial"/>
                <w:sz w:val="22"/>
                <w:szCs w:val="22"/>
                <w:color w:val="auto"/>
              </w:rPr>
              <w:t>$[  ]</w:t>
            </w:r>
          </w:p>
        </w:tc>
      </w:tr>
      <w:tr>
        <w:trPr>
          <w:trHeight w:val="243"/>
        </w:trPr>
        <w:tc>
          <w:tcPr>
            <w:tcW w:w="2900" w:type="dxa"/>
            <w:vAlign w:val="bottom"/>
            <w:gridSpan w:val="2"/>
          </w:tcPr>
          <w:p>
            <w:pPr>
              <w:spacing w:after="0" w:line="243" w:lineRule="exact"/>
              <w:rPr>
                <w:sz w:val="20"/>
                <w:szCs w:val="20"/>
                <w:color w:val="auto"/>
              </w:rPr>
            </w:pPr>
            <w:r>
              <w:rPr>
                <w:rFonts w:ascii="Arial" w:cs="Arial" w:eastAsia="Arial" w:hAnsi="Arial"/>
                <w:sz w:val="22"/>
                <w:szCs w:val="22"/>
                <w:color w:val="auto"/>
                <w:w w:val="96"/>
              </w:rPr>
              <w:t>Prior Maximum Investor Group</w:t>
            </w:r>
          </w:p>
        </w:tc>
        <w:tc>
          <w:tcPr>
            <w:tcW w:w="640" w:type="dxa"/>
            <w:vAlign w:val="bottom"/>
          </w:tcPr>
          <w:p>
            <w:pPr>
              <w:spacing w:after="0"/>
              <w:rPr>
                <w:sz w:val="21"/>
                <w:szCs w:val="21"/>
                <w:color w:val="auto"/>
              </w:rPr>
            </w:pPr>
          </w:p>
        </w:tc>
      </w:tr>
      <w:tr>
        <w:trPr>
          <w:trHeight w:val="243"/>
        </w:trPr>
        <w:tc>
          <w:tcPr>
            <w:tcW w:w="2500" w:type="dxa"/>
            <w:vAlign w:val="bottom"/>
          </w:tcPr>
          <w:p>
            <w:pPr>
              <w:spacing w:after="0" w:line="243" w:lineRule="exact"/>
              <w:rPr>
                <w:sz w:val="20"/>
                <w:szCs w:val="20"/>
                <w:color w:val="auto"/>
              </w:rPr>
            </w:pPr>
            <w:r>
              <w:rPr>
                <w:rFonts w:ascii="Arial" w:cs="Arial" w:eastAsia="Arial" w:hAnsi="Arial"/>
                <w:sz w:val="22"/>
                <w:szCs w:val="22"/>
                <w:color w:val="auto"/>
              </w:rPr>
              <w:t>Principal Amount: $[  ]</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22"/>
                <w:szCs w:val="22"/>
                <w:color w:val="auto"/>
                <w:w w:val="93"/>
              </w:rPr>
              <w:t>Revised Maximum Investor</w:t>
            </w: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59"/>
        </w:trPr>
        <w:tc>
          <w:tcPr>
            <w:tcW w:w="2500" w:type="dxa"/>
            <w:vAlign w:val="bottom"/>
          </w:tcPr>
          <w:p>
            <w:pPr>
              <w:spacing w:after="0"/>
              <w:rPr>
                <w:sz w:val="20"/>
                <w:szCs w:val="20"/>
                <w:color w:val="auto"/>
              </w:rPr>
            </w:pPr>
            <w:r>
              <w:rPr>
                <w:rFonts w:ascii="Arial" w:cs="Arial" w:eastAsia="Arial" w:hAnsi="Arial"/>
                <w:sz w:val="22"/>
                <w:szCs w:val="22"/>
                <w:color w:val="auto"/>
              </w:rPr>
              <w:t>Group Principal Amount:</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640" w:type="dxa"/>
            <w:vAlign w:val="bottom"/>
          </w:tcPr>
          <w:p>
            <w:pPr>
              <w:ind w:left="14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Acquiring Investor Group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38" w:lineRule="auto"/>
        <w:rPr>
          <w:sz w:val="20"/>
          <w:szCs w:val="20"/>
          <w:color w:val="auto"/>
        </w:rPr>
      </w:pPr>
      <w:r>
        <w:rPr>
          <w:rFonts w:ascii="Arial" w:cs="Arial" w:eastAsia="Arial" w:hAnsi="Arial"/>
          <w:sz w:val="22"/>
          <w:szCs w:val="22"/>
          <w:color w:val="auto"/>
        </w:rPr>
        <w:t>Attention:</w:t>
      </w:r>
    </w:p>
    <w:p>
      <w:pPr>
        <w:spacing w:after="0" w:line="230" w:lineRule="auto"/>
        <w:rPr>
          <w:sz w:val="20"/>
          <w:szCs w:val="20"/>
          <w:color w:val="auto"/>
        </w:rPr>
      </w:pPr>
      <w:r>
        <w:rPr>
          <w:rFonts w:ascii="Arial" w:cs="Arial" w:eastAsia="Arial" w:hAnsi="Arial"/>
          <w:sz w:val="22"/>
          <w:szCs w:val="22"/>
          <w:color w:val="auto"/>
        </w:rPr>
        <w:t>Telephone: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Purchased Percentage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Transferor Investor Group’s Commitment: [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53"/>
        </w:trPr>
        <w:tc>
          <w:tcPr>
            <w:tcW w:w="3040" w:type="dxa"/>
            <w:vAlign w:val="bottom"/>
            <w:gridSpan w:val="2"/>
          </w:tcPr>
          <w:p>
            <w:pPr>
              <w:spacing w:after="0"/>
              <w:rPr>
                <w:sz w:val="20"/>
                <w:szCs w:val="20"/>
                <w:color w:val="auto"/>
              </w:rPr>
            </w:pPr>
            <w:r>
              <w:rPr>
                <w:rFonts w:ascii="Arial" w:cs="Arial" w:eastAsia="Arial" w:hAnsi="Arial"/>
                <w:sz w:val="22"/>
                <w:szCs w:val="22"/>
                <w:color w:val="auto"/>
              </w:rPr>
              <w:t>Prior Commitment Amount: $[</w:t>
            </w:r>
          </w:p>
        </w:tc>
        <w:tc>
          <w:tcPr>
            <w:tcW w:w="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74"/>
              </w:rPr>
              <w:t>]</w:t>
            </w:r>
          </w:p>
        </w:tc>
        <w:tc>
          <w:tcPr>
            <w:tcW w:w="840" w:type="dxa"/>
            <w:vAlign w:val="bottom"/>
          </w:tcPr>
          <w:p>
            <w:pPr>
              <w:spacing w:after="0"/>
              <w:rPr>
                <w:sz w:val="21"/>
                <w:szCs w:val="21"/>
                <w:color w:val="auto"/>
              </w:rPr>
            </w:pPr>
          </w:p>
        </w:tc>
      </w:tr>
      <w:tr>
        <w:trPr>
          <w:trHeight w:val="242"/>
        </w:trPr>
        <w:tc>
          <w:tcPr>
            <w:tcW w:w="3040" w:type="dxa"/>
            <w:vAlign w:val="bottom"/>
            <w:gridSpan w:val="2"/>
          </w:tcPr>
          <w:p>
            <w:pPr>
              <w:spacing w:after="0" w:line="242" w:lineRule="exact"/>
              <w:rPr>
                <w:sz w:val="20"/>
                <w:szCs w:val="20"/>
                <w:color w:val="auto"/>
              </w:rPr>
            </w:pPr>
            <w:r>
              <w:rPr>
                <w:rFonts w:ascii="Arial" w:cs="Arial" w:eastAsia="Arial" w:hAnsi="Arial"/>
                <w:sz w:val="22"/>
                <w:szCs w:val="22"/>
                <w:color w:val="auto"/>
              </w:rPr>
              <w:t>Revised Commitment Amount:</w:t>
            </w:r>
          </w:p>
        </w:tc>
        <w:tc>
          <w:tcPr>
            <w:tcW w:w="900" w:type="dxa"/>
            <w:vAlign w:val="bottom"/>
            <w:gridSpan w:val="2"/>
          </w:tcPr>
          <w:p>
            <w:pPr>
              <w:spacing w:after="0" w:line="242" w:lineRule="exact"/>
              <w:rPr>
                <w:sz w:val="20"/>
                <w:szCs w:val="20"/>
                <w:color w:val="auto"/>
              </w:rPr>
            </w:pPr>
            <w:r>
              <w:rPr>
                <w:rFonts w:ascii="Arial" w:cs="Arial" w:eastAsia="Arial" w:hAnsi="Arial"/>
                <w:sz w:val="22"/>
                <w:szCs w:val="22"/>
                <w:color w:val="auto"/>
                <w:w w:val="89"/>
              </w:rPr>
              <w:t>$[______]</w:t>
            </w:r>
          </w:p>
        </w:tc>
      </w:tr>
      <w:tr>
        <w:trPr>
          <w:trHeight w:val="274"/>
        </w:trPr>
        <w:tc>
          <w:tcPr>
            <w:tcW w:w="3040" w:type="dxa"/>
            <w:vAlign w:val="bottom"/>
            <w:gridSpan w:val="2"/>
          </w:tcPr>
          <w:p>
            <w:pPr>
              <w:spacing w:after="0"/>
              <w:rPr>
                <w:sz w:val="20"/>
                <w:szCs w:val="20"/>
                <w:color w:val="auto"/>
              </w:rPr>
            </w:pPr>
            <w:r>
              <w:rPr>
                <w:rFonts w:ascii="Arial" w:cs="Arial" w:eastAsia="Arial" w:hAnsi="Arial"/>
                <w:sz w:val="22"/>
                <w:szCs w:val="22"/>
                <w:color w:val="auto"/>
              </w:rPr>
              <w:t>Prior Maximum Investor Group</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22"/>
                <w:szCs w:val="22"/>
                <w:color w:val="auto"/>
              </w:rPr>
              <w:t>Principal Amount: $[</w:t>
            </w:r>
          </w:p>
        </w:tc>
        <w:tc>
          <w:tcPr>
            <w:tcW w:w="820" w:type="dxa"/>
            <w:vAlign w:val="bottom"/>
          </w:tcPr>
          <w:p>
            <w:pPr>
              <w:jc w:val="right"/>
              <w:ind w:right="632"/>
              <w:spacing w:after="0"/>
              <w:rPr>
                <w:sz w:val="20"/>
                <w:szCs w:val="20"/>
                <w:color w:val="auto"/>
              </w:rPr>
            </w:pPr>
            <w:r>
              <w:rPr>
                <w:rFonts w:ascii="Arial" w:cs="Arial" w:eastAsia="Arial" w:hAnsi="Arial"/>
                <w:sz w:val="22"/>
                <w:szCs w:val="22"/>
                <w:color w:val="auto"/>
                <w:w w:val="97"/>
              </w:rPr>
              <w:t>]</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3040" w:type="dxa"/>
            <w:vAlign w:val="bottom"/>
            <w:gridSpan w:val="2"/>
          </w:tcPr>
          <w:p>
            <w:pPr>
              <w:spacing w:after="0"/>
              <w:rPr>
                <w:sz w:val="20"/>
                <w:szCs w:val="20"/>
                <w:color w:val="auto"/>
              </w:rPr>
            </w:pPr>
            <w:r>
              <w:rPr>
                <w:rFonts w:ascii="Arial" w:cs="Arial" w:eastAsia="Arial" w:hAnsi="Arial"/>
                <w:sz w:val="22"/>
                <w:szCs w:val="22"/>
                <w:color w:val="auto"/>
              </w:rPr>
              <w:t>Revised Maximum Investor</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22"/>
                <w:szCs w:val="22"/>
                <w:color w:val="auto"/>
                <w:w w:val="91"/>
              </w:rPr>
              <w:t>Group Principal Amount:</w:t>
            </w:r>
          </w:p>
        </w:tc>
        <w:tc>
          <w:tcPr>
            <w:tcW w:w="82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0"/>
                <w:szCs w:val="20"/>
                <w:color w:val="auto"/>
              </w:rPr>
            </w:pPr>
            <w:r>
              <w:rPr>
                <w:rFonts w:ascii="Arial" w:cs="Arial" w:eastAsia="Arial" w:hAnsi="Arial"/>
                <w:sz w:val="19"/>
                <w:szCs w:val="19"/>
                <w:color w:val="auto"/>
                <w:w w:val="74"/>
              </w:rPr>
              <w:t>]</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Funding Agent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Address: Attention:</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Telephone: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Facsimile:</w:t>
      </w:r>
    </w:p>
    <w:p>
      <w:pPr>
        <w:spacing w:after="0" w:line="3" w:lineRule="exact"/>
        <w:rPr>
          <w:sz w:val="20"/>
          <w:szCs w:val="20"/>
          <w:color w:val="auto"/>
        </w:rPr>
      </w:pPr>
    </w:p>
    <w:p>
      <w:pPr>
        <w:ind w:left="8620"/>
        <w:spacing w:after="0"/>
        <w:rPr>
          <w:sz w:val="20"/>
          <w:szCs w:val="20"/>
          <w:color w:val="auto"/>
        </w:rPr>
      </w:pPr>
      <w:r>
        <w:rPr>
          <w:rFonts w:ascii="Arial" w:cs="Arial" w:eastAsia="Arial" w:hAnsi="Arial"/>
          <w:sz w:val="21"/>
          <w:szCs w:val="21"/>
          <w:b w:val="1"/>
          <w:bCs w:val="1"/>
          <w:color w:val="auto"/>
        </w:rPr>
        <w:t>EXHIBIT D TO CLASS A-1</w:t>
      </w:r>
    </w:p>
    <w:p>
      <w:pPr>
        <w:spacing w:after="0" w:line="2" w:lineRule="exact"/>
        <w:rPr>
          <w:sz w:val="20"/>
          <w:szCs w:val="20"/>
          <w:color w:val="auto"/>
        </w:rPr>
      </w:pPr>
    </w:p>
    <w:p>
      <w:pPr>
        <w:ind w:left="7920"/>
        <w:spacing w:after="0"/>
        <w:rPr>
          <w:sz w:val="20"/>
          <w:szCs w:val="20"/>
          <w:color w:val="auto"/>
        </w:rPr>
      </w:pPr>
      <w:r>
        <w:rPr>
          <w:rFonts w:ascii="Arial" w:cs="Arial" w:eastAsia="Arial" w:hAnsi="Arial"/>
          <w:sz w:val="21"/>
          <w:szCs w:val="21"/>
          <w:b w:val="1"/>
          <w:bCs w:val="1"/>
          <w:u w:val="single" w:color="auto"/>
          <w:color w:val="auto"/>
        </w:rPr>
        <w:t>NOTE PURCHASE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PURCHASER’S LETTER]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[INVESTOR]</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[INVESTOR ADDRESS]</w:t>
      </w:r>
    </w:p>
    <w:p>
      <w:pPr>
        <w:spacing w:after="0"/>
        <w:tabs>
          <w:tab w:leader="none" w:pos="3440" w:val="left"/>
        </w:tabs>
        <w:rPr>
          <w:sz w:val="20"/>
          <w:szCs w:val="20"/>
          <w:color w:val="auto"/>
        </w:rPr>
      </w:pPr>
      <w:r>
        <w:rPr>
          <w:rFonts w:ascii="Arial" w:cs="Arial" w:eastAsia="Arial" w:hAnsi="Arial"/>
          <w:sz w:val="22"/>
          <w:szCs w:val="22"/>
          <w:color w:val="auto"/>
        </w:rPr>
        <w:t>Attention: [INVESTOR CONTACT]</w:t>
      </w:r>
      <w:r>
        <w:rPr>
          <w:sz w:val="20"/>
          <w:szCs w:val="20"/>
          <w:color w:val="auto"/>
        </w:rPr>
        <w:tab/>
      </w:r>
      <w:r>
        <w:rPr>
          <w:rFonts w:ascii="Arial" w:cs="Arial" w:eastAsia="Arial" w:hAnsi="Arial"/>
          <w:sz w:val="19"/>
          <w:szCs w:val="19"/>
          <w:color w:val="auto"/>
        </w:rPr>
        <w:t>[Date]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40" w:firstLine="1497"/>
        <w:spacing w:after="0" w:line="275" w:lineRule="auto"/>
        <w:rPr>
          <w:sz w:val="20"/>
          <w:szCs w:val="20"/>
          <w:color w:val="auto"/>
        </w:rPr>
      </w:pPr>
      <w:r>
        <w:rPr>
          <w:rFonts w:ascii="Arial" w:cs="Arial" w:eastAsia="Arial" w:hAnsi="Arial"/>
          <w:sz w:val="19"/>
          <w:szCs w:val="19"/>
          <w:color w:val="auto"/>
        </w:rPr>
        <w:t>Reference is hereby made to the Class A-1 Note Purchase Agreement dated April 16, 2021 (the “</w:t>
      </w:r>
      <w:r>
        <w:rPr>
          <w:rFonts w:ascii="Arial" w:cs="Arial" w:eastAsia="Arial" w:hAnsi="Arial"/>
          <w:sz w:val="19"/>
          <w:szCs w:val="19"/>
          <w:u w:val="single" w:color="auto"/>
          <w:color w:val="auto"/>
        </w:rPr>
        <w:t>NPA</w:t>
      </w:r>
      <w:r>
        <w:rPr>
          <w:rFonts w:ascii="Arial" w:cs="Arial" w:eastAsia="Arial" w:hAnsi="Arial"/>
          <w:sz w:val="19"/>
          <w:szCs w:val="19"/>
          <w:color w:val="auto"/>
        </w:rPr>
        <w:t>”) relating to the offer and sale (the “</w:t>
      </w:r>
      <w:r>
        <w:rPr>
          <w:rFonts w:ascii="Arial" w:cs="Arial" w:eastAsia="Arial" w:hAnsi="Arial"/>
          <w:sz w:val="19"/>
          <w:szCs w:val="19"/>
          <w:u w:val="single" w:color="auto"/>
          <w:color w:val="auto"/>
        </w:rPr>
        <w:t>Offering</w:t>
      </w:r>
      <w:r>
        <w:rPr>
          <w:rFonts w:ascii="Arial" w:cs="Arial" w:eastAsia="Arial" w:hAnsi="Arial"/>
          <w:sz w:val="19"/>
          <w:szCs w:val="19"/>
          <w:color w:val="auto"/>
        </w:rPr>
        <w:t>”) of Series 2021-1 Variable Funding Senior Notes, Class A-1 (the “</w:t>
      </w:r>
      <w:r>
        <w:rPr>
          <w:rFonts w:ascii="Arial" w:cs="Arial" w:eastAsia="Arial" w:hAnsi="Arial"/>
          <w:sz w:val="19"/>
          <w:szCs w:val="19"/>
          <w:u w:val="single" w:color="auto"/>
          <w:color w:val="auto"/>
        </w:rPr>
        <w:t>Securities</w:t>
      </w:r>
      <w:r>
        <w:rPr>
          <w:rFonts w:ascii="Arial" w:cs="Arial" w:eastAsia="Arial" w:hAnsi="Arial"/>
          <w:sz w:val="19"/>
          <w:szCs w:val="19"/>
          <w:color w:val="auto"/>
        </w:rPr>
        <w:t>”) of Domino’s Pizza Master Issuer LLC, Domino’s SPV Canadian Holding Company Inc., Domino’s Pizza Distribution, LLC and Domino’s IP Holder LLC (collectively, the “</w:t>
      </w:r>
      <w:r>
        <w:rPr>
          <w:rFonts w:ascii="Arial" w:cs="Arial" w:eastAsia="Arial" w:hAnsi="Arial"/>
          <w:sz w:val="19"/>
          <w:szCs w:val="19"/>
          <w:u w:val="single" w:color="auto"/>
          <w:color w:val="auto"/>
        </w:rPr>
        <w:t>Co-Issuers</w:t>
      </w:r>
      <w:r>
        <w:rPr>
          <w:rFonts w:ascii="Arial" w:cs="Arial" w:eastAsia="Arial" w:hAnsi="Arial"/>
          <w:sz w:val="19"/>
          <w:szCs w:val="19"/>
          <w:color w:val="auto"/>
        </w:rPr>
        <w:t>”). The Offering will not be required to be registered with the Securities and Exchange Commission pursuant to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under an exemption from registration granted in Section 4(a)(2) of the Act. Coöperatieve Rabobank U.A., New York Branch is acting as administrative agent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 in connection with the Offering. Unless otherwise defined herein, capitalized terms have the definitions ascribed to them in the NPA. Please confirm with us your acknowledgement and agreement with the following:</w:t>
      </w:r>
    </w:p>
    <w:p>
      <w:pPr>
        <w:spacing w:after="0" w:line="157" w:lineRule="exact"/>
        <w:rPr>
          <w:sz w:val="20"/>
          <w:szCs w:val="20"/>
          <w:color w:val="auto"/>
        </w:rPr>
      </w:pPr>
    </w:p>
    <w:p>
      <w:pPr>
        <w:ind w:left="1500" w:hanging="743"/>
        <w:spacing w:after="0" w:line="250" w:lineRule="auto"/>
        <w:tabs>
          <w:tab w:leader="none" w:pos="15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You are a “qualified institutional buyer” within the meaning of Rule 144A under the Act (a “</w:t>
      </w:r>
      <w:r>
        <w:rPr>
          <w:rFonts w:ascii="Arial" w:cs="Arial" w:eastAsia="Arial" w:hAnsi="Arial"/>
          <w:sz w:val="22"/>
          <w:szCs w:val="22"/>
          <w:u w:val="single" w:color="auto"/>
          <w:color w:val="auto"/>
        </w:rPr>
        <w:t>Qualified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Institutional Buyer</w:t>
      </w:r>
      <w:r>
        <w:rPr>
          <w:rFonts w:ascii="Arial" w:cs="Arial" w:eastAsia="Arial" w:hAnsi="Arial"/>
          <w:sz w:val="22"/>
          <w:szCs w:val="22"/>
          <w:color w:val="auto"/>
        </w:rPr>
        <w:t>”) and have sufficient knowledge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57" w:name="page158"/>
    <w:bookmarkEnd w:id="157"/>
    <w:p>
      <w:pPr>
        <w:ind w:left="1492"/>
        <w:spacing w:after="0" w:line="250" w:lineRule="auto"/>
        <w:rPr>
          <w:sz w:val="20"/>
          <w:szCs w:val="20"/>
          <w:color w:val="auto"/>
        </w:rPr>
      </w:pPr>
      <w:r>
        <w:rPr>
          <w:rFonts w:ascii="Arial" w:cs="Arial" w:eastAsia="Arial" w:hAnsi="Arial"/>
          <w:sz w:val="22"/>
          <w:szCs w:val="22"/>
          <w:color w:val="auto"/>
        </w:rPr>
        <w:t>experience in financial and business matters to be capable of evaluating the merits and risks of investing in, and are able and prepared to bear the economic risk of investing in, the Securities.</w:t>
      </w:r>
    </w:p>
    <w:p>
      <w:pPr>
        <w:spacing w:after="0" w:line="188" w:lineRule="exact"/>
        <w:rPr>
          <w:sz w:val="20"/>
          <w:szCs w:val="20"/>
          <w:color w:val="auto"/>
        </w:rPr>
      </w:pPr>
    </w:p>
    <w:p>
      <w:pPr>
        <w:jc w:val="both"/>
        <w:ind w:left="1492" w:hanging="743"/>
        <w:spacing w:after="0" w:line="282" w:lineRule="auto"/>
        <w:tabs>
          <w:tab w:leader="none" w:pos="149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Neither the Administrative Agent nor its Affiliates (i) has provided you with any information with respect to the Co-Issuers, the Securities or the Offering other than the information contained in the NPA, which was prepared by the Co-Issuers, or (ii) makes any representation as to the credit quality of the Co-Issuers or the merits of an investment in the Securities. The Administrative Agent has not provided you with any legal, business, tax or other advice in connection with the Offering or your possible purchase of the Securities.</w:t>
      </w:r>
    </w:p>
    <w:p>
      <w:pPr>
        <w:spacing w:after="0" w:line="133" w:lineRule="exact"/>
        <w:rPr>
          <w:rFonts w:ascii="Arial" w:cs="Arial" w:eastAsia="Arial" w:hAnsi="Arial"/>
          <w:sz w:val="19"/>
          <w:szCs w:val="19"/>
          <w:color w:val="auto"/>
        </w:rPr>
      </w:pPr>
    </w:p>
    <w:p>
      <w:pPr>
        <w:jc w:val="both"/>
        <w:ind w:left="1492" w:hanging="743"/>
        <w:spacing w:after="0" w:line="235" w:lineRule="auto"/>
        <w:tabs>
          <w:tab w:leader="none" w:pos="1492" w:val="left"/>
        </w:tabs>
        <w:numPr>
          <w:ilvl w:val="1"/>
          <w:numId w:val="111"/>
        </w:numPr>
        <w:rPr>
          <w:rFonts w:ascii="Arial" w:cs="Arial" w:eastAsia="Arial" w:hAnsi="Arial"/>
          <w:sz w:val="22"/>
          <w:szCs w:val="22"/>
          <w:color w:val="auto"/>
        </w:rPr>
      </w:pPr>
      <w:r>
        <w:rPr>
          <w:rFonts w:ascii="Arial" w:cs="Arial" w:eastAsia="Arial" w:hAnsi="Arial"/>
          <w:sz w:val="22"/>
          <w:szCs w:val="22"/>
          <w:color w:val="auto"/>
        </w:rPr>
        <w:t>You acknowledge that you have completed your own diligence investigation of the Co-Issuers and the Securities and have had sufficient access to the agreements, documents, records, officers and directors of the Co-Issuers to make your investment decision related to the Securities. You further acknowledge that you have had an opportunity to discuss the Co-Issuers’ and the Manager’s business, management and financial affairs, and the terms and conditions of the proposed purchase, with the Co-Issuers and the Manager and their respective representatives.</w:t>
      </w:r>
    </w:p>
    <w:p>
      <w:pPr>
        <w:spacing w:after="0" w:line="200" w:lineRule="exact"/>
        <w:rPr>
          <w:rFonts w:ascii="Arial" w:cs="Arial" w:eastAsia="Arial" w:hAnsi="Arial"/>
          <w:sz w:val="22"/>
          <w:szCs w:val="22"/>
          <w:color w:val="auto"/>
        </w:rPr>
      </w:pPr>
    </w:p>
    <w:p>
      <w:pPr>
        <w:spacing w:after="0" w:line="392" w:lineRule="exact"/>
        <w:rPr>
          <w:rFonts w:ascii="Arial" w:cs="Arial" w:eastAsia="Arial" w:hAnsi="Arial"/>
          <w:sz w:val="22"/>
          <w:szCs w:val="22"/>
          <w:color w:val="auto"/>
        </w:rPr>
      </w:pPr>
    </w:p>
    <w:p>
      <w:pPr>
        <w:jc w:val="both"/>
        <w:ind w:left="752" w:hanging="752"/>
        <w:spacing w:after="0" w:line="287" w:lineRule="auto"/>
        <w:tabs>
          <w:tab w:leader="none" w:pos="75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Administrative Agent may currently or in the future own securities issued by, or have business relationships (including, among others, lending, depository, risk management, advisory and banking relationships) with, the Co-Issuers and its affiliates, and the Administrative Agent will manage such security positions and business relationships as it determines to be in its best interests, without regard to the interests of the holders of the Securities.</w:t>
      </w:r>
    </w:p>
    <w:p>
      <w:pPr>
        <w:spacing w:after="0" w:line="142" w:lineRule="exact"/>
        <w:rPr>
          <w:rFonts w:ascii="Arial" w:cs="Arial" w:eastAsia="Arial" w:hAnsi="Arial"/>
          <w:sz w:val="19"/>
          <w:szCs w:val="19"/>
          <w:color w:val="auto"/>
        </w:rPr>
      </w:pPr>
    </w:p>
    <w:p>
      <w:pPr>
        <w:jc w:val="both"/>
        <w:ind w:left="752" w:hanging="752"/>
        <w:spacing w:after="0" w:line="274" w:lineRule="auto"/>
        <w:tabs>
          <w:tab w:leader="none" w:pos="75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are purchasing the Securities for your own account, or for the account of one or more Persons who are Qualified Institutional Buyers and who meet the criteria described in paragraph (a) above and for whom you are acting with complete investment discretion, for investment purposes only and not with a view to a distribution in violation of the Act, subject, nevertheless, to the understanding that the disposition of your property shall at all times be and remain within your control, and neither you nor your Affiliates has engaged in any general solicitation or general advertising within the meaning of the Act, or the rules and regulations promulgated thereunder with respect to the Securities. You confirm that, to the extent you are purchasing the Securities for the account of one or more other Persons, (i) you have been duly authorized to make the representations, warranties, acknowledgements and agreements set forth herein on their behalf and (ii) the provisions of this letter constitute legal, valid and binding obligations of you and any other Person for whose account you are acting;</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752" w:hanging="752"/>
        <w:spacing w:after="0" w:line="297" w:lineRule="auto"/>
        <w:tabs>
          <w:tab w:leader="none" w:pos="75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You understand that (i) the Securities have not been and will not be registered or qualified under the Act or any applicable state securities laws or the securities laws of any other jurisdiction and are being offered only in a transaction not involving any public offering within the meaning of the Act and may not be resold or otherwise transferred unless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342900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91" w:right="339" w:bottom="1440" w:gutter="0" w:footer="0" w:header="0"/>
        </w:sectPr>
      </w:pPr>
    </w:p>
    <w:bookmarkStart w:id="158" w:name="page159"/>
    <w:bookmarkEnd w:id="158"/>
    <w:p>
      <w:pPr>
        <w:jc w:val="both"/>
        <w:ind w:left="760"/>
        <w:spacing w:after="0" w:line="248" w:lineRule="auto"/>
        <w:rPr>
          <w:sz w:val="20"/>
          <w:szCs w:val="20"/>
          <w:color w:val="auto"/>
        </w:rPr>
      </w:pPr>
      <w:r>
        <w:rPr>
          <w:rFonts w:ascii="Arial" w:cs="Arial" w:eastAsia="Arial" w:hAnsi="Arial"/>
          <w:sz w:val="21"/>
          <w:szCs w:val="21"/>
          <w:color w:val="auto"/>
        </w:rPr>
        <w:t>registered or qualified or unless an exemption from registration or qualification is available and an opinion of counsel on the foregoing shall have been delivered in advance to the Co-Issuers, (ii) the Co-Issuers is not required to register the Securities under the Act or any applicable state securities laws or the securities laws of any state of the United States or any other jurisdiction, (iii) any permitted transferee under the NPA must be a Qualified Institutional Buyer and (iv) any transfer must comply with the provisions of Section 2.8 of the Base Indenture, Section 4.03 of the Series 2021-1 Supplement and Sections 9.03 or 9.17 of the NPA, as applicable;</w:t>
      </w:r>
    </w:p>
    <w:p>
      <w:pPr>
        <w:spacing w:after="0" w:line="177" w:lineRule="exact"/>
        <w:rPr>
          <w:sz w:val="20"/>
          <w:szCs w:val="20"/>
          <w:color w:val="auto"/>
        </w:rPr>
      </w:pPr>
    </w:p>
    <w:p>
      <w:pPr>
        <w:ind w:left="760" w:hanging="752"/>
        <w:spacing w:after="0"/>
        <w:tabs>
          <w:tab w:leader="none" w:pos="7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will comply with the requirements of paragraph (f) above in connection with any transfer by you of the Securities;</w:t>
      </w:r>
    </w:p>
    <w:p>
      <w:pPr>
        <w:spacing w:after="0" w:line="240" w:lineRule="exact"/>
        <w:rPr>
          <w:rFonts w:ascii="Arial" w:cs="Arial" w:eastAsia="Arial" w:hAnsi="Arial"/>
          <w:sz w:val="19"/>
          <w:szCs w:val="19"/>
          <w:color w:val="auto"/>
        </w:rPr>
      </w:pPr>
    </w:p>
    <w:p>
      <w:pPr>
        <w:jc w:val="both"/>
        <w:ind w:left="760" w:hanging="752"/>
        <w:spacing w:after="0"/>
        <w:tabs>
          <w:tab w:leader="none" w:pos="7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You understand that the Securities in the form of definitive notes will bear the legend set out in the form of Securities attached to the Series 2021-1 Supplement and that the Securities will be subject to the restrictions on transfer described in such legend;</w:t>
      </w:r>
    </w:p>
    <w:p>
      <w:pPr>
        <w:spacing w:after="0" w:line="186" w:lineRule="exact"/>
        <w:rPr>
          <w:rFonts w:ascii="Arial" w:cs="Arial" w:eastAsia="Arial" w:hAnsi="Arial"/>
          <w:sz w:val="22"/>
          <w:szCs w:val="22"/>
          <w:color w:val="auto"/>
        </w:rPr>
      </w:pPr>
    </w:p>
    <w:p>
      <w:pPr>
        <w:ind w:left="760" w:hanging="752"/>
        <w:spacing w:after="0" w:line="284" w:lineRule="auto"/>
        <w:tabs>
          <w:tab w:leader="none" w:pos="7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Either (i) you are not acquiring or holding the Securities for or on behalf of, or with the assets of, any plan, account or other arrangement that is subject to Title I of the Employee Retirement Income Security Act of 1974, as amended</w:t>
      </w:r>
    </w:p>
    <w:p>
      <w:pPr>
        <w:ind w:left="1500" w:right="180"/>
        <w:spacing w:after="0" w:line="285"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Section 4975 of the Code, or provisions under any Similar Law (as defined in the Series 2021-1 Supplemental Definitions List attached to the Series 2021-1 Supplement as Annex A) or (ii) your purchase and holding of the Securities does not constitute and will not result in a non-exempt prohibited transaction under Section 406 of ERISA or Section 4975 of the Code or a violation of any applicable Similar Law; and</w:t>
      </w:r>
    </w:p>
    <w:p>
      <w:pPr>
        <w:spacing w:after="0" w:line="146" w:lineRule="exact"/>
        <w:rPr>
          <w:sz w:val="20"/>
          <w:szCs w:val="20"/>
          <w:color w:val="auto"/>
        </w:rPr>
      </w:pPr>
    </w:p>
    <w:p>
      <w:pPr>
        <w:ind w:left="1180" w:hanging="423"/>
        <w:spacing w:after="0"/>
        <w:tabs>
          <w:tab w:leader="none" w:pos="11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You will obtain for the benefit of the Co-Issuers from any purchaser of the</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Securities substantially the same representations and warranties contained in the foregoing paragraphs.</w:t>
      </w:r>
    </w:p>
    <w:p>
      <w:pPr>
        <w:spacing w:after="0" w:line="200" w:lineRule="exact"/>
        <w:rPr>
          <w:sz w:val="20"/>
          <w:szCs w:val="20"/>
          <w:color w:val="auto"/>
        </w:rPr>
      </w:pPr>
    </w:p>
    <w:p>
      <w:pPr>
        <w:ind w:right="200" w:firstLine="1497"/>
        <w:spacing w:after="0" w:line="257" w:lineRule="auto"/>
        <w:rPr>
          <w:sz w:val="20"/>
          <w:szCs w:val="20"/>
          <w:color w:val="auto"/>
        </w:rPr>
      </w:pPr>
      <w:r>
        <w:rPr>
          <w:rFonts w:ascii="Arial" w:cs="Arial" w:eastAsia="Arial" w:hAnsi="Arial"/>
          <w:sz w:val="21"/>
          <w:szCs w:val="21"/>
          <w:color w:val="auto"/>
        </w:rPr>
        <w:t>This letter agreement will be governed by and construed in accordance with the laws of the State of New York without giving effect to any choice of law or conflict provision or rule (whether of the State of New York or any other jurisdiction) that would cause the application of the laws of any jurisdiction other than the State of New York.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1497"/>
        <w:spacing w:after="0" w:line="236" w:lineRule="auto"/>
        <w:rPr>
          <w:sz w:val="20"/>
          <w:szCs w:val="20"/>
          <w:color w:val="auto"/>
        </w:rPr>
      </w:pPr>
      <w:r>
        <w:rPr>
          <w:rFonts w:ascii="Arial" w:cs="Arial" w:eastAsia="Arial" w:hAnsi="Arial"/>
          <w:sz w:val="22"/>
          <w:szCs w:val="22"/>
          <w:color w:val="auto"/>
        </w:rPr>
        <w:t>You understand that the Administrative Agent will rely upon this letter agreement in acting as an Administrative Agent in connection with the Offering. You agree to notify the Administrative Agent promptly in writing if any of your representations, acknowledgements or agreements herein cease to be accurate and complete. You irrevocably authorize the Administrative Agent to produce this letter to any interested party in any administrative or legal proceeding or official inquiry with respect to the matters set forth herein.</w:t>
      </w:r>
    </w:p>
    <w:p>
      <w:pPr>
        <w:spacing w:after="0" w:line="187" w:lineRule="exact"/>
        <w:rPr>
          <w:sz w:val="20"/>
          <w:szCs w:val="20"/>
          <w:color w:val="auto"/>
        </w:rPr>
      </w:pPr>
    </w:p>
    <w:p>
      <w:pPr>
        <w:ind w:left="5380" w:hanging="130"/>
        <w:spacing w:after="0"/>
        <w:tabs>
          <w:tab w:leader="none" w:pos="53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5240"/>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59" w:name="page160"/>
    <w:bookmarkEnd w:id="159"/>
    <w:p>
      <w:pPr>
        <w:ind w:left="57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Agreed and Acknowledged: [INVESTOR]</w:t>
      </w: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Title:</w:t>
      </w:r>
    </w:p>
    <w:p>
      <w:pPr>
        <w:jc w:val="right"/>
        <w:spacing w:after="0" w:line="233" w:lineRule="auto"/>
        <w:rPr>
          <w:sz w:val="20"/>
          <w:szCs w:val="20"/>
          <w:color w:val="auto"/>
        </w:rPr>
      </w:pPr>
      <w:r>
        <w:rPr>
          <w:rFonts w:ascii="Arial" w:cs="Arial" w:eastAsia="Arial" w:hAnsi="Arial"/>
          <w:sz w:val="22"/>
          <w:szCs w:val="22"/>
          <w:b w:val="1"/>
          <w:bCs w:val="1"/>
          <w:color w:val="auto"/>
        </w:rPr>
        <w:t>EXHIBIT E TO CLASS A-1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NOTE PURCHASE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JOINDER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SERIES 2021-1 CLASS A-1 NOTE PURCHASE AGREEMENT]</w:t>
      </w:r>
    </w:p>
    <w:p>
      <w:pPr>
        <w:spacing w:after="0" w:line="200" w:lineRule="exact"/>
        <w:rPr>
          <w:sz w:val="20"/>
          <w:szCs w:val="20"/>
          <w:color w:val="auto"/>
        </w:rPr>
      </w:pPr>
    </w:p>
    <w:p>
      <w:pPr>
        <w:spacing w:after="0" w:line="266" w:lineRule="exact"/>
        <w:rPr>
          <w:sz w:val="20"/>
          <w:szCs w:val="20"/>
          <w:color w:val="auto"/>
        </w:rPr>
      </w:pPr>
    </w:p>
    <w:p>
      <w:pPr>
        <w:ind w:left="1500"/>
        <w:spacing w:after="0"/>
        <w:tabs>
          <w:tab w:leader="none" w:pos="7540" w:val="left"/>
        </w:tabs>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JOINDER AGREEMENT</w:t>
      </w:r>
      <w:r>
        <w:rPr>
          <w:rFonts w:ascii="Arial" w:cs="Arial" w:eastAsia="Arial" w:hAnsi="Arial"/>
          <w:sz w:val="22"/>
          <w:szCs w:val="22"/>
          <w:color w:val="auto"/>
        </w:rPr>
        <w:t>, dated as of [ ], is by and among [</w:t>
      </w:r>
      <w:r>
        <w:rPr>
          <w:sz w:val="20"/>
          <w:szCs w:val="20"/>
          <w:color w:val="auto"/>
        </w:rPr>
        <w:tab/>
      </w:r>
      <w:r>
        <w:rPr>
          <w:rFonts w:ascii="Arial" w:cs="Arial" w:eastAsia="Arial" w:hAnsi="Arial"/>
          <w:sz w:val="19"/>
          <w:szCs w:val="19"/>
          <w:color w:val="auto"/>
        </w:rPr>
        <w:t>], as</w:t>
      </w:r>
    </w:p>
    <w:tbl>
      <w:tblPr>
        <w:tblLayout w:type="fixed"/>
        <w:tblInd w:w="0" w:type="dxa"/>
        <w:tblCellMar>
          <w:top w:w="0" w:type="dxa"/>
          <w:left w:w="0" w:type="dxa"/>
          <w:bottom w:w="0" w:type="dxa"/>
          <w:right w:w="0" w:type="dxa"/>
        </w:tblCellMar>
      </w:tblPr>
      <w:tr>
        <w:trPr>
          <w:trHeight w:val="220"/>
        </w:trPr>
        <w:tc>
          <w:tcPr>
            <w:tcW w:w="6300" w:type="dxa"/>
            <w:vAlign w:val="bottom"/>
            <w:gridSpan w:val="6"/>
          </w:tcPr>
          <w:p>
            <w:pPr>
              <w:spacing w:after="0" w:line="220" w:lineRule="exact"/>
              <w:rPr>
                <w:sz w:val="20"/>
                <w:szCs w:val="20"/>
                <w:color w:val="auto"/>
              </w:rPr>
            </w:pPr>
            <w:r>
              <w:rPr>
                <w:rFonts w:ascii="Arial" w:cs="Arial" w:eastAsia="Arial" w:hAnsi="Arial"/>
                <w:sz w:val="22"/>
                <w:szCs w:val="22"/>
                <w:color w:val="auto"/>
                <w:w w:val="93"/>
              </w:rPr>
              <w:t>Committed Purchaser (the “Additional Committed Note Purchaser”), [</w:t>
            </w:r>
          </w:p>
        </w:tc>
        <w:tc>
          <w:tcPr>
            <w:tcW w:w="1900" w:type="dxa"/>
            <w:vAlign w:val="bottom"/>
            <w:gridSpan w:val="2"/>
          </w:tcPr>
          <w:p>
            <w:pPr>
              <w:ind w:left="180"/>
              <w:spacing w:after="0" w:line="220" w:lineRule="exact"/>
              <w:rPr>
                <w:sz w:val="20"/>
                <w:szCs w:val="20"/>
                <w:color w:val="auto"/>
              </w:rPr>
            </w:pPr>
            <w:r>
              <w:rPr>
                <w:rFonts w:ascii="Arial" w:cs="Arial" w:eastAsia="Arial" w:hAnsi="Arial"/>
                <w:sz w:val="22"/>
                <w:szCs w:val="22"/>
                <w:color w:val="auto"/>
                <w:w w:val="89"/>
              </w:rPr>
              <w:t>], as Funding Agent</w:t>
            </w:r>
          </w:p>
        </w:tc>
      </w:tr>
      <w:tr>
        <w:trPr>
          <w:trHeight w:val="20"/>
        </w:trPr>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700" w:type="dxa"/>
            <w:vAlign w:val="bottom"/>
            <w:gridSpan w:val="4"/>
          </w:tcPr>
          <w:p>
            <w:pPr>
              <w:spacing w:after="0" w:line="223" w:lineRule="exact"/>
              <w:rPr>
                <w:sz w:val="20"/>
                <w:szCs w:val="20"/>
                <w:color w:val="auto"/>
              </w:rPr>
            </w:pPr>
            <w:r>
              <w:rPr>
                <w:rFonts w:ascii="Arial" w:cs="Arial" w:eastAsia="Arial" w:hAnsi="Arial"/>
                <w:sz w:val="22"/>
                <w:szCs w:val="22"/>
                <w:color w:val="auto"/>
                <w:w w:val="98"/>
              </w:rPr>
              <w:t>(the “Additional Funding Agent”) [and [</w:t>
            </w:r>
          </w:p>
        </w:tc>
        <w:tc>
          <w:tcPr>
            <w:tcW w:w="4500" w:type="dxa"/>
            <w:vAlign w:val="bottom"/>
            <w:gridSpan w:val="4"/>
          </w:tcPr>
          <w:p>
            <w:pPr>
              <w:ind w:left="200"/>
              <w:spacing w:after="0" w:line="223" w:lineRule="exact"/>
              <w:rPr>
                <w:sz w:val="20"/>
                <w:szCs w:val="20"/>
                <w:color w:val="auto"/>
              </w:rPr>
            </w:pPr>
            <w:r>
              <w:rPr>
                <w:rFonts w:ascii="Arial" w:cs="Arial" w:eastAsia="Arial" w:hAnsi="Arial"/>
                <w:sz w:val="22"/>
                <w:szCs w:val="22"/>
                <w:color w:val="auto"/>
                <w:w w:val="96"/>
              </w:rPr>
              <w:t>], as Conduit Investor (the “Additional Conduit</w:t>
            </w:r>
          </w:p>
        </w:tc>
      </w:tr>
      <w:tr>
        <w:trPr>
          <w:trHeight w:val="20"/>
        </w:trPr>
        <w:tc>
          <w:tcPr>
            <w:tcW w:w="5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w:t>
      </w:r>
      <w:r>
        <w:rPr>
          <w:rFonts w:ascii="Arial" w:cs="Arial" w:eastAsia="Arial" w:hAnsi="Arial"/>
          <w:sz w:val="22"/>
          <w:szCs w:val="22"/>
          <w:color w:val="auto"/>
        </w:rPr>
        <w:t>”)] and the Co-Issuers, the Swingline Lender and the L/C Provider listed on the signature pages hereof.</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22"/>
          <w:szCs w:val="22"/>
          <w:u w:val="single" w:color="auto"/>
          <w:color w:val="auto"/>
        </w:rPr>
        <w:t>W I T N E S E T H:</w:t>
      </w:r>
    </w:p>
    <w:p>
      <w:pPr>
        <w:spacing w:after="0" w:line="220" w:lineRule="exact"/>
        <w:rPr>
          <w:sz w:val="20"/>
          <w:szCs w:val="20"/>
          <w:color w:val="auto"/>
        </w:rPr>
      </w:pPr>
    </w:p>
    <w:p>
      <w:pPr>
        <w:ind w:right="60" w:firstLine="1497"/>
        <w:spacing w:after="0" w:line="246" w:lineRule="auto"/>
        <w:rPr>
          <w:sz w:val="20"/>
          <w:szCs w:val="20"/>
          <w:color w:val="auto"/>
        </w:rPr>
      </w:pPr>
      <w:r>
        <w:rPr>
          <w:rFonts w:ascii="Arial" w:cs="Arial" w:eastAsia="Arial" w:hAnsi="Arial"/>
          <w:sz w:val="21"/>
          <w:szCs w:val="21"/>
          <w:color w:val="auto"/>
        </w:rPr>
        <w:t>WHEREAS, this Joinder Agreement is being executed and delivered in connection with the Class A-1 Note Purchase Agreement, dated as of April 16, 2021 (as from time to time amended, supplemented or otherwise modified in accordance with the terms thereof, the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Domino’s Pizza Master Issuer LLC, Domino’s SPV Canadian Holding Company Inc., Domino’s Pizza Distribution LLC and Domino’s IP Holder LLC, as Co-Issuers, Domino’s Pizza Franchising LLC, Domino’s Pizza Canadian Distribution ULC, Domino’s RE LLC, Domino’s EQ LLC and Domino’s SPV Guarantor LLC, as Guarantors, Domino’s Pizza LLC, as Manager, the Conduit Investors, Committed Note Purchasers, and Funding Agents listed on Schedule I thereto, and Coöperatieve Rabobank U.A., New York Branch, as Administrative Agent, L/C Provider and Swingline Lender; and</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WHEREAS, [ ] (the “</w:t>
      </w:r>
      <w:r>
        <w:rPr>
          <w:rFonts w:ascii="Arial" w:cs="Arial" w:eastAsia="Arial" w:hAnsi="Arial"/>
          <w:sz w:val="22"/>
          <w:szCs w:val="22"/>
          <w:u w:val="single" w:color="auto"/>
          <w:color w:val="auto"/>
        </w:rPr>
        <w:t>Additional Committed Note Purchaser</w:t>
      </w:r>
      <w:r>
        <w:rPr>
          <w:rFonts w:ascii="Arial" w:cs="Arial" w:eastAsia="Arial" w:hAnsi="Arial"/>
          <w:sz w:val="22"/>
          <w:szCs w:val="22"/>
          <w:color w:val="auto"/>
        </w:rPr>
        <w:t>”), [ ] (the</w:t>
      </w:r>
    </w:p>
    <w:p>
      <w:pPr>
        <w:spacing w:after="0"/>
        <w:tabs>
          <w:tab w:leader="none" w:pos="344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Funding Agent</w:t>
      </w:r>
      <w:r>
        <w:rPr>
          <w:rFonts w:ascii="Arial" w:cs="Arial" w:eastAsia="Arial" w:hAnsi="Arial"/>
          <w:sz w:val="22"/>
          <w:szCs w:val="22"/>
          <w:color w:val="auto"/>
        </w:rPr>
        <w:t>”) and [</w:t>
      </w:r>
      <w:r>
        <w:rPr>
          <w:sz w:val="20"/>
          <w:szCs w:val="20"/>
          <w:color w:val="auto"/>
        </w:rPr>
        <w:tab/>
      </w:r>
      <w:r>
        <w:rPr>
          <w:rFonts w:ascii="Arial" w:cs="Arial" w:eastAsia="Arial" w:hAnsi="Arial"/>
          <w:sz w:val="19"/>
          <w:szCs w:val="19"/>
          <w:color w:val="auto"/>
        </w:rPr>
        <w:t>] (the “</w:t>
      </w:r>
      <w:r>
        <w:rPr>
          <w:rFonts w:ascii="Arial" w:cs="Arial" w:eastAsia="Arial" w:hAnsi="Arial"/>
          <w:sz w:val="19"/>
          <w:szCs w:val="19"/>
          <w:u w:val="single" w:color="auto"/>
          <w:color w:val="auto"/>
        </w:rPr>
        <w:t>Additional Conduit Investor</w:t>
      </w:r>
      <w:r>
        <w:rPr>
          <w:rFonts w:ascii="Arial" w:cs="Arial" w:eastAsia="Arial" w:hAnsi="Arial"/>
          <w:sz w:val="19"/>
          <w:szCs w:val="19"/>
          <w:color w:val="auto"/>
        </w:rPr>
        <w:t>”) wish to become a</w:t>
      </w:r>
    </w:p>
    <w:p>
      <w:pPr>
        <w:spacing w:after="0"/>
        <w:rPr>
          <w:sz w:val="20"/>
          <w:szCs w:val="20"/>
          <w:color w:val="auto"/>
        </w:rPr>
      </w:pPr>
      <w:r>
        <w:rPr>
          <w:rFonts w:ascii="Arial" w:cs="Arial" w:eastAsia="Arial" w:hAnsi="Arial"/>
          <w:sz w:val="22"/>
          <w:szCs w:val="22"/>
          <w:color w:val="auto"/>
        </w:rPr>
        <w:t>party to the 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WHEREAS, terms used but not otherwise defined herein have the meanings given to such terms in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60" w:name="page161"/>
    <w:bookmarkEnd w:id="160"/>
    <w:p>
      <w:pPr>
        <w:ind w:left="2820"/>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Arial" w:cs="Arial" w:eastAsia="Arial" w:hAnsi="Arial"/>
          <w:sz w:val="22"/>
          <w:szCs w:val="22"/>
          <w:color w:val="auto"/>
        </w:rPr>
        <w:t>As of [</w:t>
      </w:r>
      <w:r>
        <w:rPr>
          <w:sz w:val="20"/>
          <w:szCs w:val="20"/>
          <w:color w:val="auto"/>
        </w:rPr>
        <w:tab/>
      </w:r>
      <w:r>
        <w:rPr>
          <w:rFonts w:ascii="Arial" w:cs="Arial" w:eastAsia="Arial" w:hAnsi="Arial"/>
          <w:sz w:val="19"/>
          <w:szCs w:val="19"/>
          <w:color w:val="auto"/>
        </w:rPr>
        <w:t>]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Additional Committed Note Purchaser</w:t>
      </w:r>
    </w:p>
    <w:p>
      <w:pPr>
        <w:spacing w:after="0" w:line="8"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hereby joins and is made a party to the Agreement as a Committed Note Purchaser, the Additional Funding Agent hereby joins and is made a party to the Agreement as a Funding Agent and a part of such Additional Committed Note Purchaser’s Investor Group[, and the Additional Conduit Investor hereby joins and is made a party to the Agreement as a Conduit Investor and a part of such Additional Committed Note Purchaser’s Investor Group], each with the same effect as if an original signatory to the Agreement and each agrees to be bound by all the terms and provisions thereof.</w:t>
      </w:r>
    </w:p>
    <w:p>
      <w:pPr>
        <w:spacing w:after="0" w:line="180" w:lineRule="exact"/>
        <w:rPr>
          <w:sz w:val="20"/>
          <w:szCs w:val="20"/>
          <w:color w:val="auto"/>
        </w:rPr>
      </w:pPr>
    </w:p>
    <w:p>
      <w:pPr>
        <w:ind w:right="160" w:firstLine="1497"/>
        <w:spacing w:after="0" w:line="239" w:lineRule="auto"/>
        <w:rPr>
          <w:sz w:val="20"/>
          <w:szCs w:val="20"/>
          <w:color w:val="auto"/>
        </w:rPr>
      </w:pPr>
      <w:r>
        <w:rPr>
          <w:rFonts w:ascii="Arial" w:cs="Arial" w:eastAsia="Arial" w:hAnsi="Arial"/>
          <w:sz w:val="22"/>
          <w:szCs w:val="22"/>
          <w:color w:val="auto"/>
        </w:rPr>
        <w:t>By executing and delivering this Joinder Agreement, the Additional Committed Note Purchaser confirms and agrees with the parties hereto and the other parties to the Agreement as follows:</w:t>
      </w:r>
    </w:p>
    <w:p>
      <w:pPr>
        <w:jc w:val="both"/>
        <w:ind w:left="160" w:firstLine="2216"/>
        <w:spacing w:after="0" w:line="234" w:lineRule="auto"/>
        <w:rPr>
          <w:sz w:val="20"/>
          <w:szCs w:val="20"/>
          <w:color w:val="auto"/>
        </w:rPr>
      </w:pPr>
      <w:r>
        <w:rPr>
          <w:rFonts w:ascii="Arial" w:cs="Arial" w:eastAsia="Arial" w:hAnsi="Arial"/>
          <w:sz w:val="22"/>
          <w:szCs w:val="22"/>
          <w:color w:val="auto"/>
        </w:rPr>
        <w:t>(a)the Additional Committed Note Purchaser confirms that it has received a copy of the Indenture, the Agreement and such other Related Documents and other documents and information as it has deemed appropriate to make its own credit analysis and decision to enter into this Joinder Agreement;</w:t>
      </w:r>
    </w:p>
    <w:p>
      <w:pPr>
        <w:spacing w:after="0" w:line="187" w:lineRule="exact"/>
        <w:rPr>
          <w:sz w:val="20"/>
          <w:szCs w:val="20"/>
          <w:color w:val="auto"/>
        </w:rPr>
      </w:pPr>
    </w:p>
    <w:p>
      <w:pPr>
        <w:jc w:val="both"/>
        <w:ind w:left="160" w:firstLine="2216"/>
        <w:spacing w:after="0" w:line="297" w:lineRule="auto"/>
        <w:rPr>
          <w:sz w:val="20"/>
          <w:szCs w:val="20"/>
          <w:color w:val="auto"/>
        </w:rPr>
      </w:pPr>
      <w:r>
        <w:rPr>
          <w:rFonts w:ascii="Arial" w:cs="Arial" w:eastAsia="Arial" w:hAnsi="Arial"/>
          <w:sz w:val="19"/>
          <w:szCs w:val="19"/>
          <w:color w:val="auto"/>
        </w:rPr>
        <w:t>(b)the Additional Committed Note Purchaser will, independently and without reliance upon the Administrative Agent, any Funding Agent or any other Investor Group and based on such documents and information as it shall deem appropriate at the time, make its own credit decisions in taking or not taking action under the Agreement;</w:t>
      </w:r>
    </w:p>
    <w:p>
      <w:pPr>
        <w:spacing w:after="0" w:line="147" w:lineRule="exact"/>
        <w:rPr>
          <w:sz w:val="20"/>
          <w:szCs w:val="20"/>
          <w:color w:val="auto"/>
        </w:rPr>
      </w:pPr>
    </w:p>
    <w:p>
      <w:pPr>
        <w:jc w:val="both"/>
        <w:ind w:left="160" w:firstLine="2216"/>
        <w:spacing w:after="0" w:line="238" w:lineRule="auto"/>
        <w:rPr>
          <w:sz w:val="20"/>
          <w:szCs w:val="20"/>
          <w:color w:val="auto"/>
        </w:rPr>
      </w:pPr>
      <w:r>
        <w:rPr>
          <w:rFonts w:ascii="Arial" w:cs="Arial" w:eastAsia="Arial" w:hAnsi="Arial"/>
          <w:sz w:val="22"/>
          <w:szCs w:val="22"/>
          <w:color w:val="auto"/>
        </w:rPr>
        <w:t xml:space="preserve">(c)the Additional Committed Note Purchaser appoints and authorizes the Administrative Agent to take such action as agent on its behalf and to exercise such powers under the Agreement as are delegated to the Administrative Agent by the terms thereof, together with such powers as are reasonably incidental thereto, all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the Agreement;</w:t>
      </w:r>
    </w:p>
    <w:p>
      <w:pPr>
        <w:spacing w:after="0" w:line="171" w:lineRule="exact"/>
        <w:rPr>
          <w:sz w:val="20"/>
          <w:szCs w:val="20"/>
          <w:color w:val="auto"/>
        </w:rPr>
      </w:pPr>
    </w:p>
    <w:p>
      <w:pPr>
        <w:jc w:val="both"/>
        <w:ind w:left="160" w:firstLine="2216"/>
        <w:spacing w:after="0" w:line="238" w:lineRule="auto"/>
        <w:rPr>
          <w:sz w:val="20"/>
          <w:szCs w:val="20"/>
          <w:color w:val="auto"/>
        </w:rPr>
      </w:pPr>
      <w:r>
        <w:rPr>
          <w:rFonts w:ascii="Arial" w:cs="Arial" w:eastAsia="Arial" w:hAnsi="Arial"/>
          <w:sz w:val="22"/>
          <w:szCs w:val="22"/>
          <w:color w:val="auto"/>
        </w:rPr>
        <w:t xml:space="preserve">(d)the Additional Committed Note Purchaser appoints and authorizes the Additional Funding Agent to take such action as agent on its behalf and to exercise such powers under the Agreement as are delegated to such Funding Agent by the terms thereof, together with such powers as are reasonably incidental thereto, all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the Agreement;</w:t>
      </w:r>
    </w:p>
    <w:p>
      <w:pPr>
        <w:spacing w:after="0" w:line="198" w:lineRule="exact"/>
        <w:rPr>
          <w:sz w:val="20"/>
          <w:szCs w:val="20"/>
          <w:color w:val="auto"/>
        </w:rPr>
      </w:pPr>
    </w:p>
    <w:p>
      <w:pPr>
        <w:jc w:val="both"/>
        <w:ind w:left="160" w:firstLine="2216"/>
        <w:spacing w:after="0"/>
        <w:rPr>
          <w:sz w:val="20"/>
          <w:szCs w:val="20"/>
          <w:color w:val="auto"/>
        </w:rPr>
      </w:pPr>
      <w:r>
        <w:rPr>
          <w:rFonts w:ascii="Arial" w:cs="Arial" w:eastAsia="Arial" w:hAnsi="Arial"/>
          <w:sz w:val="22"/>
          <w:szCs w:val="22"/>
          <w:color w:val="auto"/>
        </w:rPr>
        <w:t>(e)the Additional Committed Note Purchaser agrees that it will perform in accordance with their terms all of the obligations that by the terms of the Agreement are required to be performed by it as a Committed Note Purchaser; and</w:t>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(f)the Additional Committed Note Purchaser hereby represents and warrants to the Co-Issuers and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Manager that:</w:t>
      </w:r>
    </w:p>
    <w:p>
      <w:pPr>
        <w:spacing w:after="0" w:line="188" w:lineRule="exact"/>
        <w:rPr>
          <w:sz w:val="20"/>
          <w:szCs w:val="20"/>
          <w:color w:val="auto"/>
        </w:rPr>
      </w:pPr>
    </w:p>
    <w:p>
      <w:pPr>
        <w:jc w:val="both"/>
        <w:ind w:left="600" w:firstLine="2246"/>
        <w:spacing w:after="0"/>
        <w:rPr>
          <w:sz w:val="20"/>
          <w:szCs w:val="20"/>
          <w:color w:val="auto"/>
        </w:rPr>
      </w:pPr>
      <w:r>
        <w:rPr>
          <w:rFonts w:ascii="Arial" w:cs="Arial" w:eastAsia="Arial" w:hAnsi="Arial"/>
          <w:sz w:val="22"/>
          <w:szCs w:val="22"/>
          <w:color w:val="auto"/>
        </w:rPr>
        <w:t>(i)it has had an opportunity to discuss the Co-Issuers’ and the Manager’s business, management and financial affairs, and the terms and conditions of the proposed purchase, with the Co-Issuers and the Manager and their respective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04" w:right="479" w:bottom="1440" w:gutter="0" w:footer="0" w:header="0"/>
        </w:sectPr>
      </w:pPr>
    </w:p>
    <w:bookmarkStart w:id="161" w:name="page162"/>
    <w:bookmarkEnd w:id="161"/>
    <w:p>
      <w:pPr>
        <w:jc w:val="both"/>
        <w:ind w:left="600" w:right="140" w:firstLine="2246"/>
        <w:spacing w:after="0" w:line="252" w:lineRule="auto"/>
        <w:rPr>
          <w:sz w:val="20"/>
          <w:szCs w:val="20"/>
          <w:color w:val="auto"/>
        </w:rPr>
      </w:pPr>
      <w:r>
        <w:rPr>
          <w:rFonts w:ascii="Arial" w:cs="Arial" w:eastAsia="Arial" w:hAnsi="Arial"/>
          <w:sz w:val="21"/>
          <w:szCs w:val="21"/>
          <w:color w:val="auto"/>
        </w:rPr>
        <w:t xml:space="preserve">(ii)it is a “qualified institutional buyer” within the meaning of Rule 144A under the Securities Act and otherwise meets the criteria in </w:t>
      </w:r>
      <w:r>
        <w:rPr>
          <w:rFonts w:ascii="Arial" w:cs="Arial" w:eastAsia="Arial" w:hAnsi="Arial"/>
          <w:sz w:val="21"/>
          <w:szCs w:val="21"/>
          <w:u w:val="single" w:color="auto"/>
          <w:color w:val="auto"/>
        </w:rPr>
        <w:t>Section 6.03(b)</w:t>
      </w:r>
      <w:r>
        <w:rPr>
          <w:rFonts w:ascii="Arial" w:cs="Arial" w:eastAsia="Arial" w:hAnsi="Arial"/>
          <w:sz w:val="21"/>
          <w:szCs w:val="21"/>
          <w:color w:val="auto"/>
        </w:rPr>
        <w:t xml:space="preserve"> of the Agreement and has sufficient knowledge and experience in financial and business matters to be capable of evaluating the merits and risks of investing in, and is able and prepared to bear the economic risk of investing in, the Series 2021-1 Class A-1 Notes;</w:t>
      </w:r>
    </w:p>
    <w:p>
      <w:pPr>
        <w:spacing w:after="0" w:line="174" w:lineRule="exact"/>
        <w:rPr>
          <w:sz w:val="20"/>
          <w:szCs w:val="20"/>
          <w:color w:val="auto"/>
        </w:rPr>
      </w:pPr>
    </w:p>
    <w:p>
      <w:pPr>
        <w:jc w:val="both"/>
        <w:ind w:left="600" w:right="140" w:firstLine="2246"/>
        <w:spacing w:after="0" w:line="233" w:lineRule="auto"/>
        <w:rPr>
          <w:sz w:val="20"/>
          <w:szCs w:val="20"/>
          <w:color w:val="auto"/>
        </w:rPr>
      </w:pPr>
      <w:r>
        <w:rPr>
          <w:rFonts w:ascii="Arial" w:cs="Arial" w:eastAsia="Arial" w:hAnsi="Arial"/>
          <w:sz w:val="22"/>
          <w:szCs w:val="22"/>
          <w:color w:val="auto"/>
        </w:rPr>
        <w:t xml:space="preserve">(iii)it is purchasing the Series 2021-1 Class A-1 Notes for its own account, or for the account of one or more “qualified institutional buyers” within the meaning of Rule 144A under the Securities Act that meet the criteria described in </w:t>
      </w:r>
      <w:r>
        <w:rPr>
          <w:rFonts w:ascii="Arial" w:cs="Arial" w:eastAsia="Arial" w:hAnsi="Arial"/>
          <w:sz w:val="22"/>
          <w:szCs w:val="22"/>
          <w:u w:val="single" w:color="auto"/>
          <w:color w:val="auto"/>
        </w:rPr>
        <w:t>clause (f)(ii)</w:t>
      </w:r>
      <w:r>
        <w:rPr>
          <w:rFonts w:ascii="Arial" w:cs="Arial" w:eastAsia="Arial" w:hAnsi="Arial"/>
          <w:sz w:val="22"/>
          <w:szCs w:val="22"/>
          <w:color w:val="auto"/>
        </w:rPr>
        <w:t xml:space="preserve"> above and for which it is acting with complete investment discretion, for investment purposes only and not with a view to distribution, subject, nevertheless, to the understanding that the disposition of its property shall at all times be and remain within its control, and neither it nor its Affiliates has engaged in any general solicitation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general advertising within the meaning of the Securities Act with respect to the Series 2021-1 Class A-1 Notes;</w:t>
      </w:r>
    </w:p>
    <w:p>
      <w:pPr>
        <w:spacing w:after="0" w:line="188" w:lineRule="exact"/>
        <w:rPr>
          <w:sz w:val="20"/>
          <w:szCs w:val="20"/>
          <w:color w:val="auto"/>
        </w:rPr>
      </w:pPr>
    </w:p>
    <w:p>
      <w:pPr>
        <w:jc w:val="both"/>
        <w:ind w:left="840" w:firstLine="2163"/>
        <w:spacing w:after="0" w:line="245" w:lineRule="auto"/>
        <w:tabs>
          <w:tab w:leader="none" w:pos="358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it understands that (I) the Series 2021-1 Class A-1 Notes have not been and will not be registered or qualified under the Securities Act or any applicable state securities laws or the securities laws of any other jurisdiction and are being offered only in a transaction not involving any public offering within the meaning of the Securities Act and may not be resold or otherwise transferred unless so registered or qualified or unless an exemption from registration or qualification is available and an opinion of counsel shall have been delivered in advance to the Co-Issuers, (II) the Co-Issuers is not required to register the Series 2021-1 Class A-1 Notes, (III) any permitted transferee hereunder must be a “qualified institutional buyer” within the meaning of Rule 144A under the Securities Act and must otherwise meet the criteria described under </w:t>
      </w:r>
      <w:r>
        <w:rPr>
          <w:rFonts w:ascii="Arial" w:cs="Arial" w:eastAsia="Arial" w:hAnsi="Arial"/>
          <w:sz w:val="21"/>
          <w:szCs w:val="21"/>
          <w:u w:val="single" w:color="auto"/>
          <w:color w:val="auto"/>
        </w:rPr>
        <w:t>clause (viii)(B)</w:t>
      </w:r>
      <w:r>
        <w:rPr>
          <w:rFonts w:ascii="Arial" w:cs="Arial" w:eastAsia="Arial" w:hAnsi="Arial"/>
          <w:sz w:val="21"/>
          <w:szCs w:val="21"/>
          <w:color w:val="auto"/>
        </w:rPr>
        <w:t xml:space="preserve"> above and (IV) any transfer must comply with the provisions of Section 2.8 of the Base Indenture, Section 4.03 of the Series 2021-1 Supplement and Sections 9.03 or 9.17, as applicable, of the Agreement;</w:t>
      </w:r>
    </w:p>
    <w:p>
      <w:pPr>
        <w:spacing w:after="0" w:line="180" w:lineRule="exact"/>
        <w:rPr>
          <w:rFonts w:ascii="Arial" w:cs="Arial" w:eastAsia="Arial" w:hAnsi="Arial"/>
          <w:sz w:val="21"/>
          <w:szCs w:val="21"/>
          <w:color w:val="auto"/>
        </w:rPr>
      </w:pPr>
    </w:p>
    <w:p>
      <w:pPr>
        <w:ind w:left="840" w:firstLine="2163"/>
        <w:spacing w:after="0" w:line="250" w:lineRule="auto"/>
        <w:tabs>
          <w:tab w:leader="none" w:pos="358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it will comply with the requirements of </w:t>
      </w:r>
      <w:r>
        <w:rPr>
          <w:rFonts w:ascii="Arial" w:cs="Arial" w:eastAsia="Arial" w:hAnsi="Arial"/>
          <w:sz w:val="22"/>
          <w:szCs w:val="22"/>
          <w:u w:val="single" w:color="auto"/>
          <w:color w:val="auto"/>
        </w:rPr>
        <w:t>clause (viii)(D)</w:t>
      </w:r>
      <w:r>
        <w:rPr>
          <w:rFonts w:ascii="Arial" w:cs="Arial" w:eastAsia="Arial" w:hAnsi="Arial"/>
          <w:sz w:val="22"/>
          <w:szCs w:val="22"/>
          <w:color w:val="auto"/>
        </w:rPr>
        <w:t xml:space="preserve"> above in connection with any transfer by it of the Series 2021-1 Class A-1 Notes;</w:t>
      </w:r>
    </w:p>
    <w:p>
      <w:pPr>
        <w:spacing w:after="0" w:line="174" w:lineRule="exact"/>
        <w:rPr>
          <w:rFonts w:ascii="Arial" w:cs="Arial" w:eastAsia="Arial" w:hAnsi="Arial"/>
          <w:sz w:val="22"/>
          <w:szCs w:val="22"/>
          <w:color w:val="auto"/>
        </w:rPr>
      </w:pPr>
    </w:p>
    <w:p>
      <w:pPr>
        <w:jc w:val="both"/>
        <w:ind w:left="840" w:firstLine="2163"/>
        <w:spacing w:after="0" w:line="297" w:lineRule="auto"/>
        <w:tabs>
          <w:tab w:leader="none" w:pos="358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it understands that the Series 2021-1 Class A-1 Notes in the form of definitive notes will bear the legend set out in the form of Series 2021-1 Class A-1 Notes attached to the Series 2021-1 Supplement and that the Series 2021-1 Class A-1 Notes will be subject to the restrictions on transfer described in such legend;</w:t>
      </w:r>
    </w:p>
    <w:p>
      <w:pPr>
        <w:spacing w:after="0" w:line="133" w:lineRule="exact"/>
        <w:rPr>
          <w:rFonts w:ascii="Arial" w:cs="Arial" w:eastAsia="Arial" w:hAnsi="Arial"/>
          <w:sz w:val="19"/>
          <w:szCs w:val="19"/>
          <w:color w:val="auto"/>
        </w:rPr>
      </w:pPr>
    </w:p>
    <w:p>
      <w:pPr>
        <w:ind w:left="840" w:firstLine="2163"/>
        <w:spacing w:after="0" w:line="328" w:lineRule="auto"/>
        <w:tabs>
          <w:tab w:leader="none" w:pos="358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it will obtain for the benefit of the Co-Issuers from any purchaser of the Series 2021-1 Class A-1 Notes substantially the same representations and warranties contained in the foregoing paragraphs; and</w:t>
      </w:r>
    </w:p>
    <w:p>
      <w:pPr>
        <w:spacing w:after="0" w:line="104" w:lineRule="exact"/>
        <w:rPr>
          <w:rFonts w:ascii="Arial" w:cs="Arial" w:eastAsia="Arial" w:hAnsi="Arial"/>
          <w:sz w:val="19"/>
          <w:szCs w:val="19"/>
          <w:color w:val="auto"/>
        </w:rPr>
      </w:pPr>
    </w:p>
    <w:p>
      <w:pPr>
        <w:ind w:left="3580" w:hanging="577"/>
        <w:spacing w:after="0"/>
        <w:tabs>
          <w:tab w:leader="none" w:pos="35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it has executed a Purchaser’s Letter substantially in the form of Exhibit D to the</w:t>
      </w:r>
    </w:p>
    <w:p>
      <w:pPr>
        <w:spacing w:after="0" w:line="19" w:lineRule="exact"/>
        <w:rPr>
          <w:rFonts w:ascii="Arial" w:cs="Arial" w:eastAsia="Arial" w:hAnsi="Arial"/>
          <w:sz w:val="21"/>
          <w:szCs w:val="21"/>
          <w:color w:val="auto"/>
        </w:rPr>
      </w:pPr>
    </w:p>
    <w:p>
      <w:pPr>
        <w:ind w:left="840"/>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Set forth below is the Additional Committed Purchaser’s information for inclusion in Schedule I to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62" w:name="page163"/>
    <w:bookmarkEnd w:id="162"/>
    <w:tbl>
      <w:tblPr>
        <w:tblLayout w:type="fixed"/>
        <w:tblInd w:w="240" w:type="dxa"/>
        <w:tblCellMar>
          <w:top w:w="0" w:type="dxa"/>
          <w:left w:w="0" w:type="dxa"/>
          <w:bottom w:w="0" w:type="dxa"/>
          <w:right w:w="0" w:type="dxa"/>
        </w:tblCellMar>
      </w:tblPr>
      <w:tr>
        <w:trPr>
          <w:trHeight w:val="253"/>
        </w:trPr>
        <w:tc>
          <w:tcPr>
            <w:tcW w:w="2460" w:type="dxa"/>
            <w:vAlign w:val="bottom"/>
            <w:gridSpan w:val="2"/>
          </w:tcPr>
          <w:p>
            <w:pPr>
              <w:ind w:left="360"/>
              <w:spacing w:after="0"/>
              <w:rPr>
                <w:sz w:val="20"/>
                <w:szCs w:val="20"/>
                <w:color w:val="auto"/>
              </w:rPr>
            </w:pPr>
            <w:r>
              <w:rPr>
                <w:rFonts w:ascii="Arial" w:cs="Arial" w:eastAsia="Arial" w:hAnsi="Arial"/>
                <w:sz w:val="22"/>
                <w:szCs w:val="22"/>
                <w:b w:val="1"/>
                <w:bCs w:val="1"/>
                <w:color w:val="auto"/>
              </w:rPr>
              <w:t>Investor Maximum</w:t>
            </w:r>
          </w:p>
        </w:tc>
        <w:tc>
          <w:tcPr>
            <w:tcW w:w="4340" w:type="dxa"/>
            <w:vAlign w:val="bottom"/>
          </w:tcPr>
          <w:p>
            <w:pPr>
              <w:ind w:left="60"/>
              <w:spacing w:after="0"/>
              <w:rPr>
                <w:sz w:val="20"/>
                <w:szCs w:val="20"/>
                <w:color w:val="auto"/>
              </w:rPr>
            </w:pPr>
            <w:r>
              <w:rPr>
                <w:rFonts w:ascii="Arial" w:cs="Arial" w:eastAsia="Arial" w:hAnsi="Arial"/>
                <w:sz w:val="22"/>
                <w:szCs w:val="22"/>
                <w:b w:val="1"/>
                <w:bCs w:val="1"/>
                <w:color w:val="auto"/>
              </w:rPr>
              <w:t>Conduit Committed Note Commitment</w:t>
            </w: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Arial" w:cs="Arial" w:eastAsia="Arial" w:hAnsi="Arial"/>
                <w:sz w:val="22"/>
                <w:szCs w:val="22"/>
                <w:b w:val="1"/>
                <w:bCs w:val="1"/>
                <w:color w:val="auto"/>
                <w:w w:val="89"/>
              </w:rPr>
              <w:t>Group/Funding</w:t>
            </w:r>
          </w:p>
        </w:tc>
        <w:tc>
          <w:tcPr>
            <w:tcW w:w="5360" w:type="dxa"/>
            <w:vAlign w:val="bottom"/>
            <w:gridSpan w:val="2"/>
          </w:tcPr>
          <w:p>
            <w:pPr>
              <w:ind w:left="280"/>
              <w:spacing w:after="0" w:line="243" w:lineRule="exact"/>
              <w:rPr>
                <w:sz w:val="20"/>
                <w:szCs w:val="20"/>
                <w:color w:val="auto"/>
              </w:rPr>
            </w:pPr>
            <w:r>
              <w:rPr>
                <w:rFonts w:ascii="Arial" w:cs="Arial" w:eastAsia="Arial" w:hAnsi="Arial"/>
                <w:sz w:val="22"/>
                <w:szCs w:val="22"/>
                <w:b w:val="1"/>
                <w:bCs w:val="1"/>
                <w:color w:val="auto"/>
                <w:w w:val="91"/>
              </w:rPr>
              <w:t>Investor Group Lender (if any)  Purchaser(s) Amount</w:t>
            </w:r>
          </w:p>
        </w:tc>
        <w:tc>
          <w:tcPr>
            <w:tcW w:w="0" w:type="dxa"/>
            <w:vAlign w:val="bottom"/>
          </w:tcPr>
          <w:p>
            <w:pPr>
              <w:spacing w:after="0"/>
              <w:rPr>
                <w:sz w:val="1"/>
                <w:szCs w:val="1"/>
                <w:color w:val="auto"/>
              </w:rPr>
            </w:pPr>
          </w:p>
        </w:tc>
      </w:tr>
      <w:tr>
        <w:trPr>
          <w:trHeight w:val="280"/>
        </w:trPr>
        <w:tc>
          <w:tcPr>
            <w:tcW w:w="1440" w:type="dxa"/>
            <w:vAlign w:val="bottom"/>
          </w:tcPr>
          <w:p>
            <w:pPr>
              <w:ind w:left="600"/>
              <w:spacing w:after="0"/>
              <w:rPr>
                <w:sz w:val="20"/>
                <w:szCs w:val="20"/>
                <w:color w:val="auto"/>
              </w:rPr>
            </w:pPr>
            <w:r>
              <w:rPr>
                <w:rFonts w:ascii="Arial" w:cs="Arial" w:eastAsia="Arial" w:hAnsi="Arial"/>
                <w:sz w:val="22"/>
                <w:szCs w:val="22"/>
                <w:b w:val="1"/>
                <w:bCs w:val="1"/>
                <w:color w:val="auto"/>
              </w:rPr>
              <w:t>Agent</w:t>
            </w:r>
          </w:p>
        </w:tc>
        <w:tc>
          <w:tcPr>
            <w:tcW w:w="1020" w:type="dxa"/>
            <w:vAlign w:val="bottom"/>
          </w:tcPr>
          <w:p>
            <w:pPr>
              <w:ind w:left="20"/>
              <w:spacing w:after="0"/>
              <w:rPr>
                <w:sz w:val="20"/>
                <w:szCs w:val="20"/>
                <w:color w:val="auto"/>
              </w:rPr>
            </w:pPr>
            <w:r>
              <w:rPr>
                <w:rFonts w:ascii="Arial" w:cs="Arial" w:eastAsia="Arial" w:hAnsi="Arial"/>
                <w:sz w:val="22"/>
                <w:szCs w:val="22"/>
                <w:b w:val="1"/>
                <w:bCs w:val="1"/>
                <w:color w:val="auto"/>
              </w:rPr>
              <w:t>Principal</w:t>
            </w:r>
          </w:p>
        </w:tc>
        <w:tc>
          <w:tcPr>
            <w:tcW w:w="434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440" w:type="dxa"/>
            <w:vAlign w:val="bottom"/>
          </w:tcPr>
          <w:p>
            <w:pPr>
              <w:ind w:left="600"/>
              <w:spacing w:after="0"/>
              <w:rPr>
                <w:sz w:val="20"/>
                <w:szCs w:val="20"/>
                <w:color w:val="auto"/>
              </w:rPr>
            </w:pPr>
            <w:r>
              <w:rPr>
                <w:rFonts w:ascii="Arial" w:cs="Arial" w:eastAsia="Arial" w:hAnsi="Arial"/>
                <w:sz w:val="22"/>
                <w:szCs w:val="22"/>
                <w:color w:val="auto"/>
              </w:rPr>
              <w:t>[   ]</w:t>
            </w:r>
          </w:p>
        </w:tc>
        <w:tc>
          <w:tcPr>
            <w:tcW w:w="1020" w:type="dxa"/>
            <w:vAlign w:val="bottom"/>
          </w:tcPr>
          <w:p>
            <w:pPr>
              <w:ind w:left="20"/>
              <w:spacing w:after="0"/>
              <w:rPr>
                <w:sz w:val="20"/>
                <w:szCs w:val="20"/>
                <w:color w:val="auto"/>
              </w:rPr>
            </w:pPr>
            <w:r>
              <w:rPr>
                <w:rFonts w:ascii="Arial" w:cs="Arial" w:eastAsia="Arial" w:hAnsi="Arial"/>
                <w:sz w:val="22"/>
                <w:szCs w:val="22"/>
                <w:color w:val="auto"/>
              </w:rPr>
              <w:t>[   ]   [</w:t>
            </w:r>
          </w:p>
        </w:tc>
        <w:tc>
          <w:tcPr>
            <w:tcW w:w="4340" w:type="dxa"/>
            <w:vAlign w:val="bottom"/>
          </w:tcPr>
          <w:p>
            <w:pPr>
              <w:jc w:val="right"/>
              <w:ind w:right="2132"/>
              <w:spacing w:after="0"/>
              <w:rPr>
                <w:sz w:val="20"/>
                <w:szCs w:val="20"/>
                <w:color w:val="auto"/>
              </w:rPr>
            </w:pPr>
            <w:r>
              <w:rPr>
                <w:rFonts w:ascii="Arial" w:cs="Arial" w:eastAsia="Arial" w:hAnsi="Arial"/>
                <w:sz w:val="22"/>
                <w:szCs w:val="22"/>
                <w:color w:val="auto"/>
              </w:rPr>
              <w:t>]   [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Set forth below is administrative information for inclusion in Schedule II to the Agreement:</w:t>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22"/>
                <w:szCs w:val="22"/>
                <w:b w:val="1"/>
                <w:bCs w:val="1"/>
                <w:color w:val="auto"/>
                <w:w w:val="96"/>
              </w:rPr>
              <w:t>Committed Purchaser</w:t>
            </w:r>
            <w:r>
              <w:rPr>
                <w:rFonts w:ascii="Arial" w:cs="Arial" w:eastAsia="Arial" w:hAnsi="Arial"/>
                <w:sz w:val="22"/>
                <w:szCs w:val="22"/>
                <w:color w:val="auto"/>
                <w:w w:val="96"/>
              </w:rPr>
              <w:t>: [</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0"/>
        </w:trPr>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2480" w:type="dxa"/>
            <w:vAlign w:val="bottom"/>
            <w:gridSpan w:val="5"/>
          </w:tcPr>
          <w:p>
            <w:pPr>
              <w:spacing w:after="0" w:line="237" w:lineRule="exact"/>
              <w:rPr>
                <w:sz w:val="20"/>
                <w:szCs w:val="20"/>
                <w:color w:val="auto"/>
              </w:rPr>
            </w:pPr>
            <w:r>
              <w:rPr>
                <w:rFonts w:ascii="Arial" w:cs="Arial" w:eastAsia="Arial" w:hAnsi="Arial"/>
                <w:sz w:val="22"/>
                <w:szCs w:val="22"/>
                <w:b w:val="1"/>
                <w:bCs w:val="1"/>
                <w:color w:val="auto"/>
              </w:rPr>
              <w:t>Funding Agent</w:t>
            </w:r>
            <w:r>
              <w:rPr>
                <w:rFonts w:ascii="Arial" w:cs="Arial" w:eastAsia="Arial" w:hAnsi="Arial"/>
                <w:sz w:val="22"/>
                <w:szCs w:val="22"/>
                <w:color w:val="auto"/>
              </w:rPr>
              <w:t>: [  ]</w:t>
            </w:r>
          </w:p>
        </w:tc>
        <w:tc>
          <w:tcPr>
            <w:tcW w:w="260" w:type="dxa"/>
            <w:vAlign w:val="bottom"/>
          </w:tcPr>
          <w:p>
            <w:pPr>
              <w:spacing w:after="0"/>
              <w:rPr>
                <w:sz w:val="20"/>
                <w:szCs w:val="20"/>
                <w:color w:val="auto"/>
              </w:rPr>
            </w:pPr>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9"/>
        </w:trPr>
        <w:tc>
          <w:tcPr>
            <w:tcW w:w="2480" w:type="dxa"/>
            <w:vAlign w:val="bottom"/>
            <w:gridSpan w:val="5"/>
          </w:tcPr>
          <w:p>
            <w:pPr>
              <w:spacing w:after="0"/>
              <w:rPr>
                <w:sz w:val="20"/>
                <w:szCs w:val="20"/>
                <w:color w:val="auto"/>
              </w:rPr>
            </w:pPr>
            <w:r>
              <w:rPr>
                <w:rFonts w:ascii="Arial" w:cs="Arial" w:eastAsia="Arial" w:hAnsi="Arial"/>
                <w:sz w:val="22"/>
                <w:szCs w:val="22"/>
                <w:b w:val="1"/>
                <w:bCs w:val="1"/>
                <w:color w:val="auto"/>
              </w:rPr>
              <w:t>Conduit Investors</w:t>
            </w:r>
            <w:r>
              <w:rPr>
                <w:rFonts w:ascii="Arial" w:cs="Arial" w:eastAsia="Arial" w:hAnsi="Arial"/>
                <w:sz w:val="22"/>
                <w:szCs w:val="22"/>
                <w:color w:val="auto"/>
              </w:rPr>
              <w:t>: [   ]</w:t>
            </w:r>
          </w:p>
        </w:tc>
        <w:tc>
          <w:tcPr>
            <w:tcW w:w="260" w:type="dxa"/>
            <w:vAlign w:val="bottom"/>
          </w:tcPr>
          <w:p>
            <w:pPr>
              <w:spacing w:after="0"/>
              <w:rPr>
                <w:sz w:val="24"/>
                <w:szCs w:val="24"/>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firstLine="1497"/>
        <w:spacing w:after="0" w:line="297" w:lineRule="auto"/>
        <w:rPr>
          <w:sz w:val="20"/>
          <w:szCs w:val="20"/>
          <w:color w:val="auto"/>
        </w:rPr>
      </w:pPr>
      <w:r>
        <w:rPr>
          <w:rFonts w:ascii="Arial" w:cs="Arial" w:eastAsia="Arial" w:hAnsi="Arial"/>
          <w:sz w:val="19"/>
          <w:szCs w:val="19"/>
          <w:color w:val="auto"/>
        </w:rPr>
        <w:t>This Joinder Agreement may be executed in any number of counterparts (which may include facsimile or other electronic transmission of counterparts) and by the different parties hereto in separate counterparts, each of which when so executed shall be deemed to be an original, and all of which together shall constitute one and the same instrument.</w:t>
      </w:r>
    </w:p>
    <w:p>
      <w:pPr>
        <w:spacing w:after="0" w:line="134" w:lineRule="exact"/>
        <w:rPr>
          <w:sz w:val="20"/>
          <w:szCs w:val="20"/>
          <w:color w:val="auto"/>
        </w:rPr>
      </w:pPr>
    </w:p>
    <w:p>
      <w:pPr>
        <w:jc w:val="both"/>
        <w:ind w:right="60" w:firstLine="1497"/>
        <w:spacing w:after="0" w:line="236" w:lineRule="auto"/>
        <w:rPr>
          <w:sz w:val="20"/>
          <w:szCs w:val="20"/>
          <w:color w:val="auto"/>
        </w:rPr>
      </w:pPr>
      <w:r>
        <w:rPr>
          <w:rFonts w:ascii="Arial" w:cs="Arial" w:eastAsia="Arial" w:hAnsi="Arial"/>
          <w:sz w:val="22"/>
          <w:szCs w:val="22"/>
          <w:color w:val="auto"/>
        </w:rPr>
        <w:t>This Joinder Agreement and all matters arising under or in any manner relating to this Joinder Agreement shall be governed by, and construed in accordance with, the laws of the State of New York without giving effect to any choice of law or conflict provision or rule (whether of the State of New York or any other jurisdiction) that would cause the application of the laws of any jurisdiction other than the State of New York), and the obligations, rights and remedies of the parties hereto shall be determined in accordance with such law.</w:t>
      </w:r>
    </w:p>
    <w:p>
      <w:pPr>
        <w:spacing w:after="0" w:line="187" w:lineRule="exact"/>
        <w:rPr>
          <w:sz w:val="20"/>
          <w:szCs w:val="20"/>
          <w:color w:val="auto"/>
        </w:rPr>
      </w:pPr>
    </w:p>
    <w:p>
      <w:pPr>
        <w:ind w:firstLine="1497"/>
        <w:spacing w:after="0" w:line="232" w:lineRule="auto"/>
        <w:rPr>
          <w:sz w:val="20"/>
          <w:szCs w:val="20"/>
          <w:color w:val="auto"/>
        </w:rPr>
      </w:pPr>
      <w:r>
        <w:rPr>
          <w:rFonts w:ascii="Arial" w:cs="Arial" w:eastAsia="Arial" w:hAnsi="Arial"/>
          <w:sz w:val="22"/>
          <w:szCs w:val="22"/>
          <w:color w:val="auto"/>
        </w:rPr>
        <w:t>ALL PARTIES HEREUNDER HEREBY KNOWINGLY, VOLUNTARILY AND INTENTIONALLY WAIVE ANY RIGHTS THEY MAY HAVE TO A TRIAL BY JURY IN RESPECT OF ANY LITIGATION BASED HEREON OR ON THE AGREEMENT, OR ARISING OUT OF, UNDER, OR IN CONNECTION WITH, THIS ASSIGNMENT AND ASSUMPTION AGREEMENT OR THE AGREEMENT, OR ANY COURSE OF CONDUCT, COURSE OF DEALING, STATEMENTS (WHETHER ORAL OR WRITTEN) OR ACTIONS OF THE PARTIES IN CONNECTION HEREWITH OR THEREWITH. ALL PARTIES ACKNOWLEDGE AND AGREE THAT THEY HAVE RECEIVED FULL AND SIGNIFICANT CONSIDERATION FOR THIS PROVISION AND THAT THIS PROVISION IS A MATERIAL INDUCEMENT FOR ALL PARTIES TO ENTER INTO THIS JOINDER AGREEMENT.</w:t>
      </w:r>
    </w:p>
    <w:p>
      <w:pPr>
        <w:spacing w:after="0" w:line="6" w:lineRule="exact"/>
        <w:rPr>
          <w:sz w:val="20"/>
          <w:szCs w:val="20"/>
          <w:color w:val="auto"/>
        </w:rPr>
      </w:pPr>
    </w:p>
    <w:p>
      <w:pPr>
        <w:ind w:right="560" w:firstLine="1497"/>
        <w:spacing w:after="0" w:line="236" w:lineRule="auto"/>
        <w:rPr>
          <w:sz w:val="20"/>
          <w:szCs w:val="20"/>
          <w:color w:val="auto"/>
        </w:rPr>
      </w:pPr>
      <w:r>
        <w:rPr>
          <w:rFonts w:ascii="Arial" w:cs="Arial" w:eastAsia="Arial" w:hAnsi="Arial"/>
          <w:sz w:val="22"/>
          <w:szCs w:val="22"/>
          <w:color w:val="auto"/>
        </w:rPr>
        <w:t>IN WITNESS WHEREOF, the parties hereto have caused this Joinder Agreement to be executed by their respective duly authorized officers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80" w:hanging="430"/>
        <w:spacing w:after="0"/>
        <w:tabs>
          <w:tab w:leader="none" w:pos="568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as Additional Committed Note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8" w:right="439" w:bottom="1440" w:gutter="0" w:footer="0" w:header="0"/>
        </w:sectPr>
      </w:pPr>
    </w:p>
    <w:bookmarkStart w:id="163" w:name="page164"/>
    <w:bookmarkEnd w:id="163"/>
    <w:p>
      <w:pPr>
        <w:ind w:left="5160"/>
        <w:spacing w:after="0"/>
        <w:rPr>
          <w:sz w:val="20"/>
          <w:szCs w:val="20"/>
          <w:color w:val="auto"/>
        </w:rPr>
      </w:pPr>
      <w:r>
        <w:rPr>
          <w:rFonts w:ascii="Arial" w:cs="Arial" w:eastAsia="Arial" w:hAnsi="Arial"/>
          <w:sz w:val="22"/>
          <w:szCs w:val="22"/>
          <w:color w:val="auto"/>
        </w:rPr>
        <w:t>By:</w:t>
      </w:r>
    </w:p>
    <w:p>
      <w:pPr>
        <w:ind w:left="5620"/>
        <w:spacing w:after="0" w:line="238" w:lineRule="auto"/>
        <w:rPr>
          <w:sz w:val="20"/>
          <w:szCs w:val="20"/>
          <w:color w:val="auto"/>
        </w:rPr>
      </w:pPr>
      <w:r>
        <w:rPr>
          <w:rFonts w:ascii="Arial" w:cs="Arial" w:eastAsia="Arial" w:hAnsi="Arial"/>
          <w:sz w:val="22"/>
          <w:szCs w:val="22"/>
          <w:color w:val="auto"/>
        </w:rPr>
        <w:t>Name:</w:t>
      </w:r>
    </w:p>
    <w:p>
      <w:pPr>
        <w:ind w:left="5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left="5160"/>
        <w:spacing w:after="0"/>
        <w:tabs>
          <w:tab w:leader="none" w:pos="558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 as Additional Funding Agent</w:t>
      </w: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w:t>
      </w:r>
    </w:p>
    <w:p>
      <w:pPr>
        <w:ind w:left="56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85" w:lineRule="exact"/>
        <w:rPr>
          <w:sz w:val="20"/>
          <w:szCs w:val="20"/>
          <w:color w:val="auto"/>
        </w:rPr>
      </w:pPr>
    </w:p>
    <w:p>
      <w:pPr>
        <w:ind w:left="5160"/>
        <w:spacing w:after="0"/>
        <w:tabs>
          <w:tab w:leader="none" w:pos="55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as Additional Conduit Investor</w:t>
      </w:r>
    </w:p>
    <w:p>
      <w:pPr>
        <w:spacing w:after="0" w:line="28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ind w:left="5620"/>
        <w:spacing w:after="0" w:line="238" w:lineRule="auto"/>
        <w:rPr>
          <w:sz w:val="20"/>
          <w:szCs w:val="20"/>
          <w:color w:val="auto"/>
        </w:rPr>
      </w:pPr>
      <w:r>
        <w:rPr>
          <w:rFonts w:ascii="Arial" w:cs="Arial" w:eastAsia="Arial" w:hAnsi="Arial"/>
          <w:sz w:val="22"/>
          <w:szCs w:val="22"/>
          <w:color w:val="auto"/>
        </w:rPr>
        <w:t>Name:</w:t>
      </w:r>
    </w:p>
    <w:p>
      <w:pPr>
        <w:ind w:left="5620"/>
        <w:spacing w:after="0"/>
        <w:rPr>
          <w:sz w:val="20"/>
          <w:szCs w:val="20"/>
          <w:color w:val="auto"/>
        </w:rPr>
      </w:pPr>
      <w:r>
        <w:rPr>
          <w:rFonts w:ascii="Arial" w:cs="Arial" w:eastAsia="Arial" w:hAnsi="Arial"/>
          <w:sz w:val="22"/>
          <w:szCs w:val="22"/>
          <w:color w:val="auto"/>
        </w:rPr>
        <w:t>Title: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CONSENTED AND ACKNOWLEDGED BY THE CO-ISSUERS: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DOMINO’S PIZZA MASTER ISSUER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580"/>
        <w:spacing w:after="0" w:line="238" w:lineRule="auto"/>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DOMINO’S SPV CANADIAN HOLDING COMPANY INC.,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ind w:left="580"/>
        <w:spacing w:after="0" w:line="238" w:lineRule="auto"/>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DOMINO’S PIZZA DISTRIBUTION LLC, as a Co-Issuer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w:t>
      </w:r>
    </w:p>
    <w:p>
      <w:pPr>
        <w:ind w:left="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DOMINO’S IP HOLDER LLC, as a Co-Issuer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388620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901" w:right="1440"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By:</w:t>
      </w:r>
    </w:p>
    <w:p>
      <w:pPr>
        <w:ind w:left="580"/>
        <w:spacing w:after="0" w:line="238" w:lineRule="auto"/>
        <w:rPr>
          <w:sz w:val="20"/>
          <w:szCs w:val="20"/>
          <w:color w:val="auto"/>
        </w:rPr>
      </w:pPr>
      <w:r>
        <w:rPr>
          <w:rFonts w:ascii="Arial" w:cs="Arial" w:eastAsia="Arial" w:hAnsi="Arial"/>
          <w:sz w:val="22"/>
          <w:szCs w:val="22"/>
          <w:color w:val="auto"/>
        </w:rPr>
        <w:t>Name:</w:t>
      </w:r>
    </w:p>
    <w:p>
      <w:pPr>
        <w:ind w:left="58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CONSENTED BY:</w:t>
      </w:r>
    </w:p>
    <w:p>
      <w:pPr>
        <w:spacing w:after="0" w:line="24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COÖPERATIEVE RABOBANK U.A.,</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NEW YORK BRANCH, as Swingline Lender</w:t>
      </w:r>
    </w:p>
    <w:p>
      <w:pPr>
        <w:spacing w:after="0" w:line="200" w:lineRule="exact"/>
        <w:rPr>
          <w:sz w:val="20"/>
          <w:szCs w:val="20"/>
          <w:color w:val="auto"/>
        </w:rPr>
      </w:pPr>
    </w:p>
    <w:p>
      <w:pPr>
        <w:spacing w:after="0" w:line="28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jc w:val="center"/>
        <w:ind w:right="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ind w:left="4420"/>
        <w:spacing w:after="0" w:line="250" w:lineRule="auto"/>
        <w:rPr>
          <w:sz w:val="20"/>
          <w:szCs w:val="20"/>
          <w:color w:val="auto"/>
        </w:rPr>
      </w:pPr>
      <w:r>
        <w:rPr>
          <w:rFonts w:ascii="Arial" w:cs="Arial" w:eastAsia="Arial" w:hAnsi="Arial"/>
          <w:sz w:val="22"/>
          <w:szCs w:val="22"/>
          <w:color w:val="auto"/>
        </w:rPr>
        <w:t>COÖPERATIEVE RABOBANK U.A., NEW YORK BRANCH, as L/C Provider</w:t>
      </w: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jc w:val="center"/>
        <w:ind w:right="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523240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00" w:top="1036" w:right="839" w:bottom="1440" w:gutter="0" w:footer="0" w:header="0"/>
        </w:sectPr>
      </w:pPr>
    </w:p>
    <w:bookmarkStart w:id="165" w:name="page166"/>
    <w:bookmarkEnd w:id="1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OF DOMINO’S PIZZA,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15" w:lineRule="exact"/>
        <w:rPr>
          <w:rFonts w:ascii="Arial" w:cs="Arial" w:eastAsia="Arial" w:hAnsi="Arial"/>
          <w:sz w:val="20"/>
          <w:szCs w:val="20"/>
          <w:color w:val="auto"/>
        </w:rPr>
      </w:pPr>
    </w:p>
    <w:p>
      <w:pPr>
        <w:ind w:left="380" w:right="120" w:hanging="372"/>
        <w:spacing w:after="0" w:line="239" w:lineRule="auto"/>
        <w:tabs>
          <w:tab w:leader="none" w:pos="3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right="180" w:hanging="372"/>
        <w:spacing w:after="0" w:line="299" w:lineRule="auto"/>
        <w:tabs>
          <w:tab w:leader="none" w:pos="3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60" w:hanging="372"/>
        <w:spacing w:after="0" w:line="266" w:lineRule="auto"/>
        <w:tabs>
          <w:tab w:leader="none" w:pos="3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ind w:left="760" w:right="160" w:hanging="378"/>
        <w:spacing w:after="0" w:line="252" w:lineRule="auto"/>
        <w:tabs>
          <w:tab w:leader="none" w:pos="76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hanging="378"/>
        <w:spacing w:after="0" w:line="239" w:lineRule="auto"/>
        <w:tabs>
          <w:tab w:leader="none" w:pos="76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60" w:right="100" w:hanging="378"/>
        <w:spacing w:after="0" w:line="239" w:lineRule="auto"/>
        <w:tabs>
          <w:tab w:leader="none" w:pos="76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60" w:right="220" w:hanging="378"/>
        <w:spacing w:after="0" w:line="252" w:lineRule="auto"/>
        <w:tabs>
          <w:tab w:leader="none" w:pos="76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80" w:hanging="372"/>
        <w:spacing w:after="0" w:line="239" w:lineRule="auto"/>
        <w:tabs>
          <w:tab w:leader="none" w:pos="3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60" w:right="60" w:hanging="378"/>
        <w:spacing w:after="0" w:line="266" w:lineRule="auto"/>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4" w:lineRule="auto"/>
        <w:tabs>
          <w:tab w:leader="none" w:pos="76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24, 2023</w:t>
            </w:r>
          </w:p>
        </w:tc>
        <w:tc>
          <w:tcPr>
            <w:tcW w:w="2520" w:type="dxa"/>
            <w:vAlign w:val="bottom"/>
          </w:tcPr>
          <w:p>
            <w:pPr>
              <w:spacing w:after="0"/>
              <w:rPr>
                <w:sz w:val="22"/>
                <w:szCs w:val="22"/>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Russell J. Weiner</w:t>
            </w:r>
          </w:p>
        </w:tc>
      </w:tr>
      <w:tr>
        <w:trPr>
          <w:trHeight w:val="249"/>
        </w:trPr>
        <w:tc>
          <w:tcPr>
            <w:tcW w:w="1700" w:type="dxa"/>
            <w:vAlign w:val="bottom"/>
          </w:tcPr>
          <w:p>
            <w:pPr>
              <w:ind w:left="20"/>
              <w:spacing w:after="0"/>
              <w:rPr>
                <w:sz w:val="20"/>
                <w:szCs w:val="20"/>
                <w:color w:val="auto"/>
              </w:rPr>
            </w:pPr>
            <w:r>
              <w:rPr>
                <w:rFonts w:ascii="Arial" w:cs="Arial" w:eastAsia="Arial" w:hAnsi="Arial"/>
                <w:sz w:val="18"/>
                <w:szCs w:val="18"/>
                <w:color w:val="auto"/>
              </w:rPr>
              <w:t>Date</w:t>
            </w:r>
          </w:p>
        </w:tc>
        <w:tc>
          <w:tcPr>
            <w:tcW w:w="252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20"/>
                <w:szCs w:val="20"/>
                <w:color w:val="auto"/>
              </w:rPr>
              <w:t>Russell J. Weiner</w:t>
            </w:r>
          </w:p>
        </w:tc>
      </w:tr>
      <w:tr>
        <w:trPr>
          <w:trHeight w:val="253"/>
        </w:trPr>
        <w:tc>
          <w:tcPr>
            <w:tcW w:w="1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0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786"/>
        </w:trPr>
        <w:tc>
          <w:tcPr>
            <w:tcW w:w="1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 OF DOMINO’S PIZZA,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Domino’s Pizza, Inc.;</w:t>
      </w:r>
    </w:p>
    <w:p>
      <w:pPr>
        <w:spacing w:after="0" w:line="15" w:lineRule="exact"/>
        <w:rPr>
          <w:rFonts w:ascii="Arial" w:cs="Arial" w:eastAsia="Arial" w:hAnsi="Arial"/>
          <w:sz w:val="20"/>
          <w:szCs w:val="20"/>
          <w:color w:val="auto"/>
        </w:rPr>
      </w:pPr>
    </w:p>
    <w:p>
      <w:pPr>
        <w:ind w:left="380" w:right="120" w:hanging="372"/>
        <w:spacing w:after="0" w:line="239" w:lineRule="auto"/>
        <w:tabs>
          <w:tab w:leader="none" w:pos="3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right="180" w:hanging="372"/>
        <w:spacing w:after="0" w:line="299"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60" w:hanging="372"/>
        <w:spacing w:after="0" w:line="266" w:lineRule="auto"/>
        <w:tabs>
          <w:tab w:leader="none" w:pos="3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ind w:left="760" w:right="160" w:hanging="378"/>
        <w:spacing w:after="0" w:line="252" w:lineRule="auto"/>
        <w:tabs>
          <w:tab w:leader="none" w:pos="7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hanging="378"/>
        <w:spacing w:after="0" w:line="239" w:lineRule="auto"/>
        <w:tabs>
          <w:tab w:leader="none" w:pos="7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760" w:right="100" w:hanging="378"/>
        <w:spacing w:after="0" w:line="239" w:lineRule="auto"/>
        <w:tabs>
          <w:tab w:leader="none" w:pos="7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760" w:right="220" w:hanging="378"/>
        <w:spacing w:after="0" w:line="252" w:lineRule="auto"/>
        <w:tabs>
          <w:tab w:leader="none" w:pos="7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80" w:hanging="372"/>
        <w:spacing w:after="0" w:line="239" w:lineRule="auto"/>
        <w:tabs>
          <w:tab w:leader="none" w:pos="3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760" w:right="60" w:hanging="378"/>
        <w:spacing w:after="0" w:line="266" w:lineRule="auto"/>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4" w:lineRule="auto"/>
        <w:tabs>
          <w:tab w:leader="none" w:pos="7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24, 2023</w:t>
            </w:r>
          </w:p>
        </w:tc>
        <w:tc>
          <w:tcPr>
            <w:tcW w:w="2520" w:type="dxa"/>
            <w:vAlign w:val="bottom"/>
          </w:tcPr>
          <w:p>
            <w:pPr>
              <w:spacing w:after="0"/>
              <w:rPr>
                <w:sz w:val="22"/>
                <w:szCs w:val="22"/>
                <w:color w:val="auto"/>
              </w:rPr>
            </w:pPr>
          </w:p>
        </w:tc>
        <w:tc>
          <w:tcPr>
            <w:tcW w:w="7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Sandeep Reddy</w:t>
            </w:r>
          </w:p>
        </w:tc>
      </w:tr>
      <w:tr>
        <w:trPr>
          <w:trHeight w:val="249"/>
        </w:trPr>
        <w:tc>
          <w:tcPr>
            <w:tcW w:w="1700" w:type="dxa"/>
            <w:vAlign w:val="bottom"/>
          </w:tcPr>
          <w:p>
            <w:pPr>
              <w:ind w:left="20"/>
              <w:spacing w:after="0"/>
              <w:rPr>
                <w:sz w:val="20"/>
                <w:szCs w:val="20"/>
                <w:color w:val="auto"/>
              </w:rPr>
            </w:pPr>
            <w:r>
              <w:rPr>
                <w:rFonts w:ascii="Arial" w:cs="Arial" w:eastAsia="Arial" w:hAnsi="Arial"/>
                <w:sz w:val="18"/>
                <w:szCs w:val="18"/>
                <w:color w:val="auto"/>
              </w:rPr>
              <w:t>Date</w:t>
            </w:r>
          </w:p>
        </w:tc>
        <w:tc>
          <w:tcPr>
            <w:tcW w:w="2520" w:type="dxa"/>
            <w:vAlign w:val="bottom"/>
          </w:tcPr>
          <w:p>
            <w:pPr>
              <w:spacing w:after="0"/>
              <w:rPr>
                <w:sz w:val="21"/>
                <w:szCs w:val="21"/>
                <w:color w:val="auto"/>
              </w:rPr>
            </w:pPr>
          </w:p>
        </w:tc>
        <w:tc>
          <w:tcPr>
            <w:tcW w:w="7020" w:type="dxa"/>
            <w:vAlign w:val="bottom"/>
          </w:tcPr>
          <w:p>
            <w:pPr>
              <w:ind w:left="20"/>
              <w:spacing w:after="0"/>
              <w:rPr>
                <w:sz w:val="20"/>
                <w:szCs w:val="20"/>
                <w:color w:val="auto"/>
              </w:rPr>
            </w:pPr>
            <w:r>
              <w:rPr>
                <w:rFonts w:ascii="Arial" w:cs="Arial" w:eastAsia="Arial" w:hAnsi="Arial"/>
                <w:sz w:val="20"/>
                <w:szCs w:val="20"/>
                <w:color w:val="auto"/>
              </w:rPr>
              <w:t>Sandeep Reddy</w:t>
            </w:r>
          </w:p>
        </w:tc>
      </w:tr>
      <w:tr>
        <w:trPr>
          <w:trHeight w:val="253"/>
        </w:trPr>
        <w:tc>
          <w:tcPr>
            <w:tcW w:w="1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02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341"/>
        </w:trPr>
        <w:tc>
          <w:tcPr>
            <w:tcW w:w="1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18 U.S.C. SECTION 1350</w:t>
      </w:r>
    </w:p>
    <w:p>
      <w:pPr>
        <w:jc w:val="center"/>
        <w:ind w:right="-99"/>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June 18, 2023,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right="280" w:hanging="378"/>
        <w:spacing w:after="0" w:line="250" w:lineRule="auto"/>
        <w:tabs>
          <w:tab w:leader="none" w:pos="7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right="320" w:hanging="378"/>
        <w:spacing w:after="0" w:line="250" w:lineRule="auto"/>
        <w:tabs>
          <w:tab w:leader="none" w:pos="7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_/s/ Russell J. Weiner___________________</w:t>
      </w:r>
    </w:p>
    <w:p>
      <w:pPr>
        <w:ind w:left="3760"/>
        <w:spacing w:after="0" w:line="238" w:lineRule="auto"/>
        <w:rPr>
          <w:sz w:val="20"/>
          <w:szCs w:val="20"/>
          <w:color w:val="auto"/>
        </w:rPr>
      </w:pPr>
      <w:r>
        <w:rPr>
          <w:rFonts w:ascii="Arial" w:cs="Arial" w:eastAsia="Arial" w:hAnsi="Arial"/>
          <w:sz w:val="22"/>
          <w:szCs w:val="22"/>
          <w:color w:val="auto"/>
        </w:rPr>
        <w:t>Russell J. Weiner</w:t>
      </w:r>
    </w:p>
    <w:p>
      <w:pPr>
        <w:ind w:left="376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Dated: July 24, 2023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171" w:name="page172"/>
    <w:bookmarkEnd w:id="1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Exhibit 32.2</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CERTIFICATION PURSUANT TO</w:t>
      </w:r>
    </w:p>
    <w:p>
      <w:pPr>
        <w:jc w:val="center"/>
        <w:ind w:right="-159"/>
        <w:spacing w:after="0" w:line="230" w:lineRule="auto"/>
        <w:rPr>
          <w:sz w:val="20"/>
          <w:szCs w:val="20"/>
          <w:color w:val="auto"/>
        </w:rPr>
      </w:pPr>
      <w:r>
        <w:rPr>
          <w:rFonts w:ascii="Arial" w:cs="Arial" w:eastAsia="Arial" w:hAnsi="Arial"/>
          <w:sz w:val="22"/>
          <w:szCs w:val="22"/>
          <w:b w:val="1"/>
          <w:bCs w:val="1"/>
          <w:color w:val="auto"/>
        </w:rPr>
        <w:t>18 U.S.C. SECTION 1350</w:t>
      </w:r>
    </w:p>
    <w:p>
      <w:pPr>
        <w:jc w:val="center"/>
        <w:ind w:right="-99"/>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ind w:right="-159"/>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June 18, 2023,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right="280" w:hanging="378"/>
        <w:spacing w:after="0" w:line="250" w:lineRule="auto"/>
        <w:tabs>
          <w:tab w:leader="none" w:pos="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right="320" w:hanging="378"/>
        <w:spacing w:after="0" w:line="250" w:lineRule="auto"/>
        <w:tabs>
          <w:tab w:leader="none" w:pos="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_/s/ Sandeep Reddy________________</w:t>
      </w:r>
    </w:p>
    <w:p>
      <w:pPr>
        <w:ind w:left="3760"/>
        <w:spacing w:after="0" w:line="238" w:lineRule="auto"/>
        <w:rPr>
          <w:sz w:val="20"/>
          <w:szCs w:val="20"/>
          <w:color w:val="auto"/>
        </w:rPr>
      </w:pPr>
      <w:r>
        <w:rPr>
          <w:rFonts w:ascii="Arial" w:cs="Arial" w:eastAsia="Arial" w:hAnsi="Arial"/>
          <w:sz w:val="22"/>
          <w:szCs w:val="22"/>
          <w:color w:val="auto"/>
        </w:rPr>
        <w:t>Sandeep Reddy</w:t>
      </w:r>
    </w:p>
    <w:p>
      <w:pPr>
        <w:ind w:left="376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Dated: July 24, 2023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173" w:name="page174"/>
    <w:bookmarkEnd w:id="1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1."/>
      <w:numFmt w:val="decimal"/>
      <w:start w:val="6"/>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1"/>
      <w:numFmt w:val="decimal"/>
      <w:start w:val="104"/>
    </w:lvl>
  </w:abstractNum>
  <w:abstractNum w:abstractNumId="9">
    <w:nsid w:val="25A70BF7"/>
    <w:multiLevelType w:val="hybridMultilevel"/>
    <w:lvl w:ilvl="0">
      <w:lvlJc w:val="left"/>
      <w:lvlText w:val="(%1)"/>
      <w:numFmt w:val="lowerLetter"/>
      <w:start w:val="1"/>
    </w:lvl>
  </w:abstractNum>
  <w:abstractNum w:abstractNumId="10">
    <w:nsid w:val="1DBABF00"/>
    <w:multiLevelType w:val="hybridMultilevel"/>
    <w:lvl w:ilvl="0">
      <w:lvlJc w:val="left"/>
      <w:lvlText w:val="(%1)"/>
      <w:numFmt w:val="lowerLetter"/>
      <w:start w:val="6"/>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lowerLetter"/>
      <w:start w:val="5"/>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1"/>
    </w:lvl>
    <w:lvl w:ilvl="1">
      <w:lvlJc w:val="left"/>
      <w:lvlText w:val="(%2)"/>
      <w:numFmt w:val="decimal"/>
      <w:start w:val="3"/>
    </w:lvl>
  </w:abstractNum>
  <w:abstractNum w:abstractNumId="15">
    <w:nsid w:val="100F8F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3"/>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lowerRoman"/>
      <w:start w:val="2"/>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1"/>
      <w:numFmt w:val="upperLetter"/>
      <w:start w:val="1"/>
    </w:lvl>
    <w:lvl w:ilvl="1">
      <w:lvlJc w:val="left"/>
      <w:lvlText w:val="(%2)"/>
      <w:numFmt w:val="lowerLetter"/>
      <w:start w:val="1"/>
    </w:lvl>
  </w:abstractNum>
  <w:abstractNum w:abstractNumId="23">
    <w:nsid w:val="168E121F"/>
    <w:multiLevelType w:val="hybridMultilevel"/>
    <w:lvl w:ilvl="0">
      <w:lvlJc w:val="left"/>
      <w:lvlText w:val="(%1)"/>
      <w:numFmt w:val="upperLetter"/>
      <w:start w:val="1"/>
    </w:lvl>
    <w:lvl w:ilvl="1">
      <w:lvlJc w:val="left"/>
      <w:lvlText w:val="%2"/>
      <w:numFmt w:val="lowerLetter"/>
      <w:start w:val="1"/>
    </w:lvl>
  </w:abstractNum>
  <w:abstractNum w:abstractNumId="24">
    <w:nsid w:val="1EBA5D23"/>
    <w:multiLevelType w:val="hybridMultilevel"/>
    <w:lvl w:ilvl="0">
      <w:lvlJc w:val="left"/>
      <w:lvlText w:val="(%1)"/>
      <w:numFmt w:val="lowerLetter"/>
      <w:start w:val="1"/>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4"/>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24"/>
    </w:lvl>
    <w:lvl w:ilvl="1">
      <w:lvlJc w:val="left"/>
      <w:lvlText w:val="(%2)"/>
      <w:numFmt w:val="lowerLetter"/>
      <w:start w:val="2"/>
    </w:lvl>
  </w:abstractNum>
  <w:abstractNum w:abstractNumId="29">
    <w:nsid w:val="51D9C564"/>
    <w:multiLevelType w:val="hybridMultilevel"/>
    <w:lvl w:ilvl="0">
      <w:lvlJc w:val="left"/>
      <w:lvlText w:val="(%1)"/>
      <w:numFmt w:val="lowerLetter"/>
      <w:start w:val="3"/>
    </w:lvl>
  </w:abstractNum>
  <w:abstractNum w:abstractNumId="30">
    <w:nsid w:val="613EFDC5"/>
    <w:multiLevelType w:val="hybridMultilevel"/>
    <w:lvl w:ilvl="0">
      <w:lvlJc w:val="left"/>
      <w:lvlText w:val="(%1)"/>
      <w:numFmt w:val="lowerLetter"/>
      <w:start w:val="1"/>
    </w:lvl>
    <w:lvl w:ilvl="1">
      <w:lvlJc w:val="left"/>
      <w:lvlText w:val="(%2)"/>
      <w:numFmt w:val="lowerLetter"/>
      <w:start w:val="9"/>
    </w:lvl>
  </w:abstractNum>
  <w:abstractNum w:abstractNumId="31">
    <w:nsid w:val="BF72B14"/>
    <w:multiLevelType w:val="hybridMultilevel"/>
    <w:lvl w:ilvl="0">
      <w:lvlJc w:val="left"/>
      <w:lvlText w:val="%1"/>
      <w:numFmt w:val="upperLetter"/>
      <w:start w:val="1"/>
    </w:lvl>
    <w:lvl w:ilvl="1">
      <w:lvlJc w:val="left"/>
      <w:lvlText w:val="(%2)"/>
      <w:numFmt w:val="lowerRoman"/>
      <w:start w:val="2"/>
    </w:lvl>
  </w:abstractNum>
  <w:abstractNum w:abstractNumId="32">
    <w:nsid w:val="11447B73"/>
    <w:multiLevelType w:val="hybridMultilevel"/>
    <w:lvl w:ilvl="0">
      <w:lvlJc w:val="left"/>
      <w:lvlText w:val="(%1)"/>
      <w:numFmt w:val="upperLetter"/>
      <w:start w:val="1"/>
    </w:lvl>
    <w:lvl w:ilvl="1">
      <w:lvlJc w:val="left"/>
      <w:lvlText w:val="(%2)"/>
      <w:numFmt w:val="lowerRoman"/>
      <w:start w:val="3"/>
    </w:lvl>
  </w:abstractNum>
  <w:abstractNum w:abstractNumId="33">
    <w:nsid w:val="42963E5A"/>
    <w:multiLevelType w:val="hybridMultilevel"/>
    <w:lvl w:ilvl="0">
      <w:lvlJc w:val="left"/>
      <w:lvlText w:val="(%1)"/>
      <w:numFmt w:val="upperLetter"/>
      <w:start w:val="1"/>
    </w:lvl>
    <w:lvl w:ilvl="1">
      <w:lvlJc w:val="left"/>
      <w:lvlText w:val="%2"/>
      <w:numFmt w:val="lowerRoman"/>
      <w:start w:val="1"/>
    </w:lvl>
  </w:abstractNum>
  <w:abstractNum w:abstractNumId="34">
    <w:nsid w:val="A0382C5"/>
    <w:multiLevelType w:val="hybridMultilevel"/>
    <w:lvl w:ilvl="0">
      <w:lvlJc w:val="left"/>
      <w:lvlText w:val="(%1)"/>
      <w:numFmt w:val="lowerRoman"/>
      <w:start w:val="4"/>
    </w:lvl>
  </w:abstractNum>
  <w:abstractNum w:abstractNumId="35">
    <w:nsid w:val="8F2B15E"/>
    <w:multiLevelType w:val="hybridMultilevel"/>
    <w:lvl w:ilvl="0">
      <w:lvlJc w:val="left"/>
      <w:lvlText w:val="%1"/>
      <w:numFmt w:val="decimal"/>
      <w:start w:val="1"/>
    </w:lvl>
    <w:lvl w:ilvl="1">
      <w:lvlJc w:val="left"/>
      <w:lvlText w:val="(%2)"/>
      <w:numFmt w:val="lowerLetter"/>
      <w:start w:val="1"/>
    </w:lvl>
  </w:abstractNum>
  <w:abstractNum w:abstractNumId="36">
    <w:nsid w:val="1A32234B"/>
    <w:multiLevelType w:val="hybridMultilevel"/>
    <w:lvl w:ilvl="0">
      <w:lvlJc w:val="left"/>
      <w:lvlText w:val="(%1)"/>
      <w:numFmt w:val="decimal"/>
      <w:start w:val="2"/>
    </w:lvl>
    <w:lvl w:ilvl="1">
      <w:lvlJc w:val="left"/>
      <w:lvlText w:val="(%2)"/>
      <w:numFmt w:val="lowerLetter"/>
      <w:start w:val="2"/>
    </w:lvl>
  </w:abstractNum>
  <w:abstractNum w:abstractNumId="37">
    <w:nsid w:val="3B0FD379"/>
    <w:multiLevelType w:val="hybridMultilevel"/>
    <w:lvl w:ilvl="0">
      <w:lvlJc w:val="left"/>
      <w:lvlText w:val="(%1)"/>
      <w:numFmt w:val="lowerLetter"/>
      <w:start w:val="3"/>
    </w:lvl>
  </w:abstractNum>
  <w:abstractNum w:abstractNumId="38">
    <w:nsid w:val="68EB2F63"/>
    <w:multiLevelType w:val="hybridMultilevel"/>
    <w:lvl w:ilvl="0">
      <w:lvlJc w:val="left"/>
      <w:lvlText w:val="%1"/>
      <w:numFmt w:val="lowerLetter"/>
      <w:start w:val="1"/>
    </w:lvl>
    <w:lvl w:ilvl="1">
      <w:lvlJc w:val="left"/>
      <w:lvlText w:val="(%2)"/>
      <w:numFmt w:val="lowerLetter"/>
      <w:start w:val="7"/>
    </w:lvl>
  </w:abstractNum>
  <w:abstractNum w:abstractNumId="39">
    <w:nsid w:val="4962813B"/>
    <w:multiLevelType w:val="hybridMultilevel"/>
    <w:lvl w:ilvl="0">
      <w:lvlJc w:val="left"/>
      <w:lvlText w:val="(%1)"/>
      <w:numFmt w:val="lowerLetter"/>
      <w:start w:val="26"/>
    </w:lvl>
    <w:lvl w:ilvl="1">
      <w:lvlJc w:val="left"/>
      <w:lvlText w:val="%2"/>
      <w:numFmt w:val="lowerLetter"/>
      <w:start w:val="1"/>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upperLetter"/>
      <w:start w:val="35"/>
    </w:lvl>
  </w:abstractNum>
  <w:abstractNum w:abstractNumId="42">
    <w:nsid w:val="14330624"/>
    <w:multiLevelType w:val="hybridMultilevel"/>
    <w:lvl w:ilvl="0">
      <w:lvlJc w:val="left"/>
      <w:lvlText w:val="(%1)"/>
      <w:numFmt w:val="lowerLetter"/>
      <w:start w:val="2"/>
    </w:lvl>
  </w:abstractNum>
  <w:abstractNum w:abstractNumId="43">
    <w:nsid w:val="7FFFCA11"/>
    <w:multiLevelType w:val="hybridMultilevel"/>
    <w:lvl w:ilvl="0">
      <w:lvlJc w:val="left"/>
      <w:lvlText w:val="(%1)"/>
      <w:numFmt w:val="lowerLetter"/>
      <w:start w:val="4"/>
    </w:lvl>
  </w:abstractNum>
  <w:abstractNum w:abstractNumId="44">
    <w:nsid w:val="1A27709E"/>
    <w:multiLevelType w:val="hybridMultilevel"/>
    <w:lvl w:ilvl="0">
      <w:lvlJc w:val="left"/>
      <w:lvlText w:val="(%1)"/>
      <w:numFmt w:val="lowerLetter"/>
      <w:start w:val="9"/>
    </w:lvl>
  </w:abstractNum>
  <w:abstractNum w:abstractNumId="45">
    <w:nsid w:val="71EA1109"/>
    <w:multiLevelType w:val="hybridMultilevel"/>
    <w:lvl w:ilvl="0">
      <w:lvlJc w:val="left"/>
      <w:lvlText w:val="(%1)"/>
      <w:numFmt w:val="lowerLetter"/>
      <w:start w:val="13"/>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3"/>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4"/>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2"/>
    </w:lvl>
  </w:abstractNum>
  <w:abstractNum w:abstractNumId="52">
    <w:nsid w:val="76272110"/>
    <w:multiLevelType w:val="hybridMultilevel"/>
    <w:lvl w:ilvl="0">
      <w:lvlJc w:val="left"/>
      <w:lvlText w:val="(%1)"/>
      <w:numFmt w:val="lowerLetter"/>
      <w:start w:val="5"/>
    </w:lvl>
  </w:abstractNum>
  <w:abstractNum w:abstractNumId="53">
    <w:nsid w:val="4C04A8AF"/>
    <w:multiLevelType w:val="hybridMultilevel"/>
    <w:lvl w:ilvl="0">
      <w:lvlJc w:val="left"/>
      <w:lvlText w:val="(%1)"/>
      <w:numFmt w:val="lowerLetter"/>
      <w:start w:val="1"/>
    </w:lvl>
  </w:abstractNum>
  <w:abstractNum w:abstractNumId="54">
    <w:nsid w:val="1716703B"/>
    <w:multiLevelType w:val="hybridMultilevel"/>
    <w:lvl w:ilvl="0">
      <w:lvlJc w:val="left"/>
      <w:lvlText w:val="."/>
      <w:numFmt w:val="bullet"/>
      <w:start w:val="1"/>
    </w:lvl>
    <w:lvl w:ilvl="1">
      <w:lvlJc w:val="left"/>
      <w:lvlText w:val="(%2)"/>
      <w:numFmt w:val="lowerLetter"/>
      <w:start w:val="1"/>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7">
    <w:nsid w:val="74DE0EE3"/>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1"/>
    </w:lvl>
  </w:abstractNum>
  <w:abstractNum w:abstractNumId="58">
    <w:nsid w:val="68EBC550"/>
    <w:multiLevelType w:val="hybridMultilevel"/>
    <w:lvl w:ilvl="0">
      <w:lvlJc w:val="left"/>
      <w:lvlText w:val="(%1)"/>
      <w:numFmt w:val="lowerLetter"/>
      <w:start w:val="4"/>
    </w:lvl>
    <w:lvl w:ilvl="1">
      <w:lvlJc w:val="left"/>
      <w:lvlText w:val="(%2)"/>
      <w:numFmt w:val="lowerRoman"/>
      <w:start w:val="7"/>
    </w:lvl>
  </w:abstractNum>
  <w:abstractNum w:abstractNumId="59">
    <w:nsid w:val="2DF6D648"/>
    <w:multiLevelType w:val="hybridMultilevel"/>
    <w:lvl w:ilvl="0">
      <w:lvlJc w:val="left"/>
      <w:lvlText w:val="(%1)"/>
      <w:numFmt w:val="lowerRoman"/>
      <w:start w:val="8"/>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2"/>
    </w:lvl>
  </w:abstractNum>
  <w:abstractNum w:abstractNumId="63">
    <w:nsid w:val="57FC4FBB"/>
    <w:multiLevelType w:val="hybridMultilevel"/>
    <w:lvl w:ilvl="0">
      <w:lvlJc w:val="left"/>
      <w:lvlText w:val="(%1)"/>
      <w:numFmt w:val="lowerLetter"/>
      <w:start w:val="4"/>
    </w:lvl>
  </w:abstractNum>
  <w:abstractNum w:abstractNumId="64">
    <w:nsid w:val="CC1016F"/>
    <w:multiLevelType w:val="hybridMultilevel"/>
    <w:lvl w:ilvl="0">
      <w:lvlJc w:val="left"/>
      <w:lvlText w:val="(%1)"/>
      <w:numFmt w:val="lowerLetter"/>
      <w:start w:val="8"/>
    </w:lvl>
  </w:abstractNum>
  <w:abstractNum w:abstractNumId="65">
    <w:nsid w:val="43F18422"/>
    <w:multiLevelType w:val="hybridMultilevel"/>
    <w:lvl w:ilvl="0">
      <w:lvlJc w:val="left"/>
      <w:lvlText w:val="(%1)"/>
      <w:numFmt w:val="lowerLetter"/>
      <w:start w:val="2"/>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3"/>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2"/>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5"/>
    </w:lvl>
  </w:abstractNum>
  <w:abstractNum w:abstractNumId="73">
    <w:nsid w:val="488AC1A"/>
    <w:multiLevelType w:val="hybridMultilevel"/>
    <w:lvl w:ilvl="0">
      <w:lvlJc w:val="left"/>
      <w:lvlText w:val="(%1)"/>
      <w:numFmt w:val="lowerLetter"/>
      <w:start w:val="1"/>
    </w:lvl>
  </w:abstractNum>
  <w:abstractNum w:abstractNumId="74">
    <w:nsid w:val="5FB8011C"/>
    <w:multiLevelType w:val="hybridMultilevel"/>
    <w:lvl w:ilvl="0">
      <w:lvlJc w:val="left"/>
      <w:lvlText w:val="(%1)"/>
      <w:numFmt w:val="lowerLetter"/>
      <w:start w:val="1"/>
    </w:lvl>
  </w:abstractNum>
  <w:abstractNum w:abstractNumId="75">
    <w:nsid w:val="6AA78F7F"/>
    <w:multiLevelType w:val="hybridMultilevel"/>
    <w:lvl w:ilvl="0">
      <w:lvlJc w:val="left"/>
      <w:lvlText w:val="(%1)"/>
      <w:numFmt w:val="lowerLetter"/>
      <w:start w:val="3"/>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4"/>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2"/>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Roman"/>
      <w:start w:val="1"/>
    </w:lvl>
  </w:abstractNum>
  <w:abstractNum w:abstractNumId="83">
    <w:nsid w:val="555C55B5"/>
    <w:multiLevelType w:val="hybridMultilevel"/>
    <w:lvl w:ilvl="0">
      <w:lvlJc w:val="left"/>
      <w:lvlText w:val="(%1)"/>
      <w:numFmt w:val="lowerLetter"/>
      <w:start w:val="3"/>
    </w:lvl>
  </w:abstractNum>
  <w:abstractNum w:abstractNumId="84">
    <w:nsid w:val="3FA62ACA"/>
    <w:multiLevelType w:val="hybridMultilevel"/>
    <w:lvl w:ilvl="0">
      <w:lvlJc w:val="left"/>
      <w:lvlText w:val="(%1)"/>
      <w:numFmt w:val="lowerLetter"/>
      <w:start w:val="4"/>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3"/>
    </w:lvl>
  </w:abstractNum>
  <w:abstractNum w:abstractNumId="89">
    <w:nsid w:val="53299938"/>
    <w:multiLevelType w:val="hybridMultilevel"/>
    <w:lvl w:ilvl="0">
      <w:lvlJc w:val="left"/>
      <w:lvlText w:val="(%1)"/>
      <w:numFmt w:val="lowerLetter"/>
      <w:start w:val="4"/>
    </w:lvl>
  </w:abstractNum>
  <w:abstractNum w:abstractNumId="90">
    <w:nsid w:val="1FBFE8E0"/>
    <w:multiLevelType w:val="hybridMultilevel"/>
    <w:lvl w:ilvl="0">
      <w:lvlJc w:val="left"/>
      <w:lvlText w:val="(%1)"/>
      <w:numFmt w:val="lowerLetter"/>
      <w:start w:val="25"/>
    </w:lvl>
    <w:lvl w:ilvl="1">
      <w:lvlJc w:val="left"/>
      <w:lvlText w:val="(%2)"/>
      <w:numFmt w:val="lowerLetter"/>
      <w:start w:val="2"/>
    </w:lvl>
  </w:abstractNum>
  <w:abstractNum w:abstractNumId="91">
    <w:nsid w:val="5092CA79"/>
    <w:multiLevelType w:val="hybridMultilevel"/>
    <w:lvl w:ilvl="0">
      <w:lvlJc w:val="left"/>
      <w:lvlText w:val="(%1)"/>
      <w:numFmt w:val="lowerLetter"/>
      <w:start w:val="3"/>
    </w:lvl>
    <w:lvl w:ilvl="1">
      <w:lvlJc w:val="left"/>
      <w:lvlText w:val="(%2)"/>
      <w:numFmt w:val="lowerRoman"/>
      <w:start w:val="1"/>
    </w:lvl>
  </w:abstractNum>
  <w:abstractNum w:abstractNumId="92">
    <w:nsid w:val="1D545C4D"/>
    <w:multiLevelType w:val="hybridMultilevel"/>
    <w:lvl w:ilvl="0">
      <w:lvlJc w:val="left"/>
      <w:lvlText w:val="%1"/>
      <w:numFmt w:val="lowerLetter"/>
      <w:start w:val="1"/>
    </w:lvl>
    <w:lvl w:ilvl="1">
      <w:lvlJc w:val="left"/>
      <w:lvlText w:val="(%2)"/>
      <w:numFmt w:val="lowerRoman"/>
      <w:start w:val="3"/>
    </w:lvl>
  </w:abstractNum>
  <w:abstractNum w:abstractNumId="93">
    <w:nsid w:val="59ADEA3D"/>
    <w:multiLevelType w:val="hybridMultilevel"/>
    <w:lvl w:ilvl="0">
      <w:lvlJc w:val="left"/>
      <w:lvlText w:val="(%1)"/>
      <w:numFmt w:val="lowerLetter"/>
      <w:start w:val="4"/>
    </w:lvl>
    <w:lvl w:ilvl="1">
      <w:lvlJc w:val="left"/>
      <w:lvlText w:val="%2"/>
      <w:numFmt w:val="lowerRoman"/>
      <w:start w:val="1"/>
    </w:lvl>
  </w:abstractNum>
  <w:abstractNum w:abstractNumId="94">
    <w:nsid w:val="288F1A34"/>
    <w:multiLevelType w:val="hybridMultilevel"/>
    <w:lvl w:ilvl="0">
      <w:lvlJc w:val="left"/>
      <w:lvlText w:val="(%1)"/>
      <w:numFmt w:val="lowerLetter"/>
      <w:start w:val="1"/>
    </w:lvl>
    <w:lvl w:ilvl="1">
      <w:lvlJc w:val="left"/>
      <w:lvlText w:val="(%2)"/>
      <w:numFmt w:val="lowerRoman"/>
      <w:start w:val="1"/>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2"/>
    </w:lvl>
  </w:abstractNum>
  <w:abstractNum w:abstractNumId="97">
    <w:nsid w:val="97E1B4E"/>
    <w:multiLevelType w:val="hybridMultilevel"/>
    <w:lvl w:ilvl="0">
      <w:lvlJc w:val="left"/>
      <w:lvlText w:val="(%1)"/>
      <w:numFmt w:val="lowerLetter"/>
      <w:start w:val="8"/>
    </w:lvl>
  </w:abstractNum>
  <w:abstractNum w:abstractNumId="98">
    <w:nsid w:val="51088277"/>
    <w:multiLevelType w:val="hybridMultilevel"/>
    <w:lvl w:ilvl="0">
      <w:lvlJc w:val="left"/>
      <w:lvlText w:val="(%1)"/>
      <w:numFmt w:val="lowerLetter"/>
      <w:start w:val="10"/>
    </w:lvl>
  </w:abstractNum>
  <w:abstractNum w:abstractNumId="99">
    <w:nsid w:val="1CA0C5FA"/>
    <w:multiLevelType w:val="hybridMultilevel"/>
    <w:lvl w:ilvl="0">
      <w:lvlJc w:val="left"/>
      <w:lvlText w:val="(%1)"/>
      <w:numFmt w:val="lowerLetter"/>
      <w:start w:val="11"/>
    </w:lvl>
  </w:abstractNum>
  <w:abstractNum w:abstractNumId="100">
    <w:nsid w:val="53584BCB"/>
    <w:multiLevelType w:val="hybridMultilevel"/>
    <w:lvl w:ilvl="0">
      <w:lvlJc w:val="left"/>
      <w:lvlText w:val="(%1)"/>
      <w:numFmt w:val="lowerLetter"/>
      <w:start w:val="15"/>
    </w:lvl>
  </w:abstractNum>
  <w:abstractNum w:abstractNumId="101">
    <w:nsid w:val="415E286C"/>
    <w:multiLevelType w:val="hybridMultilevel"/>
    <w:lvl w:ilvl="0">
      <w:lvlJc w:val="left"/>
      <w:lvlText w:val="%1"/>
      <w:numFmt w:val="lowerLetter"/>
      <w:start w:val="1"/>
    </w:lvl>
    <w:lvl w:ilvl="1">
      <w:lvlJc w:val="left"/>
      <w:lvlText w:val="(%2)"/>
      <w:numFmt w:val="lowerLetter"/>
      <w:start w:val="17"/>
    </w:lvl>
  </w:abstractNum>
  <w:abstractNum w:abstractNumId="102">
    <w:nsid w:val="7C58FD05"/>
    <w:multiLevelType w:val="hybridMultilevel"/>
    <w:lvl w:ilvl="0">
      <w:lvlJc w:val="left"/>
      <w:lvlText w:val="(%1)"/>
      <w:numFmt w:val="lowerLetter"/>
      <w:start w:val="35"/>
    </w:lvl>
    <w:lvl w:ilvl="1">
      <w:lvlJc w:val="left"/>
      <w:lvlText w:val="%2"/>
      <w:numFmt w:val="lowerLetter"/>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
      <w:numFmt w:val="bullet"/>
      <w:start w:val="1"/>
    </w:lvl>
  </w:abstractNum>
  <w:abstractNum w:abstractNumId="107">
    <w:nsid w:val="3C5991AA"/>
    <w:multiLevelType w:val="hybridMultilevel"/>
    <w:lvl w:ilvl="0">
      <w:lvlJc w:val="left"/>
      <w:lvlText w:val="["/>
      <w:numFmt w:val="bullet"/>
      <w:start w:val="1"/>
    </w:lvl>
  </w:abstractNum>
  <w:abstractNum w:abstractNumId="108">
    <w:nsid w:val="4BD8591A"/>
    <w:multiLevelType w:val="hybridMultilevel"/>
    <w:lvl w:ilvl="0">
      <w:lvlJc w:val="left"/>
      <w:lvlText w:val="["/>
      <w:numFmt w:val="bullet"/>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1"/>
    </w:lvl>
    <w:lvl w:ilvl="1">
      <w:lvlJc w:val="left"/>
      <w:lvlText w:val="(%2)"/>
      <w:numFmt w:val="lowerLetter"/>
      <w:start w:val="2"/>
    </w:lvl>
  </w:abstractNum>
  <w:abstractNum w:abstractNumId="111">
    <w:nsid w:val="2B0D8DBE"/>
    <w:multiLevelType w:val="hybridMultilevel"/>
    <w:lvl w:ilvl="0">
      <w:lvlJc w:val="left"/>
      <w:lvlText w:val="(%1)"/>
      <w:numFmt w:val="lowerLetter"/>
      <w:start w:val="4"/>
    </w:lvl>
    <w:lvl w:ilvl="1">
      <w:lvlJc w:val="left"/>
      <w:lvlText w:val="%2"/>
      <w:numFmt w:val="lowerLetter"/>
      <w:start w:val="1"/>
    </w:lvl>
  </w:abstractNum>
  <w:abstractNum w:abstractNumId="112">
    <w:nsid w:val="6C80EC70"/>
    <w:multiLevelType w:val="hybridMultilevel"/>
    <w:lvl w:ilvl="0">
      <w:lvlJc w:val="left"/>
      <w:lvlText w:val="(%1)"/>
      <w:numFmt w:val="lowerLetter"/>
      <w:start w:val="7"/>
    </w:lvl>
  </w:abstractNum>
  <w:abstractNum w:abstractNumId="113">
    <w:nsid w:val="379E21B5"/>
    <w:multiLevelType w:val="hybridMultilevel"/>
    <w:lvl w:ilvl="0">
      <w:lvlJc w:val="left"/>
      <w:lvlText w:val="(%1)"/>
      <w:numFmt w:val="lowerLetter"/>
      <w:start w:val="10"/>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1)"/>
      <w:numFmt w:val="lowerRoman"/>
      <w:start w:val="4"/>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2023-07-24T05:22:25Z</dcterms:created>
  <dcterms:modified xsi:type="dcterms:W3CDTF">2023-07-24T05:22:25Z</dcterms:modified>
</cp:coreProperties>
</file>