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730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73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KEVIN SCOTT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DOMINO'S PIZZA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FRANK LLOYD WRIGHT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DPZ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Gen'l Counsel, Secretary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300.16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10.103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300.16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-2184400</wp:posOffset>
            </wp:positionV>
            <wp:extent cx="29210" cy="218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award with service-based vesting criteria that shall vest one-third each year on the anniversary date of the grant date. Thus, one-third shall vest on each of March 10, 2024, March 10, 2025 and March 10, 2026. Shares are issued and delivered following each vesting tranche of the award.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to purchase common stock vest one-third each year on the anniversary date of the grant date. Thus, one-third shall vest on each of March 10, 2024, March 10, 2025 and March 10,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Joseph W. Clementz,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4390" TargetMode="External"/><Relationship Id="rId13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2023-03-14T18:34:23Z</dcterms:created>
  <dcterms:modified xsi:type="dcterms:W3CDTF">2023-03-14T18:34:23Z</dcterms:modified>
</cp:coreProperties>
</file>