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860" w:right="1600" w:hanging="3852"/>
        <w:spacing w:after="0" w:line="412" w:lineRule="auto"/>
        <w:tabs>
          <w:tab w:leader="none" w:pos="4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16, 2024</w:t>
      </w:r>
    </w:p>
    <w:p>
      <w:pPr>
        <w:spacing w:after="0" w:line="28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8"/>
                <w:szCs w:val="18"/>
                <w:color w:val="auto"/>
              </w:rPr>
            </w:pPr>
          </w:p>
        </w:tc>
        <w:tc>
          <w:tcPr>
            <w:tcW w:w="232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960" w:type="dxa"/>
            <w:vAlign w:val="bottom"/>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20" w:type="dxa"/>
            <w:vAlign w:val="bottom"/>
          </w:tcPr>
          <w:p>
            <w:pPr>
              <w:jc w:val="center"/>
              <w:ind w:left="11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5"/>
                <w:szCs w:val="15"/>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41"/>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6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17"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72"/>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03" w:lineRule="exact"/>
        <w:rPr>
          <w:sz w:val="24"/>
          <w:szCs w:val="24"/>
          <w:color w:val="auto"/>
        </w:rPr>
      </w:pPr>
    </w:p>
    <w:p>
      <w:pPr>
        <w:ind w:right="2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5" w:lineRule="exact"/>
        <w:rPr>
          <w:sz w:val="24"/>
          <w:szCs w:val="24"/>
          <w:color w:val="auto"/>
        </w:rPr>
      </w:pPr>
    </w:p>
    <w:p>
      <w:pPr>
        <w:jc w:val="both"/>
        <w:ind w:right="20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4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11, 2024, Domino’s Pizza, Inc. had 34,973,166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10"/>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12"/>
            <w:vMerge w:val="continue"/>
          </w:tcPr>
          <w:p>
            <w:pPr>
              <w:spacing w:after="0"/>
              <w:rPr>
                <w:sz w:val="14"/>
                <w:szCs w:val="14"/>
                <w:color w:val="auto"/>
              </w:rPr>
            </w:pPr>
          </w:p>
        </w:tc>
        <w:tc>
          <w:tcPr>
            <w:tcW w:w="702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79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June 16,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and two fiscal quarters ended June 16, 2024 and</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June 18, 2023</w:t>
            </w:r>
          </w:p>
        </w:tc>
        <w:tc>
          <w:tcPr>
            <w:tcW w:w="818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and two fiscal quarters ended</w:t>
            </w:r>
          </w:p>
        </w:tc>
        <w:tc>
          <w:tcPr>
            <w:tcW w:w="48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June 16, 2024 and June 18, 2023</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Two fiscal quarters ended June 16, 2024 and June 18,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40" w:type="dxa"/>
            <w:vAlign w:val="bottom"/>
            <w:tcBorders>
              <w:top w:val="single" w:sz="8" w:color="0000EE"/>
            </w:tcBorders>
            <w:gridSpan w:val="4"/>
          </w:tcPr>
          <w:p>
            <w:pPr>
              <w:spacing w:after="0"/>
              <w:rPr>
                <w:sz w:val="24"/>
                <w:szCs w:val="24"/>
                <w:color w:val="auto"/>
              </w:rPr>
            </w:pPr>
          </w:p>
        </w:tc>
        <w:tc>
          <w:tcPr>
            <w:tcW w:w="36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3"/>
          </w:tcPr>
          <w:p>
            <w:pPr>
              <w:spacing w:after="0"/>
              <w:rPr>
                <w:sz w:val="24"/>
                <w:szCs w:val="24"/>
                <w:color w:val="auto"/>
              </w:rPr>
            </w:pPr>
          </w:p>
        </w:tc>
        <w:tc>
          <w:tcPr>
            <w:tcW w:w="808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08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6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2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928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gridSpan w:val="16"/>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16, 2024</w:t>
            </w:r>
          </w:p>
        </w:tc>
        <w:tc>
          <w:tcPr>
            <w:tcW w:w="180" w:type="dxa"/>
            <w:vAlign w:val="bottom"/>
          </w:tcPr>
          <w:p>
            <w:pPr>
              <w:spacing w:after="0"/>
              <w:rPr>
                <w:sz w:val="16"/>
                <w:szCs w:val="16"/>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 (1)</w:t>
            </w: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283,699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285,961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282,809</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82,964</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106,335</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986,098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381,036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364,620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687,524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674,733</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(391,121 )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(370,368 )</w:t>
            </w: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296,403</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210,919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207,323</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147,677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134,105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573,505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1,856,006</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104,246</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172,482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507,828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547,350</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4,973,676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4,934,062</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5,239,303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5,197,916</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6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(3,916,008 )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(4,069,648 )</w:t>
            </w:r>
          </w:p>
        </w:tc>
      </w:tr>
      <w:tr>
        <w:trPr>
          <w:trHeight w:val="24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(5,475 )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r>
      <w:tr>
        <w:trPr>
          <w:trHeight w:val="20"/>
        </w:trPr>
        <w:tc>
          <w:tcPr>
            <w:tcW w:w="7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(3,891,125 )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(4,070,367 )</w:t>
            </w:r>
          </w:p>
        </w:tc>
      </w:tr>
      <w:tr>
        <w:trPr>
          <w:trHeight w:val="27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1,856,006</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-6325870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-6325870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-5065395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-3813810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-2236470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-1293495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right="220" w:firstLine="8"/>
        <w:spacing w:after="0" w:line="26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at December 31,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623"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8"/>
        </w:trPr>
        <w:tc>
          <w:tcPr>
            <w:tcW w:w="5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184,913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172,605</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147,576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139,268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298,094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272,132</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1,239,937</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140,166</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1,097,736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1,024,627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2,182,383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2,049,025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141,995</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584,646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548,548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1,170,965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1,116,827</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660,705</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619,971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1,323,482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1,258,822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437,031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858,901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790,203</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216,971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192,983</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196,103</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195,403</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406,516</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372,886</w:t>
            </w:r>
          </w:p>
        </w:tc>
        <w:tc>
          <w:tcPr>
            <w:tcW w:w="100" w:type="dxa"/>
            <w:vAlign w:val="bottom"/>
            <w:tcBorders>
              <w:top w:val="single" w:sz="8" w:color="CFF0FC"/>
            </w:tcBorders>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(14,964 )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(7,301 )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(14,964 )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(44,721 )</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(44,932 )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(90,567 )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(91,479 )</w:t>
            </w:r>
          </w:p>
        </w:tc>
      </w:tr>
      <w:tr>
        <w:trPr>
          <w:trHeight w:val="237"/>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166,999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138,044</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316,606</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271,371</w:t>
            </w:r>
          </w:p>
        </w:tc>
        <w:tc>
          <w:tcPr>
            <w:tcW w:w="100" w:type="dxa"/>
            <w:vAlign w:val="bottom"/>
            <w:tcBorders>
              <w:top w:val="single" w:sz="8" w:color="CFF0FC"/>
            </w:tcBorders>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214,150</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-2862580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-2862580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-2862580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-2228215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-2228215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-2228215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-967740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-650875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-650875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-650875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8"/>
        </w:trPr>
        <w:tc>
          <w:tcPr>
            <w:tcW w:w="38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860"/>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5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7"/>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3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840"/>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7"/>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214,150</w:t>
            </w:r>
          </w:p>
        </w:tc>
        <w:tc>
          <w:tcPr>
            <w:tcW w:w="100" w:type="dxa"/>
            <w:vAlign w:val="bottom"/>
            <w:shd w:val="clear" w:color="auto" w:fill="CFF0FC"/>
          </w:tcPr>
          <w:p>
            <w:pPr>
              <w:spacing w:after="0"/>
              <w:rPr>
                <w:sz w:val="20"/>
                <w:szCs w:val="20"/>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2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(483 )</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(1,608 )</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0"/>
                <w:szCs w:val="20"/>
                <w:color w:val="auto"/>
              </w:rPr>
            </w:pPr>
          </w:p>
        </w:tc>
      </w:tr>
      <w:tr>
        <w:trPr>
          <w:trHeight w:val="277"/>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141,495</w:t>
            </w:r>
          </w:p>
        </w:tc>
        <w:tc>
          <w:tcPr>
            <w:tcW w:w="3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110,758</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266,194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5"/>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58"/>
        </w:trPr>
        <w:tc>
          <w:tcPr>
            <w:tcW w:w="78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12"/>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11"/>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Refranchising loss</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30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(6,246 )</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(7,596 )</w:t>
            </w: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30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(20,238 )</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(31,660 )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(33,794 )</w:t>
            </w: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30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(8,122 )</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(3,391 )</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274,150</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(43,683 )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(37,980 )</w:t>
            </w: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(1,277 )</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(44,960 )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(39,191 )</w:t>
            </w:r>
          </w:p>
        </w:tc>
        <w:tc>
          <w:tcPr>
            <w:tcW w:w="0" w:type="dxa"/>
            <w:vAlign w:val="bottom"/>
          </w:tcPr>
          <w:p>
            <w:pPr>
              <w:spacing w:after="0"/>
              <w:rPr>
                <w:sz w:val="1"/>
                <w:szCs w:val="1"/>
                <w:color w:val="auto"/>
              </w:rPr>
            </w:pPr>
          </w:p>
        </w:tc>
      </w:tr>
      <w:tr>
        <w:trPr>
          <w:trHeight w:val="237"/>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(14,764 )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(27,186 )</w:t>
            </w: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(25,000 )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(120,847 )</w:t>
            </w: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30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(9,260 )</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(3,068 )</w:t>
            </w: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(53,100 )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(42,930 )</w:t>
            </w:r>
          </w:p>
        </w:tc>
        <w:tc>
          <w:tcPr>
            <w:tcW w:w="0" w:type="dxa"/>
            <w:vAlign w:val="bottom"/>
          </w:tcPr>
          <w:p>
            <w:pPr>
              <w:spacing w:after="0"/>
              <w:rPr>
                <w:sz w:val="1"/>
                <w:szCs w:val="1"/>
                <w:color w:val="auto"/>
              </w:rPr>
            </w:pPr>
          </w:p>
        </w:tc>
      </w:tr>
      <w:tr>
        <w:trPr>
          <w:trHeight w:val="23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(990 )</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157,543</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3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8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3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403,133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283,699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30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8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560,676</w:t>
            </w:r>
          </w:p>
        </w:tc>
        <w:tc>
          <w:tcPr>
            <w:tcW w:w="28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3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-4173855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-3539490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-2618105</wp:posOffset>
            </wp:positionV>
            <wp:extent cx="9398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-2618105</wp:posOffset>
            </wp:positionV>
            <wp:extent cx="939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-2279650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-1070610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-1053465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-299720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16,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31, 2023 included in the Company’s 2023 Annual Report on Form 10-K, filed with the Securities and Exchange Commission on February 26, 2024 (the “2023 Form 10-K”).</w:t>
      </w:r>
    </w:p>
    <w:p>
      <w:pPr>
        <w:spacing w:after="0" w:line="75"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fiscal quarter and two fiscal quarters ended June 16, 2024 are not necessarily indicative of the results that may be expected for the fiscal year ending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tables below summarize the financial information concerning the Company’s reportable segments for the second quarter and two fiscal quarters of 2024 and the second quarter and two fiscal quarters of 2023.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9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b w:val="1"/>
          <w:bCs w:val="1"/>
          <w:color w:val="auto"/>
        </w:rPr>
        <w:t>Fiscal Quarters Ended June 16, 2024 and June 18,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Supply</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6"/>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120" w:type="dxa"/>
            <w:vAlign w:val="bottom"/>
            <w:shd w:val="clear" w:color="auto" w:fill="CFF0FC"/>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Revenues</w:t>
            </w: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12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364,796</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(27,220 )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1,097,736</w:t>
            </w: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5"/>
              </w:rPr>
              <w:t>338,421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641,481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(25,770 )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1,024,627</w:t>
            </w:r>
          </w:p>
        </w:tc>
        <w:tc>
          <w:tcPr>
            <w:tcW w:w="100" w:type="dxa"/>
            <w:vAlign w:val="bottom"/>
            <w:shd w:val="clear" w:color="auto" w:fill="CFF0FC"/>
          </w:tcPr>
          <w:p>
            <w:pPr>
              <w:spacing w:after="0"/>
              <w:rPr>
                <w:sz w:val="21"/>
                <w:szCs w:val="2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5"/>
              </w:rPr>
              <w:t>129,482</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(26,165 )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227,400</w:t>
            </w:r>
          </w:p>
        </w:tc>
        <w:tc>
          <w:tcPr>
            <w:tcW w:w="100" w:type="dxa"/>
            <w:vAlign w:val="bottom"/>
            <w:shd w:val="clear" w:color="auto" w:fill="CFF0FC"/>
          </w:tcPr>
          <w:p>
            <w:pPr>
              <w:spacing w:after="0"/>
              <w:rPr>
                <w:sz w:val="21"/>
                <w:szCs w:val="21"/>
                <w:color w:val="auto"/>
              </w:rPr>
            </w:pPr>
          </w:p>
        </w:tc>
      </w:tr>
      <w:tr>
        <w:trPr>
          <w:trHeight w:val="234"/>
        </w:trPr>
        <w:tc>
          <w:tcPr>
            <w:tcW w:w="412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123,592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(18,865 )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223,618</w:t>
            </w:r>
          </w:p>
        </w:tc>
        <w:tc>
          <w:tcPr>
            <w:tcW w:w="100" w:type="dxa"/>
            <w:vAlign w:val="bottom"/>
          </w:tcPr>
          <w:p>
            <w:pPr>
              <w:spacing w:after="0"/>
              <w:rPr>
                <w:sz w:val="20"/>
                <w:szCs w:val="20"/>
                <w:color w:val="auto"/>
              </w:rPr>
            </w:pPr>
          </w:p>
        </w:tc>
      </w:tr>
      <w:tr>
        <w:trPr>
          <w:trHeight w:val="306"/>
        </w:trPr>
        <w:tc>
          <w:tcPr>
            <w:tcW w:w="4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1"/>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Two Fiscal Quarters Ended June 16, 2024 and June 18, 2023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1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Supply</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6"/>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3"/>
                <w:szCs w:val="13"/>
                <w:color w:val="auto"/>
              </w:rPr>
            </w:pPr>
          </w:p>
        </w:tc>
        <w:tc>
          <w:tcPr>
            <w:tcW w:w="122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120" w:type="dxa"/>
            <w:vAlign w:val="bottom"/>
            <w:shd w:val="clear" w:color="auto" w:fill="CFF0FC"/>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Revenues</w:t>
            </w: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12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718,263</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(54,932 )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2,182,383</w:t>
            </w: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5"/>
              </w:rPr>
              <w:t>668,922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1,291,605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140,166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(51,668 )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2,049,025</w:t>
            </w:r>
          </w:p>
        </w:tc>
        <w:tc>
          <w:tcPr>
            <w:tcW w:w="100" w:type="dxa"/>
            <w:vAlign w:val="bottom"/>
            <w:shd w:val="clear" w:color="auto" w:fill="CFF0FC"/>
          </w:tcPr>
          <w:p>
            <w:pPr>
              <w:spacing w:after="0"/>
              <w:rPr>
                <w:sz w:val="21"/>
                <w:szCs w:val="2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5"/>
              </w:rPr>
              <w:t>265,590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118,429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(44,339 )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469,243</w:t>
            </w:r>
          </w:p>
        </w:tc>
        <w:tc>
          <w:tcPr>
            <w:tcW w:w="100" w:type="dxa"/>
            <w:vAlign w:val="bottom"/>
            <w:shd w:val="clear" w:color="auto" w:fill="CFF0FC"/>
          </w:tcPr>
          <w:p>
            <w:pPr>
              <w:spacing w:after="0"/>
              <w:rPr>
                <w:sz w:val="21"/>
                <w:szCs w:val="21"/>
                <w:color w:val="auto"/>
              </w:rPr>
            </w:pPr>
          </w:p>
        </w:tc>
      </w:tr>
      <w:tr>
        <w:trPr>
          <w:trHeight w:val="234"/>
        </w:trPr>
        <w:tc>
          <w:tcPr>
            <w:tcW w:w="412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236,275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(34,587 )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427,233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227,400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223,618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469,243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(20,349 )</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(18,561 )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(40,218 )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(36,731 )</w:t>
            </w: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(237 )</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(10,686 )</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(9,527 )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(22,024 )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(17,065 )</w:t>
            </w:r>
          </w:p>
        </w:tc>
        <w:tc>
          <w:tcPr>
            <w:tcW w:w="0" w:type="dxa"/>
            <w:vAlign w:val="bottom"/>
          </w:tcPr>
          <w:p>
            <w:pPr>
              <w:spacing w:after="0"/>
              <w:rPr>
                <w:sz w:val="1"/>
                <w:szCs w:val="1"/>
                <w:color w:val="auto"/>
              </w:rPr>
            </w:pPr>
          </w:p>
        </w:tc>
      </w:tr>
      <w:tr>
        <w:trPr>
          <w:trHeight w:val="23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196,103</w:t>
            </w:r>
          </w:p>
        </w:tc>
        <w:tc>
          <w:tcPr>
            <w:tcW w:w="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195,403</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406,516</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(14,964 )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(7,301 )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(14,964 )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(44,721 )</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(44,932 )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(90,567 )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(91,479 )</w:t>
            </w:r>
          </w:p>
        </w:tc>
        <w:tc>
          <w:tcPr>
            <w:tcW w:w="0" w:type="dxa"/>
            <w:vAlign w:val="bottom"/>
          </w:tcPr>
          <w:p>
            <w:pPr>
              <w:spacing w:after="0"/>
              <w:rPr>
                <w:sz w:val="1"/>
                <w:szCs w:val="1"/>
                <w:color w:val="auto"/>
              </w:rPr>
            </w:pPr>
          </w:p>
        </w:tc>
      </w:tr>
      <w:tr>
        <w:trPr>
          <w:trHeight w:val="234"/>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166,999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138,044</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316,606</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271,371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-959485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-959485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8"/>
        </w:trPr>
        <w:tc>
          <w:tcPr>
            <w:tcW w:w="5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75"/>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77"/>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75"/>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72"/>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214,150</w:t>
            </w:r>
          </w:p>
        </w:tc>
        <w:tc>
          <w:tcPr>
            <w:tcW w:w="100" w:type="dxa"/>
            <w:vAlign w:val="bottom"/>
            <w:shd w:val="clear" w:color="auto" w:fill="CFF0FC"/>
          </w:tcPr>
          <w:p>
            <w:pPr>
              <w:spacing w:after="0"/>
              <w:rPr>
                <w:sz w:val="23"/>
                <w:szCs w:val="23"/>
                <w:color w:val="auto"/>
              </w:rPr>
            </w:pPr>
          </w:p>
        </w:tc>
      </w:tr>
      <w:tr>
        <w:trPr>
          <w:trHeight w:val="224"/>
        </w:trPr>
        <w:tc>
          <w:tcPr>
            <w:tcW w:w="5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34,904,786</w:t>
            </w: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35,199,067</w:t>
            </w: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34,852,548</w:t>
            </w: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35,295,346</w:t>
            </w:r>
          </w:p>
        </w:tc>
        <w:tc>
          <w:tcPr>
            <w:tcW w:w="100" w:type="dxa"/>
            <w:vAlign w:val="bottom"/>
            <w:tcBorders>
              <w:top w:val="single" w:sz="8" w:color="CFF0FC"/>
            </w:tcBorders>
          </w:tcPr>
          <w:p>
            <w:pPr>
              <w:spacing w:after="0"/>
              <w:rPr>
                <w:sz w:val="19"/>
                <w:szCs w:val="19"/>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35,224,080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35,492,423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35,199,277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35,601,335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-642620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-624840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-642620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-624840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-642620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-624840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fiscal quarters and two fiscal quarters each ended June 16, 2024 and June 18, 2023 do not include the following because the effect of including these shares would be anti-dilutive or because the performance targets for these awards had not yet been met: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8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31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8"/>
        </w:trPr>
        <w:tc>
          <w:tcPr>
            <w:tcW w:w="5160" w:type="dxa"/>
            <w:vAlign w:val="bottom"/>
          </w:tcPr>
          <w:p>
            <w:pPr>
              <w:spacing w:after="0"/>
              <w:rPr>
                <w:sz w:val="13"/>
                <w:szCs w:val="13"/>
                <w:color w:val="auto"/>
              </w:rPr>
            </w:pPr>
          </w:p>
        </w:tc>
        <w:tc>
          <w:tcPr>
            <w:tcW w:w="1240" w:type="dxa"/>
            <w:vAlign w:val="bottom"/>
            <w:tcBorders>
              <w:top w:val="single" w:sz="8" w:color="auto"/>
            </w:tcBorders>
          </w:tcPr>
          <w:p>
            <w:pPr>
              <w:jc w:val="right"/>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220" w:type="dxa"/>
            <w:vAlign w:val="bottom"/>
          </w:tcPr>
          <w:p>
            <w:pPr>
              <w:spacing w:after="0"/>
              <w:rPr>
                <w:sz w:val="13"/>
                <w:szCs w:val="13"/>
                <w:color w:val="auto"/>
              </w:rPr>
            </w:pPr>
          </w:p>
        </w:tc>
        <w:tc>
          <w:tcPr>
            <w:tcW w:w="1400" w:type="dxa"/>
            <w:vAlign w:val="bottom"/>
            <w:tcBorders>
              <w:top w:val="single" w:sz="8" w:color="auto"/>
            </w:tcBorders>
          </w:tcPr>
          <w:p>
            <w:pPr>
              <w:jc w:val="right"/>
              <w:ind w:right="362"/>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08"/>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227,276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229,156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second quarter of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24,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34,801,757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(4,004,877 )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(4,992 )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($1.51 per share)</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(53,109 )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(5,175 )</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(2,560 )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16,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34,956,623</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(3,916,008 )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(5,475 )</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two fiscal quarters of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(4,069,648 )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($3.02 per share)</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(106,063 )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(20,388 )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(9,260 )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(56,372 )</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(17,021 )</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(8,099 )</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245,532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16,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34,956,623</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(3,916,008 )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(5,475 )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60" w:type="dxa"/>
            <w:vAlign w:val="bottom"/>
          </w:tcPr>
          <w:p>
            <w:pPr>
              <w:spacing w:after="0"/>
              <w:rPr>
                <w:sz w:val="24"/>
                <w:szCs w:val="24"/>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-950595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-950595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-950595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-950595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960" w:gutter="0" w:footer="0" w:header="0"/>
        </w:sectPr>
      </w:pPr>
    </w:p>
    <w:bookmarkStart w:id="8" w:name="page9"/>
    <w:bookmarkEnd w:id="8"/>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second quarter of 2024, on July 16, 2024, the Company’s Board of Directors declared a $1.51 per share quarterly dividend on its outstanding common stock for shareholders of record as of September 13, 2024 to be paid on September 30, 2024.</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second quarter of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26,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35,330,133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(4,148,455 )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(5,145 )</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($1.21 per share)</w:t>
            </w: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(42,645 )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(4,596 )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(1,515 )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(292,030 )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(6,824 )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(84,800 )</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18,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35,057,585</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(4,166,520 )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6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two fiscal quarters of 2023.</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35,419,718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(4,194,418 )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(4,694 )</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($2.42 per share)</w:t>
            </w: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(85,650 )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(9,669 )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(3,068 )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(392,545 )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(21,371 )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(100,602 )</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18,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35,057,585</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(4,166,520 )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-2716530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-2716530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-2716530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-2716530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Leverage Ratio</w:t>
      </w:r>
    </w:p>
    <w:p>
      <w:pPr>
        <w:spacing w:after="0" w:line="11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accordance with the Company’s debt agreements, the payment of principal on the outstanding senior notes may be suspended if the Holdco Leverage Ratio is less than or equal to 5.0x total debt to adjusted EBITDA, as defined in the related agreements, and no catch-up provisions are applicable. As of the end of the first and second quarters of 2024, the Company had a Holdco Leverage Ratio of less than 5.0x, and accordingly, did not make the previously scheduled debt amortization payments for its outstanding notes beginning in the second quarter of 2024. Accordingly, all principal amounts of the Company’s outstanding notes have been classified as long-term debt in the condensed consolidated balance sheet as of June 16,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6. Fair Value Measurements</w:t>
      </w:r>
    </w:p>
    <w:p>
      <w:pPr>
        <w:spacing w:after="0" w:line="11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June 16, 2024, the fair value of the Company’s investment in 18,101,019 DPC Dash ordinary shares is based on the active exchange quoted price for the equity security of HK$58.80 per share (HK: 1405).</w:t>
      </w:r>
    </w:p>
    <w:p>
      <w:pPr>
        <w:spacing w:after="0" w:line="75"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8"/>
          <w:szCs w:val="18"/>
          <w:color w:val="auto"/>
        </w:rPr>
        <w:t>The Company recorded a positive adjustment of $11.4 million in the second quarter of 2024 and a negative adjustment of $7.3 million in the two fiscal quarters of 2024 to the carrying amount of its investment in DPC Dash. These amounts were recorded in other income (expense) in the Company’s condensed consolidated statements of income. The Company recorded a negative adjustment to the carrying amount of its investment in DPC Dash of $15.0 million in the second quarter of 2023 and did not record any adjustments to the carrying amount of its investment in the first quarter of 2023.</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June 16, 2024 and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At June 16, 2024</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40" w:type="dxa"/>
            <w:vAlign w:val="bottom"/>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231,511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231,511</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132,579</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136,252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136,252</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40" w:type="dxa"/>
            <w:vAlign w:val="bottom"/>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16, 2024</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727,902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727,632</w:t>
            </w:r>
          </w:p>
        </w:tc>
        <w:tc>
          <w:tcPr>
            <w:tcW w:w="100" w:type="dxa"/>
            <w:vAlign w:val="bottom"/>
            <w:shd w:val="clear" w:color="auto" w:fill="CFF0FC"/>
          </w:tcPr>
          <w:p>
            <w:pPr>
              <w:spacing w:after="0"/>
              <w:rPr>
                <w:sz w:val="20"/>
                <w:szCs w:val="20"/>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895,375</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365,180</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649,688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591,865</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730,958</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840,240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830,700</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June 16, 2024 or December 31, 2023.</w:t>
      </w:r>
    </w:p>
    <w:p>
      <w:pPr>
        <w:spacing w:after="0" w:line="225" w:lineRule="exact"/>
        <w:rPr>
          <w:sz w:val="20"/>
          <w:szCs w:val="20"/>
          <w:color w:val="auto"/>
        </w:rPr>
      </w:pPr>
    </w:p>
    <w:p>
      <w:pPr>
        <w:jc w:val="right"/>
        <w:ind w:left="300" w:right="9540" w:hanging="292"/>
        <w:spacing w:after="0" w:line="414" w:lineRule="auto"/>
        <w:tabs>
          <w:tab w:leader="none" w:pos="1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$5.3 million were included in current other accrued liabilities as of both June 16, 2024 and December 31, 2023. Deferred franchise fees and deferred development fees of $18.9 million and $19.9 million were included in long-term other accrued liabilities as of June 16, 2024 and December 31, 2023, respectively.</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two fiscal quarters of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8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80" w:type="dxa"/>
            <w:vAlign w:val="bottom"/>
          </w:tcPr>
          <w:p>
            <w:pPr>
              <w:spacing w:after="0"/>
              <w:rPr>
                <w:sz w:val="16"/>
                <w:szCs w:val="16"/>
                <w:color w:val="auto"/>
              </w:rPr>
            </w:pP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1020" w:type="dxa"/>
            <w:vAlign w:val="bottom"/>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25,195</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28,225</w:t>
            </w: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10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(2,737 )</w:t>
            </w:r>
          </w:p>
        </w:tc>
        <w:tc>
          <w:tcPr>
            <w:tcW w:w="10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(2,716 )</w:t>
            </w: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10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24,227</w:t>
            </w: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26,909</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As of June 16, 2024, advertising fund assets, restricted of $99.8 million consisted of $80.0 million of cash and cash equivalents, $10.9 million of accounts receivable and $8.9 million of prepaid expenses. As of June 16, 2024, advertising fund cash and cash equivalents included $2.0 million of cash contributed from U.S. Company-owned stores that had not yet been expended.</w:t>
      </w:r>
    </w:p>
    <w:p>
      <w:pPr>
        <w:spacing w:after="0" w:line="81"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2023, advertising fund assets, restricted of $106.3 million consisted of $88.2 million of cash and cash equivalents, $14.0 million of accounts receivable and $4.1 million of prepaid expenses. As of December 31, 2023, advertising fund cash and cash equivalents included $2.1 million of cash contributed from U.S. Company-owned stores that had not yet been expended.</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Change in Advertising Fund Contributions and Technology Fees</w:t>
      </w:r>
    </w:p>
    <w:p>
      <w:pPr>
        <w:spacing w:after="0" w:line="117"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As previously announced, as of March 27, 2023, Domino's National Advertising Fund Inc., the Company’s consolidated not-for-profit advertising subsidiary, effectuated a temporary reduction of 0.25% to its standard 6.0% advertising contribution rate. This temporary reduction expired at the beginning of the second quarter of 2024 and the advertising contribution rate returned to its standard 6.0% as of March 25, 2024.</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Additionally, as of March 25, 2024, the Company decreased the U.S. digital per-transaction technology fees that are recognized as the related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retail sales occur by $0.04 to $0.355.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180" w:firstLine="255"/>
        <w:spacing w:after="0" w:line="254"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 Rent expense totaled $21.0 million and $42.2 million in the second quarter and two fiscal quarters of 2024, respectively. Rent expense totaled $19.7 million and $39.0 million in the second quarter and two fiscal quarters of 2023,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$1.9 million and $3.9 million in the second quarter and two fiscal quarters of 2024, respectively. Rent expense for certain short-term supply chain center tractor and trailer rentals was $1.3 million and $2.7 million in the second quarter and two fiscal quarters of 2023, respectively. Variable rent expense and rent expense for other short-term leases were immaterial in each of the second quarter and two fiscal quarters of 2024 and 2023.</w:t>
      </w:r>
    </w:p>
    <w:p>
      <w:pPr>
        <w:spacing w:after="0" w:line="8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cost for the second quarter and two fiscal quarters of 2024 and the second quarter and two fiscal quarters 2023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8"/>
        </w:trPr>
        <w:tc>
          <w:tcPr>
            <w:tcW w:w="4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8"/>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8"/>
              <w:spacing w:after="0" w:line="158" w:lineRule="exact"/>
              <w:rPr>
                <w:sz w:val="20"/>
                <w:szCs w:val="20"/>
                <w:color w:val="auto"/>
              </w:rPr>
            </w:pPr>
            <w:r>
              <w:rPr>
                <w:rFonts w:ascii="Times New Roman" w:cs="Times New Roman" w:eastAsia="Times New Roman" w:hAnsi="Times New Roman"/>
                <w:sz w:val="14"/>
                <w:szCs w:val="14"/>
                <w:b w:val="1"/>
                <w:bCs w:val="1"/>
                <w:color w:val="auto"/>
              </w:rPr>
              <w:t>June 16,</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4"/>
                <w:szCs w:val="14"/>
                <w:b w:val="1"/>
                <w:bCs w:val="1"/>
                <w:color w:val="auto"/>
              </w:rPr>
              <w:t>June 18,</w:t>
            </w:r>
          </w:p>
        </w:tc>
        <w:tc>
          <w:tcPr>
            <w:tcW w:w="100" w:type="dxa"/>
            <w:vAlign w:val="bottom"/>
          </w:tcPr>
          <w:p>
            <w:pPr>
              <w:spacing w:after="0"/>
              <w:rPr>
                <w:sz w:val="13"/>
                <w:szCs w:val="13"/>
                <w:color w:val="auto"/>
              </w:rPr>
            </w:pPr>
          </w:p>
        </w:tc>
      </w:tr>
      <w:tr>
        <w:trPr>
          <w:trHeight w:val="187"/>
        </w:trPr>
        <w:tc>
          <w:tcPr>
            <w:tcW w:w="4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100" w:type="dxa"/>
            <w:vAlign w:val="bottom"/>
            <w:shd w:val="clear" w:color="auto" w:fill="CFF0FC"/>
          </w:tcPr>
          <w:p>
            <w:pPr>
              <w:spacing w:after="0"/>
              <w:rPr>
                <w:sz w:val="20"/>
                <w:szCs w:val="20"/>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FF0FC"/>
          </w:tcPr>
          <w:p>
            <w:pPr>
              <w:spacing w:after="0"/>
              <w:rPr>
                <w:sz w:val="21"/>
                <w:szCs w:val="2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0"/>
                <w:szCs w:val="20"/>
                <w:color w:val="auto"/>
              </w:rPr>
            </w:pPr>
          </w:p>
        </w:tc>
      </w:tr>
      <w:tr>
        <w:trPr>
          <w:trHeight w:val="276"/>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two fiscal quarters of 2024 and the two fiscal quarters of 2023 was as follows:</w:t>
      </w:r>
    </w:p>
    <w:p>
      <w:pPr>
        <w:spacing w:after="0" w:line="12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16510</wp:posOffset>
            </wp:positionV>
            <wp:extent cx="2177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14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16,</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18,</w:t>
            </w:r>
          </w:p>
        </w:tc>
      </w:tr>
      <w:tr>
        <w:trPr>
          <w:trHeight w:val="226"/>
        </w:trPr>
        <w:tc>
          <w:tcPr>
            <w:tcW w:w="7700" w:type="dxa"/>
            <w:vAlign w:val="bottom"/>
          </w:tcPr>
          <w:p>
            <w:pPr>
              <w:spacing w:after="0"/>
              <w:rPr>
                <w:sz w:val="19"/>
                <w:szCs w:val="19"/>
                <w:color w:val="auto"/>
              </w:rPr>
            </w:pPr>
          </w:p>
        </w:tc>
        <w:tc>
          <w:tcPr>
            <w:tcW w:w="11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26,469</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As of June 16, 2024, the Company had additional leases for certain supply chain real estate and certain supply chain vehicles that had not yet commenced with estimated future minimum rental commitments of $154.8 million. These leases are expected to commence in 2024 and 2025 with lease terms of up to 20 years. These undiscounted amounts will be included in the Company’s condensed consolidated balance sheet at the respective commencement dates.</w:t>
      </w:r>
    </w:p>
    <w:p>
      <w:pPr>
        <w:spacing w:after="0" w:line="7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$15.6 million and $18.5 million as of June 16, 2024 and December 31, 2023, respectively. The Company does not believe these arrangements have or are likely to have a material effect on its results of operations, financial condition, revenues, expenses or liquidity.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ind w:right="560" w:firstLine="255"/>
        <w:spacing w:after="0" w:line="266"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$8.8 million at June 16, 2024 and $6.7 million at December 31, 2023. The Company also had $2.7 million and $2.6 million in non-cash financing activity related to accruals for excise taxes on share repurchases as of June 16, 2024 and December 31,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3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the Company refranchised one U.S. Company-owned store for proceeds of less than $0.1 million each. The pre-tax refranchising losses associated with the sale of the related assets and liabilities, including goodwill, were approximately $0.1 million each and were recorded in refranchising loss in the Company’s condensed consolidated statements of income.</w:t>
      </w:r>
    </w:p>
    <w:p>
      <w:pPr>
        <w:spacing w:after="0" w:line="81"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New Accounting Pronouncements</w:t>
      </w:r>
    </w:p>
    <w:p>
      <w:pPr>
        <w:spacing w:after="0" w:line="117"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Standards Update (“ASU”) 2020-04, Segment Reporting (Topic 280): Improvements to Reportable Segment Disclosures</w:t>
      </w:r>
    </w:p>
    <w:p>
      <w:pPr>
        <w:spacing w:after="0" w:line="131"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disclosure on an annual and interim basis, of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name and title of the chief operating decision maker.</w:t>
      </w:r>
    </w:p>
    <w:p>
      <w:pPr>
        <w:spacing w:after="0" w:line="77"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ASU 2023-07 is effective for fiscal years beginning after December 15, 2023, and interim periods within fiscal years beginning after December 15, 2024, and early adoption is permitted. The Company is currently evaluating the impact of this accounting standard on its consolidated financial statements.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3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which requires disclosure on an annual basis, of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77"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ASU 2023-09 is effective for fiscal years beginning after December 15, 2024, and early adoption is permitted. The Company is currently evaluating the impact of this accounting standard on its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9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2024 and 2023 second quarters referenced herein represent the twelve-week periods ended June 16, 2024 and June 18, 2023, respectively. The 2024 and 2023 two fiscal quarters referenced herein represent the twenty-four-week periods ended June 16, 2024 and June 18, 2023, respectively. In this section, we discuss the results of our operations for the second quarter and two fiscal quarters of 2024 as compared to the second quarter and two fiscal quarters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firstLine="281"/>
        <w:spacing w:after="0" w:line="274" w:lineRule="auto"/>
        <w:rPr>
          <w:sz w:val="20"/>
          <w:szCs w:val="20"/>
          <w:color w:val="auto"/>
        </w:rPr>
      </w:pPr>
      <w:r>
        <w:rPr>
          <w:rFonts w:ascii="Times New Roman" w:cs="Times New Roman" w:eastAsia="Times New Roman" w:hAnsi="Times New Roman"/>
          <w:sz w:val="17"/>
          <w:szCs w:val="17"/>
          <w:color w:val="auto"/>
        </w:rPr>
        <w:t>Domino’s is the largest pizza company in the world, with more than 20,900 locations in over 90 markets around the world as of June 16, 2024,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78" w:lineRule="exact"/>
        <w:rPr>
          <w:sz w:val="20"/>
          <w:szCs w:val="20"/>
          <w:color w:val="auto"/>
        </w:rPr>
      </w:pPr>
    </w:p>
    <w:p>
      <w:pPr>
        <w:ind w:right="10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June 16, 2024.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60" w:firstLine="281"/>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1" w:lineRule="exact"/>
        <w:rPr>
          <w:sz w:val="20"/>
          <w:szCs w:val="20"/>
          <w:color w:val="auto"/>
        </w:rPr>
      </w:pPr>
    </w:p>
    <w:p>
      <w:pPr>
        <w:ind w:right="100" w:firstLine="281"/>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7" w:lineRule="exact"/>
        <w:rPr>
          <w:sz w:val="20"/>
          <w:szCs w:val="20"/>
          <w:color w:val="auto"/>
        </w:rPr>
      </w:pPr>
    </w:p>
    <w:p>
      <w:pPr>
        <w:ind w:right="14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monitor both of these metrics very closely,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2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In 2023, we announced our Hungry for MORE strategy aimed at generating MORE sales, MORE stores and MORE profits. The strategic imperatives of our Hungry for MORE strategy are as follows:</w:t>
      </w:r>
    </w:p>
    <w:p>
      <w:pPr>
        <w:spacing w:after="0" w:line="79" w:lineRule="exact"/>
        <w:rPr>
          <w:sz w:val="20"/>
          <w:szCs w:val="20"/>
          <w:color w:val="auto"/>
        </w:rPr>
      </w:pPr>
    </w:p>
    <w:p>
      <w:pPr>
        <w:ind w:left="26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Second Quarter of 2024 Highlights</w:t>
      </w:r>
    </w:p>
    <w:p>
      <w:pPr>
        <w:spacing w:after="0" w:line="229" w:lineRule="exact"/>
        <w:rPr>
          <w:sz w:val="20"/>
          <w:szCs w:val="20"/>
          <w:color w:val="auto"/>
        </w:rPr>
      </w:pPr>
    </w:p>
    <w:p>
      <w:pPr>
        <w:ind w:left="760" w:right="140" w:hanging="378"/>
        <w:spacing w:after="0" w:line="25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7.2% as compared to the second quarter of 2023. U.S. retail sales increased 6.8% and international retail sales, excluding foreign currency impact, increased 7.7% as compared to the second quarter of 2023. Same store sales increased 4.8% in our U.S. stores and increased 2.1%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175.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Fiscal Quarters of 2024 Highlights</w:t>
      </w:r>
    </w:p>
    <w:p>
      <w:pPr>
        <w:spacing w:after="0" w:line="229" w:lineRule="exact"/>
        <w:rPr>
          <w:sz w:val="20"/>
          <w:szCs w:val="20"/>
          <w:color w:val="auto"/>
        </w:rPr>
      </w:pPr>
    </w:p>
    <w:p>
      <w:pPr>
        <w:ind w:left="760" w:right="180" w:hanging="378"/>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7.3% as compared to the two fiscal quarters of 2023. U.S. retail sales increased 7.3% and international retail sales, excluding foreign currency impact, increased 7.2% as compared to the two fiscal quarters of 2023. Same store sales increased 5.2% in our U.S. stores and increased 1.5%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339.</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9.0%.</w:t>
      </w:r>
    </w:p>
    <w:p>
      <w:pPr>
        <w:spacing w:after="0" w:line="20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the second quarter and two fiscal quarters of 2024, driven by same store sales growth and net store growth in both our U.S. and international businesses. These factors also contributed to an increase in income from operations. In the second quarter, these increases in income from operations were partially offset by higher general and administrative expenses primarily driven by higher labor costs as well as expenses for our Worldwide Rally that takes place every two years. Overall, we believe our global retail sales growth (excluding foreign currency impact), emphasis on technology, operations and marketing initiatives have combined to strengthen our brand. These financial and statistical measures are described in additional detail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22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Two Fiscal</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retail sales:</w:t>
            </w:r>
          </w:p>
        </w:tc>
        <w:tc>
          <w:tcPr>
            <w:tcW w:w="23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2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stores</w:t>
            </w:r>
          </w:p>
        </w:tc>
        <w:tc>
          <w:tcPr>
            <w:tcW w:w="2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4,428.2</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560" w:type="dxa"/>
            <w:vAlign w:val="bottom"/>
          </w:tcPr>
          <w:p>
            <w:pPr>
              <w:spacing w:after="0"/>
              <w:rPr>
                <w:sz w:val="24"/>
                <w:szCs w:val="24"/>
                <w:color w:val="auto"/>
              </w:rPr>
            </w:pPr>
          </w:p>
        </w:tc>
        <w:tc>
          <w:tcPr>
            <w:tcW w:w="2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-933450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-933450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29" w:lineRule="exact"/>
        <w:rPr>
          <w:sz w:val="20"/>
          <w:szCs w:val="20"/>
          <w:color w:val="auto"/>
        </w:rPr>
      </w:pPr>
    </w:p>
    <w:p>
      <w:pPr>
        <w:jc w:val="both"/>
        <w:ind w:right="28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3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1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5640" w:type="dxa"/>
            <w:vAlign w:val="bottom"/>
          </w:tcPr>
          <w:p>
            <w:pPr>
              <w:spacing w:after="0"/>
              <w:rPr>
                <w:sz w:val="16"/>
                <w:szCs w:val="16"/>
                <w:color w:val="auto"/>
              </w:rPr>
            </w:pPr>
          </w:p>
        </w:tc>
        <w:tc>
          <w:tcPr>
            <w:tcW w:w="13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International stores (excluding foreign currency impact) </w:t>
            </w:r>
            <w:r>
              <w:rPr>
                <w:rFonts w:ascii="Times New Roman" w:cs="Times New Roman" w:eastAsia="Times New Roman" w:hAnsi="Times New Roman"/>
                <w:sz w:val="24"/>
                <w:szCs w:val="24"/>
                <w:color w:val="auto"/>
                <w:vertAlign w:val="superscript"/>
              </w:rPr>
              <w:t>(1)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+ 7.7%</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+ 10.1%</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+ 7.2%</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+ 8.3%</w:t>
            </w: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(excluding foreign currency impact) </w:t>
            </w:r>
            <w:r>
              <w:rPr>
                <w:rFonts w:ascii="Times New Roman" w:cs="Times New Roman" w:eastAsia="Times New Roman" w:hAnsi="Times New Roman"/>
                <w:sz w:val="24"/>
                <w:szCs w:val="24"/>
                <w:color w:val="auto"/>
                <w:vertAlign w:val="superscript"/>
              </w:rPr>
              <w:t>(2)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+ 5.8%</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right="380" w:hanging="459"/>
        <w:spacing w:after="0" w:line="261" w:lineRule="auto"/>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second quarter and two fiscal quarters figures each exclude the impact of the Russia market. Including the impact of the Russia market, international stores retail sales growth, excluding foreign currency impact, was 7.2% and 6.7% for the second quarter and two fiscal quarters of 2024, respectively.</w:t>
      </w:r>
    </w:p>
    <w:p>
      <w:pPr>
        <w:spacing w:after="0" w:line="68" w:lineRule="exact"/>
        <w:rPr>
          <w:rFonts w:ascii="Times New Roman" w:cs="Times New Roman" w:eastAsia="Times New Roman" w:hAnsi="Times New Roman"/>
          <w:sz w:val="14"/>
          <w:szCs w:val="14"/>
          <w:color w:val="auto"/>
        </w:rPr>
      </w:pPr>
    </w:p>
    <w:p>
      <w:pPr>
        <w:ind w:left="480" w:right="240" w:hanging="459"/>
        <w:spacing w:after="0" w:line="261" w:lineRule="auto"/>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second quarter and two fiscal quarters figures each exclude the impact of the Russia market. Including the impact of the Russia market, total global retail sales growth, excluding foreign currency impact, was 7.0% for each of the second quarter and two fiscal quarters of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stores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w:t>
            </w: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w:t>
            </w: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-316865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-316865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-316865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U.S. same store sales increased 4.8% in the second quarter of 2024, rolling over an increase in U.S. same store sales of 0.1% in the second quarter of 2023. U.S. same store sales increased 5.2% in the two fiscal quarters of 2024, rolling over an increase in U.S. same store sales of 1.8% in the two fiscal quarters of 2023. The increases in U.S. same store sales in the second quarter and two fiscal quarters of 2024 were primarily driven by higher customer transaction counts in both our delivery and carryout businesses, driven by our Domino’s Rewards loyalty program and other national offers. International same store sales (excluding foreign currency impact) increased 2.1% in the second quarter of 2024, rolling over an increase in international same store sales (excluding foreign currency impact) of 3.6% in the second quarter of 2023. International same store sales (excluding foreign currency impact) increased</w:t>
      </w:r>
    </w:p>
    <w:p>
      <w:pPr>
        <w:spacing w:after="0" w:line="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1.5% in the two fiscal quarters of 2024, rolling over an increase in international same store sales (excluding foreign currency impact) of 2.3% in the two fiscal quarters of 2023. The increase in international same store sales (excluding foreign currency impact) in the second quarter of 2024 was primarily attributable to higher customer transaction counts across our international markets, while the increase in international same store sales (excluding foreign currency impact) in the two fiscal quarters of 2024 was attributable to a higher average ticket per transaction across our international markets.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29"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 As previously announced, the remaining 143 net stores in Russia were reflected as closed in the third quarter of 2023 and are reflected as closures in the trailing four quarters ended June 16,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gridSpan w:val="2"/>
            <w:vMerge w:val="continue"/>
          </w:tcPr>
          <w:p>
            <w:pPr>
              <w:spacing w:after="0"/>
              <w:rPr>
                <w:sz w:val="12"/>
                <w:szCs w:val="12"/>
                <w:color w:val="auto"/>
              </w:rPr>
            </w:pPr>
          </w:p>
        </w:tc>
        <w:tc>
          <w:tcPr>
            <w:tcW w:w="15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0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March 24, 2024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June 16, 2024</w:t>
            </w:r>
          </w:p>
        </w:tc>
        <w:tc>
          <w:tcPr>
            <w:tcW w:w="106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2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20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 2024 net store growth</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Trailing four quarters net store growth</w:t>
            </w:r>
          </w:p>
        </w:tc>
        <w:tc>
          <w:tcPr>
            <w:tcW w:w="106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-385445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-368300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-385445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-368300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-385445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-368300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-385445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-368300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-25400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Market</w:t>
      </w:r>
    </w:p>
    <w:p>
      <w:pPr>
        <w:spacing w:after="0" w:line="22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On August 21, 2023, our master franchisee that owned and operated Domino’s Pizza stores in Russia announced its intent to file for bankruptcy with respect to the stores in that market. Therefore, as of August 21, 2023, we have considered the stores in the Russia market to be closed and they are excluded from our ending store count as of the end of the third quarter of 2023. We have presented our statistical measure of global retail sales growth, excluding foreign currency impact, for the second quarter and two fiscal quarters of 2024 excluding the impact of the retail sales from the Russia market. We believe the impact of the Russia market on our statistical measure of global retail sales growth, excluding foreign currency impact, for the second quarter and two fiscal quarters of 2023 was immaterial and prior amounts have not been adjusted to conform to the current year presentation. We believe the impact of the Russia market on our statistical measure of same store sales growth for the periods presented was immaterial, and we also believe the impact of the Russia market on our consolidated statements of income related to international franchise royalties and fee revenues and general and administrative expenses for the second quarter and two fiscal quarters of 2023 was immaterial.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40" w:type="dxa"/>
            <w:vAlign w:val="bottom"/>
          </w:tcPr>
          <w:p>
            <w:pPr>
              <w:spacing w:after="0"/>
              <w:rPr>
                <w:sz w:val="13"/>
                <w:szCs w:val="13"/>
                <w:color w:val="auto"/>
              </w:rPr>
            </w:pPr>
          </w:p>
        </w:tc>
        <w:tc>
          <w:tcPr>
            <w:tcW w:w="17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Company-owned stores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franchise royalties and fees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Supply chain</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International franchise royalties and fees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franchise advertising</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1,097.7</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98"/>
              </w:rPr>
              <w:t>100.0 %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2,049.0</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Company-owned stores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Supply chain</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1,171.0</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1,116.8</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cost of sales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60.2 %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60.5 %</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60.6 %</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39.8 %</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39.5 %</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39.4 %</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10.5 %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9.5 %</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U.S. franchise advertising</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11.4 %</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Refranchising loss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17.9 %</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19.1 %</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18.6 %</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(15.0 )</w:t>
            </w:r>
          </w:p>
        </w:tc>
        <w:tc>
          <w:tcPr>
            <w:tcW w:w="2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(7.3 )</w:t>
            </w:r>
          </w:p>
        </w:tc>
        <w:tc>
          <w:tcPr>
            <w:tcW w:w="2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(0.3 )%</w:t>
            </w: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(15.0 )</w:t>
            </w:r>
          </w:p>
        </w:tc>
        <w:tc>
          <w:tcPr>
            <w:tcW w:w="3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(40.5 )</w:t>
            </w:r>
          </w:p>
        </w:tc>
        <w:tc>
          <w:tcPr>
            <w:tcW w:w="36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(3.7 )%</w:t>
            </w:r>
          </w:p>
        </w:tc>
        <w:tc>
          <w:tcPr>
            <w:tcW w:w="1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(42.4 )</w:t>
            </w:r>
          </w:p>
        </w:tc>
        <w:tc>
          <w:tcPr>
            <w:tcW w:w="2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(82.6 )</w:t>
            </w:r>
          </w:p>
        </w:tc>
        <w:tc>
          <w:tcPr>
            <w:tcW w:w="2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(3.8 )%</w:t>
            </w: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(86.6 )</w:t>
            </w:r>
          </w:p>
        </w:tc>
        <w:tc>
          <w:tcPr>
            <w:tcW w:w="3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15.2 %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13.5 %</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14.5 %</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2.3 %</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12.9 %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12.3 %</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-599440</wp:posOffset>
            </wp:positionV>
            <wp:extent cx="7054850"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-1182370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-1182370</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-1182370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-1182370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-1182370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-1182370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-1182370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-1182370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-719455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-719455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-719455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-719455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-719455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-719455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-719455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-719455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7"/>
        </w:trPr>
        <w:tc>
          <w:tcPr>
            <w:tcW w:w="3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2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Consolidated revenues increased $73.1 million, or 7.1%, in the second quarter of 2024 as compared to the second quarter of 2023. Consolidated revenues increased $133.4 million, or 6.5%, in the two fiscal quarters of 2024 as compared to the two fiscal quarters of 2023. The increases in consolidated revenues in both the second quarter and two fiscal quarters of 2024 were primarily driven by higher supply chain and U.S. stores revenues. These changes in revenues are described in more detail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0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8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25.3 %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25.7 %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40.4 %</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41.5 %</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34.3 %</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32.9 %</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32.8 %</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Company-owned Stores</w:t>
      </w:r>
    </w:p>
    <w:p>
      <w:pPr>
        <w:spacing w:after="0" w:line="133"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Revenues from U.S. Company-owned store operations increased $4.6 million, or 5.2%, in the second quarter of 2024, and increased $12.3 million, or 7.1%, in the two fiscal quarters of 2024 primarily due to higher same store sales.</w:t>
      </w:r>
    </w:p>
    <w:p>
      <w:pPr>
        <w:spacing w:after="0" w:line="67"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U.S. Company-owned same store sales increased 4.5% in the second quarter of 2024 and increased 5.5% in the second quarter of 2023. U.S. Company-owned same store sales increased 6.5% in the two fiscal quarters of 2024 and increased 6.4% in the two fiscal quarters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Royalties and Fees</w:t>
      </w:r>
    </w:p>
    <w:p>
      <w:pPr>
        <w:spacing w:after="0" w:line="133"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Revenues from U.S. franchise royalties and fees increased $8.3 million, or 6.0%, in the second quarter of 2024 primarily due to higher same store sales and net store growth. Additionally, U.S. franchise royalties and fees benefited from an increase in digital transactions which resulted in an increase in fees paid by our franchisees for the use of our technology platforms, but this increase was offset by a $0.04 decrease in the digital per transaction technology fee to $0.355 effectuated as of March 25, 2024. Revenues from U.S. franchise royalties and fees increased $26.0 million, or 9.5%, in the two fiscal quarters of 2024 primarily due to higher same store sales and an increase in fees paid by U.S. franchisees for the use of our technology platforms, as well as net store growth.</w:t>
      </w:r>
    </w:p>
    <w:p>
      <w:pPr>
        <w:spacing w:after="0" w:line="93"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U.S. franchise same store sales increased 4.8% in the second quarter of 2024 and declined 0.1% in the second quarter of 2023. U.S. franchise same store sales increased 5.2% in the two fiscal quarters of 2024 and increased 1.6% in the two fiscal quarters of 2023.</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7"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U.S. Franchise Advertising</w:t>
      </w:r>
    </w:p>
    <w:p>
      <w:pPr>
        <w:spacing w:after="0" w:line="133" w:lineRule="exact"/>
        <w:rPr>
          <w:sz w:val="20"/>
          <w:szCs w:val="20"/>
          <w:color w:val="auto"/>
        </w:rPr>
      </w:pPr>
    </w:p>
    <w:p>
      <w:pPr>
        <w:ind w:right="40" w:firstLine="284"/>
        <w:spacing w:after="0" w:line="261" w:lineRule="auto"/>
        <w:rPr>
          <w:sz w:val="20"/>
          <w:szCs w:val="20"/>
          <w:color w:val="auto"/>
        </w:rPr>
      </w:pPr>
      <w:r>
        <w:rPr>
          <w:rFonts w:ascii="Times New Roman" w:cs="Times New Roman" w:eastAsia="Times New Roman" w:hAnsi="Times New Roman"/>
          <w:sz w:val="18"/>
          <w:szCs w:val="18"/>
          <w:color w:val="auto"/>
        </w:rPr>
        <w:t>Revenues from U.S. franchise advertising increased $13.5 million, or 12.1%, in the second quarter of 2024 primarily due to higher same store sales, the return to the standard 6.0% advertising contribution rate at the beginning of the second quarter of 2024 following the end of the temporary reduction to</w:t>
      </w:r>
    </w:p>
    <w:p>
      <w:pPr>
        <w:ind w:right="120"/>
        <w:spacing w:after="0" w:line="310" w:lineRule="auto"/>
        <w:rPr>
          <w:sz w:val="20"/>
          <w:szCs w:val="20"/>
          <w:color w:val="auto"/>
        </w:rPr>
      </w:pPr>
      <w:r>
        <w:rPr>
          <w:rFonts w:ascii="Times New Roman" w:cs="Times New Roman" w:eastAsia="Times New Roman" w:hAnsi="Times New Roman"/>
          <w:sz w:val="17"/>
          <w:szCs w:val="17"/>
          <w:color w:val="auto"/>
        </w:rPr>
        <w:t>5.75% which began in the second quarter of 2023, and net store growth. Revenues from U.S. franchise advertising increased $11.1 million, or 4.9%, in the two fiscal quarters of 2024 primarily due to higher same store sales and net store growth. An increase in advertising incentives related to our Emergency Pizza promotion in the first quarter of 2024 partially offset the increase in U.S. franchise advertising revenue in the two fiscal quarters of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35"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Supply chain revenues increased $43.5 million, or 7.1%, in the second quarter of 2024 primarily due to higher order volumes, as well as an increase in our food basket pricing to stores, but was partially offset by a shift in the relative mix of products we sell. Our food basket pricing to stores increased 0.7% in the second quarter of 2024, which resulted in an estimated $3 million increase in supply chain revenues. Supply chain revenues increased $78.5 million, or 6.3%, in the two fiscal quarters of 2024 primarily due to higher order volumes, but was partially offset by a shift in the relative mix of products we sell and a decrease in our food basket pricing to stores. Our food basket pricing to stores decreased 0.6% in the two fiscal quarters of 2024, which resulted in an estimated $9 million decrease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Royalties and Fee Revenues</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$3.2 million, or 4.5%, in the second quarter of 2024, and increased $5.5 million, or 3.9%, in the two fiscal quarters of 2024 primarily due to an increase in the average number of international franchised stores open during the period resulting from net store growth as well as same store sales growth (excluding foreign currency impact), but was partially offset by the negative impact of changes in foreign currency exchange rates of approximately $2.7 million in the second quarter of 2024 and $4.1 million in the two fiscal quarters of 2024.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4"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International franchise same store sales increased 2.1% in the second quarter of 2024, and increased 3.6% in the second quarter of 2023, each excluding the impact of foreign currency exchange rates. International franchise same store sales increased 1.5% in the two fiscal quarters of 2024, and increased 2.3% in the two fiscal quarters of 2023, each excluding the impact of foreign currency exchange rates.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 /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39.5 %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39.4 %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$32.3 million, or 8.0%, in the second quarter of 2024, and increased $68.7 million, or 8.7%, in the two fiscal quarters of 2024 primarily due to higher global franchise royalty revenues, as well as gross margin dollar growth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8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As a percentage of revenues, the consolidated gross margin increased 0.3 and 0.8 percentage points in the second quarter and two fiscal quarters of 2024, respectively. U.S. Company-owned store gross margin decreased 1.0 percentage point in the second quarter of 2024, and decreased 0.2 percentage points in the two fiscal quarters of 2024. Supply chain gross margin increased 0.4 and 1.3 percentage points in the second quarter and two fiscal quarters of 2024, respectively. These changes in gross margin are described in more detail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Company-Owned Store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7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4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92.3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100.0 %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76.1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82.4 %</w:t>
            </w:r>
          </w:p>
        </w:tc>
        <w:tc>
          <w:tcPr>
            <w:tcW w:w="20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81.4 %</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82.5 %</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8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17.6 %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$0.1 million, or 0.4%, in the second quarter of 2024, and increased $1.8 million, or 5.8%, in the two fiscal quarters of 2024. As a percentage of store revenues, U.S. Company-owned store gross margin decreased 1.0 percentage point in the second quarter of 2024, and decreased 0.2 percentage points in the two fiscal quarters of 2024. These changes in gross margin as a percentage of revenues are discussed in additional detail below.</w:t>
      </w:r>
    </w:p>
    <w:p>
      <w:pPr>
        <w:spacing w:after="0" w:line="72" w:lineRule="exact"/>
        <w:rPr>
          <w:sz w:val="20"/>
          <w:szCs w:val="20"/>
          <w:color w:val="auto"/>
        </w:rPr>
      </w:pPr>
    </w:p>
    <w:p>
      <w:pPr>
        <w:ind w:left="940" w:right="140" w:hanging="303"/>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0.2 percentage points to 28.5% in the second quarter of 2024 as a result of store level productivity. Food costs decreased 0.4 percentage points to 28.6% in the two fiscal quarters of 2024 due to the decrease in the cost of our food basket.</w:t>
      </w:r>
    </w:p>
    <w:p>
      <w:pPr>
        <w:spacing w:after="0" w:line="53" w:lineRule="exact"/>
        <w:rPr>
          <w:rFonts w:ascii="Times New Roman" w:cs="Times New Roman" w:eastAsia="Times New Roman" w:hAnsi="Times New Roman"/>
          <w:sz w:val="18"/>
          <w:szCs w:val="18"/>
          <w:color w:val="auto"/>
        </w:rPr>
      </w:pPr>
    </w:p>
    <w:p>
      <w:pPr>
        <w:ind w:left="940" w:right="320" w:hanging="303"/>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0.2 percentage points to 30.9% in the second quarter of 2024 and increased 0.4 percentage points to 31.4% in the two fiscal quarters of 2024 due to higher wage rates in our U.S. Company-owned stores.</w:t>
      </w:r>
    </w:p>
    <w:p>
      <w:pPr>
        <w:spacing w:after="0" w:line="5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costs contributed to the remaining decrease in U.S. Company-owned store gross margin as a percentage of revenues.</w:t>
      </w:r>
    </w:p>
    <w:p>
      <w:pPr>
        <w:spacing w:after="0" w:line="117"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leverage driven by higher customer transaction counts partially offset the decreases in U.S. Company-owned store gross margin as a</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percentage of revenues described above.</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Gross Margin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78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88.7 %</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1,116.8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Supply chain gross margin increased $7.4 million, or 11.1%, in the second quarter of 2024, and increased $24.3 million, or 19.8%, in the two fiscal quarters of 2024. As a percentage of supply chain revenues, the supply chain gross margin increased 0.4 percentage points in the second quarter of 2024, and increased 1.3 percentage points in the two fiscal quarters of 2024. The increase in supply chain gross margin as a percentage of revenues in the second quarter of 2024 was primarily due to procurement productivity, partially offset by investments in supply chain labor. The increase in supply chain gross margin as a percentage of revenue in the two fiscal quarters of 2024 was primarily due to lower food costs resulting from procurement productivity and a decrease in the cost of our food basket.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121"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$18.2 million, or 18.6%, in the second quarter of 2024, and increased $24.0 million, or 12.4%, in the two fiscal quarters of 2024. These increases were primarily driven by higher labor costs as well as expenses for our Worldwide Rally that takes place every two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Franchise Advertising Expenses</w:t>
      </w:r>
    </w:p>
    <w:p>
      <w:pPr>
        <w:spacing w:after="0" w:line="135" w:lineRule="exact"/>
        <w:rPr>
          <w:sz w:val="20"/>
          <w:szCs w:val="20"/>
          <w:color w:val="auto"/>
        </w:rPr>
      </w:pPr>
    </w:p>
    <w:p>
      <w:pPr>
        <w:ind w:right="100" w:firstLine="255"/>
        <w:spacing w:after="0" w:line="271" w:lineRule="auto"/>
        <w:rPr>
          <w:sz w:val="20"/>
          <w:szCs w:val="20"/>
          <w:color w:val="auto"/>
        </w:rPr>
      </w:pPr>
      <w:r>
        <w:rPr>
          <w:rFonts w:ascii="Times New Roman" w:cs="Times New Roman" w:eastAsia="Times New Roman" w:hAnsi="Times New Roman"/>
          <w:sz w:val="18"/>
          <w:szCs w:val="18"/>
          <w:color w:val="auto"/>
        </w:rPr>
        <w:t>U.S. franchise advertising expenses increased $13.5 million, or 12.1%, in the second quarter of 2024, and increased $11.1 million, or 4.9%, in the two fiscal quarters of 2024 consistent with the increases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Refranchising Loss</w:t>
      </w:r>
    </w:p>
    <w:p>
      <w:pPr>
        <w:spacing w:after="0" w:line="135" w:lineRule="exact"/>
        <w:rPr>
          <w:sz w:val="20"/>
          <w:szCs w:val="20"/>
          <w:color w:val="auto"/>
        </w:rPr>
      </w:pPr>
    </w:p>
    <w:p>
      <w:pPr>
        <w:jc w:val="both"/>
        <w:ind w:right="120" w:firstLine="284"/>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we refranchised one U.S. Company-owned store, for proceeds of less than $0.1 million each. The pre-tax refranchising losses associated with the sale of the related assets and liabilities, including goodwill, were approximately $0.1 million each and were recorded in refranchising loss in our condensed consolidated statements of income.</w:t>
      </w:r>
    </w:p>
    <w:p>
      <w:pPr>
        <w:spacing w:after="0" w:line="81" w:lineRule="exact"/>
        <w:rPr>
          <w:sz w:val="20"/>
          <w:szCs w:val="20"/>
          <w:color w:val="auto"/>
        </w:rPr>
      </w:pPr>
    </w:p>
    <w:p>
      <w:pPr>
        <w:ind w:right="140" w:firstLine="284"/>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we refranchised one U.S. Company-owned store, for proceeds of less than $0.1 million. The pre-tax refranchising loss associated with the sale of the related assets and liabilities, including goodwill, was approximately $0.1 million and was recorded in refranchising loss in our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w:t>
      </w:r>
    </w:p>
    <w:p>
      <w:pPr>
        <w:spacing w:after="0" w:line="135" w:lineRule="exact"/>
        <w:rPr>
          <w:sz w:val="20"/>
          <w:szCs w:val="20"/>
          <w:color w:val="auto"/>
        </w:rPr>
      </w:pPr>
    </w:p>
    <w:p>
      <w:pPr>
        <w:ind w:right="500" w:firstLine="255"/>
        <w:spacing w:after="0" w:line="271" w:lineRule="auto"/>
        <w:rPr>
          <w:sz w:val="20"/>
          <w:szCs w:val="20"/>
          <w:color w:val="auto"/>
        </w:rPr>
      </w:pPr>
      <w:r>
        <w:rPr>
          <w:rFonts w:ascii="Times New Roman" w:cs="Times New Roman" w:eastAsia="Times New Roman" w:hAnsi="Times New Roman"/>
          <w:sz w:val="18"/>
          <w:szCs w:val="18"/>
          <w:color w:val="auto"/>
        </w:rPr>
        <w:t>During the second quarter of 2024, we recorded an $11.4 million unrealized gain on our investment in DPC Dash (Note 6). During the two fiscal quarters of 2024, we recorded a $7.3 million unrealized loss on our investment in DPC Dash. During the second quarter of 2023, we recorded a $15.0 million unrealized loss on our investment in DPC Dash. We did not record any adjustments to the carrying amount in the first quarter of 2023. These unrealized gains and losses were based on the active exchange quoted price for the equity security.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48"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Interest expense, net, decreased $1.9 million, or 4.5%, in the second quarter of 2024, and decreased $3.9 million or 4.6%, in the two fiscal quarters of 2024, each driven by higher interest income on our cash equivalents.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was 3.8% in each of the second quarter and two fiscal quarters of 2024 and 2023.</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7"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121"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$3.6 million, or 12.7%, in the second quarter of 2024 due to a lower effective tax rate, partially offset by higher income before provision for income taxes. The effective tax rate decreased to 15.0% in the second quarter of 2024 as compared to 20.8% in the second quarter of 2023, driven by a 7.0 percentage point change in the impact of excess tax benefits from equity-based compensation, which are recorded as a reduction to the provision for income taxes.</w:t>
      </w:r>
    </w:p>
    <w:p>
      <w:pPr>
        <w:spacing w:after="0" w:line="72"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$8.4 million, or 14.7%, in the two fiscal quarters of 2024 due to a lower effective tax rate, partially offset by higher income before provision for income taxes. The effective tax rate decreased to 15.4% in the two fiscal quarters of 2024 as compared to 21.1% in the two fiscal quarters of 2023, driven by a 6.3 percentage point change in the impact of excess tax benefits from equity-based compensation, which are recorded as a reduction to the provision for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Income</w:t>
      </w:r>
    </w:p>
    <w:p>
      <w:pPr>
        <w:spacing w:after="0" w:line="121" w:lineRule="exact"/>
        <w:rPr>
          <w:sz w:val="20"/>
          <w:szCs w:val="20"/>
          <w:color w:val="auto"/>
        </w:rPr>
      </w:pPr>
    </w:p>
    <w:p>
      <w:pPr>
        <w:ind w:right="500" w:firstLine="255"/>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4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(26.2 )</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w:t>
      </w:r>
    </w:p>
    <w:p>
      <w:pPr>
        <w:spacing w:after="0" w:line="12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U.S. stores Segment Income increased $5.9 million, or 4.8%, in the second quarter of 2024 primarily due to higher U.S. franchise royalties and fees revenues, as discussed above. U.S. stores Segment Income increased $29.3 million, or 12.4%, in the two fiscal quarters of 2024 primarily due to higher U.S. franchise royalties and fees revenues, as well as the $1.8 million increase in U.S. Company-owned store gross margin, each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 These increases were partially offset by expenses for our Worldwide Rally that takes place every two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Supply chain Segment Income increased $5.0 million, or 8.3%, in the second quarter of 2024 primarily due to the $7.4 million increase in supply chain gross margin, as discussed above. Supply chain Segment Income increased $21.0 million, or 19.4%, in the two fiscal quarters of 2024 primarily due to the $24.3 million increase in supply chain gross margin,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w:t>
      </w:r>
    </w:p>
    <w:p>
      <w:pPr>
        <w:spacing w:after="0" w:line="12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International franchise Segment Income increased $0.2 million, or 0.3%, in the second quarter of 2024, and increased $1.4 million, or 1.2%, in the two fiscal quarters of 2024 primarily due to higher international franchise royalties and fees revenues, as discussed above. International franchise revenues do not have a cost of sales component, so changes in these revenues have a disproportionate effect on international franchise Segment Income. These increases were partially offset by expenses for our Worldwide Rally that takes place every two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Other Segment Income decreased $7.3 million, or 38.6%, in the second quarter of 2024, and decreased $9.7 million, or 28.0%, in the two fiscal quarters of 2024. These decreases were primarily driven by higher labor costs.</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281"/>
        <w:spacing w:after="0" w:line="256"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June 16, 2024, we had working capital of $279.2 million, excluding restricted cash and cash equivalents of $197.0 million, advertising fund assets, restricted, of $99.8 million and advertising fund liabilities of $97.8 million. Working capital includes total unrestricted cash and cash equivalents of $283.7 million.</w:t>
      </w:r>
    </w:p>
    <w:p>
      <w:pPr>
        <w:spacing w:after="0" w:line="93" w:lineRule="exact"/>
        <w:rPr>
          <w:sz w:val="20"/>
          <w:szCs w:val="20"/>
          <w:color w:val="auto"/>
        </w:rPr>
      </w:pPr>
    </w:p>
    <w:p>
      <w:pPr>
        <w:ind w:right="60" w:firstLine="281"/>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2022 and 2021 Variable Funding Notes (as defined below). During the second quarter and two fiscal quarters of 2024, we experienced an increase in both U.S. and international same store sales (excluding foreign currency impact) versus the comparable periods in the prior year. Additionally, both our U.S. and international businesses grew store counts during the second quarter and two fiscal quarters of 2024.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June 16, 2024, we had no outstanding borrowings and $278.9 million of available borrowing capacity under our 2022 and 2021 Variable Funding Notes, net of letters of credit issued of $41.1 million.</w:t>
      </w:r>
    </w:p>
    <w:p>
      <w:pPr>
        <w:spacing w:after="0" w:line="100" w:lineRule="exact"/>
        <w:rPr>
          <w:sz w:val="20"/>
          <w:szCs w:val="20"/>
          <w:color w:val="auto"/>
        </w:rPr>
      </w:pPr>
    </w:p>
    <w:p>
      <w:pPr>
        <w:ind w:right="120" w:firstLine="281"/>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2023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As of June 16, 2024, we had $145.9 million of restricted cash held for future principal and interest payments and other working capital requirements of our asset-backed securitization structure, $50.9 million of restricted cash held in a three-month interest reserve as required by the related debt agreements and $0.2 million of other restricted cash for a total of $197.0 million of restricted cash and cash equivalents. As of June 16, 2024, we also held $80.0 million of advertising fund restricted cash and cash equivalents, which can only be used for activities that promote the Domino’s brand.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As of June 16, 2024, we had approximately $4.98 billion of long-term debt, of which $4.9 million was classified as a current liability. As of June 16, 2024, our fixed rate notes from the recapitalizations we completed in 2021, 2019, 2018, 2017 and 2015 had original scheduled principal payments of $38.6 million in the remainder of 2024, $1.17 billion in 2025, $39.3 million in 2026, $1.31 billion in 2027, $811.5 million in 2028, $625.9 million in 2029, $10.0 million in 2030 and $905.0 million in 2031. However, in accordance with our debt agreements, the payment of principal on our outstanding senior notes may be suspended if our Holdco Leverage Ratio is less than or equal to 5.0x total debt to adjusted EBITDA, as defined in the related agreements, and no catch-up provisions are applicable. As of the end of the first and second quarters of 2024, we had a Holdco Leverage Ratio of less than 5.0x, and accordingly, did not make the previously scheduled debt amortization payments on our outstanding notes beginning in the second quarter of 2024. Accordingly, all principal amounts of our outstanding notes have been classified as long-term debt in our condensed consolidated balance sheet as of June 16, 2024.</w:t>
      </w:r>
    </w:p>
    <w:p>
      <w:pPr>
        <w:spacing w:after="0" w:line="94" w:lineRule="exact"/>
        <w:rPr>
          <w:sz w:val="20"/>
          <w:szCs w:val="20"/>
          <w:color w:val="auto"/>
        </w:rPr>
      </w:pPr>
    </w:p>
    <w:p>
      <w:pPr>
        <w:ind w:right="40" w:firstLine="281"/>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60" w:firstLine="284"/>
        <w:spacing w:after="0" w:line="261"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2022 and 2021 Variable Funding Notes. On February 21, 2024, our Board of Directors authorized an additional share repurchase program to repurchase up to $1.0 billion of our common stock, in addition to the $141.3 million that was previously remaining for a total authorization of $1.14 billion for future share repurchases as of that date.</w:t>
      </w:r>
    </w:p>
    <w:p>
      <w:pPr>
        <w:spacing w:after="0" w:line="72" w:lineRule="exact"/>
        <w:rPr>
          <w:sz w:val="20"/>
          <w:szCs w:val="20"/>
          <w:color w:val="auto"/>
        </w:rPr>
      </w:pPr>
    </w:p>
    <w:p>
      <w:pPr>
        <w:jc w:val="both"/>
        <w:ind w:right="200" w:firstLine="284"/>
        <w:spacing w:after="0" w:line="266" w:lineRule="auto"/>
        <w:rPr>
          <w:sz w:val="20"/>
          <w:szCs w:val="20"/>
          <w:color w:val="auto"/>
        </w:rPr>
      </w:pPr>
      <w:r>
        <w:rPr>
          <w:rFonts w:ascii="Times New Roman" w:cs="Times New Roman" w:eastAsia="Times New Roman" w:hAnsi="Times New Roman"/>
          <w:sz w:val="18"/>
          <w:szCs w:val="18"/>
          <w:color w:val="auto"/>
        </w:rPr>
        <w:t>During the two fiscal quarters of 2024, we repurchased and retired 56,372 shares of our common stock under our Board of Directors-approved share repurchase program for a total of approximately $25.0 million. As of June 16, 2024, we had a total remaining authorized amount for share repurchases of approximately $1.12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On April 25, 2024, our Board of Directors declared a $1.51 per share quarterly dividend on our outstanding common stock for shareholders of record as of June 14, 2024, which was paid on June 28, 2024. We had approximately $54.5 million accrued for common stock dividends at June 16, 2024. Subsequent to the end of the second quarter, on July 16, 2024, our Board of Directors declared a $1.51 per share quarterly dividend on our outstanding common stock for shareholders of record as of September 13, 2024, to be paid on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220" w:type="dxa"/>
            <w:vAlign w:val="bottom"/>
          </w:tcPr>
          <w:p>
            <w:pPr>
              <w:spacing w:after="0"/>
              <w:rPr>
                <w:sz w:val="13"/>
                <w:szCs w:val="13"/>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87"/>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6"/>
                <w:szCs w:val="16"/>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6"/>
        </w:trPr>
        <w:tc>
          <w:tcPr>
            <w:tcW w:w="6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(45.0 )</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(39.2 )</w:t>
            </w: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(70.7 )</w:t>
            </w:r>
          </w:p>
        </w:tc>
        <w:tc>
          <w:tcPr>
            <w:tcW w:w="2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(193.0 )</w:t>
            </w: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1"/>
                <w:szCs w:val="21"/>
                <w:color w:val="auto"/>
              </w:rPr>
            </w:pPr>
          </w:p>
        </w:tc>
      </w:tr>
      <w:tr>
        <w:trPr>
          <w:trHeight w:val="236"/>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20" w:firstLine="281"/>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increased $31.9 million in the two fiscal quarters of 2024, as a result of higher net income, excluding non-cash operating activities, partially offset by the negative impact of changes in operating assets and liabilities and advertising fund assets and liabilities, restricted. Net income increased $53.7 million and non-cash adjustments increased $0.9 million, resulting in an overall increase to cash provided by operating activities in the two fiscal quarters of 2024 as compared to the two fiscal quarters of 2023 of $54.6 million. The negative impact of changes in operating assets and liabilities of $18.0 million primarily related to payments on income taxes, accrued liabilities and inventory in the two fiscal quarters of 2024 as compared to the two fiscal quarters of 2023. Additionally, the $4.7 million negative impact of changes in advertising fund assets and liabilities, restricted, in the two fiscal quarters of 2024 as compared to the two fiscal quarters of 2023 was a result of payments for advertising activities outpacing receipts for advertising contributions.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28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$45.0 million in the two fiscal quarters of 2024, which primarily consisted of $43.7 million of capital expenditures (driven primarily by investments in technological initiatives, supply chain centers and corporate store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240" w:firstLine="28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$70.7 million in the two fiscal quarters of 2024, which included dividend payments of $53.1 million, the repurchase of approximately $25.0 million in common stock under our Board of Directors-approved share repurchase program, repayments of long-term debt and finance lease obligations of $14.8 million and tax payments for the vesting of restricted stock of $9.3 million. These uses of cash were partially offset by proceeds from the exercise of stock options of $31.5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284"/>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2023 Form 10-K. The Company considers its most significant accounting policies and estimates to be long-lived assets, casualty insurance reserves and income taxes. There have been no material changes to the Company’s critical accounting estimates since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2023 Form 10-K for the fiscal year ended December 31, 2023.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the additional risks our international operations subject us to;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other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right="100" w:firstLine="284"/>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June 16, 2024, we are exposed to interest rate risk on borrowings under our variable funding notes. As of June 16, 2024, we had no outstanding borrowings under our 2022 and 2021 Variable Funding Notes.</w:t>
      </w:r>
    </w:p>
    <w:p>
      <w:pPr>
        <w:spacing w:after="0" w:line="85" w:lineRule="exact"/>
        <w:rPr>
          <w:sz w:val="20"/>
          <w:szCs w:val="20"/>
          <w:color w:val="auto"/>
        </w:rPr>
      </w:pPr>
    </w:p>
    <w:p>
      <w:pPr>
        <w:ind w:right="100" w:firstLine="284"/>
        <w:spacing w:after="0" w:line="261"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firstLine="284"/>
        <w:spacing w:after="0" w:line="282"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67" w:lineRule="exact"/>
        <w:rPr>
          <w:sz w:val="20"/>
          <w:szCs w:val="20"/>
          <w:color w:val="auto"/>
        </w:rPr>
      </w:pPr>
    </w:p>
    <w:p>
      <w:pPr>
        <w:ind w:right="120" w:firstLine="284"/>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cardboard and paper products that are affected by changes in commodity prices and, as a result, we are subject to volatility in our product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firstLine="284"/>
        <w:spacing w:after="0" w:line="255"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6.7% of our total revenues in both the second quarter of 2024 and the two fiscal quarters of 2024, approximately 6.9% of our total revenues in the second quarter of 2023, and approximately 6.8% of our total revenues in the two fiscal quarters of 2023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$12.9 million in the two fiscal quarters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8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quarterly period ended June 16, 2024, there were no changes in the Company’s internal control over financial reporting as defined in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that have materially affected or are reasonably likely to materially affect the Company’s internal control over financial reporting.</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176" w:lineRule="exact"/>
        <w:rPr>
          <w:sz w:val="20"/>
          <w:szCs w:val="20"/>
          <w:color w:val="auto"/>
        </w:rPr>
      </w:pPr>
    </w:p>
    <w:p>
      <w:pPr>
        <w:ind w:right="80" w:firstLine="281"/>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400" w:type="dxa"/>
            <w:vAlign w:val="bottom"/>
          </w:tcPr>
          <w:p>
            <w:pPr>
              <w:spacing w:after="0"/>
              <w:rPr>
                <w:sz w:val="15"/>
                <w:szCs w:val="15"/>
                <w:color w:val="auto"/>
              </w:rPr>
            </w:pPr>
          </w:p>
        </w:tc>
        <w:tc>
          <w:tcPr>
            <w:tcW w:w="18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87"/>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18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5"/>
        </w:trPr>
        <w:tc>
          <w:tcPr>
            <w:tcW w:w="250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Period #4 (March 25, 2024</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April 21, 2024)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40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#5 (April 22, 2024</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May 19, 2024)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523.37</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#6 (May 20, 2024</w:t>
            </w:r>
          </w:p>
        </w:tc>
        <w:tc>
          <w:tcPr>
            <w:tcW w:w="160" w:type="dxa"/>
            <w:vAlign w:val="bottom"/>
            <w:vMerge w:val="restart"/>
            <w:shd w:val="clear" w:color="auto" w:fill="CFF0FC"/>
          </w:tcPr>
          <w:p>
            <w:pPr>
              <w:spacing w:after="0"/>
              <w:rPr>
                <w:sz w:val="18"/>
                <w:szCs w:val="18"/>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4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June 16, 2024)</w:t>
            </w: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56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514.19</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-187960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-187960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4" w:lineRule="exact"/>
        <w:rPr>
          <w:sz w:val="20"/>
          <w:szCs w:val="20"/>
          <w:color w:val="auto"/>
        </w:rPr>
      </w:pPr>
    </w:p>
    <w:p>
      <w:pPr>
        <w:ind w:left="480" w:hanging="459"/>
        <w:spacing w:after="0"/>
        <w:tabs>
          <w:tab w:leader="none" w:pos="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3,119 shares in the second quarter of 2024 were purchased as part of the Company’s employee stock payroll deduction plan at an average price of $514.19.</w:t>
      </w:r>
    </w:p>
    <w:p>
      <w:pPr>
        <w:spacing w:after="0" w:line="165" w:lineRule="exact"/>
        <w:rPr>
          <w:rFonts w:ascii="Times New Roman" w:cs="Times New Roman" w:eastAsia="Times New Roman" w:hAnsi="Times New Roman"/>
          <w:sz w:val="15"/>
          <w:szCs w:val="15"/>
          <w:color w:val="auto"/>
        </w:rPr>
      </w:pPr>
    </w:p>
    <w:p>
      <w:pPr>
        <w:jc w:val="both"/>
        <w:ind w:left="480" w:right="40" w:hanging="459"/>
        <w:spacing w:after="0" w:line="243" w:lineRule="auto"/>
        <w:tabs>
          <w:tab w:leader="none" w:pos="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 as of that date. As of June 16, 2024, $1.12 billion remained available for future purchases of the Company’s common stock under this share repurchase program.</w:t>
      </w:r>
    </w:p>
    <w:p>
      <w:pPr>
        <w:spacing w:after="0" w:line="137" w:lineRule="exact"/>
        <w:rPr>
          <w:rFonts w:ascii="Times New Roman" w:cs="Times New Roman" w:eastAsia="Times New Roman" w:hAnsi="Times New Roman"/>
          <w:sz w:val="15"/>
          <w:szCs w:val="15"/>
          <w:color w:val="auto"/>
        </w:rPr>
      </w:pPr>
    </w:p>
    <w:p>
      <w:pPr>
        <w:ind w:left="480" w:right="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80" w:firstLine="281"/>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162" w:lineRule="exact"/>
        <w:rPr>
          <w:sz w:val="20"/>
          <w:szCs w:val="20"/>
          <w:color w:val="auto"/>
        </w:rPr>
      </w:pPr>
    </w:p>
    <w:p>
      <w:pPr>
        <w:ind w:right="180" w:firstLine="281"/>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16, 2024, the following Section 16 officer adopted a “Rule 10b5-1 trading arrangement” (as defined in Item 408 under Regulation S-K of the Exchange Act):</w:t>
      </w:r>
    </w:p>
    <w:p>
      <w:pPr>
        <w:spacing w:after="0" w:line="162" w:lineRule="exact"/>
        <w:rPr>
          <w:sz w:val="20"/>
          <w:szCs w:val="20"/>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Kelly E. Garcia, our Executive Vice President, Chief Technology Officer, adopted a new Rule 10b5-1 trading arrangement on June 7, 2024. The plan’s maximum duration is until August 29, 2025, and first trades will not occur until September 6, 2024 at the earliest. The trading plan, which is subject to certain conditions, is intended to permit Mr. Garcia to exercise and sell from time to time (i) a tranche of 1,950 stock options set to expire on July 20, 2026 and (ii) a tranche of 4,870 stock options set to expire on November 7, 2026.</w:t>
      </w:r>
    </w:p>
    <w:p>
      <w:pPr>
        <w:spacing w:after="0" w:line="180" w:lineRule="exact"/>
        <w:rPr>
          <w:sz w:val="20"/>
          <w:szCs w:val="20"/>
          <w:color w:val="auto"/>
        </w:rPr>
      </w:pPr>
    </w:p>
    <w:p>
      <w:pPr>
        <w:ind w:right="20" w:firstLine="281"/>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 described above was adopted and precleared in accordance with Domino’s Insider Trading Policy and actual sale transactions made pursuant to such trading arrangement will be disclosed publicly in future Section 16 filings with the SEC.</w:t>
      </w:r>
    </w:p>
    <w:p>
      <w:pPr>
        <w:spacing w:after="0" w:line="162" w:lineRule="exact"/>
        <w:rPr>
          <w:sz w:val="20"/>
          <w:szCs w:val="20"/>
          <w:color w:val="auto"/>
        </w:rPr>
      </w:pPr>
    </w:p>
    <w:p>
      <w:pPr>
        <w:ind w:right="120" w:firstLine="281"/>
        <w:spacing w:after="0" w:line="282"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6"/>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relating to Domino’s Pizza, Inc.</w:t>
            </w:r>
          </w:p>
        </w:tc>
        <w:tc>
          <w:tcPr>
            <w:tcW w:w="6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1350, Chapter 63 of Title 18, United States Code, as adopted pursuant to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54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c>
          <w:tcPr>
            <w:tcW w:w="1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160" w:type="dxa"/>
            <w:vAlign w:val="bottom"/>
          </w:tcPr>
          <w:p>
            <w:pPr>
              <w:spacing w:after="0"/>
              <w:rPr>
                <w:sz w:val="20"/>
                <w:szCs w:val="20"/>
                <w:color w:val="auto"/>
              </w:rPr>
            </w:pPr>
          </w:p>
        </w:tc>
      </w:tr>
      <w:tr>
        <w:trPr>
          <w:trHeight w:val="46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July 18, 2024</w:t>
            </w:r>
          </w:p>
        </w:tc>
        <w:tc>
          <w:tcPr>
            <w:tcW w:w="22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Reddy</w:t>
            </w:r>
          </w:p>
        </w:tc>
        <w:tc>
          <w:tcPr>
            <w:tcW w:w="160" w:type="dxa"/>
            <w:vAlign w:val="bottom"/>
          </w:tcPr>
          <w:p>
            <w:pPr>
              <w:spacing w:after="0"/>
              <w:rPr>
                <w:sz w:val="24"/>
                <w:szCs w:val="24"/>
                <w:color w:val="auto"/>
              </w:rPr>
            </w:pPr>
          </w:p>
        </w:tc>
      </w:tr>
      <w:tr>
        <w:trPr>
          <w:trHeight w:val="211"/>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 w:type="dxa"/>
            <w:vAlign w:val="bottom"/>
          </w:tcPr>
          <w:p>
            <w:pPr>
              <w:spacing w:after="0"/>
              <w:rPr>
                <w:sz w:val="20"/>
                <w:szCs w:val="20"/>
                <w:color w:val="auto"/>
              </w:rPr>
            </w:pPr>
          </w:p>
        </w:tc>
      </w:tr>
      <w:tr>
        <w:trPr>
          <w:trHeight w:val="446"/>
        </w:trPr>
        <w:tc>
          <w:tcPr>
            <w:tcW w:w="3560" w:type="dxa"/>
            <w:vAlign w:val="bottom"/>
          </w:tcPr>
          <w:p>
            <w:pPr>
              <w:spacing w:after="0"/>
              <w:rPr>
                <w:sz w:val="24"/>
                <w:szCs w:val="24"/>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18, 2024</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2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59"/>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18, 2024</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2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30"/>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June 16, 2024,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260" w:hanging="378"/>
        <w:spacing w:after="0" w:line="258" w:lineRule="auto"/>
        <w:tabs>
          <w:tab w:leader="none" w:pos="7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20" w:hanging="378"/>
        <w:spacing w:after="0" w:line="258" w:lineRule="auto"/>
        <w:tabs>
          <w:tab w:leader="none" w:pos="7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-158750</wp:posOffset>
            </wp:positionV>
            <wp:extent cx="3351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18,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June 16, 2024,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26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2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-158750</wp:posOffset>
            </wp:positionV>
            <wp:extent cx="33515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18,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2024-07-18T05:21:26Z</dcterms:created>
  <dcterms:modified xsi:type="dcterms:W3CDTF">2024-07-18T05:21:26Z</dcterms:modified>
</cp:coreProperties>
</file>