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(Mark One)</w:t>
      </w: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4980" w:type="dxa"/>
            <w:vAlign w:val="bottom"/>
          </w:tcPr>
          <w:p>
            <w:pPr>
              <w:jc w:val="center"/>
              <w:ind w:right="1735"/>
              <w:spacing w:after="0"/>
              <w:rPr>
                <w:sz w:val="20"/>
                <w:szCs w:val="20"/>
                <w:color w:val="auto"/>
              </w:rPr>
            </w:pPr>
            <w:r>
              <w:rPr>
                <w:rFonts w:ascii="Times New Roman" w:cs="Times New Roman" w:eastAsia="Times New Roman" w:hAnsi="Times New Roman"/>
                <w:sz w:val="18"/>
                <w:szCs w:val="18"/>
                <w:b w:val="1"/>
                <w:bCs w:val="1"/>
                <w:color w:val="auto"/>
              </w:rPr>
              <w:t>Commission File Number 001-32242</w:t>
            </w:r>
          </w:p>
        </w:tc>
      </w:tr>
      <w:tr>
        <w:trPr>
          <w:trHeight w:val="341"/>
        </w:trPr>
        <w:tc>
          <w:tcPr>
            <w:tcW w:w="2360" w:type="dxa"/>
            <w:vAlign w:val="bottom"/>
          </w:tcPr>
          <w:p>
            <w:pPr>
              <w:spacing w:after="0"/>
              <w:rPr>
                <w:sz w:val="24"/>
                <w:szCs w:val="24"/>
                <w:color w:val="auto"/>
              </w:rPr>
            </w:pPr>
          </w:p>
        </w:tc>
        <w:tc>
          <w:tcPr>
            <w:tcW w:w="4980" w:type="dxa"/>
            <w:vAlign w:val="bottom"/>
          </w:tcPr>
          <w:p>
            <w:pPr>
              <w:jc w:val="center"/>
              <w:ind w:right="1735"/>
              <w:spacing w:after="0"/>
              <w:rPr>
                <w:sz w:val="20"/>
                <w:szCs w:val="20"/>
                <w:color w:val="auto"/>
              </w:rPr>
            </w:pPr>
            <w:r>
              <w:rPr>
                <w:rFonts w:ascii="Times New Roman" w:cs="Times New Roman" w:eastAsia="Times New Roman" w:hAnsi="Times New Roman"/>
                <w:sz w:val="25"/>
                <w:szCs w:val="25"/>
                <w:b w:val="1"/>
                <w:bCs w:val="1"/>
                <w:color w:val="auto"/>
              </w:rPr>
              <w:t>Domino’s Pizza, Inc.</w:t>
            </w:r>
          </w:p>
        </w:tc>
      </w:tr>
      <w:tr>
        <w:trPr>
          <w:trHeight w:val="186"/>
        </w:trPr>
        <w:tc>
          <w:tcPr>
            <w:tcW w:w="2360" w:type="dxa"/>
            <w:vAlign w:val="bottom"/>
          </w:tcPr>
          <w:p>
            <w:pPr>
              <w:spacing w:after="0"/>
              <w:rPr>
                <w:sz w:val="16"/>
                <w:szCs w:val="16"/>
                <w:color w:val="auto"/>
              </w:rPr>
            </w:pPr>
          </w:p>
        </w:tc>
        <w:tc>
          <w:tcPr>
            <w:tcW w:w="4980" w:type="dxa"/>
            <w:vAlign w:val="bottom"/>
          </w:tcPr>
          <w:p>
            <w:pPr>
              <w:jc w:val="center"/>
              <w:ind w:right="173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59"/>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9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tcPr>
          <w:p>
            <w:pPr>
              <w:jc w:val="center"/>
              <w:ind w:left="383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62"/>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80" w:type="dxa"/>
            <w:vAlign w:val="bottom"/>
          </w:tcPr>
          <w:p>
            <w:pPr>
              <w:jc w:val="center"/>
              <w:ind w:left="3835"/>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4980" w:type="dxa"/>
            <w:vAlign w:val="bottom"/>
          </w:tcPr>
          <w:p>
            <w:pPr>
              <w:spacing w:after="0"/>
              <w:rPr>
                <w:sz w:val="18"/>
                <w:szCs w:val="18"/>
                <w:color w:val="auto"/>
              </w:rPr>
            </w:pPr>
          </w:p>
        </w:tc>
      </w:tr>
      <w:tr>
        <w:trPr>
          <w:trHeight w:val="215"/>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9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86"/>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80" w:type="dxa"/>
            <w:vAlign w:val="bottom"/>
          </w:tcPr>
          <w:p>
            <w:pPr>
              <w:jc w:val="center"/>
              <w:ind w:left="3835"/>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5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(734) 930-3030</w:t>
      </w:r>
    </w:p>
    <w:p>
      <w:pPr>
        <w:spacing w:after="0" w:line="4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1" w:lineRule="exact"/>
        <w:rPr>
          <w:sz w:val="24"/>
          <w:szCs w:val="24"/>
          <w:color w:val="auto"/>
        </w:rPr>
      </w:pPr>
    </w:p>
    <w:tbl>
      <w:tblPr>
        <w:tblLayout w:type="fixed"/>
        <w:tblInd w:w="36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54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DPZ</w:t>
            </w:r>
          </w:p>
        </w:tc>
        <w:tc>
          <w:tcPr>
            <w:tcW w:w="3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u w:val="single" w:color="auto"/>
          <w:color w:val="auto"/>
        </w:rPr>
        <w:t>None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[X]</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71" w:lineRule="exact"/>
        <w:rPr>
          <w:sz w:val="24"/>
          <w:szCs w:val="24"/>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43"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[X]</w:t>
            </w:r>
          </w:p>
        </w:tc>
        <w:tc>
          <w:tcPr>
            <w:tcW w:w="2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Smaller reporting company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Emerging growth company [</w:t>
            </w:r>
          </w:p>
        </w:tc>
        <w:tc>
          <w:tcPr>
            <w:tcW w:w="14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2" w:lineRule="exact"/>
        <w:rPr>
          <w:sz w:val="24"/>
          <w:szCs w:val="24"/>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8" w:lineRule="exact"/>
        <w:rPr>
          <w:sz w:val="24"/>
          <w:szCs w:val="24"/>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43" w:lineRule="exact"/>
        <w:rPr>
          <w:sz w:val="24"/>
          <w:szCs w:val="24"/>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by any of the registrant’s executive officers during the relevant recovery period pursuant to §240.10D-1(b). [</w:t>
            </w:r>
          </w:p>
        </w:tc>
        <w:tc>
          <w:tcPr>
            <w:tcW w:w="3300" w:type="dxa"/>
            <w:vAlign w:val="bottom"/>
          </w:tcPr>
          <w:p>
            <w:pPr>
              <w:jc w:val="right"/>
              <w:ind w:right="3156"/>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w:t>
            </w:r>
          </w:p>
        </w:tc>
        <w:tc>
          <w:tcPr>
            <w:tcW w:w="3300" w:type="dxa"/>
            <w:vAlign w:val="bottom"/>
          </w:tcPr>
          <w:p>
            <w:pPr>
              <w:jc w:val="right"/>
              <w:ind w:right="2396"/>
              <w:spacing w:after="0"/>
              <w:rPr>
                <w:sz w:val="20"/>
                <w:szCs w:val="20"/>
                <w:color w:val="auto"/>
              </w:rPr>
            </w:pPr>
            <w:r>
              <w:rPr>
                <w:rFonts w:ascii="Times New Roman" w:cs="Times New Roman" w:eastAsia="Times New Roman" w:hAnsi="Times New Roman"/>
                <w:sz w:val="18"/>
                <w:szCs w:val="18"/>
                <w:color w:val="auto"/>
              </w:rPr>
              <w:t>]  No [X]</w:t>
            </w:r>
          </w:p>
        </w:tc>
      </w:tr>
      <w:tr>
        <w:trPr>
          <w:trHeight w:val="1450"/>
        </w:trPr>
        <w:tc>
          <w:tcPr>
            <w:tcW w:w="79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 w:name="page2"/>
    <w:bookmarkEnd w:id="1"/>
    <w:p>
      <w:pPr>
        <w:ind w:right="200"/>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Domino’s Pizza, Inc. as of June 18, 2023 computed by reference to the closing price of Domino’s Pizza, Inc.’s common stock on the New York Stock Exchange on such date was $11,569,716,092.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2024, Domino’s Pizza, Inc. had 34,812,723 shares of common stock, par value $0.01 per share, outstanding.</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Portions of the definitive proxy statement to be furnished to shareholders of Domino’s Pizza, Inc. in connection with the annual meeting of shareholders to be held on April 25, 2024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4"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TABLE OF CONTENTS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280" w:type="dxa"/>
            <w:vAlign w:val="bottom"/>
          </w:tcPr>
          <w:p>
            <w:pPr>
              <w:spacing w:after="0"/>
              <w:rPr>
                <w:sz w:val="17"/>
                <w:szCs w:val="17"/>
                <w:color w:val="auto"/>
              </w:rPr>
            </w:pPr>
          </w:p>
        </w:tc>
      </w:tr>
      <w:tr>
        <w:trPr>
          <w:trHeight w:val="4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4A.</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r>
              <w:rPr>
                <w:rFonts w:ascii="Times New Roman" w:cs="Times New Roman" w:eastAsia="Times New Roman" w:hAnsi="Times New Roman"/>
                <w:sz w:val="18"/>
                <w:szCs w:val="18"/>
                <w:color w:val="00000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79"/>
        </w:trPr>
        <w:tc>
          <w:tcPr>
            <w:tcW w:w="11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79"/>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79"/>
        </w:trPr>
        <w:tc>
          <w:tcPr>
            <w:tcW w:w="11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7520" w:type="dxa"/>
            <w:vAlign w:val="bottom"/>
            <w:gridSpan w:val="1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438"/>
        </w:trPr>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11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Throughout this document, Domino’s Pizza, Inc. (NYSE: DPZ) is referred to as the “Company,” “Domino’s,” “Domino’s Pizza” or in the first-person notations of “we,” “us” and “our.”</w:t>
      </w:r>
    </w:p>
    <w:p>
      <w:pPr>
        <w:spacing w:after="0" w:line="9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In this document, we rely on and refer to information regarding the U.S. quick service restaurant, or QSR, sector and the U.S. QSR pizza category from 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ongoing foodservice market research (years ending December) prepared by Circana, formerly The NPD Group,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Circana’s CREST ongoing foodservice market research from consumer surveys. This information relates to both our Company-owned and franchised stores.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20,500 locations in over 90 markets around the world as of December 31, 2023,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December 31, 2023.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At Domino’s, we believe we have a proven business model for success that has historically driven strong returns for our shareholders. We recently announced our Hungry for MORE strategy aimed at generating MORE sales, MORE stores and MORE profits. The strategic imperatives of our Hungry for MORE strategy are as follows:</w:t>
      </w:r>
    </w:p>
    <w:p>
      <w:pPr>
        <w:spacing w:after="0" w:line="180"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Domino’s Loaded Tots, stuffed cheesy breads, wings, boneless chicken, pastas, oven-baked sandwiches, dips, soft drink products and desserts. We will continue to showcase the breadth of our menu, while highlighting the deliciousness of our food through our innovative marketing promotions.</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both our and our franchisees’ customers.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w:t>
      </w:r>
    </w:p>
    <w:p>
      <w:pPr>
        <w:spacing w:after="0" w:line="130" w:lineRule="exact"/>
        <w:rPr>
          <w:sz w:val="20"/>
          <w:szCs w:val="20"/>
          <w:color w:val="auto"/>
        </w:rPr>
      </w:pPr>
    </w:p>
    <w:p>
      <w:pPr>
        <w:ind w:left="46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operate.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Our Industry</w:t>
      </w:r>
    </w:p>
    <w:p>
      <w:pPr>
        <w:spacing w:after="0" w:line="124"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8"/>
          <w:szCs w:val="18"/>
          <w:color w:val="auto"/>
        </w:rPr>
        <w:t>The U.S. QSR pizza category is large and fragmented. From 2018 through 2023, the U.S. QSR pizza category has grown from $37.5 billion to $41.3 billion. It is the second-largest category, by sales, within the $349.9 billion U.S. QSR sector. The U.S. QSR pizza category is primarily comprised of delivery, dine-in and carryout, with carryout and delivery comprising the two largest segments.</w:t>
      </w:r>
    </w:p>
    <w:p>
      <w:pPr>
        <w:spacing w:after="0" w:line="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U.S., we compete in the delivery and carryout segments of the pizza industry, and we are the dollar market share leader for delivery and carryout among pizza QSRs. Delivery segment dollars of $16.5 billion in 2023 (up from $14.0 billion in 2018) account for approximately 40% of total U.S. consumer spend at pizza QSRs. The four industry leaders, including Domino’s, account for approximately 60% of U.S. pizza delivery, based on reported consumer spending, with the remaining dollars going to regional chains and independent or local establishments. From 2018 to 2023, the carryout segment grew from $16.9 billion to $20.2 billion. The four industry leaders, including Domino’s, account for approximately 52% of the U.S. carryout segment. (Source: Circana, CREST, year ending December 2023).</w:t>
      </w:r>
    </w:p>
    <w:p>
      <w:pPr>
        <w:spacing w:after="0" w:line="9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contrast to the U.S., international pizza delivery is relatively underdeveloped, with only Domino’s and two other competitors having a significant global presence. We believe that demand for pizza delivery and pizza carryout is large and growing throughout the world, driven by international consumers’ increasing emphasis on convenience, and is supported by our proven success of 40 years of conducting business abroad.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Competition</w:t>
      </w:r>
    </w:p>
    <w:p>
      <w:pPr>
        <w:spacing w:after="0" w:line="13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global pizza delivery and carryout segments, as well as the broader QSR sector, are highly competitive. In the U.S., we compete against regional and independent or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 Papa John’s and country-specific national, regional and local pizzerias. We generally compete on the basis of product quality, location, image, service, technology, convenience and price. Our business and those of our competitors can be affected by changes in consumer tastes, economic conditions, demographic trends, geopolitical and reputational considerations, marketing, advertising, pricing and consumers’ disposable income. We also compete with other restaurants, as well as order and delivery aggregation companies, which have continued to grow in size and scale in recent years. We compete not only for customers, but also for management and hourly employees, including store team members, drivers and qualified franchisees, as well as suitable real estate sites.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is not dependent upon a single retail customer or small group of customers, including franchisees. No customer accounted for more than 10% of our total consolidated revenues in 2023, 2022 or 2021. As of December 31, 2023, our largest franchisee based on store count, Domino’s Pizza Enterprises (DMP: ASX), operated 3,840 stores in 12 international markets, which accounted for approximately 28% of our international store count and 19% of our global store count. Revenues from this master franchisee accounted for 1.7% of our consolidated revenues in 2023.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Menu</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offer a menu designed to present delicious, quality offerings to customers, while keeping it simple enough to minimize operational complexity and expedite order-taking and food preparation. Our basic menu features pizza products with varying sizes and crust types. Our typical store also offers side items including bread products, wings, boneless chicken, pastas, oven-baked sandwiches, dips, soft drink products and desserts. During 2023, we launched our newest menu items in the U.S., Domino’s Loaded Tots and Pepperoni Stuffed Cheesy Bread. International market offerings vary by country and culture, such as the Lipu Taro Paste and Oats Double Decker Crust in China as well as offerings that tap into the spicy taste preferences of Domino’s customers in India such as their Blazing Chicken and Paprika Pizza and Blazing Onion and Paprika Pizza.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Image and Operations</w:t>
      </w:r>
    </w:p>
    <w:p>
      <w:pPr>
        <w:spacing w:after="0" w:line="13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We operate two distinct service models within our stores with a significant business in both delivery and carryout. In the U.S., delivery and carryout generally contribute evenly to our overall system transaction count. The majority of our U.S. and international stores are constructed in the carryout-friendly Pizza Theater design. Many of these stores offer casual seating and enable customers to watch the preparation of their orders, but do not offer a full-service dine-in experience. As a result, our stores generally do not require expensive restaurant facilities and staffing.</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Our Business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three business segments: U.S. stores, international franchise and supply chain.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3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During 2023, our U.S. stores segment accounted for $1.45 billion, or 32%, of our consolidated revenues. Our U.S. stores segment is comprised primarily of our franchise operations, which consisted of 6,566 franchised stores located in the United States as of December 31, 2023. We also operated a network of 288 U.S. Company-owned stores as of December 31, 2023.</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Directly operating Domino’s stores contributes significantly to our ability to act as a credible franchisor. We also use our Company-owned stores as test sites for technological innovation and promotions, as well as operational improvements. Additionally, we also use them for training new store managers and operations team members, as well as developing prospective franchisees. While we are primarily a franchised business, we continuously evaluate our mix of U.S. Company-owned and franchised stores. As of December 31, 2023, franchised stores represented approximately 96% of our total store count within our U.S. stores segment.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Profile</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2023, our network of 6,566 U.S. franchise stores was owned and operated by 735 independent U.S. franchisees. Our franchise formula enables franchisees to benefit from our brand recognition with a relatively low initial capital investment. As of December 31, 2023, the average U.S. franchisee owned and operated approximately nine stores and had been in our franchise system for over 17 years. Additionally, 22 of our U.S. franchisees operated more than 50 stores (including our largest U.S. franchisee who operated 143 stores) and 209 of our U.S. franchisees each operated one store as of December 31, 2023.</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Agreements</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2023.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stores in the United States generally contribute 6.0% of their sales to fund national marketing and advertising campaigns (subject, in certain instances, to lower rates based on certain incentives and waivers). Beginning on March 27, 2023, Domino's National Advertising Fund Inc. (“DNAF”), the Company’s consolidated not-for-profit advertising subsidiary, effectuated a temporary reduction of 0.25% to its standard 6.0% advertising contribution, which will expire on March 24, 2024. Contributions by our U.S. franchisees to DNAF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9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w:t>
      </w:r>
    </w:p>
    <w:p>
      <w:pPr>
        <w:spacing w:after="0" w:line="134" w:lineRule="exact"/>
        <w:rPr>
          <w:sz w:val="20"/>
          <w:szCs w:val="20"/>
          <w:color w:val="auto"/>
        </w:rPr>
      </w:pPr>
    </w:p>
    <w:p>
      <w:pPr>
        <w:jc w:val="both"/>
        <w:ind w:right="500"/>
        <w:spacing w:after="0" w:line="288" w:lineRule="auto"/>
        <w:rPr>
          <w:sz w:val="20"/>
          <w:szCs w:val="20"/>
          <w:color w:val="auto"/>
        </w:rPr>
      </w:pPr>
      <w:r>
        <w:rPr>
          <w:rFonts w:ascii="Times New Roman" w:cs="Times New Roman" w:eastAsia="Times New Roman" w:hAnsi="Times New Roman"/>
          <w:sz w:val="17"/>
          <w:szCs w:val="17"/>
          <w:color w:val="auto"/>
        </w:rPr>
        <w:t>During 2023, our international franchise segment accounted for $310.1 million, or 7%, of our consolidated revenues. This segment is comprised of a network of franchised stores in over 90 international markets. As of December 31, 2023, we had 13,737 international franchised stores. The principal sources of revenues from those operations are royalty payments generated by retail sales from franchised stores, as well as certain technology fees.</w:t>
      </w:r>
    </w:p>
    <w:p>
      <w:pPr>
        <w:spacing w:after="0" w:line="6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w:t>
      </w:r>
    </w:p>
    <w:p>
      <w:pPr>
        <w:spacing w:after="0" w:line="6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believe that Domino’s appeals to potential international franchisees because of our recognized brand name and technological leadership, the moderate capital expenditures required to open and operate the stores and the system’s desirable store-level profitability. Stores in eight of our ten largest international markets in terms of store count are operated by master franchise companies that are publicly traded on stock exchanges as noted in the below table.</w:t>
      </w:r>
    </w:p>
    <w:p>
      <w:pPr>
        <w:spacing w:after="0" w:line="1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shows our store count as of December 31, 2023 in our ten largest international markets, which accounted for approximately 64% of our international stores as of that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5200" w:type="dxa"/>
            <w:vAlign w:val="bottom"/>
            <w:gridSpan w:val="2"/>
          </w:tcPr>
          <w:p>
            <w:pPr>
              <w:ind w:left="402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36"/>
        </w:trPr>
        <w:tc>
          <w:tcPr>
            <w:tcW w:w="6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(JUBLFOOD: NS)</w:t>
            </w:r>
          </w:p>
        </w:tc>
        <w:tc>
          <w:tcPr>
            <w:tcW w:w="5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FF0FC"/>
          </w:tcPr>
          <w:p>
            <w:pPr>
              <w:spacing w:after="0"/>
              <w:rPr>
                <w:sz w:val="20"/>
                <w:szCs w:val="20"/>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 (DOM: 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 (DMP: ASX)</w:t>
            </w:r>
          </w:p>
        </w:tc>
        <w:tc>
          <w:tcPr>
            <w:tcW w:w="5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 (ALSEA: MX)</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(1405: HK)</w:t>
            </w:r>
          </w:p>
        </w:tc>
        <w:tc>
          <w:tcPr>
            <w:tcW w:w="5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 (DMP: ASX)</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Turkey (DPEU: L)</w:t>
            </w:r>
          </w:p>
        </w:tc>
        <w:tc>
          <w:tcPr>
            <w:tcW w:w="5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 (DMP: ASX)</w:t>
            </w:r>
          </w:p>
        </w:tc>
        <w:tc>
          <w:tcPr>
            <w:tcW w:w="5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1"/>
                <w:szCs w:val="2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Franchisee Profile</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Master Franchise and Other Agreements</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2023. We also have agreements with certain of our international master franchisees with respect to certain technology fees.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2023, our supply chain segment accounted for $2.72 billion, or 61%, of our consolidated revenues. In the U.S., we operate 22 regional dough manufacturing and supply chain centers, two thin crust manufacturing facilities, one vegetable processing center and one center providing equipment and supplies to our U.S. and certain international stores. We also operate five dough manufacturing and supply chain centers in Canada. We plan to continue investing in supply chain productivity initiatives in the future. Our supply chain segment leases a fleet of more than 1,000 tractors and trailers. Our centers produce fresh dough and purchase, receive, store and deliver quality food and other complementary items to substantially all of our U.S. stores and most of our Canadian franchised stores. We regularly supply over 7,400 stores with various food and supplies.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our franchisees voluntarily choose to obtain food, supplies and equipment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of the pre-tax profit from our supply chain center operations. We believe these arrangements strengthen our ties to and provide aligned benefits with franchisees.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Suppliers</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8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September 2017 agreement which expires in September 2024, our U.S. supplier agreed to provide the Company with an uninterrupted supply of cheese and the Company agreed to purchase all of its U.S. pizza cheese from this supplier. While we expect to meet the terms of this agreement, if we do not, we will be required to repay certain negotiated cost savings as provided in the agreement. The majority of our meat toppings in the U.S. come from a single supplier under a contract that expires at the end of December 2025. We have the right to terminate these arrangements for quality failures and for certain uncured breaches. We have entered into a multi-year agreement with Coca-Cola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This contract, renegotiated in December 2023, provides for Coca-Cola to continue to be our exclusive beverage supplier and expires on December 31, 2030 or at such time as a minimum number of cases of Coca-Cola products are purchased by Domino’s, whichever occurs later.</w:t>
      </w:r>
    </w:p>
    <w:p>
      <w:pPr>
        <w:spacing w:after="0" w:line="10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Strengths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Brand Equity</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the largest pizza company in the world, and we believe our Domino’s brand is one of the most widely-recognized consumer brands in the world. We are the recognized world leader in pizza delivery, and, in the U.S., we are also the market share leader in carryout. We believe consumers associate our brand with the timely delivery of quality, affordable food and with technological innovation. Over the past five years, our U.S. franchise and Company-owned stores have invested an estimated $2.7 billion in national, co-operative and local advertising. Our international franchisees also invest significant amounts in advertising efforts in their markets. We continue to reinforce our brand with extensive advertising through various media channels.</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Market share information for the year ended December 2022 has been updated to reflect restated figures from Circana, which did not materially impact our market share positioning. We remain the number one pizza delivery company in the U.S. with approximately 30% share of delivery dollars at pizza QSRs, based on consumer spending data for the year ending December 2023, down from approximately 31% share for the year ended December 2022. For the same period, we are also leading in carryout with approximately 19% share of carryout/drive-thru QSR pizza consumer spending, up from approximately 18% share for the year ended December 2022. (Source: Circana, CREST). With 6,854 stores located in the U.S., our store delivery areas cover a majority of U.S. households. Our share position and scale allow us to leverage our purchasing power, supply chain strength and marketing investments. We believe our scale and market coverage allow us to effectively serve our customers’ demands for convenience and timely delivery. Outside the U.S., we have significant market share positions in many of the markets in which we compete.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Strong and Proven Business Model</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model generates U.S. and international franchise royalties and fees, supply chain revenues and retail sales at Company-owned stores. We have developed this model over our many years of operation, and it is anchored by strong store-level economics, which provide an entrepreneurial incentive for our franchisees and historically has generated strong demand for new stores. Over the past ten years, average U.S. store profitability in the Domino’s system has increased meaningfully, resulting in higher profitability for our franchise owners. Our franchise system, in turn, has produced strong and consistent earnings for us through royalty and fee payments and through supply chain gross margins.</w:t>
      </w:r>
    </w:p>
    <w:p>
      <w:pPr>
        <w:spacing w:after="0" w:line="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menu simplifies and streamlines production and delivery processes and maximizes economies of scale on purchases of our principal food items. In addition, our stores, including those in our Pizza Theater image,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condensing our delivery areas to provide better delivery service and adding locations that are closer to our carryout customers. We call this approach our fortressing strategy.</w:t>
      </w:r>
    </w:p>
    <w:p>
      <w:pPr>
        <w:spacing w:after="0" w:line="9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w:t>
      </w:r>
    </w:p>
    <w:p>
      <w:pPr>
        <w:spacing w:after="0" w:line="13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Technological innovation is vital to our brand and our long-term success, and technology is critical to competing in the global pizza and broader QSR industries. In the U.S., Domino’s generated more than 85% of U.S. retail sales in 2023 from digital channels, and our emphasis on technological innovation has allowed us to develop many innovative ordering platforms, providing seven unique ways to order Domino’s.</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During 2023, the Company entered into a new global agreement with Uber Technologies, Inc. (NYSE:UBER) to allow customers to order Domino’s products through the Uber Eats and Postmates apps. In 2023, Domino’s also launched Pinpoint Delivery, a new technology that allows customers to receive a delivery nearly anywhere, including places like parks, baseball fields and beaches.</w:t>
      </w:r>
    </w:p>
    <w:p>
      <w:pPr>
        <w:spacing w:after="0" w:line="90"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In addition, during 2023, we relaunched our Domino’s Rewards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loyalty program, which builds upon our previous loyalty program and is simple to understand and easy to use. Upon signing up for the program, customers become rewards members and can earn points for their orders. When rewards members accumulate a certain amount of points, Domino’s Rewards offers loyalty members the opportunity to redeem points for a wide selection of our menu items.</w:t>
      </w:r>
    </w:p>
    <w:p>
      <w:pPr>
        <w:spacing w:after="0" w:line="10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In 2023, we introduced the concept of the Domino’s Operating System (“DOM OS”) which is the combination of tools, processes and technologies that work together to optimize and orchestrate operations at our stores, including the flow of orders. The foundation of DOM OS is our proprietary point-of-sale system called Domino’s 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Domino’s PULSE system is designed to drive operating efficiencies for our franchisees and our corporate management and assist franchisees in independently managing their business. We believe utilizing Domino’s PULSE with our integrated technology solutions throughout our system provides us with competitive advantages over other concepts.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1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believe our core hand-tossed pizza recipe has contributed to long-term growth in customer reorder rates, consumer traffic and increased sales. This recipe is now in use in other markets around the world. Our more than 60 years of innovation have resulted in numerous new product developments. Product innovation is also present in our global markets, where our master franchisees have the ability to recommend products to suit their local market tastes. Products can range from simple to indulgent, including the Pizza Rice Bowl in Japan (an original take on the Japanese rice bowl which offers rice covered with traditional pizza toppings) and the Churrosbread and Canela Bites in Brazil.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Dough Manufacturing and Supply Chain System</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generating significant revenues and earnings in the U.S. and Canada, we believe our vertically integrated dough manufacturing and supply chain system enhances the quality and consistency of our products, strengthens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we had approximately 11,200 employees, including approximately 6,900 employees supporting our U.S. Company-owned stores and U.S. franchise operations (our U.S. stores segment), approximately 3,200 employees supporting our U.S. and Canadian supply chain operations (our supply chain segment), approximately 100 employees supporting our international franchise operations (our international franchise segment) and approximately 1,000 corporate employees. Approximately 4,700 of our employees are part-time and approximately 6,500 are full-time equivalent. Our franchisees are independent business owners, so their employees are not our employees and therefore are not included in our employee count. None of our employees are covered by a collective bargaining agreement. We consider our relationship with our employees to be good.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Purpose and Values</w:t>
      </w:r>
    </w:p>
    <w:p>
      <w:pPr>
        <w:spacing w:after="0" w:line="13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are a purpose-inspired and performance-driven company with exceptional people committed to feeding the power of possible, one pizza at a time. At the heart of our brand is a commitment to a set of values that define our core beliefs on how we run our business, treat our people, support our franchisees and serve our customers.</w:t>
      </w:r>
    </w:p>
    <w:p>
      <w:pPr>
        <w:spacing w:after="0" w:line="81" w:lineRule="exact"/>
        <w:rPr>
          <w:sz w:val="20"/>
          <w:szCs w:val="20"/>
          <w:color w:val="auto"/>
        </w:rPr>
      </w:pPr>
    </w:p>
    <w:p>
      <w:pPr>
        <w:ind w:left="4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 the Right Thing: </w:t>
      </w:r>
      <w:r>
        <w:rPr>
          <w:rFonts w:ascii="Times New Roman" w:cs="Times New Roman" w:eastAsia="Times New Roman" w:hAnsi="Times New Roman"/>
          <w:sz w:val="18"/>
          <w:szCs w:val="18"/>
          <w:color w:val="auto"/>
        </w:rPr>
        <w:t>We act with integrity and make disciplined decisions, even when it’s difficult or unpopular. High ethical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uncommon honesty are at the heart of how we work together. We are committed to safely and responsibly serving our customers, and to giving back to the communities where we live and work.</w:t>
      </w:r>
    </w:p>
    <w:p>
      <w:pPr>
        <w:spacing w:after="0" w:line="78" w:lineRule="exact"/>
        <w:rPr>
          <w:sz w:val="20"/>
          <w:szCs w:val="20"/>
          <w:color w:val="auto"/>
        </w:rPr>
      </w:pPr>
    </w:p>
    <w:p>
      <w:pPr>
        <w:ind w:left="46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Put People First: </w:t>
      </w:r>
      <w:r>
        <w:rPr>
          <w:rFonts w:ascii="Times New Roman" w:cs="Times New Roman" w:eastAsia="Times New Roman" w:hAnsi="Times New Roman"/>
          <w:sz w:val="18"/>
          <w:szCs w:val="18"/>
          <w:color w:val="auto"/>
        </w:rPr>
        <w:t>We create an inclusive culture, knowing our people are core to our success. We treat each other with dignity and respect,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the differences each team member brings. We strive to be a company where all team members can bring their full selves to work and know that they can belong, contribute and reach their potential.</w:t>
      </w:r>
    </w:p>
    <w:p>
      <w:pPr>
        <w:spacing w:after="0" w:line="78" w:lineRule="exact"/>
        <w:rPr>
          <w:sz w:val="20"/>
          <w:szCs w:val="20"/>
          <w:color w:val="auto"/>
        </w:rPr>
      </w:pPr>
    </w:p>
    <w:p>
      <w:pPr>
        <w:ind w:left="460"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Create Inspired Solutions: </w:t>
      </w:r>
      <w:r>
        <w:rPr>
          <w:rFonts w:ascii="Times New Roman" w:cs="Times New Roman" w:eastAsia="Times New Roman" w:hAnsi="Times New Roman"/>
          <w:sz w:val="18"/>
          <w:szCs w:val="18"/>
          <w:color w:val="auto"/>
        </w:rPr>
        <w:t>We are a company built on entrepreneurship and innovation. We get better every day by having the humility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courage to embrace and lead change. Together, we unlock our collective potential to be bold and think big. We have a bias for action to solve customer needs in new and relevant ways.</w:t>
      </w:r>
    </w:p>
    <w:p>
      <w:pPr>
        <w:spacing w:after="0" w:line="78" w:lineRule="exact"/>
        <w:rPr>
          <w:sz w:val="20"/>
          <w:szCs w:val="20"/>
          <w:color w:val="auto"/>
        </w:rPr>
      </w:pPr>
    </w:p>
    <w:p>
      <w:pPr>
        <w:ind w:left="460" w:right="14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Champion our Customers: </w:t>
      </w:r>
      <w:r>
        <w:rPr>
          <w:rFonts w:ascii="Times New Roman" w:cs="Times New Roman" w:eastAsia="Times New Roman" w:hAnsi="Times New Roman"/>
          <w:sz w:val="17"/>
          <w:szCs w:val="17"/>
          <w:color w:val="auto"/>
        </w:rPr>
        <w:t>We deliver on our promises, treating each order and interaction as an opportunity to deepen relationships by delivering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great products, services and experiences. We hold ourselves accountable, and if we don’t deliver on a promise, we are committed to making it right.</w:t>
      </w:r>
    </w:p>
    <w:p>
      <w:pPr>
        <w:spacing w:after="0" w:line="41" w:lineRule="exact"/>
        <w:rPr>
          <w:sz w:val="20"/>
          <w:szCs w:val="20"/>
          <w:color w:val="auto"/>
        </w:rPr>
      </w:pPr>
    </w:p>
    <w:p>
      <w:pPr>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 and Win Together: </w:t>
      </w:r>
      <w:r>
        <w:rPr>
          <w:rFonts w:ascii="Times New Roman" w:cs="Times New Roman" w:eastAsia="Times New Roman" w:hAnsi="Times New Roman"/>
          <w:sz w:val="18"/>
          <w:szCs w:val="18"/>
          <w:color w:val="auto"/>
        </w:rPr>
        <w:t>We are not playing a finite game. We are committed to building an enduring brand that outlives any of our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We will grow together, deliver exceptional results together, celebrate wins together, have fun together, and leave the Domino’s brand in a better place for those that come after.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and Benefits</w:t>
      </w:r>
    </w:p>
    <w:p>
      <w:pPr>
        <w:spacing w:after="0" w:line="13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both externally and internally. In recent years, we have made investments in frontline team member wage rates in our U.S. Company-owned stores and supply chain centers. We are committed to providing pay equity for all employees.</w:t>
      </w:r>
    </w:p>
    <w:p>
      <w:pPr>
        <w:spacing w:after="0" w:line="8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Domino’s offers a comprehensive benefits package to eligible team members, including several benefits designed to promote an inclusive workplace like paid parental leaves, adoption support, discounted childcare tuition, and health plans that are available to dependents, spouses and domestic partners and include fertility and gender transition support. We also offer eligible team members a 401(k) plan, education assistance, access to financial education, a back-up childcare network and access to legal assistance.</w:t>
      </w:r>
    </w:p>
    <w:p>
      <w:pPr>
        <w:spacing w:after="0" w:line="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Beyond basic insurance programs, Domino’s offers other wellness services to help team members participating in our health plan manage and optimize their health. These no-cost programs include smoking cessation, diabetes and hypertension management, at-home physical therapy for such team members, in addition to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thousands of videos on topics like mindfulness, exercise, nutrition, sleep, and financial well-being.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Talent Development and Recruiting</w:t>
      </w:r>
    </w:p>
    <w:p>
      <w:pPr>
        <w:spacing w:after="0" w:line="13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Having best-in-class talent across the globe is crucial to all aspects of Domino’s business, brand and long-term success. We are focused on attracting, developing and retaining high-performing, diverse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w:t>
      </w:r>
    </w:p>
    <w:p>
      <w:pPr>
        <w:spacing w:after="0" w:line="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success will continue to depend on our ability to attract and retain qualified personnel to operate our stores, dough manufacturing and supply chain centers and international operations. To continue to strengthen our ability to attract and retain talent to ensure we have appropriate staffing to operate our stores and supply chain centers, we have launched an Applicant Tracking System and have made continued investments in frontline team member wage rates in our U.S. Company-owned stores and supply chain centers. On an annual basis, we also review scores for our team member engagement surveys to identify strengths and opportunities for our brand.</w:t>
      </w:r>
    </w:p>
    <w:p>
      <w:pPr>
        <w:spacing w:after="0" w:line="8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Inclusion and Diversity Efforts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 the Right Thing” and “Put People First” are two of our core values at Domino’s. From those two values our Inclusion and Diversity mission was launched, and we have been relentless in our commitment to building and strengthening our culture every day. Our mission is to foster a more diverse, highly engaged workforce that sees our Company as the employer of choice and is representative of the communities we serve. We want our team members to feel comfortable bringing their unique experiences and diverse backgrounds to discussions where they can share, learn and listen together enabled by conscious inclusion practices and our leadership competencies.</w:t>
      </w:r>
    </w:p>
    <w:p>
      <w:pPr>
        <w:spacing w:after="0" w:line="8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Domino’s is focused on building an inclusive culture that welcomes, seeks to understand and values everyone’s whole self. Our Inclusion and Diversity efforts have been crafted with a strategic framework that encompasses three pillars: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Workforce </w:t>
      </w:r>
      <w:r>
        <w:rPr>
          <w:rFonts w:ascii="Times New Roman" w:cs="Times New Roman" w:eastAsia="Times New Roman" w:hAnsi="Times New Roman"/>
          <w:sz w:val="18"/>
          <w:szCs w:val="18"/>
          <w:color w:val="auto"/>
        </w:rPr>
        <w:t>– focused on the diversity of our workforce at all levels of the organization.</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Workplace </w:t>
      </w:r>
      <w:r>
        <w:rPr>
          <w:rFonts w:ascii="Times New Roman" w:cs="Times New Roman" w:eastAsia="Times New Roman" w:hAnsi="Times New Roman"/>
          <w:sz w:val="18"/>
          <w:szCs w:val="18"/>
          <w:color w:val="auto"/>
        </w:rPr>
        <w:t>– focused on ensuring that our Company-owned stores, offices and supply chains are inclusive.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Marketplace </w:t>
      </w:r>
      <w:r>
        <w:rPr>
          <w:rFonts w:ascii="Times New Roman" w:cs="Times New Roman" w:eastAsia="Times New Roman" w:hAnsi="Times New Roman"/>
          <w:sz w:val="18"/>
          <w:szCs w:val="18"/>
          <w:color w:val="auto"/>
        </w:rPr>
        <w:t>– focused on ensuring our brand reaches and is relevant to all consumers.</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our workplace initiatives, we provide leadership and funding to support team members participating in Employee Resource Groups (“ERGs”). We currently have ERGs representing the Black, Hispanic and LGBTQ+ communities, as well as women in the workforce and individuals with disabilities, with potentially more to come based on team member interest. We also make available to our eligible team members several benefits designed to promote an inclusive workplace like paid parental leaves, adoption support, discounted childcare tuition and health plans that are available to dependents, spouses and domestic partners and include fertility and gender transition support.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Stewardship</w:t>
      </w:r>
    </w:p>
    <w:p>
      <w:pPr>
        <w:spacing w:after="0" w:line="13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vision for stewardship is for Domino’s to deliver the power of possible every day for the communities we serve, our people and the planet. We drafted our stewardship vision, with notable goals and objectives to drive change in the years and decades to come, and with pillars that ladder up to that vision and our underlying long-term goals. We have continued our efforts to better understand our environmental and social impacts.</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engaged outside experts to measure and quantify our environmental footprint, and identify opportunities to improve. With the help of these experts, we have conducted a materiality assessment, connected with key stakeholders inside and outside the company and developed a baseline report for our carbon, water and land use footprint in the U.S. We have established significant commitments on greenhouse gas emissions: we set and submitted our Science Based Targets for validation in 2023 and we have established a commitment to achieve those Science Based Targets by 2032 and achieve net zero carbon emissions by 2050. We also continue to highlight important stewardship topics with consumers, including our recent efforts to promote the ability to recycle pizza boxes throughout the U.S. We also launched a fleet of electric vehicles as part of an initiative to solve a business need with a solution that is also good for the planet.</w:t>
      </w:r>
    </w:p>
    <w:p>
      <w:pPr>
        <w:spacing w:after="0" w:line="99"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Domino’s also has a long history of caring for the communities we serve. Our national philanthropic partner is St. Jude Children’s Research Hospital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internationally recognized for its pioneering work in finding cures and saving children with cancer and other catastrophic diseases. Through a variety of internal and consumer-based activities, including a national consumer fundraising campaign called St. Jude Thanks and Giving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Domino’s system has contributed approximately $124.7 million to St. Jude since our partnership began in 2004, including raising approximately $15.5 million in 2023. We also committed to a 10-year, $100 million campaign to raise funds to build Domino’s Village at St. Jude, a housing complex that opened in 2023 and accommodates up to 140 patient families during long-term stays at the hospital.</w:t>
      </w:r>
    </w:p>
    <w:p>
      <w:pPr>
        <w:spacing w:after="0" w:line="10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over $12.3 million over the past five years. The Partners Foundation is committed to meeting the needs of Domino’s team members facing crisis situations, such as fire, illness, natural disasters or other personal tragedies.</w:t>
      </w:r>
    </w:p>
    <w:p>
      <w:pPr>
        <w:spacing w:after="0" w:line="8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You can find more information about our initiatives and read our 2023 Corporate Stewardship Report, which includes both Sustainability Accounting Standards Board (SASB) and Global Reporting Initiative (GRI) indexed tables, at stewardship.dominos.com. The information included in our Corporate Stewardship Report is not incorporated by reference herein and should not be considered a part of this document.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3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Information about the Company’s working capital is included in Management’s Discussion and Analysis of Financial Condition and Results of Operations in Part II, Item 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2" w:name="page13"/>
    <w:bookmarkEnd w:id="12"/>
    <w:p>
      <w:pPr>
        <w:ind w:right="180"/>
        <w:spacing w:after="0" w:line="260" w:lineRule="auto"/>
        <w:rPr>
          <w:sz w:val="20"/>
          <w:szCs w:val="20"/>
          <w:color w:val="auto"/>
        </w:rPr>
      </w:pPr>
      <w:r>
        <w:rPr>
          <w:rFonts w:ascii="Times New Roman" w:cs="Times New Roman" w:eastAsia="Times New Roman" w:hAnsi="Times New Roman"/>
          <w:sz w:val="18"/>
          <w:szCs w:val="18"/>
          <w:color w:val="auto"/>
        </w:rPr>
        <w:t>We are also subject to the Fair Labor Standards Act and various other federal and state laws governing such matters as minimum wage requirements, overtime and other working conditions and citizenship requirements. Labor costs are largely a function of the minimum wage for a majority of our store personnel and certain supply chain personnel. A significant number of both our and our franchisees’ food service personnel are paid at rates related to the applicable minimum wage, and past increases in the minimum wage have increased labor costs, as would future increases.</w:t>
      </w:r>
    </w:p>
    <w:p>
      <w:pPr>
        <w:spacing w:after="0" w:line="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subsidiary, Domino’s Pizza Franchising LLC, and experience.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9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Internationally, our franchise stores are subject to national and local laws and regulations that are often similar to those affecting our U.S. stores, including laws and regulations concerning franchises, advertising, labor, health, sanitation and safety. Our international stores are also often subject to tariffs and regulations on imported commodities and equipment,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dominos.com. The security of our financial data, customer information and other personal information is a priority for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3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2023, there were no material environmental compliance-related capital expenditures, and no such material expenditures are anticipated in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makes available, free of charge, through its internet website ir.dominos.com,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sec.gov. Retail orders from Domino’s stores can be made through its website dominos.com. The reference to these website addresses anywhere in this Annual Report on Form 10-K (the “Form 10-K”) does not constitute incorporation by reference of the information contained on the websites and information appearing on those websites, including ir.dominos.com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stewardship.dominos.com and dominos.com, should not be considered a part of this document.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For a business as large and globally diverse as the Company,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Operational and Industry Risks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quick service restaurant (“QSR”) pizza category and the food service and food delivery markets in general are highly competitive and such competition could adversely affect our operating results.</w:t>
      </w:r>
    </w:p>
    <w:p>
      <w:pPr>
        <w:spacing w:after="0" w:line="7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the U.S., we compete primarily against regional and independent or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country-specific national, regional and independent or local companies. We may experience increased competition from existing or new companies in the delivery and carryout pizza categories, in addition to competition from order and delivery aggregators both in the pizza category and more broadly, that may create increasing pressures to grow our business in order to maintain our market share. Competition for both customers and drivers from these order and delivery aggregators and other food delivery services has substantially increased as order and delivery aggregators have grown in size and scale. Additionally, we face competition from supermarkets and meal kit and food delivery providers, with the improvement of prepared food and meal kit offerings, expansion in meal delivery platforms and services and the trend towards convergence in grocery, deli, retail and restaurant services.</w:t>
      </w:r>
    </w:p>
    <w:p>
      <w:pPr>
        <w:spacing w:after="0" w:line="10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also compete more broadly with QSRs and other international, national, regional and independent or local restaurants. The overall food service market, food delivery market and the QSR market are intensely competitive with respect to food quality, price, service, image, convenience and concept, and are often affected by changes in:</w:t>
      </w:r>
    </w:p>
    <w:p>
      <w:pPr>
        <w:spacing w:after="0" w:line="8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tastes;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national, regional or local economic conditions;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advertising and pricing, including both price increases and discounting;</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purchasing power and demographic trends;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geopolitical considerations related to international operations.</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compete within the food service market and the QSR market not only for customers, but also for management and hourly employees, including store team members, drivers and qualified franchisees, as well as suitable real estate sites. We and our franchisees have faced an increasingly competitive labor market in recent years due to labor shortages and increased turnover at times resulting in part from the COVID-19 pandemic which caused us and our franchisees to in certain cases make operational changes and delay store openings which could ultimately impact our growth and competitive position. While the Company saw an increase in sales in certain markets, including within the U.S., at times during the COVID-19 pandemic, including higher sales related to heightened reliance on delivery and carryout businesses, future sales are not possible to estimate, and it is unclear what sales will be as consumer behavior and general economic and business activity move on from the COVID-19 pandemic.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supply chain segment is also subject to competition from outside suppliers. While substantially all U.S. franchisees purchased food, equipment and supplies from us in 2023, U.S. franchisees are not required to purchase food, equipment or supplies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are unable to maintain our competitive position, we could experience downward pressure on prices, lower demand for our products, reduced margins, loss of management or hourly employees, reduced service levels, disruption in our supply chain, the inability to take advantage of new business opportunities and the loss of market share, all of which would have an adverse effect on our operating results and could cause our stock price to decline.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14" w:name="page15"/>
    <w:bookmarkEnd w:id="14"/>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growth strategy, which includes opening new stores and generating more sales, our ability to increase our revenues and operating profits could be adversely affected.</w:t>
      </w:r>
    </w:p>
    <w:p>
      <w:pPr>
        <w:spacing w:after="0" w:line="6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 significant component of our growth strategy includes the opening of new U.S. (both Company-owned as well as franchised stores) and international franchised stores. We and our franchisees face many challenges in opening new stores, including, among others:</w:t>
      </w:r>
    </w:p>
    <w:p>
      <w:pPr>
        <w:spacing w:after="0" w:line="55"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permitting or development delays;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training of qualified personnel, including availability of store team members;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availability of suitable new store sites and the ability to renew leases in quality locations;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negotiation of leases and financing with acceptable terms;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required U.S. or foreign governmental permits, licenses and approvals; and</w:t>
      </w:r>
    </w:p>
    <w:p>
      <w:pPr>
        <w:spacing w:after="0" w:line="8" w:lineRule="exact"/>
        <w:rPr>
          <w:rFonts w:ascii="Times New Roman" w:cs="Times New Roman" w:eastAsia="Times New Roman" w:hAnsi="Times New Roman"/>
          <w:sz w:val="18"/>
          <w:szCs w:val="18"/>
          <w:color w:val="auto"/>
        </w:rPr>
      </w:pPr>
    </w:p>
    <w:p>
      <w:pPr>
        <w:ind w:left="1020" w:right="10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increases in food costs, build costs and labor costs which could impact profitability and demand for new stores.</w:t>
      </w:r>
    </w:p>
    <w:p>
      <w:pPr>
        <w:spacing w:after="0" w:line="8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opening of additional franchise stores also depends, in part, upon the availability of suitable prospective franchisees who meet our criteria, the ability of these franchisees to attract and retain qualified personnel and their desire to open new stores and ability to operate those stores effectively. Our failure to add new stores would adversely affect our ability to increase revenues and operating income. Additionally, our growth strategy and the success of new stores depend in large part on the availability of suitable store sites and leases. 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Therefore, as we continue to expand, we or our franchisees may not experience the gross margins we expect, our results of operations may be negatively impacted, and our stock price may decline.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could lose some or all of our investment value.</w:t>
      </w:r>
    </w:p>
    <w:p>
      <w:pPr>
        <w:spacing w:after="0" w:line="10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As part of our growth strategy, we may decide to increase or decrease the number of Company-owned stores, either by refranchising existing Company-owned stores or by purchasing existing franchised stores, as we have done in the past. Our failure to successfully execute these transactions could have an adverse effect on our operating results and could cause our stock price to decline.</w:t>
      </w:r>
    </w:p>
    <w:p>
      <w:pPr>
        <w:spacing w:after="0" w:line="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Another component of our growth strategy also involves our recent entry into the third-party order aggregator marketplace. This new avenue for sales may prove to be unsuccessful and sales may not meet our expectations. Our presence on the order aggregator marketplace also introduces us to additional risks and uncertainties including the risk that orders on this marketplace may not have the same level of store-level profitability as orders through our owned channels. Our operating results and stock price may be adversely affected if we are not successful on order aggregator platforms.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other costs, labor shortages or negative economic conditions could adversely affect our profitability and operating results.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the present inflationary environment, which we anticipate may continue, there has been and may continue to be significant increases in food costs and labor costs, which have impacted and could further impact our profitability and that of our franchisees and which could impact the opening of new U.S. and international franchised stores and adversely affect our operating results. Economic conditions, including the inflationary pressures seen in recent years, may also impact the discretionary purchasing power of our customers, especially customers with less disposable income or for whom discretionary spending represents a smaller portion of their disposable income, resulting in decreased demand for our products. Matters having a broad global economic impact may also significantly impact particular costs, such as the impact of geopolitical conflict on our and our international master franchisees’ transportation and energy costs. Health epidemics or pandemics – such as the global outbreak of COVID-19 in early 2020 – have in the past and may in the future impact macroeconomic conditions, consumer behavior, labor availability and supply chain management, as well as local operations in impacted markets. While there historically has been some level of ordinary course turnover of employees, the COVID-19 pandemic and its effects exacerbated labor shortages and increased turnover in recent years.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Labor shortages and increased turnover rates within our team members and the employees of our franchisees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Factors such as inflation, increased food costs, increased labor and employee health and benefit costs, increased rent costs, increased transportation costs and increased energy costs may adversely affect our operating costs and profitability and those of our franchisees and could result in menu price increases, which could impact consumer demand. An economic environment characterized by high unemployment, high interest rates, cautious consumer spending, or changes in consumer practices due to a possible recession could also impact consumer spending or demand and our operating results.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w:t>
      </w:r>
    </w:p>
    <w:p>
      <w:pPr>
        <w:spacing w:after="0" w:line="7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Most ingredients used in our pizza, particularly cheese, are subject to significant price fluctuations as a result of seasonality, weather, demand and other factors. For example, we have experienced increased volatility in prices for some ingredients in recent years. Cheese is a significant cost to us, representing approximately 25% of the market basket purchased by our Company-owned stores.</w:t>
      </w:r>
    </w:p>
    <w:p>
      <w:pPr>
        <w:spacing w:after="0" w:line="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including as a result of expiration of existing supply agreements, we may be subject to pricing or other terms less favorable to us than those reflected in our current supply arrangements. Labor costs are largely a function of the minimum wage for a majority of our and our franchisees’ store personnel and certain supply chain center personnel and, generally, are also a function of the availability of labor. In addition to the increases in labor costs described above, several jurisdictions in which we and our franchisees operate have recently approved minimum wage increases. Federal, state and local proposals that increase minimum wage requirements or mandate other employee matters could, to the extent implemented, materially increase labor and other costs. As more jurisdictions implement minimum wage increases, we expect that labor costs will continue to increase. For example, labor and regulatory compliance costs could be adversely impacted as a result of California Assembly Bill No. 1228 (AB 1228), which was signed into law in September 2023 and which will raise the minimum wage for employees of restaurants that are part of a national fast food chain effective April 1, 2024. The increased labor costs at franchised restaurants in California could impact their profitability and the desire to open new stores or renew the franchise agreements for existing stores and result in price increases, which could impact demand for our products or lead to operational changes. Further, this bill could prompt similar legislation in other states or localities. The advent of legislation aimed at predictive scheduling may impact labor for our stores and our franchisees’ stores. Additionally, while we do not currently have any unionized employees, certain employees of other companies in our industry have recently become unionized. If a significant portion of our or our franchisees’ employees were to become unionized, our and our franchisees’ labor costs could increase and our business could be negatively affected by other union requirements that increase costs, disrupt our business, reduce flexibility and impact employee culture. Further, our responses to any union organizing efforts could negatively impact how our brand is perceived. Labor costs and food costs, including cheese, generally represent approximately 55% to 65% of the sales at a typical Company-owned store.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interruptions or disruptions in the supply or delivery of fresh food products and store equipment could adversely affect our operating results.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expiration of existing agreements,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operational and COVID-19-related challenges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Food service businesses are affected by changes in consumer tastes, international, national, regional and local economic conditions, marketing, advertising, pricing and demographic trends. For instance, if prevailing health or dietary preferences cause consumers to avoid pizza and other products we offer in favor of foods that are perceived as healthier, or consumers shift away from delivery or carryout food, our business and operating results would be harmed. Moreover, because we are primarily dependent on a single product, if consumer demand for pizza should decrease, our business would suffer more than if we had a more diversified menu, as many other food service businesses do, and the QSR pizza category may also not grow as quickly as other categories within the food service industry. The preferences of customers also may change as a result of advances in technology or alternative delivery methods or channels as well as geopolitical considerations. If we are not able to respond to these changes, or our competitors respond to these changes more effectively than us, our business and operating results could be adversely affected.</w:t>
      </w:r>
    </w:p>
    <w:p>
      <w:pPr>
        <w:spacing w:after="0" w:line="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product contamination, food-borne illness or food tampering or other events which may impact our reputation may reduce sales and harm our business.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Reports, whether true or not, of product contamination, food-borne illnesses and injuries caused by food tampering have in the past severely injured the reputations of participants in the QSR market and could in the future as well. These events could occur both at the store and supply chain center levels. If such an event was to occur, we may not be able to respond to it quickly and effectively. The potential for acts of terrorism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Further, a boycott or other campaign critical of us, whether domestic or international, through social media or otherwise, could negatively impact our brand’s reputation and, consequently, sales. Media reports of product contamination, illnesses and injuries, whether accurate or not, could force some stores to close or otherwise reduce sales at such stores. Moreover, as further described below, social media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any negative publicity or as a result of the closure of any Domino’s stores could adversely affect our results of operations.</w:t>
      </w:r>
    </w:p>
    <w:p>
      <w:pPr>
        <w:spacing w:after="0" w:line="9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certain of our suppliers, or have contracts which are set to expire, and as a result they could seek to significantly increase prices or fail to deliver.</w:t>
      </w:r>
    </w:p>
    <w:p>
      <w:pPr>
        <w:spacing w:after="0" w:line="6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We do not have long-term contracts or arrangements, or have contracts which are set to expire,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prolonged disruption in the operations of any of our dough manufacturing and supply chain centers could harm our business.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U.S., we operate 22 regional dough manufacturing and supply chain centers, two thin crust manufacturing facilities, one vegetable processing center and one center providing equipment and supplies to our U.S. and certain international stores. We also operate five dough manufacturing and supply chain centers in Canada. We plan to continue investing in supply chain productivity initiatives in the future. Our U.S. dough manufacturing and supply chain centers service all of our Company-owned and substantially all of our U.S. franchise stores. Any prolonged disruption in the operations of any of these facilities, whether due to technical, systems, operational or labor difficulties, destruction or damage to the facility, real estate issues, limited capacity or other reasons, or our failure to successfully increase capacity and open new centers, could adversely affect our business and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could adversely impact our business.</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use of social media platforms and other consumer-oriented technologies has increased the speed and accessibility of information dissemination and given users the ability to more effectively organize collective actions such as boycotts and other brand-damaging behaviors. Negative publicity related to our brand, products, operations, or stores or related to our operations or actions by our executives, team members or franchisees and their team members or others perceived to be associated with our brand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spacing w:after="0" w:line="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effective advertising, and lower advertising funds may reduce our ability to adequately market the Domino’s Pizza brand.</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been routinely named a Leading National Advertiser by Advertising Age and our success depends in part on continued effective advertising. Each Domino’s store located in the U.S. is obligated to contribute 6.0% of its sales to DNAF, which uses such fees for national advertising in addition to contributions for local market-level advertising. We currently anticipate that this 6.0% obligation will remain in place for the foreseeable future, though the actual contribution rate could be lower in certain instances due to certain incentives and waivers. Beginning on March 27, 2023, the Company effectuated a temporary reduction of 0.25% to its standard 6.0% advertising contribution, which will expire on March 24, 2024. While additional funds for advertising in the past have been provided by us, our franchisees and other third parties, none of these additional funds are legally required. The lack of continued financial support for advertising activities could significantly curtail our marketing efforts, which may in turn affect our business and our operating results.</w:t>
      </w:r>
    </w:p>
    <w:p>
      <w:pPr>
        <w:spacing w:after="0" w:line="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key employees or our inability to attract and retain new qualified employees could hurt our business and inhibit our ability to operate and grow successfully.</w:t>
      </w:r>
    </w:p>
    <w:p>
      <w:pPr>
        <w:spacing w:after="0" w:line="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success in the highly competitive pizza delivery and carryout business will continue to depend to a significant extent on our leadership team and other key management personnel. Although we have entered into employment agreements with Russell J. Weiner and Joseph H. Jordan, each of these executives may terminate his agreement on ninety days’ notice and our other executive officers may do the same. As a result, we may not be able to retain our executive officers and key personnel or attract additional qualified management.</w:t>
      </w:r>
    </w:p>
    <w:p>
      <w:pPr>
        <w:spacing w:after="0" w:line="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have long-term employment agreements with our executive officers, for all of our executive officers we have non-compete and non-solicitation agreements that extend for 24 months following the termination of such executive officer’s employment, although the FTC has proposed a new rule that would ban the use of non-compete agreements. Our success will also continue to depend on our ability to attract and retain qualified personnel to operate our stores, dough manufacturing and supply chain centers and international operations. The loss of these employees or our inability to recruit and retain qualified personnel, including general managers or other store-level team members, or our inability to adequately respond to changes in the labor market, could adversely affect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spacing w:after="0" w:line="91"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6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U.S. Our financial condition and results of operations have at times been and may in the future be adversely affected if global markets in which our franchised stores compete are affected by changes in political, economic or other factors. These factors, many over which neither we nor our master franchisees have control, may include both internal and external factors including:</w:t>
      </w:r>
    </w:p>
    <w:p>
      <w:pPr>
        <w:spacing w:after="0" w:line="83"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or expansive trends in international markets and global markets and economic downturns;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labor conditions and difficulties in staffing and managing our foreign operations;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taxes we pay and other changes in applicable tax laws both in the U.S. and globally;</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or foreign policy changes;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and the burdens and costs of our compliance with a variety of foreign laws;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8" w:name="page19"/>
    <w:bookmarkEnd w:id="18"/>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inflation rates or foreign exchange rates and the imposition of restrictions on currency conversion or the transfer of funds;</w:t>
      </w:r>
    </w:p>
    <w:p>
      <w:pPr>
        <w:spacing w:after="0" w:line="27" w:lineRule="exact"/>
        <w:rPr>
          <w:rFonts w:ascii="Times New Roman" w:cs="Times New Roman" w:eastAsia="Times New Roman" w:hAnsi="Times New Roman"/>
          <w:sz w:val="18"/>
          <w:szCs w:val="18"/>
          <w:color w:val="auto"/>
        </w:rPr>
      </w:pPr>
    </w:p>
    <w:p>
      <w:pPr>
        <w:ind w:left="1020" w:right="220" w:hanging="504"/>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new relationships between our master franchisees and order and delivery aggregators our master franchisees may partner with internationally and the success of those aggregators and relationships;</w:t>
      </w: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our royalties and longer payment cycles;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private enterprises;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 of doing business in China resulting from our equity investment in DPC Dash;</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sanctions, acts of war or terrorist acts;</w:t>
      </w:r>
    </w:p>
    <w:p>
      <w:pPr>
        <w:spacing w:after="0" w:line="8" w:lineRule="exact"/>
        <w:rPr>
          <w:rFonts w:ascii="Times New Roman" w:cs="Times New Roman" w:eastAsia="Times New Roman" w:hAnsi="Times New Roman"/>
          <w:sz w:val="18"/>
          <w:szCs w:val="18"/>
          <w:color w:val="auto"/>
        </w:rPr>
      </w:pPr>
    </w:p>
    <w:p>
      <w:pPr>
        <w:ind w:left="1020" w:right="620" w:hanging="504"/>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anti-American sentiment and the identification of Domino’s as an American brand, including those seen as a result of the geopolitical tensions in the Middle East and further escalations and the impact thereof; and</w:t>
      </w: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uncertainty around the world and related geopolitical risk.</w:t>
      </w:r>
    </w:p>
    <w:p>
      <w:pPr>
        <w:spacing w:after="0" w:line="10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 on the success of our franchisees, and we may be harmed by actions taken by our franchisees, or employees of our franchisees, that are outside of our control.</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and harm our business and reputation.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in certain circumstances, including the failure by franchisees to uphold product or operating standards, there is no assurance that such remedy will be available or sufficient to prevent harm to our brand and protect our intellectual property.</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2023, we had 735 independent U.S. franchisees operating 6,566 U.S. stores. As of that same date, 22 of these franchisees each owned and operated more than 50 U.S. stores, including our largest U.S. franchisee who owned and operated 143 stores and the average U.S. franchisee owned and operated approximately nine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December 31, 2023, our largest international master franchisee operated 3,840 stores in 12 markets, which accounted for approximately 28% of our total international store count. Our U.S. and international franchisees may not operate their franchises successfully. If one or more of our key franchisees were to be unsuccessful, become insolvent or otherwise were unable or unwilling to pay us our royalties or other amounts owed, our business and results of operations would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9" w:name="page20"/>
    <w:bookmarkEnd w:id="1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depend in large part on our brand and branded products and believe that they are very important to our business. We rely on a combination of trademarks, copyrights, domain names, patents,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or domain names that we currently use or contemplate using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for reasons including lack of presence by the brand where actual use is required to obtain trademark registration. In addition, certain countries have use requirements to maintain a trademark registration. In those countries where we do not currently operate but have registered trademarks, we may be unable to renew those registrations when they expire due to non-use.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9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primary risks that could directly result from the occurrence of a cyber incident include operational interruption, damage to our relationships with customers, franchisees and employees, private data exposure, including payment card or other financial data, public relations impact and regulatory fines. In addition to maintaining insurance coverage to address cyber incidents, we have also implemented processes, procedures and controls to help mitigate these risks. The costs related to cyber or other security threats or disruptions may not be fully insured or indemnified by others, including by our service providers and these measures, as well as our increased awareness of the risk of a cyber incident, do not guarantee that our reputation and financial results will not be materially and adversely affected by such an incident. Our business continuation or disaster recovery programs may not be sufficient to mitigate the harm that could result from such disaster or disruption, and insurance and other safeguards may only partially reimburse us for our losses, if at all. Artificial intelligence (“AI”) technologies may intensify our cybersecurity risks.</w:t>
      </w:r>
    </w:p>
    <w:p>
      <w:pPr>
        <w:spacing w:after="0" w:line="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depend on the performance of suppliers, aggregators and other third parties in our business operations. Third-party business processes we utilize include information technology, gift card authorization and processing, other payment processing, benefits, and other accounting and business services. The failure of our suppliers, aggregators and other third parties to maintain adequate controls or comply with our expectations and standards could have a material adverse effect on our business. 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The rapid evolution and increased adoption of artificial intelligence technologies amplifies these concerns.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our retail sales depends on the continuing operation of our information technology and communications systems, including DOM OS,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and some of our systems are not fully redundant. The occurrence of a natural disaster, intentional sabotage or other unanticipated problems could result in lengthy interruptions in service. The recent increase in remote working could also exacerbate certain risks to our business, including an increased risk of cyber incidents and improper dissemination of personal or confidential information.</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are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data breaches in which customer information was stolen through vendor access channels. Cyber-attacks and data breaches at a payment processing contractor could compromise confidential information or adversely affect our ability to deliver products and services to our customers. There is also a potential heightened risk of cyber security incidents as a result of geopolitical events outside of our control, such as the ongoing Russia-Ukraine conflict. These problems could negatively affect our results of operations, and remediation could result in significant, unplanned capital investments.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maintain important internal Company data, such as personally identifiable information about our employees and franchisees and information relating to our operations. In addition, more than 85% of our U.S. retail sales in 2023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State of California has adopted the California Privacy Rights Act of 2020, an amendment to the California Consumer Privacy Act, and several other states have adopted similar comprehensive data protection laws, which may require companies to change their practices for handling of personal data, including allowing consumers to request that we delete certain personal data. In addition, the State of New York promulgated the New York SHIELD Act, like laws in several other states, which imposes obligations on businesses to implement physical, administrative and technical security measures to protect personal data. As privacy and information security laws and regulations change, we may incur additional costs to ensure that we remain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it could require us to notify customers, employees or other groups. This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1" w:name="page22"/>
    <w:bookmarkEnd w:id="21"/>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impact that new or improved technologies, alternative methods of delivery, including autonomous vehicle delivery, or changes in consumer or employee behavior facilitated by these technologies and alternative methods of delivery will have on our business.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Advances in technologies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 We may incorporate traditional and generative AI solutions into our business, and these solutions may become important in our operations over time. The use of these AI solutions may expose us to additional risks and expenses. In addition, our competitors, some of whom have greater resources than we do, may be able to benefit more from changes in technologies or consumer acceptance of alternative methods of delivery.</w:t>
      </w:r>
    </w:p>
    <w:p>
      <w:pPr>
        <w:spacing w:after="0" w:line="9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experts and could reduce the available supply of labor. If we are not able to successfully respond to these challenges, our business could be materially and adversely affected.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additional risks associated with our franchisees.</w:t>
      </w:r>
    </w:p>
    <w:p>
      <w:pPr>
        <w:spacing w:after="0" w:line="13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83" w:lineRule="exact"/>
        <w:rPr>
          <w:sz w:val="20"/>
          <w:szCs w:val="20"/>
          <w:color w:val="auto"/>
        </w:rPr>
      </w:pPr>
    </w:p>
    <w:p>
      <w:pPr>
        <w:ind w:left="1020" w:right="40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spacing w:after="0" w:line="1" w:lineRule="exact"/>
        <w:rPr>
          <w:rFonts w:ascii="Times New Roman" w:cs="Times New Roman" w:eastAsia="Times New Roman" w:hAnsi="Times New Roman"/>
          <w:sz w:val="18"/>
          <w:szCs w:val="18"/>
          <w:color w:val="auto"/>
        </w:rPr>
      </w:pPr>
    </w:p>
    <w:p>
      <w:pPr>
        <w:ind w:left="1020" w:right="1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franchisees that are operating entities, which generally are not limited-purpose entities, including business, credit, financial and other risks in addition to risks related to unions;</w:t>
      </w:r>
    </w:p>
    <w:p>
      <w:pPr>
        <w:ind w:left="1020" w:right="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changes in control and succession in general and the ability to find acceptable successors who are able to perform a former franchisee’s obligations under applicable franchise agreements or successfully operate impacted stores in the event of a change of control or other succession event;</w:t>
      </w:r>
    </w:p>
    <w:p>
      <w:pPr>
        <w:ind w:left="1020" w:right="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ind w:left="1020" w:right="8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instances of termination of or default under a franchisee’s franchise agreement or the non-renewal thereof at the end of such agreement’s expiration date and the corresponding impact on the franchisee’s or our operations;</w:t>
      </w:r>
    </w:p>
    <w:p>
      <w:pPr>
        <w:ind w:left="1020" w:right="16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product liability exposure or noncompliance with labor and employment, health and safety regulations and the impact such events could have on a franchisee’s ability to make payments under applicable franchise agreements, on us if an aggrieved party seeks to recover their losses from us and on our brand’s reputation;</w:t>
      </w:r>
    </w:p>
    <w:p>
      <w:pPr>
        <w:ind w:left="1020" w:right="38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injunctive relief, fines, damage awards or capital expenditures under laws or regulations that could adversely affect the ability of a franchisee to make payments under applicable franchise agreements;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2" w:name="page23"/>
    <w:bookmarkEnd w:id="22"/>
    <w:p>
      <w:pPr>
        <w:jc w:val="both"/>
        <w:ind w:left="1020" w:right="260" w:hanging="504"/>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franchisees, including litigation involving us or litigation involving a third-party directed at a franchisee, which could impede the ability of a defendant-franchisee to make its royalty payments and divert our resources regardless of whether the allegations in such litigation are valid or whether we are liable; and</w:t>
      </w:r>
    </w:p>
    <w:p>
      <w:pPr>
        <w:ind w:left="1020" w:right="120" w:hanging="504"/>
        <w:spacing w:after="0" w:line="253"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reliance of a franchised store business on its franchisees and the nature of franchisees in general, including the retention of franchisees (especially including our top-performing franchisees) in the future or our ability to attract, retain, and motivate sufficient numbers of franchisees of the same caliber in the future as well as our ability to maintain a positive and constructive relationship with our franchisees.</w:t>
      </w:r>
    </w:p>
    <w:p>
      <w:pPr>
        <w:spacing w:after="0" w:line="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Total insurance limits under these retention programs vary depending upon the period covered and range up to $110.0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Major institutional investors have publicly emphasized the importance of such ESG matters to their investment decisions. Further, we set and submitted our Science Based Targets for validation in 2023 and have established a commitment to achieve those Science Based Targets by 2032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 There is no assurance that we will be able to successfully execute our strategies and achieve our goals. Failure to achieve our goals could damage our reputation and customer, investor and other stakeholder relationships and have an adverse effect on our business, results of operations and financial condition, as well as on our stock price. There also has been increased political focus, including by U.S. and foreign governmental authorities, on environmental sustainability matters, such as climate change, the reduction of greenhouse gases and water usage; there has also been pushback to certain ESG initiatives in recent years which could also have an adverse effect. The SEC has included in its regulatory agenda proposed rulemaking on climate change disclosures that, if adopted, could significantly increase compliance burdens and associated regulatory costs and the complexity of the regulatory framework.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 including the sustainability of our business over time.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business and limit our ability to plan for or respond to changes in our business.</w:t>
      </w:r>
    </w:p>
    <w:p>
      <w:pPr>
        <w:spacing w:after="0" w:line="13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We have a substantial amount of indebtedness. As of December 31, 2023, our consolidated total indebtedness was approximately $4.99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83"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agreements;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8" w:lineRule="exact"/>
        <w:rPr>
          <w:rFonts w:ascii="Times New Roman" w:cs="Times New Roman" w:eastAsia="Times New Roman" w:hAnsi="Times New Roman"/>
          <w:sz w:val="18"/>
          <w:szCs w:val="18"/>
          <w:color w:val="auto"/>
        </w:rPr>
      </w:pPr>
    </w:p>
    <w:p>
      <w:pPr>
        <w:ind w:left="1020" w:right="800" w:hanging="504"/>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and</w:t>
      </w:r>
    </w:p>
    <w:p>
      <w:pPr>
        <w:ind w:left="1020" w:right="480" w:hanging="504"/>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our peers that may have less debt.</w:t>
      </w:r>
    </w:p>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 our 2021 Variable Funding Notes and 2022 Variable Funding Notes bear interest at fluctuating interest rates that in certain circumstances is based on a forward-looking term rate based on the Secured Overnight Financing Rate (“Term SOFR”). Term SOFR is a relatively new index that is administered by the Federal Reserve Bank of New York (the “New York Fed”). There can be no assurance that the New York Fed will not discontinue the publication of Term SOFR, in which case interest payments on our 2021 Variable Funding Notes and 2022 Variable Funding Notes would need to be calculated using a different index, or alter the manner in which Term SOFR is calculated. As a result, our interest expense could increase, in which event we may have difficulties making interest payments and funding our other fixed costs, and our available cash flow for general corporate requirements may be adversely affected.</w:t>
      </w:r>
    </w:p>
    <w:p>
      <w:pPr>
        <w:spacing w:after="0" w:line="9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interest expense could also be increased by rising interest rates. 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could impact our ability to access capital and materially and adversely affect our business, financial condition and results of operations.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or result in more restrictive covenants in agreements governing the terms of any future indebtedness that we may incur, and thereby could adversely impact our business and operations.</w:t>
      </w:r>
    </w:p>
    <w:p>
      <w:pPr>
        <w:spacing w:after="0" w:line="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8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we conduct and engage in mergers, acquisitions and other business combinations;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 and make loans and investments;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these covenants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term following issuance, the outstanding senior notes will accrue interest in accordance with the terms of the debt agreements. Additionally, our senior notes have original scheduled principal payments of $51.5 million in 2024, $1.17 billion in 2025, $39.3 million in 2026, $1.31 billion in 2027, $811.5 million in 2028, $625.9 million in 2029, $10.0 million in 2030 and $905.0 million in 2031.</w:t>
      </w:r>
    </w:p>
    <w:p>
      <w:pPr>
        <w:spacing w:after="0" w:line="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the leverage ratio for the Company is less than or equal to 5.0x total debt, as defined, to adjusted EBITDA, as defined in the indenture governing our securitized debt, and no catch-up provisions are applicable.</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unable to refinance or repay amounts under the securitized debt prior to the expiration of the term, our cash flow would be directed to the repayment of the securitized debt and, other than a weekly management fee sufficient to cover minimal selling, general and administrative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Compliance Risks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7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class action lawsuits have been filed, and may continue to be filed, against various QSRs alleging, among other things, that QSRs have failed to disclose the health risks associated with high-fat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 Further, we may be subject to employee, franchisee and other claims in the future based on, among other things, discrimination, harassment, working and safety conditions, wrongful termination and wage, expense reimbursement, rest break and meal break issues, including claims relating to minimum wage and overtime compensation. We and our international master franchisees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19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and our franchisees are subject to extensive laws and government regulation and requirements issued by other groups and our failure to comply with existing or increased laws and regulations could adversely affect our business and operating results.</w:t>
      </w:r>
    </w:p>
    <w:p>
      <w:pPr>
        <w:spacing w:after="0" w:line="6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laws and regulations, as well as requirements issued by other groups, including those relating to:</w:t>
      </w:r>
    </w:p>
    <w:p>
      <w:pPr>
        <w:spacing w:after="0" w:line="68"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sale and labeling of food;</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 and environmental protection;</w:t>
      </w:r>
    </w:p>
    <w:p>
      <w:pPr>
        <w:spacing w:after="0" w:line="8" w:lineRule="exact"/>
        <w:rPr>
          <w:rFonts w:ascii="Times New Roman" w:cs="Times New Roman" w:eastAsia="Times New Roman" w:hAnsi="Times New Roman"/>
          <w:sz w:val="18"/>
          <w:szCs w:val="18"/>
          <w:color w:val="auto"/>
        </w:rPr>
      </w:pPr>
    </w:p>
    <w:p>
      <w:pPr>
        <w:ind w:left="1020" w:right="220" w:hanging="504"/>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including minimum wage, overtime, insurance, discrimination and other labor requirements as well as working and safety conditions;</w:t>
      </w: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arrangements;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card industry standards and requirements;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social media, information privacy and consumer protection.</w:t>
      </w:r>
    </w:p>
    <w:p>
      <w:pPr>
        <w:spacing w:after="0" w:line="112"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spacing w:after="0" w:line="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October 2023, the National Labor Relations Board (“NLRB”) adopted a final rule with a new and broader standard grounded in common law agency principles for determining when two or more otherwise unrelated employers may be found to be a joint employer of the same employees under the National Labor Relations Act (the “NLRA”). The NLRB’s final rule is scheduled to go into effect on February 26, 2024; if it is adopted by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based upon the outcome and application of recent legal proceedings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The California legislature has enacted a statute known as Assembly Bill 5 (AB-5), which went into effect on January 1, 2020. AB-5 requires “gig economy” workers to be reclassified as employees instead of independent contractors. However, depending upon the application of AB-5, franchisors in certain industries could be deemed to be covered by the statute, in which event certain franchisees could be deemed employees of the franchisors. While active efforts to narrow the reach of AB-5 continue, a bill (SB 967), which was introduced specifically to exempt the relationship between a franchisor and franchisee from the scope of AB-5, was not successful in the legislature.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3,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Given that misclassification claims have been successful against or applied to a franchisor under AB-5 and may be successful under similar state laws, a franchisor could be liable to its franchisees (and potentially their employees) based the rights and remedies available to employees under such laws and, thereafter, have to treat its franchisees (and their employees) as the franchisor’s employees under these laws.</w:t>
      </w:r>
    </w:p>
    <w:p>
      <w:pPr>
        <w:spacing w:after="0" w:line="9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We and our franchisees are subject to the Fair Labor Standards Act of 1938, as amended (the “FLSA”),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some specific to employees of national fast food chains, which may be material, including as a result of California’s AB 1228.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 On January 12, 2020, the U.S. Department of Labor announced a final rule to update and clarify the definition of joint employer under the FLSA. Under the final rule, the general test for assessing whether a party can be deemed a joint employer would be based upon whether that party (i) hires or fires the employee; (ii) supervises and controls the employee’s work schedule or conditions of employment;</w:t>
      </w:r>
    </w:p>
    <w:p>
      <w:pPr>
        <w:spacing w:after="0" w:line="7" w:lineRule="exact"/>
        <w:rPr>
          <w:sz w:val="20"/>
          <w:szCs w:val="20"/>
          <w:color w:val="auto"/>
        </w:rPr>
      </w:pPr>
    </w:p>
    <w:p>
      <w:pPr>
        <w:ind w:right="40" w:firstLine="8"/>
        <w:spacing w:after="0" w:line="251"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employee’s rate and method of payment; and (iv) maintains the employee’s employment records. In the final rule, the Department of Labor describes instances in which joint employment would not be more or less likely to be found to exist under the FLSA, which, according to the Department of Labor, includes the relationships that exist under the typical franchise business model. This rule may reduce a franchisor’s risk of liability that currently exists under the joint employer standard now in effect under the FLSA (though ultimately, the facts specific to the franchisor-franchisee model at issue would be considered when determining liability). On July 29, 2021, the current administration’s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FLSA violations by their franchisees. The rules of the Department of Labor are separate from the joint employer standard under the NLRA or, as described above, potential liability as a joint employer under the NLRA.</w:t>
      </w:r>
    </w:p>
    <w:p>
      <w:pPr>
        <w:spacing w:after="0" w:line="9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In October 2023, the FTC proposed a rule targeting misleading and hidden fees and how businesses may advertise and market prices to consumers; a law addressing hidden fees will take effect in California starting July 1, 2024 after Senate Bill No. 478 was signed into law. The ultimate scope of these rules and laws is currently unknown, but could be determined to apply to restaurants and fees such as delivery fees, service charges or surcharges that could impact the way we advertise to consumers. To the extent our advertising is negatively impacted, our business could be adversely affected.</w:t>
      </w:r>
    </w:p>
    <w:p>
      <w:pPr>
        <w:spacing w:after="0" w:line="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7" w:name="page28"/>
    <w:bookmarkEnd w:id="27"/>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We may also become subject to legislation or regulation seeking to tax and/or regulate high-fat foods, foods with high sugar and salt content, or foods otherwise deemed to be “unhealthy,” and our capital expenditures could increase due to remediation and compliance measures related to these laws or regulations.</w:t>
      </w:r>
    </w:p>
    <w:p>
      <w:pPr>
        <w:spacing w:after="0" w:line="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General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value of the U.S. dollar in relation to other currencies may lead to lower revenues and earnings.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Exchange rate fluctuations could have an adverse effect on our results of operations and we have in the past experienced significant adverse changes in foreign currency rates. International franchise royalties and fees represented approximately 6.9%, 6.5% and 6.8% of our total revenues in 2023, 2022 and 2021, respectively, a majority of which were denominated in foreign currencies. We also operate dough manufacturing and distribution facilities in Canada, which generate revenues denominated in Canadian dollars. Sales made by franchised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$27.4 million in 2023.</w:t>
      </w:r>
    </w:p>
    <w:p>
      <w:pPr>
        <w:spacing w:after="0" w:line="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spacing w:after="0" w:line="7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Our annual and quarterly financial results, including our sales and operating results, can vary significantly from quarter-to-quarter and year-to-year depending on various factors, many of which are beyond our control. These factors include, among other things:</w:t>
      </w:r>
    </w:p>
    <w:p>
      <w:pPr>
        <w:spacing w:after="0" w:line="68"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timing and volume of our sales and our franchisees’ sales, including same store sales;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sales;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our ingredients or labor;</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or actual changes to our capital or debt structure;</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sales promotions, acquisitions or restructurings;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 or any share repurchase program;</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legislation or other regulatory developments affecting us or our industry;</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and economic conditions generally as well as general market conditions;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1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a result, our operational performance may decline quickly and significantly in response to changes in order patterns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entire Board of Directors is engaged in risk management oversight, including the oversight of risks from cybersecurity threats. In accordance with the NYSE listed company rules, the Audit Committee assists the Board of Directors in its oversight of Domino’s company-wide risk management and the process established to identify, assess, measure, monitor and manage risks, including major information security and cybersecurity risks, with input from the Company’s internal committee dedicated to assessing and managing enterprise risk comprised of members of the Company’s Executive Leadership Team who report directly to our Chief Executive Officer in addition to other senior leaders within the Company (the “Enterprise Risk Committee”).</w:t>
      </w:r>
    </w:p>
    <w:p>
      <w:pPr>
        <w:spacing w:after="0" w:line="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Cybersecurity and related matters are a recurring topic at meetings of the Audit Committee and the Company’s Executive Vice President and Chief Technology Officer (“CTO”) and Chief Information Security Officer (“CISO”) provide the Audit Committee with an update on the Company’s cybersecurity risk profile and strategy at multiple Audit Committee meetings each year. These updates include both qualitative and quantitative information on the effectiveness of the Company’s cybersecurity controls.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an operational level, the Company’s cybersecurity strategy is shaped by its CISO who is ultimately responsible for implementing the Company’s cybersecurity policies, procedures and strategy under the oversight of the Enterprise Risk Committee. The Company’s CISO regularly provides updates to the Enterprise Risk Committee at relevant meetings and provides additional updates to the Company’s Chief Executive Officer, Executive Vice President and Chief Financial Officer, Executive Vice President, General Counsel and Corporate Secretary and CTO on a regular basis in between the meetings of the Enterprise Risk Committee. Such updates are designed to ensure the Enterprise Risk Committee and Company executives remain informed about and are able to monitor the prevention, detection, mitigation and remediation of cybersecurity incidents. The Company’s CISO has multiple decades of experience in the cybersecurity and information security fields with relevant experience supplemented by undergraduate and post-graduate degrees in information technology and security and completion of additional related executive education, along with holding several industry-recognized cybersecurity certifications. The Company’s CTO supplements the expertise and experience of the CISO.</w:t>
      </w:r>
    </w:p>
    <w:p>
      <w:pPr>
        <w:spacing w:after="0" w:line="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Under the oversight of the Enterprise Risk Committee, relevant information regarding the Company’s cybersecurity profile and any cybersecurity threats or incidents is then communicated during the regular updates to the Audit Committee in a process designed to ensure the Board of Directors and Audit Committee maintains appropriate oversight of the Company’s cybersecurity strategy and risk profile.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Cybersecurity is a key component of the Company’s overall risk management system, and the Company believes it has implemented robust processes that are designed to effectively manage risks from cybersecurity threats. Domino’s cybersecurity program is embedded into the Company’s enterprise risk management framework from both a resource allocation and strategic initiative perspective and is supported by an extensive catalog of layered security controls that are designed to prevent and detect internal and external security threats and safeguard privacy and personal data of customers, team members, franchisees and other business partners. Domino’s maintains this comprehensive information security program with a dedicated team that is responsible for directing, coordinating, planning and organizing information security activities throughout the Company and is led by the Company’s CISO.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9" w:name="page30"/>
    <w:bookmarkEnd w:id="29"/>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leverages a combination of the National Institute of Standards and Technology (NIST) Cybersecurity Framework and the Center for Internet Security (CIS) Critical Security Controls as the scale against which to assess its information security program and invest in its ability to proactively defend against security risks within its environment. Domino’s conducts annual risk assessments, both internally and through the use of third parties, to evaluate the effectiveness of its security controls and identify new threats and vulnerabilities and appropriate controls to mitigate risks and supplements these regular assessments with ongoing monitoring. Additionally, Domino’s participates in ongoing and periodic assessments of its external platform and applications to include running a responsible disclosure program to ensure that vulnerabilities that are discovered can be reported and appropriately remediated. Domino’s has been certified as compliant with the Payment Card Industry Data Security Standard (“PCI DSS”) standards and has several dedicated teams of specialists within its information security department that routinely conduct internal and external vulnerability and penetration assessments in accordance with both PCI DSS and industry accepted practices. This team keeps the Company’s management informed about and monitors the prevention, detection, mitigation, and remediation of cybersecurity incidents and leads the Company’s processes to oversee and identify risks from cybersecurity threats associated with the Company’s use of its third-party service providers. The Company additionally has established and maintains a dedicated Security Operations Center (SOC) team that is responsible for quickly identifying and treating events that could pose risk to its technology environments and that has a documented incident response plan in place.</w:t>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its vendors and service providers and their respective vendors and service providers face various security threats on a regular basis, including ongoing cybersecurity threats to and attacks on its and their information technology infrastructure that are intended to gain access to the Company’s proprietary information, destroy or modify data or disable, degrade or sabotage systems. Cyber incident techniques change frequently, may not immediately be recognized and can originate from a wide variety of sources, including as part of the supply-chain of software and computer code that supports the software and systems on which the Company and such parties rely. There has been an increase in the frequency, sophistication and ingenuity of the data security threats the Company and these vendors and service providers face, with attacks ranging from those common to businesses generally to those that are more advanced and persistent.</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the Company does not believe that any risks from cybersecurity threats (as defined in Item 106 of Regulation S-K), including as a result of any previous cybersecurity incidents, have to-date materially affected the Company, including its business strategy, results of operations or financial condition, the occurrence of cybersecurity incidents, or a deficiency in cybersecurity, could negatively impact the Company’s business by causing a disruption to its operations, a compromise or corruption of confidential information, or damage to the Company’s employee and business relationships, any of which could have adverse effects on the Company’s results of operations, financial condition and cash flow and harm its brand. The costs related to cyber or other security threats or disruptions may not be fully insured or indemnified by others, including by the Company’s service providers. See “Risk Factors – 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4"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w:t>
      </w:r>
    </w:p>
    <w:p>
      <w:pPr>
        <w:spacing w:after="0" w:line="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own four supply chain center buildings. All other U.S. and Canadian supply chain centers are leased by us, under leases ranging between five and 21 years with one or two five-year renewal options. All buildings for U.S. Company-owned stores are leased by us, typically under ten-year leases with one or two five-year renewal options. All franchise stores are leased or owned directly by the respective franchisees. We believe that our existing headquarters and other leased and owned facilities are adequate to meet our current requirements, but we plan to continue investing in additional supply chain productivity initiatives in the future.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Executive Officers of the Registrant.</w:t>
      </w:r>
    </w:p>
    <w:p>
      <w:pPr>
        <w:spacing w:after="0" w:line="13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listing of executive officers of the Company is set forth under Part III Item 10. Directors, Executive Officers and Corporate Governance, which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620" w:val="left"/>
        </w:tabs>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r>
        <w:rPr>
          <w:sz w:val="20"/>
          <w:szCs w:val="20"/>
          <w:color w:val="auto"/>
        </w:rPr>
        <w:tab/>
      </w:r>
      <w:r>
        <w:rPr>
          <w:rFonts w:ascii="Times New Roman" w:cs="Times New Roman" w:eastAsia="Times New Roman" w:hAnsi="Times New Roman"/>
          <w:sz w:val="17"/>
          <w:szCs w:val="17"/>
          <w:b w:val="1"/>
          <w:bCs w:val="1"/>
          <w:color w:val="auto"/>
        </w:rPr>
        <w:t>Equity Securities.</w:t>
      </w:r>
    </w:p>
    <w:p>
      <w:pPr>
        <w:spacing w:after="0" w:line="13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As of February 19, 2024, Domino’s Pizza, Inc. had 170,000,000 authorized shares of common stock, par value $0.01 per share, of which 34,812,723 were issued and outstanding. As of February 19, 2024, there were 1,480 registered holders of record of Domino’s Pizza, Inc.’s common stock. Domino’s Pizza, Inc.’s common stock is traded on the New York Stock Exchange (“NYSE”) under the ticker symbol “DPZ.”</w:t>
      </w:r>
    </w:p>
    <w:p>
      <w:pPr>
        <w:spacing w:after="0" w:line="8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Our Board of Directors declared a quarterly dividend of $1.51 per common share on February 21, 2024 payable on March 29, 2024 to shareholders of record at the close of business on March 15, 2024.</w:t>
      </w:r>
    </w:p>
    <w:p>
      <w:pPr>
        <w:spacing w:after="0" w:line="6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December 31, 2023, we had a Board of Directors-approved share repurchase program for up to $1.0 billion of our common stock, of which $141.3 million remained available for future purchases of our common stock. Subsequent to the end of fiscal 2023, on February 21, 2024, our Board of Directors authorized an additional share repurchase program to repurchase up to $1.0 billion of our common stock, in addition to the $141.3 million that was previously remaining for a total authorization of $1.14 billion for future share repurchases. Any future purchases of our common stock would be funded by current cash amounts, available borrowings or future excess cash flow. The following table summarizes our repurchase activity during the fourth quarter ended 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Dollar Value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Purchased as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Part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May Yet</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Publicly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Be Purchased</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Announced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Purchased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Paid</w:t>
            </w: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#10 (September 11, 2023 to October 8,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381.87</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#11 (October 9, 2023 to November 5,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145,187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#12 (November 6, 2023 to December 3,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#13 (December 4, 2023 to December 31, 2023)</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171,032</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167,572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141,333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580" w:right="200" w:hanging="378"/>
        <w:spacing w:after="0" w:line="297"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3,460 shares were purchased as part of the Company’s employee stock purchase discount plan. During the fourth quarter, the shares were purchased at an average price of $369.05.</w:t>
      </w:r>
    </w:p>
    <w:p>
      <w:pPr>
        <w:spacing w:after="0" w:line="70" w:lineRule="exact"/>
        <w:rPr>
          <w:rFonts w:ascii="Times New Roman" w:cs="Times New Roman" w:eastAsia="Times New Roman" w:hAnsi="Times New Roman"/>
          <w:sz w:val="16"/>
          <w:szCs w:val="16"/>
          <w:color w:val="auto"/>
        </w:rPr>
      </w:pPr>
    </w:p>
    <w:p>
      <w:pPr>
        <w:ind w:left="580" w:right="40" w:hanging="378"/>
        <w:spacing w:after="0" w:line="297"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The following comparative stock performance line graph compares the cumulative shareholder return of the common stock of Domino’s Pizza, Inc. (NYSE: DPZ) for the five-year period between December 31, 2018 and December 31, 2023, with the cumulative total return of (i) the Standard &amp; Poor’s 500 Index (the “S&amp;P 500”) and (ii) the Company’s peer group, the Standard &amp; Poor’s Composite 1500 Restaurant Index (the “S&amp;P 1500 Restaurant Index”). The cumulative total return computations set forth in the performance graph assume the investment of $100 in each of the Company’s common stock, the S&amp;P 500 and the S&amp;P 1500 Restaurant Index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342890" cy="2740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2890" cy="274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fiscal year typically includes 52 weeks, comprised of three twelve-week quarters and one sixteen-week quarter.</w:t>
      </w:r>
    </w:p>
    <w:p>
      <w:pPr>
        <w:spacing w:after="0" w:line="13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fiscal year ended December 31, 2023 compared to the fiscal year ended January 1, 2023. For a discussion of the fiscal year ended January 1, 2023 compared to the fiscal year ended January 2, 2022, please refer to Part II, Item 7, “Management’s Discussion and Analysis of Financial Condition and Results of Operations” in our Annual Report on Form 10-K for the fiscal year ended January 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20,500 locations in over 90 markets around the world as of December 31, 2023,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December 31, 2023.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At Domino’s, we believe we have a proven business model for success that has historically driven strong returns for our shareholders.</w:t>
      </w:r>
    </w:p>
    <w:p>
      <w:pPr>
        <w:spacing w:after="0" w:line="8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Domino’s financial results are driven largely by retail sales at our franchised and Company-owned stores. Changes in retail sales are primarily driven by same store sales growth and net store growth. We monitor both of these metrics very closely, as they directly impact our revenues and profits, and we strive to consistently increase both metrics. Retail sales drive royalty payments from franchisees, as well as Company-owned store and supply chain revenues.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2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most critical accounting estimates 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at least annually or whenever events or changes in circumstances indicate that the carrying amount of the assets may not be recoverable. Our periodic evaluation is based on various analyses, including, on an annual basis,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 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not be recoverable and we may be required to recognize an impairment charge. There were no triggering events in 2023, 2022 or 2021, and accordingly, we did not record any impairment losses on long-lived assets in 2023, 2022 and 2021.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insurance reserves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The related insurance reserves are based on undiscounted independent actuarial estimates, which are based on historical information along with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5" w:name="page36"/>
    <w:bookmarkEnd w:id="35"/>
    <w:p>
      <w:pPr>
        <w:spacing w:after="0" w:line="255" w:lineRule="auto"/>
        <w:rPr>
          <w:sz w:val="20"/>
          <w:szCs w:val="20"/>
          <w:color w:val="auto"/>
        </w:rPr>
      </w:pPr>
      <w:r>
        <w:rPr>
          <w:rFonts w:ascii="Times New Roman" w:cs="Times New Roman" w:eastAsia="Times New Roman" w:hAnsi="Times New Roman"/>
          <w:sz w:val="18"/>
          <w:szCs w:val="18"/>
          <w:color w:val="auto"/>
        </w:rPr>
        <w:t>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December 31, 2023 would have affected our income before provision for income taxes by approximately $5.6 million in 2023. We had accruals for casualty insurance reserves of $56.3 million and $57.6 million at December 31, 2023 and January 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U.S. Federal statutory income tax rate was 21% in each of 2023, 2022 and 2021. Our Federal income tax provision calculated based on the Federal statutory rate was $137.0 million, $120.3 million and $131.4 million in 2023, 2022 and 2021, respectively.</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December 31, 2023 and January 1, 2023, we had total foreign tax credits of $16.8 million and $13.5 million, respectively, each of which were fully offset with a corresponding valuation allowance. We also had valuation allowances related to interest deductibility in separately filed states of $1.4 million and $1.5 million as of December 31, 2023 and January 1, 2023, respectively. We believe our remaining deferred tax assets will be realized. Changes in our current estimates due to unanticipated events could have a material impact on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Fiscal 2023 Highlights</w:t>
      </w:r>
    </w:p>
    <w:p>
      <w:pPr>
        <w:spacing w:after="0" w:line="124" w:lineRule="exact"/>
        <w:rPr>
          <w:sz w:val="20"/>
          <w:szCs w:val="20"/>
          <w:color w:val="auto"/>
        </w:rPr>
      </w:pPr>
    </w:p>
    <w:p>
      <w:pPr>
        <w:ind w:left="760" w:right="80" w:hanging="378"/>
        <w:spacing w:after="0" w:line="25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5.4% as compared to 2022. U.S. retail sales increased 3.1% and international retail sales, excluding foreign currency impact, increased 7.7%, each as compared to 2022.</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increased 1.6% in our U.S. stores and increased 1.7% in our international stores, excluding foreign currency impact.</w:t>
      </w:r>
    </w:p>
    <w:p>
      <w:pPr>
        <w:spacing w:after="0" w:line="8" w:lineRule="exact"/>
        <w:rPr>
          <w:rFonts w:ascii="Times New Roman" w:cs="Times New Roman" w:eastAsia="Times New Roman" w:hAnsi="Times New Roman"/>
          <w:sz w:val="18"/>
          <w:szCs w:val="18"/>
          <w:color w:val="auto"/>
        </w:rPr>
      </w:pPr>
    </w:p>
    <w:p>
      <w:pPr>
        <w:ind w:left="760" w:right="20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stores grew by 711 net stores, including 168 net store openings in the U.S. and 543 net store openings internationally. Excluding the closure of the Russia market as discussed below, global net stores grew by 870.</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6.7%.</w:t>
      </w:r>
    </w:p>
    <w:p>
      <w:pPr>
        <w:spacing w:after="0" w:line="11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2023, driven by global net store growth and same store sales growth in both our U.S. and international businesses. These factors also contributed to an increase in income from operations. Overall, we believe our global retail sales growth (excluding foreign currency impact), emphasis on technology, operations and marketing initiatives, have combined to strengthen our brand. These financial and statistical measures are described in additional detail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Statistical Measures</w:t>
      </w:r>
    </w:p>
    <w:p>
      <w:pPr>
        <w:spacing w:after="0" w:line="12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are indicative of the financial health of the franchisee base. In addition, supply chain revenues are directly impacted by changes in franchise retail sales in the U.S. and Canada. As a result, sales by Domino’s franchisees have a direct effect on the Company’s profitability. Retail sales for franchised stores are reported to us by our franchisees and are not included in our revenues. The amounts below are presented in millions of U.S.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9,026.1</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8,641.4</w:t>
            </w:r>
          </w:p>
        </w:tc>
        <w:tc>
          <w:tcPr>
            <w:tcW w:w="100" w:type="dxa"/>
            <w:vAlign w:val="bottom"/>
            <w:shd w:val="clear" w:color="auto" w:fill="CFF0FC"/>
          </w:tcPr>
          <w:p>
            <w:pPr>
              <w:spacing w:after="0"/>
              <w:rPr>
                <w:sz w:val="20"/>
                <w:szCs w:val="20"/>
                <w:color w:val="auto"/>
              </w:rPr>
            </w:pP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9,137.5</w:t>
            </w:r>
          </w:p>
        </w:tc>
        <w:tc>
          <w:tcPr>
            <w:tcW w:w="100" w:type="dxa"/>
            <w:vAlign w:val="bottom"/>
          </w:tcPr>
          <w:p>
            <w:pPr>
              <w:spacing w:after="0"/>
              <w:rPr>
                <w:sz w:val="20"/>
                <w:szCs w:val="20"/>
                <w:color w:val="auto"/>
              </w:rPr>
            </w:pPr>
          </w:p>
        </w:tc>
      </w:tr>
      <w:tr>
        <w:trPr>
          <w:trHeight w:val="24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18,275.8</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17,539.9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17,779.0</w:t>
            </w:r>
          </w:p>
        </w:tc>
        <w:tc>
          <w:tcPr>
            <w:tcW w:w="100" w:type="dxa"/>
            <w:vAlign w:val="bottom"/>
            <w:shd w:val="clear" w:color="auto" w:fill="CFF0FC"/>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13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Global retail sales growth, excluding foreign currency impact, in 2021 reflects the impact of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in 2020. Changes in global retail sales growth, excluding foreign currency impact are primarily driven by same store sales growth and net store growth.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100" w:type="dxa"/>
            <w:vAlign w:val="bottom"/>
            <w:shd w:val="clear" w:color="auto" w:fill="CFF0FC"/>
          </w:tcPr>
          <w:p>
            <w:pPr>
              <w:spacing w:after="0"/>
              <w:rPr>
                <w:sz w:val="20"/>
                <w:szCs w:val="20"/>
                <w:color w:val="auto"/>
              </w:rPr>
            </w:pPr>
          </w:p>
        </w:tc>
      </w:tr>
      <w:tr>
        <w:trPr>
          <w:trHeight w:val="243"/>
        </w:trPr>
        <w:tc>
          <w:tcPr>
            <w:tcW w:w="6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stores (excluding foreign currency impact) </w:t>
            </w:r>
            <w:r>
              <w:rPr>
                <w:rFonts w:ascii="Times New Roman" w:cs="Times New Roman" w:eastAsia="Times New Roman" w:hAnsi="Times New Roman"/>
                <w:sz w:val="24"/>
                <w:szCs w:val="24"/>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100" w:type="dxa"/>
            <w:vAlign w:val="bottom"/>
          </w:tcPr>
          <w:p>
            <w:pPr>
              <w:spacing w:after="0"/>
              <w:rPr>
                <w:sz w:val="21"/>
                <w:szCs w:val="21"/>
                <w:color w:val="auto"/>
              </w:rPr>
            </w:pPr>
          </w:p>
        </w:tc>
      </w:tr>
      <w:tr>
        <w:trPr>
          <w:trHeight w:val="236"/>
        </w:trPr>
        <w:tc>
          <w:tcPr>
            <w:tcW w:w="69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(excluding foreign currency impact) </w:t>
            </w:r>
            <w:r>
              <w:rPr>
                <w:rFonts w:ascii="Times New Roman" w:cs="Times New Roman" w:eastAsia="Times New Roman" w:hAnsi="Times New Roman"/>
                <w:sz w:val="24"/>
                <w:szCs w:val="24"/>
                <w:color w:val="auto"/>
                <w:vertAlign w:val="superscript"/>
              </w:rPr>
              <w:t>(2)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+ 8.9%</w:t>
            </w:r>
          </w:p>
        </w:tc>
        <w:tc>
          <w:tcPr>
            <w:tcW w:w="100" w:type="dxa"/>
            <w:vAlign w:val="bottom"/>
            <w:shd w:val="clear" w:color="auto" w:fill="CFF0FC"/>
          </w:tcPr>
          <w:p>
            <w:pPr>
              <w:spacing w:after="0"/>
              <w:rPr>
                <w:sz w:val="20"/>
                <w:szCs w:val="20"/>
                <w:color w:val="auto"/>
              </w:rPr>
            </w:pPr>
          </w:p>
        </w:tc>
      </w:tr>
    </w:tbl>
    <w:p>
      <w:pPr>
        <w:spacing w:after="0" w:line="104" w:lineRule="exact"/>
        <w:rPr>
          <w:sz w:val="20"/>
          <w:szCs w:val="20"/>
          <w:color w:val="auto"/>
        </w:rPr>
      </w:pPr>
    </w:p>
    <w:p>
      <w:pPr>
        <w:ind w:left="480" w:right="320" w:hanging="459"/>
        <w:spacing w:after="0" w:line="245" w:lineRule="auto"/>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Fiscal 2023 figures exclude the impact of the Russia market. Including the impact of the Russia market, international stores retail sales growth, excluding foreign currency impact, was 7.3% for fiscal 2023.</w:t>
      </w:r>
    </w:p>
    <w:p>
      <w:pPr>
        <w:ind w:left="480" w:right="40" w:hanging="459"/>
        <w:spacing w:after="0" w:line="239" w:lineRule="auto"/>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Fiscal 2023 figures exclude the impact of the Russia market. Including the impact of the Russia market, total global retail sales growth, excluding foreign currency impact, was 5.2% for fiscal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retail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w:t>
            </w:r>
          </w:p>
        </w:tc>
      </w:tr>
      <w:tr>
        <w:trPr>
          <w:trHeight w:val="24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w:t>
            </w:r>
          </w:p>
        </w:tc>
      </w:tr>
    </w:tbl>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 same store sales increased 1.6% during 2023, rolling over a decrease in U.S. same store sales of 0.8% in 2022. The increase in U.S. same store sales in 2023 was attributable to a higher average ticket per transaction resulting from increases in menu and national offer pricing. International same store sales (excluding foreign currency impact) increased 1.7% during 2023, rolling over an increase in international same store sales (excluding foreign currency impact) of 0.1% in 2022. The increase in international same store sales in 2023 was attributable to a higher average ticket per transaction across our international markets.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Store Growth</w:t>
      </w:r>
    </w:p>
    <w:p>
      <w:pPr>
        <w:spacing w:after="0" w:line="134"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 Net store growth during fiscal 2023 reflects the closure of the remaining 159 net stores in the Russia market.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3,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8"/>
        </w:trPr>
        <w:tc>
          <w:tcPr>
            <w:tcW w:w="5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2,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2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-1409065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-1409065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-1409065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-1409065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-1409065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-784225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-784225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-784225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-784225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-784225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-159385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-159385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-159385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-159385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Market</w:t>
      </w:r>
    </w:p>
    <w:p>
      <w:pPr>
        <w:spacing w:after="0" w:line="12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August 21, 2023, our master franchisee that owned and operated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We have presented our statistical measure of global retail sales growth, excluding foreign currency impact, for fiscal 2023 excluding the impact of the retail sales from the Russia market. The 2023 global retail sales growth measures excluding the Russia market are calculated as the growth in retail sales excluding the retail sales from the Russia market from both 2023 retail sales and the 2022 retail sales base. We believe the impact of the Russia market on our statistical measure of global retail sales growth, excluding foreign currency impact, for the fiscal years 2022 and 2021 were immaterial and prior amounts have not been adjusted to conform to the current year presentation. We believe the impact of the Russia market on our statistical measure of same store sales growth for the periods presented was immaterial, and we also believe the impact of the Russia market on our consolidated statements of income related to international franchise royalties and fee revenues and general and administrative expenses for the periods presented was immaterial. We have not received any royalties and fees from the operations of the Russia market subsequent to the Russian invasion of Ukraine in February 2022.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10.6 %</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52"/>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 (gain)</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4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32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320" w:type="dxa"/>
            <w:vAlign w:val="bottom"/>
          </w:tcPr>
          <w:p>
            <w:pPr>
              <w:spacing w:after="0"/>
              <w:rPr>
                <w:sz w:val="20"/>
                <w:szCs w:val="20"/>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(184.8 )</w:t>
            </w:r>
          </w:p>
        </w:tc>
        <w:tc>
          <w:tcPr>
            <w:tcW w:w="4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(195.1 )</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(191.5 )</w:t>
            </w:r>
          </w:p>
        </w:tc>
        <w:tc>
          <w:tcPr>
            <w:tcW w:w="4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11.6 %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-975360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-975360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-975360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-975360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-975360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compared to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8.4 %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60.6 %</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10.6 %</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food and commodity prices as well as the mix of products we sell.</w:t>
      </w:r>
    </w:p>
    <w:p>
      <w:pPr>
        <w:spacing w:after="0" w:line="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Consolidated revenues decreased $57.8 million, or 1.3%, in 2023 due primarily to lower U.S. Company-owned store revenues as a result of the refranchising of 114 U.S. Company-owned stores in the fourth quarter of 2022 (“the 2022 Store Sale”) as well as lower supply chain revenues primarily due to a shift in the relative mix of the products we sell. Additionally, U.S. franchise advertising revenues decreased as a result of a temporary reduction of 0.25% to the standard 6.0% advertising contribution which was effectuated on March 27, 2023, as well as an increase in advertising incentives related to certain brand promotions. These decreases were partially offset by higher U.S. franchise royalties and fees revenues primarily due to an increase in fees paid by our franchisees for the use of our technology platforms, an increase in the average number of U.S. franchised stores open during the period resulting from net store growth and the 2022 Store Sale as well as higher same store sales. International franchise royalties and fees revenues also increased as a result of net store growth and higher same store sales. These changes in revenues are described in more detail below.</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4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25.9 %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32.5 %</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2"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Revenues from U.S. Company-owned store operations decreased $69.6 million, or 15.6%, in 2023 primarily due to a decrease in the average number of U.S. Company-owned stores open during the period resulting from the 2022 Store Sale, but this decrease was partially offset by higher same store sales. U.S. Company-owned same store sales increased 5.4% in 2023 and declined 2.6% in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Revenues from U.S. franchise royalties and fees increased $48.6 million, or 8.7%, in 2023 primarily due to an increase in fees paid by our franchisees for the use of our technology platforms, an increase in the average number of U.S. franchised stores open during the period resulting from net store growth and the 2022 Store Sale as well as higher same store sales. U.S. franchise same store sales increased 1.4% in 2023 and declined 0.7% in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U.S. franchise advertising decreased $12.1 million, or 2.5%, in 2023 primarily due to a temporary reduction of 0.25% to the standard 6.0% advertising contribution effectuated on March 27, 2023 as well as an increase in advertising incentives related to certain brand promotions. The Company recorded approximately $14.5 million more in advertising incentives related to certain brand promotions in 2023 as compared to 2022. These decreases were partially offset by an increase in the average number of U.S. franchised stores open during the period as a result of net store growth and the 2022 Store Sale as well as higher same store sales.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Supply chain revenues decreased $39.7 million, or 1.4%, in 2023 due primarily to a shift in the relative mix of the products we sell. Our market basket pricing to stores decreased 0.5% during 2023 which did not have a significant impact on supply chain revenues. The market basket pricing change, a statistical measure utilized by management, is calculated as the percentage change of the market basket purchased by an average U.S. store (based on average weekly unit sales) from our U.S. supply chain centers against the comparable period of the prior year. We believe this measure is important to understanding Company performance because as our market basket prices fluctuate, our revenues, cost of sales and gross margin percentages in our supply chain segment also fluctuate.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34"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$15.1 million, or 5.1%, in 2023 due primarily to an increase in the average number of international franchised stores open during the period, resulting from net store growth and same store sales growth (excluding foreign currency impact). The negative impact of changes in foreign currency exchange rates of approximately $5.8 million in 2023 partially offset the increases in international franchise royalties and fees.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 impact of changes in foreign currency exchange rates, international same store sales increased 1.7% in 2023 and increased 0.1% in 2022.</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$78.8 million, or 4.8%, in 2023 due primarily to higher global franchise royalty and fee revenues, as well as improved procurement productivity within supply chain.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margins remain unchanged.</w:t>
      </w:r>
    </w:p>
    <w:p>
      <w:pPr>
        <w:spacing w:after="0" w:line="9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2.3 percentage points to 38.6% in 2023 from 36.3% in 2022. Company-owned store gross margin increased 1.2 percentage points in 2023 and supply chain gross margin increased 1.3 percentage points in 2023. These changes in gross margin are described in more detail below.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Stores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100.0 %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83.6 %</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$6.3 million, or 9.3%, in 2023 due primarily to the 2022 Store Sale. As a percentage of store revenues, the U.S. Company-owned store gross margin increased 1.2 percentage points in 2023. These changes in store gross margin as a percentage of revenues are discussed in additional detail below.</w:t>
      </w:r>
    </w:p>
    <w:p>
      <w:pPr>
        <w:spacing w:after="0" w:line="83" w:lineRule="exact"/>
        <w:rPr>
          <w:sz w:val="20"/>
          <w:szCs w:val="20"/>
          <w:color w:val="auto"/>
        </w:rPr>
      </w:pPr>
    </w:p>
    <w:p>
      <w:pPr>
        <w:ind w:left="760" w:right="340" w:hanging="378"/>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2.3 percentage points to 29.1% in 2023 driven primarily by the decrease in the market basket pricing to stores as well as improved sales leverage resulting from increases in menu and national offer pricing.</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1.1 percentage points to 31.6% in 2023 due primarily to higher wage rates in our U.S. Company-owned stores in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0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24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89.8 %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tcPr>
          <w:p>
            <w:pPr>
              <w:spacing w:after="0"/>
              <w:rPr>
                <w:sz w:val="20"/>
                <w:szCs w:val="20"/>
                <w:color w:val="auto"/>
              </w:rPr>
            </w:pPr>
          </w:p>
        </w:tc>
        <w:tc>
          <w:tcPr>
            <w:tcW w:w="1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10.2 %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Supply chain gross margin increased $33.5 million, or 13.7%, in 2023. As a percentage of supply chain revenues, the supply chain gross margin increased 1.3 percentage points in 2023, primarily due to lower food cost as a result of procurement productivity. This improvement in supply chain gross margin as a percentage of supply chain revenues was partially offset by higher labor costs as a percentage of supply chain revenues.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increased $18.0 million, or 4.3%, in 2023 primarily due to higher labor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U.S. franchise advertising expenses decreased $12.1 million, or 2.5%, in 2023, consistent with the decrease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0"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Refranchising Loss/Gain</w:t>
      </w:r>
    </w:p>
    <w:p>
      <w:pPr>
        <w:spacing w:after="0" w:line="13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During 2023, we refranchised one U.S. Company-owned store for proceeds of less than $0.1 million. The pre-tax refranchising loss associated with the sale of the related assets and liabilities, including goodwill, was approximately $0.1 million and was recorded in refranchising loss in our consolidated statements of income.</w:t>
      </w:r>
    </w:p>
    <w:p>
      <w:pPr>
        <w:spacing w:after="0" w:line="177"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During 2022, we completed the 2022 Store Sale in which we refranchised 114 U.S. Company-owned stores in Arizona and Utah for proceeds of $41.1 million. In connection with the 2022 Store Sale, we recorded a $21.2 million pre-tax refranchising gain on the sale of the related assets and liabilities, including a $4.3 million reduction in goodwill.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3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Other income was $17.7 million in 2023, representing the unrealized gains recorded on our investment in DPC Dash based on the active exchange quoted price for the equity security. We did not record any adjustments to the carrying amount in fiscal 2022. Additional information related to our investment in DPC Dash is included in Note 1 to our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3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Interest expense, net, decreased $10.3 million, or 5.3%, in 2023 driven by higher interest income earned on our cash equivalents and restricted cash equivalents in 2023. Our weighted average borrowing rate was 3.8% in both 2023 and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Provision for income taxes increased $12.8 million, or 10.6%, in 2023 due to an increase in income before the provision for income taxes, partially offset by a lower effective tax rate. The effective tax rate decreased to 20.4% during 2023, as compared to 21.0% in 2022. The lower effective tax rate in 2023 was driven primarily by higher foreign tax credits. This decrease in the effective tax rate was partially offset by the release of certain unrecognized tax benefits related to one of our foreign subsidiaries during 2022 that did not recur in 2023 and a higher proportion of non-deductible expenses associated with covered officer compensation in 2023 as compared to 2022.</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first quarter of 2023, we changed our allocation methodology for certain costs which support certain internally developed software used across our franchise system. The change in allocation methodology of certain software development costs resulted in an estimated increase in U.S. stores Segment Income of $65.7 million, an estimated increase in international franchise Segment Income of $8.9 million and an estimated decrease in other Segment Income of $74.6 million in 2023. The change in allocation methodology of certain software development costs had no impact on revenues, supply chain Segment Income or total Segment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521.0</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10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245.4</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259.6</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(86.9 )</w:t>
            </w:r>
          </w:p>
        </w:tc>
        <w:tc>
          <w:tcPr>
            <w:tcW w:w="4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U.S. stores Segment Income increased $82.4 million, or 18.8%, in 2023, primarily due to the change in allocation methodology for certain software development costs, as well as higher U.S. franchise royalties and fees revenues, each as discussed above. These increases were partially offset by the $6.3 million decrease in U.S. Company-owned store gross margin,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32"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Supply chain Segment Income increased $36.6 million, or 17.5%, in 2023 due primarily to the $33.5 million increase in supply chain gross margin described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3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International franchise Segment Income increased $23.5 million, or 9.9%, in 2023, primarily due to higher international franchise royalties and fees revenues as well as the change in allocation methodology for certain software development costs, each as discussed above. International franchise revenues do not have a cost of sales component, so changes in these revenues have a disproportionate effect on international franchise Segment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32"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Other Segment Income decreased $60.9 million, or 233.9%, in 2023 due primarily to the change in allocation methodology for certain software development costs as discussed above, as well as higher labor costs.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2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impact of new accounting pronouncements adopted and the estimated impact of new accounting pronouncements that we will adopt in future years is included in Note 1 to the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2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December 31, 2023, we had working capital of $67.0 million, excluding restricted cash and cash equivalents of $200.9 million, advertising fund assets, restricted of $106.3 million and advertising fund liabilities of $104.2 million. Working capital includes total unrestricted cash and cash equivalents of $114.1 million.</w:t>
      </w:r>
    </w:p>
    <w:p>
      <w:pPr>
        <w:spacing w:after="0" w:line="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2023, we experienced global retail sales growth, excluding foreign currency impact, in both our U.S. and international businesses. These factors contributed to our continued ability to generate positive operating cash flows. In addition to our cash flows from operations, we have two variable funding note facilities. The facilities include our 2022 Variable Funding Notes (defined below), which allows for advances of up to $120.0 million, as well as our 2021 Variable Funding Notes (defined below), which allows for advances of up to $200.0 million and certain other credit instruments, including letters of credit (the 2021 Variable Funding Notes and the 2022 Variable Funding Notes, the “2022 and 2021 Variable Funding Notes”). The letters of credit primarily relate to our casualty insurance programs and certain supply chain center leases. As of December 31, 2023, we had no outstanding borrowings and $120.0 million of available borrowing capacity under our 2022 Variable Funding Notes. As of December 31, 2023, we had no outstanding borrowings and $157.8 million of available borrowing capacity under our 2021 Variable Funding Notes, net of letters of credit issued of $42.2 million.</w:t>
      </w:r>
    </w:p>
    <w:p>
      <w:pPr>
        <w:spacing w:after="0" w:line="9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business and other strategic opportunities, repay outstanding borrowings under our securitized debt, pay dividends and repurchase and retire shares of our common stock.</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in Item 1A. Risk Factors.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Notes (defined below) and to service, extend or refinance our 2022 and 2021 Variable Funding Notes will be subject to future economic conditions and to financial, business and other factors, many of which are beyond our control.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2023, we had $149.1 million of restricted cash and cash equivalents held for future principal and interest payments and other working capital requirements of our asset-backed securitization structure, $51.6 million of restricted cash equivalents held in a three-month interest reserve as required by the related debt agreements and $0.2 million of other restricted cash for a total of $200.9 million of restricted cash and cash equivalents. As of December 31, 2023, we also held $88.2 million of advertising fund restricted cash and cash equivalents which can only be used for activities that promote the Domino’s brand.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Variable Funding Notes</w:t>
      </w:r>
    </w:p>
    <w:p>
      <w:pPr>
        <w:spacing w:after="0" w:line="13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On September 16, 2022, certain of our subsidiaries issued a new variable funding note facility which allows for advances of up to $120.0 million of Series 2022-1 Variable Funding Senior Secured Notes, Class A-1 Notes (the “2022 Variable Funding Notes”). Additional information related to our 2022 Variable Funding Notes is included in Note 3 to our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Recapitalization</w:t>
      </w:r>
    </w:p>
    <w:p>
      <w:pPr>
        <w:spacing w:after="0" w:line="13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Concurrently, certain of our subsidiaries also issued a new variable funding note facility which allows for advances of up to $200.0 million of Series 2021-1 Variable Funding Senior Secured Notes, Class A-1 Notes and certain other credit instruments, including letters of credit (the “2021 Variable Funding Notes”).</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proceeds from the 2021 Recapitalization were used to repay the remaining $291.0 million in outstanding principal under our 2017 Floating Rate Notes and $582.0 million in outstanding principal under our 2017 Five-Year Notes, prefund a portion of the interest payable on the 2021 Notes, pay transaction fees and expenses and repurchase and retire shares of our common stock. Additional information related to the 2021 Recapitalization is included in Note 3 to our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2019 Recapitalization</w:t>
      </w:r>
    </w:p>
    <w:p>
      <w:pPr>
        <w:spacing w:after="0" w:line="13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On November 19, 2019, we completed the 2019 Recapitalization in which certain of our subsidiaries issued $675.0 million Series 2019-1 3.668% Fixed Rate Senior Secured Notes, Class A-2 with an anticipated term of 10 years (the “2019 Notes”) pursuant to an asset-backed securitization. Additional information related to the 2019 Recapitalization is included in Note 3 to our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Recapitalization</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24, 2018, we completed the 2018 Recapitalization in which certain of our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 Additional information related to the 2018 Recapitalization is included in Note 3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2017 Recapitalization</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10 years (the “2017 Ten-Year Notes” and, collectively with the 2017 Floating Rate Notes and the 2017 Five-Year Notes, the “2017 Notes”). The interest rate on the 2017 Floating Rate Notes was payable at a rate equal to LIBOR plus 125 basis points. Gross proceeds from the issuance of the 2017 Notes were $1.9 billion. The 2017 Floating Rate Notes and the 2017 Five-Year Notes were repaid in connection with the 2021 Recapitalization. Additional information related to the 2017 Recapitalization is included in Note 3 to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2015 Recapitalization</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21, 2015, we completed the 2015 Recapitalization in which certain of our subsidiaries issued notes pursuant to an asset-backed securitization. The notes consisted of $500.0 million of Series 2015-1 3.484% Fixed Rate Senior Secured Notes, Class A-2-I (the “2015 Five-Year Notes”), $800.0 million Series 2015-1 4.474% Fixed Rate Senior Secured Notes, Class A-2-II (the “2015 Ten-Year Notes” and collectively with the 2015 Five-Year Notes, the “2015 Notes”). Gross proceeds from the issuance of the 2015 Notes were $1.3 billion. The 2015 Five-Year Notes were repaid in connection with the 2018 Recapitalization. Additional information related to the 2015 Recapitalization is included in Note 3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2019, 2018, 2017 and 2015 Notes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Notes, 2019 Notes, 2018 Notes, 2017 Notes and the 2015 Notes are collectively referred to as the “Notes.”</w:t>
      </w:r>
    </w:p>
    <w:p>
      <w:pPr>
        <w:spacing w:after="0" w:line="130"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Notes have original scheduled principal payments of $51.5 million in 2024, $1.17 billion in 2025, $39.3 million in 2026, $1.31 billion in 2027, $811.5 million in 2028, $625.9 million in 2029, $10.0 million in 2030 and $905.0 million in 2031. However, in accordance with our debt agreements, the payment of principal on the outstanding senior notes may be suspended if our leverage ratio is less than or equal to 5.0x total debt, as defined, to adjusted EBITDA, as defined, and no catch-up provisions are applicable.</w:t>
      </w:r>
    </w:p>
    <w:p>
      <w:pPr>
        <w:spacing w:after="0" w:line="8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As of the fourth quarter of 2020, we had a leverage ratio of less than 5.0x, and accordingly, did not make the previously scheduled debt amortization payment beginning in the first quarter of 2021. Subsequent to the closing of the 2021 Recapitalization, the Company had a leverage ratio of greater than 5.0x and, accordingly, the Company resumed making the scheduled amortization payments in the second quarter of 2021.</w:t>
      </w:r>
    </w:p>
    <w:p>
      <w:pPr>
        <w:spacing w:after="0" w:line="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3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lease certain retail store and supply chain center locations, supply chain vehicles, various equipment and our World Resource Center under leases with expiration dates through 2045. Refer to Note 5 to the consolidated financial statements for additional information regarding our leases, including future minimum rental commitments.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34"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In the past three years, we have spent approximately $286.8 million on capital expenditures. In 2023, we spent $105.4 million on capital expenditures which primarily related to investments in our technology initiatives, supply chain centers and corporate store operations. We did not have any material commitments for capital expenditures as of December 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a non-controlling interest in DPC Dash, our master franchisee in China that owns and operates Domino’s Pizza stores in that market.</w:t>
      </w:r>
    </w:p>
    <w:p>
      <w:pPr>
        <w:spacing w:after="0" w:line="22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As of December 31, 2023 and January 1, 2023, the carrying amount of our investment in DPC Dash was $143.6 million and $125.8 million, respectively. As of December 31, 2023, the fair value of our investment in DPC Dash was based on the active exchange quoted price for the equity security of HK$61.95 per share. We recorded a total net adjustment to the carrying amount of our investment in DPC Dash of $17.7 million in 2023, with the unrealized gain recorded in other income in our consolidated statements of income. We did not record any adjustments to the carrying amount of our investment in 2022.</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We used cash of $269.0 million in 2023, $293.7 million in 2022 and $1.32 billion in 2021 for share repurchases.</w:t>
      </w:r>
    </w:p>
    <w:p>
      <w:pPr>
        <w:spacing w:after="0" w:line="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October 4, 2019, our Board of Directors authorized a share repurchase program to repurchase up to $1.0 billion of our common stock. On February 24, 2021, our Board of Directors authorized a new share repurchase program to repurchase up to $1.0 billion of our common stock, which was fully utilized in connection with the ASR Agreement, described below. On April 30, 2021, we entered into an accelerated share repurchase agreement with a counterparty (the “ASR Agreement”). Pursuant to the terms of the ASR Agreement, on May 3, 2021, we used a portion of the proceeds from the 2021 Recapitalization to pay the counterparty $1.0 billion in cash and received and retired 2,012,596 shares of our common stock. Final settlement of the ASR Agreement occurred on July 21, 2021. In connection with the ASR Agreement, we received and retired a total of 2,250,786 shares of our common stock at an average price of $444.29, including the 2,012,596 shares of our common stock received and retired during the second quarter of 2021.</w:t>
      </w:r>
    </w:p>
    <w:p>
      <w:pPr>
        <w:spacing w:after="0" w:line="92" w:lineRule="exact"/>
        <w:rPr>
          <w:sz w:val="20"/>
          <w:szCs w:val="20"/>
          <w:color w:val="auto"/>
        </w:rPr>
      </w:pPr>
    </w:p>
    <w:p>
      <w:pPr>
        <w:ind w:right="700"/>
        <w:spacing w:after="0" w:line="265" w:lineRule="auto"/>
        <w:rPr>
          <w:sz w:val="20"/>
          <w:szCs w:val="20"/>
          <w:color w:val="auto"/>
        </w:rPr>
      </w:pPr>
      <w:r>
        <w:rPr>
          <w:rFonts w:ascii="Times New Roman" w:cs="Times New Roman" w:eastAsia="Times New Roman" w:hAnsi="Times New Roman"/>
          <w:sz w:val="18"/>
          <w:szCs w:val="18"/>
          <w:color w:val="auto"/>
        </w:rPr>
        <w:t>On July 20, 2021, our Board of Directors authorized a new share repurchase program to repurchase up to $1.0 billion of our common stock. This repurchase program replaced our previously approved $1.0 billion share repurchase program, which was fully utilized in connection with the ASR Agreement. We had $141.3 million remaining under this share repurchase authorization as of December 31, 2023.</w:t>
      </w:r>
    </w:p>
    <w:p>
      <w:pPr>
        <w:spacing w:after="0" w:line="8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Subsequent to the end of fiscal 2023, on February 21, 2024, our Board of Directors authorized an additional share repurchase program to repurchase up to $1.0 billion of our common stock, in addition to the $141.3 million that was previously remaining for a total authorization of $1.14 billion for future share repurchases.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declared dividends of $170.4 million (or $4.84 per share) in 2023, $157.5 million (or $4.40 per share) in 2022 and $139.6 million (or $3.76 per share) in 2021. We paid dividends of $169.8 million, $157.5 million and $139.4 million in 2023, 2022 and 2021, respectively.</w:t>
      </w:r>
    </w:p>
    <w:p>
      <w:pPr>
        <w:spacing w:after="0" w:line="6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Subsequent to the end of fiscal 2023, on February 21, 2024, our Board of Directors declared a quarterly dividend of $1.51 per common share payable on March 29, 2024 to shareholders of record at the close of business on March 15,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00" w:type="dxa"/>
            <w:vAlign w:val="bottom"/>
          </w:tcPr>
          <w:p>
            <w:pPr>
              <w:spacing w:after="0"/>
              <w:rPr>
                <w:sz w:val="14"/>
                <w:szCs w:val="14"/>
                <w:color w:val="auto"/>
              </w:rPr>
            </w:pPr>
          </w:p>
        </w:tc>
      </w:tr>
      <w:tr>
        <w:trPr>
          <w:trHeight w:val="23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20"/>
                <w:szCs w:val="20"/>
                <w:color w:val="auto"/>
              </w:rPr>
            </w:pPr>
          </w:p>
        </w:tc>
      </w:tr>
      <w:tr>
        <w:trPr>
          <w:trHeight w:val="247"/>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(106.9 )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(53.7 )</w:t>
            </w: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(476.4 )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(515.9 )</w:t>
            </w:r>
          </w:p>
        </w:tc>
      </w:tr>
      <w:tr>
        <w:trPr>
          <w:trHeight w:val="243"/>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75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(95.3 )</w:t>
            </w: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$115.5 million in 2023 primarily due to the positive impact of changes in operating assets and liabilities of $93.5 million. The positive impact of changes in operating assets and liabilities primarily related to the timing of payments on accrued liabilities, accounts payable and income taxes, as well as the timing and pricing of inventory in 2023 as compared to 2022. Additionally, net income increased $66.9 million and non-cash adjustments decreased $9.7 million, resulting in an overall increase to cash provided by operating activities in 2023 as compared to 2022 of $57.2 million. These increases in cash provided by operating activities were partially offset by a $35.2 million negative impact of changes in advertising fund assets and liabilities, restricted, in 2023 as compared to 2022 due to payments for advertising activities outpacing receipts from advertising contributions.</w:t>
      </w:r>
    </w:p>
    <w:p>
      <w:pPr>
        <w:spacing w:after="0" w:line="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are focused on continually improving our net income and cash flow provided by operating activities and management expects to continue to generate positive cash flows from operating activities for the foreseeable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92"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$106.9 million in 2023, which consisted primarily of capital expenditures of $105.4 million (driven primarily by investments in technological initiatives, supply chain centers and corporate store operations).</w:t>
      </w:r>
    </w:p>
    <w:p>
      <w:pPr>
        <w:spacing w:after="0" w:line="6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Cash used in investing activities was $53.7 million in 2022, which consisted primarily of capital expenditures of $87.2 million (driven primarily by investments in technological initiatives, supply chain centers and corporate store operations). In connection with the 2022 Store Sale, we refranchised 114 U.S. Company-owned stores for $41.1 million. Additionally, we acquired 23 U.S. franchised stores from certain of our U.S. franchisees for $6.8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$476.4 million in 2023. We repurchased and retired $269.0 million in shares of our common stock under our Board of Directors-approved share repurchase program and we also made dividend payments to our shareholders of $169.8 million. We also made repayments of long-term debt and principal amounts related to our financing obligations and finance leases of $55.7 million and had tax payments for the vesting of restricted stock of $5.4 million. These uses of cash were partially offset by proceeds from our failed sale leaseback transaction of $14.9 million and from the exercise of stock options of $8.7 million.</w:t>
      </w:r>
    </w:p>
    <w:p>
      <w:pPr>
        <w:spacing w:after="0" w:line="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$515.9 million in 2022. We repurchased and retired $293.7 million in shares of our common stock under our Board of Directors-approved share repurchase program and we also made dividend payments to our shareholders of $157.5 million. We borrowed and repaid $120.0 million under our 2021 Variable Funding Notes and also made $55.7 million in repayments on our long-term debt and finance lease obligations. We made $10.7 million of tax payments for restricted stock upon vesting and we also paid $1.6 million in financing costs associated with the issuance of our 2022 Variable Funding Notes. We also received proceeds from the exercise of stock options of $3.3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the inflation rates in recent years, there have been and may continue to be increases in food costs and labor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and increased energy costs may adversely affect our operating costs and profitability and those of our franchisees and could result in menu price increases. The impact of inflation is described with respect to our market basket pricing to stores and our labor cost, in the discussion of supply chain revenues and U.S. Company-owned store and supply chain gross margins,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and carryout,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obligation for advertising fees payable to DNAF will remain in place for the foreseeable future, and the availability of our borrowings under the 2021 Variable Funding Notes and 2022 Variable Funding Notes for, among other things, funding working capital requirements, paying capital expenditures and funding other general corporate purposes, including payment of dividends.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Forward-looking statements relating to our anticipated profitability, estimates in same store sales growth, store growth and the growth of our U.S. and international business in general,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182"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Actual results may differ materially from those expressed or implied in the forward-looking statements as a result of various factors, including but not limited to, the following:</w:t>
      </w:r>
    </w:p>
    <w:p>
      <w:pPr>
        <w:spacing w:after="0" w:line="163" w:lineRule="exact"/>
        <w:rPr>
          <w:sz w:val="20"/>
          <w:szCs w:val="20"/>
          <w:color w:val="auto"/>
        </w:rPr>
      </w:pPr>
    </w:p>
    <w:p>
      <w:pPr>
        <w:ind w:left="1020" w:right="480" w:hanging="504"/>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increased indebtedness as a result of the 2021 Recapitalization, 2019 Recapitalization, 2018 Recapitalization, 2017 Recapitalization and 2015 Recapitalization and our ability to incur additional indebtedness or refinance or renegotiate key terms of that indebtedness in the future;</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downgrade in our credit rating may have on our business, financial condition and results of operations;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our ability to pay principal and interest on our indebtedness;</w:t>
      </w:r>
    </w:p>
    <w:p>
      <w:pPr>
        <w:spacing w:after="0" w:line="8" w:lineRule="exact"/>
        <w:rPr>
          <w:rFonts w:ascii="Times New Roman" w:cs="Times New Roman" w:eastAsia="Times New Roman" w:hAnsi="Times New Roman"/>
          <w:sz w:val="18"/>
          <w:szCs w:val="18"/>
          <w:color w:val="auto"/>
        </w:rPr>
      </w:pPr>
    </w:p>
    <w:p>
      <w:pPr>
        <w:ind w:left="1020" w:right="10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brand, including our ability to compete in the U.S. and internationally in our intensely competitive industry, including the food service and food delivery markets;</w:t>
      </w:r>
    </w:p>
    <w:p>
      <w:pPr>
        <w:ind w:left="1020" w:right="90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growth strategy, including through our participation in the third-party order aggregation marketplace;</w:t>
      </w:r>
    </w:p>
    <w:p>
      <w:pPr>
        <w:ind w:left="1020" w:right="22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or changes in operating expenses resulting from increases in prices of food (particularly cheese), fuel and other commodity costs, labor, utilities, insurance, employee benefits and other operating costs or negative economic conditions;</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operations and promotional initiatives;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interruptions or disruptions in the supply or delivery of fresh food products and store equipment;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social media and other consumer-oriented technologies on our business, brand and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improved technologies and alternative methods of delivery on consumer behavior;</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digital ordering and concept developments by us, and other food-industry competitors;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risks our international operations subject us to;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9" w:name="page50"/>
    <w:bookmarkEnd w:id="49"/>
    <w:p>
      <w:pPr>
        <w:ind w:left="1020" w:right="260" w:hanging="504"/>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and attract new franchisees and franchisees’ ability to successfully manage their operations without negatively impacting our royalty payments and fees or our brand’s reputation;</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cost-saving strategies;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successfully operate in the current and future credit environment;</w:t>
      </w:r>
    </w:p>
    <w:p>
      <w:pPr>
        <w:spacing w:after="0" w:line="8" w:lineRule="exact"/>
        <w:rPr>
          <w:rFonts w:ascii="Times New Roman" w:cs="Times New Roman" w:eastAsia="Times New Roman" w:hAnsi="Times New Roman"/>
          <w:sz w:val="18"/>
          <w:szCs w:val="18"/>
          <w:color w:val="auto"/>
        </w:rPr>
      </w:pPr>
    </w:p>
    <w:p>
      <w:pPr>
        <w:ind w:left="1020" w:right="760" w:hanging="504"/>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consumer spending given general economic conditions, including interest rates, energy prices and consumer confidence or negative economic conditions in general;</w:t>
      </w: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open new restaurants and keep existing restaurants in operation and maintain demand for new stores;</w:t>
      </w:r>
    </w:p>
    <w:p>
      <w:pPr>
        <w:spacing w:after="0" w:line="8" w:lineRule="exact"/>
        <w:rPr>
          <w:rFonts w:ascii="Times New Roman" w:cs="Times New Roman" w:eastAsia="Times New Roman" w:hAnsi="Times New Roman"/>
          <w:sz w:val="18"/>
          <w:szCs w:val="18"/>
          <w:color w:val="auto"/>
        </w:rPr>
      </w:pPr>
    </w:p>
    <w:p>
      <w:pPr>
        <w:ind w:left="1020" w:right="80" w:hanging="504"/>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widespread illness, health epidemics or general health concerns, severe weather conditions and natural disasters may have on our business and the economies of the countries where we operate;</w:t>
      </w: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income tax rates;</w:t>
      </w:r>
    </w:p>
    <w:p>
      <w:pPr>
        <w:spacing w:after="0" w:line="8" w:lineRule="exact"/>
        <w:rPr>
          <w:rFonts w:ascii="Times New Roman" w:cs="Times New Roman" w:eastAsia="Times New Roman" w:hAnsi="Times New Roman"/>
          <w:sz w:val="18"/>
          <w:szCs w:val="18"/>
          <w:color w:val="auto"/>
        </w:rPr>
      </w:pPr>
    </w:p>
    <w:p>
      <w:pPr>
        <w:ind w:left="1020" w:right="40" w:hanging="504"/>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or replace our executive officers and other key members of management and our ability to adequately staff our stores and supply chain centers with qualified personnel;</w:t>
      </w: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and/or retain suitable real estate for our stores and supply chain centers;</w:t>
      </w:r>
    </w:p>
    <w:p>
      <w:pPr>
        <w:spacing w:after="0" w:line="8" w:lineRule="exact"/>
        <w:rPr>
          <w:rFonts w:ascii="Times New Roman" w:cs="Times New Roman" w:eastAsia="Times New Roman" w:hAnsi="Times New Roman"/>
          <w:sz w:val="18"/>
          <w:szCs w:val="18"/>
          <w:color w:val="auto"/>
        </w:rPr>
      </w:pPr>
    </w:p>
    <w:p>
      <w:pPr>
        <w:ind w:left="1020" w:right="60" w:hanging="504"/>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legislation or regulation, including changes in laws and regulations regarding information privacy, payment methods, advertising and consumer protection and social media;</w:t>
      </w: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judgments or settlements;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food-borne illness or contamination of products or food tampering or other events that may impact our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power loss, technological failures, user error or other cyber risks threatening us or our franchisees;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environmental, social and governance matters may have on our business and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war, terrorism, catastrophic events, geopolitical or reputational considerations or climate change;</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repurchase shares;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taste, spending and traffic patterns and demographic trends;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our insurance coverage.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6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December 31, 2023, we are exposed to interest rate risk on borrowings under our variable funding notes. As of December 31, 2023, we did not have any outstanding borrowings under our 2022 and 2021 Variable Funding Notes.</w:t>
      </w:r>
    </w:p>
    <w:p>
      <w:pPr>
        <w:spacing w:after="0" w:line="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6.9% of our total revenues in 2023, 6.5% of our total revenues in 2022 and 6.8% of our total revenues in 2021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international franchise royalty and fee revenues of approximately $27.4 million in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Domino’s Pizza,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Domino’s Pizza, Inc. and its subsidiaries (the “Company”) as of December 31, 2023 and January 1, 2023, and the related consolidated statements of income, of comprehensive income, of stockholders’ deficit and of cash flows for each of the three years in the period ended December 31, 2023, including the related notes and schedule of condensed financial information of the registrant as of December 31, 2023 and January 1, 2023 and for each of the three years in the period ended December 31, 2023 appearing under Item 15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January 1, 2023,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3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Casualty Insurance Reserves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December 31, 2023, the Company had accruals for these casualty insurance matters of $56.3 million. The casualty insurance reserves are based on undiscounted independent actuarial estimates, which are based on historical information along with assumptions about future events. Management utilizes various methods, including analyses of historical trends and actuarial valuation methods,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casualty insurance reserves is a critical audit matter are (i) the significant judgment by management when developing the estimated reserves; (ii) a high degree of auditor judgment and effort in performing procedures relating to the actuarial valuation methods used to develop future ultimate claim costs and actuarial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obtaining and evaluating the Company’s casualty insurance program documents and testing the underlying historical claims data. Professionals with specialized skill and knowledge were used to assist in testing management’s process for estimating the valuation of casualty insurance reserves, including evaluating the appropriateness of the actuarial valuation methods and the reasonableness of actuarial assumptions related to the severity, duration and frequency of claims, legal cost associated with claims, healthcare trends and projected inflation.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2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3"/>
        </w:trPr>
        <w:tc>
          <w:tcPr>
            <w:tcW w:w="2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140" w:type="dxa"/>
            <w:vAlign w:val="bottom"/>
            <w:gridSpan w:val="3"/>
            <w:shd w:val="clear" w:color="auto" w:fill="CFF0FC"/>
          </w:tcPr>
          <w:p>
            <w:pPr>
              <w:jc w:val="center"/>
              <w:ind w:right="3720"/>
              <w:spacing w:after="0" w:line="169"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35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tcBorders>
              <w:top w:val="single" w:sz="8" w:color="auto"/>
            </w:tcBorders>
          </w:tcPr>
          <w:p>
            <w:pPr>
              <w:spacing w:after="0"/>
              <w:rPr>
                <w:sz w:val="19"/>
                <w:szCs w:val="19"/>
                <w:color w:val="auto"/>
              </w:rPr>
            </w:pPr>
          </w:p>
        </w:tc>
        <w:tc>
          <w:tcPr>
            <w:tcW w:w="3720" w:type="dxa"/>
            <w:vAlign w:val="bottom"/>
            <w:tcBorders>
              <w:top w:val="single" w:sz="8" w:color="CFF0FC"/>
            </w:tcBorders>
            <w:gridSpan w:val="2"/>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reserves of $5,885 in 2023 and $4,762 in 2022</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282,809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257,492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81,570</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30,215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37,287</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Advertising fund assets, restricted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162,660</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817,291</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790,654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Land and buildings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108,791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105,659</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Leasehold and other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172,725</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Equipment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364,620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333,787</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100" w:type="dxa"/>
            <w:vAlign w:val="bottom"/>
          </w:tcPr>
          <w:p>
            <w:pPr>
              <w:spacing w:after="0"/>
              <w:rPr>
                <w:sz w:val="19"/>
                <w:szCs w:val="19"/>
                <w:color w:val="auto"/>
              </w:rPr>
            </w:pPr>
          </w:p>
        </w:tc>
      </w:tr>
      <w:tr>
        <w:trPr>
          <w:trHeight w:val="226"/>
        </w:trPr>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674,733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634,707</w:t>
            </w:r>
          </w:p>
        </w:tc>
        <w:tc>
          <w:tcPr>
            <w:tcW w:w="100" w:type="dxa"/>
            <w:vAlign w:val="bottom"/>
            <w:shd w:val="clear" w:color="auto" w:fill="CFF0FC"/>
          </w:tcPr>
          <w:p>
            <w:pPr>
              <w:spacing w:after="0"/>
              <w:rPr>
                <w:sz w:val="19"/>
                <w:szCs w:val="19"/>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(370,368 )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(332,472 )</w:t>
            </w: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207,323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219,202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Investments in marketable securities, restricted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100" w:type="dxa"/>
            <w:vAlign w:val="bottom"/>
            <w:shd w:val="clear" w:color="auto" w:fill="CFF0FC"/>
          </w:tcPr>
          <w:p>
            <w:pPr>
              <w:spacing w:after="0"/>
              <w:rPr>
                <w:sz w:val="20"/>
                <w:szCs w:val="20"/>
                <w:color w:val="auto"/>
              </w:rPr>
            </w:pPr>
          </w:p>
        </w:tc>
      </w:tr>
      <w:tr>
        <w:trPr>
          <w:trHeight w:val="202"/>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Capitalized software, net of accumulated amortization of $183,980 in 2023</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and $165,457 in 2022</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134,105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108,354</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in DPC Dash</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143,553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125,840</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13,680</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553,243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509,332</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1,674,899</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1,602,221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6"/>
        </w:trPr>
        <w:tc>
          <w:tcPr>
            <w:tcW w:w="7700" w:type="dxa"/>
            <w:vAlign w:val="bottom"/>
            <w:gridSpan w:val="5"/>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
        </w:trPr>
        <w:tc>
          <w:tcPr>
            <w:tcW w:w="256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56,366</w:t>
            </w:r>
          </w:p>
        </w:tc>
        <w:tc>
          <w:tcPr>
            <w:tcW w:w="2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54,813</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106,267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89,715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40,442</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33,367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34,877</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Insurance reserves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28,135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Advertising fund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157,909</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124,950</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547,350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536,621</w:t>
            </w:r>
          </w:p>
        </w:tc>
        <w:tc>
          <w:tcPr>
            <w:tcW w:w="100" w:type="dxa"/>
            <w:vAlign w:val="bottom"/>
          </w:tcPr>
          <w:p>
            <w:pPr>
              <w:spacing w:after="0"/>
              <w:rPr>
                <w:sz w:val="19"/>
                <w:szCs w:val="19"/>
                <w:color w:val="auto"/>
              </w:rPr>
            </w:pPr>
          </w:p>
        </w:tc>
      </w:tr>
      <w:tr>
        <w:trPr>
          <w:trHeight w:val="226"/>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4,934,062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4,967,420</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179,548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195,244</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Insurance reserves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5,197,916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5,254,665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5,745,266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5,791,286</w:t>
            </w:r>
          </w:p>
        </w:tc>
        <w:tc>
          <w:tcPr>
            <w:tcW w:w="100" w:type="dxa"/>
            <w:vAlign w:val="bottom"/>
          </w:tcPr>
          <w:p>
            <w:pPr>
              <w:spacing w:after="0"/>
              <w:rPr>
                <w:sz w:val="19"/>
                <w:szCs w:val="19"/>
                <w:color w:val="auto"/>
              </w:rPr>
            </w:pPr>
          </w:p>
        </w:tc>
      </w:tr>
      <w:tr>
        <w:trPr>
          <w:trHeight w:val="226"/>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par value $0.01 per share; 170,000,000 shares authorized;</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gridSpan w:val="5"/>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34,726,182 in 2023 and 35,419,718 in 2022 issued and outstanding</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FF0FC"/>
          </w:tcPr>
          <w:p>
            <w:pPr>
              <w:spacing w:after="0"/>
              <w:rPr>
                <w:sz w:val="19"/>
                <w:szCs w:val="19"/>
                <w:color w:val="auto"/>
              </w:rPr>
            </w:pPr>
          </w:p>
        </w:tc>
      </w:tr>
      <w:tr>
        <w:trPr>
          <w:trHeight w:val="202"/>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Preferred stock, par value $0.01 per share; 5,000,000 shares authorized,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none issued</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(4,069,648 )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(4,194,418 )</w:t>
            </w:r>
          </w:p>
        </w:tc>
      </w:tr>
      <w:tr>
        <w:trPr>
          <w:trHeight w:val="236"/>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(3,867 )</w:t>
            </w:r>
          </w:p>
        </w:tc>
        <w:tc>
          <w:tcPr>
            <w:tcW w:w="2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(4,694 )</w:t>
            </w:r>
          </w:p>
        </w:tc>
      </w:tr>
      <w:tr>
        <w:trPr>
          <w:trHeight w:val="20"/>
        </w:trPr>
        <w:tc>
          <w:tcPr>
            <w:tcW w:w="2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(4,070,367 )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(4,189,065 )</w:t>
            </w:r>
          </w:p>
        </w:tc>
      </w:tr>
      <w:tr>
        <w:trPr>
          <w:trHeight w:val="266"/>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1,674,899</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1,602,221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-7243445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-7243445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-6052820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-6052820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-4751705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-4751705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-4443095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-4425950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-2961640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-1771650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980" w:right="339" w:bottom="47"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264795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376,180</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445,810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478,976</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604,897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556,269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539,883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2,560,977</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298,036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479,501</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4,479,358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4,537,158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4,357,373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314,673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374,104</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2,437,268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2,510,534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2,295,027</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2,751,941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2,888,552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2,669,131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1,648,606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1,688,242</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434,554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428,333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479,501</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 (gain)</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(21,173 )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819,519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780,408</w:t>
            </w:r>
          </w:p>
        </w:tc>
        <w:tc>
          <w:tcPr>
            <w:tcW w:w="100" w:type="dxa"/>
            <w:vAlign w:val="bottom"/>
            <w:tcBorders>
              <w:top w:val="single" w:sz="8" w:color="CFF0FC"/>
            </w:tcBorders>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(196,475 )</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(198,254 )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(191,806 )</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100" w:type="dxa"/>
            <w:vAlign w:val="bottom"/>
            <w:tcBorders>
              <w:top w:val="single" w:sz="8" w:color="CFF0FC"/>
            </w:tcBorders>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8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-2850515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-2850515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-2216785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-2216785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-1591945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-1591945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-967105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-967105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-650240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-650240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7"/>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580"/>
              <w:spacing w:after="0" w:line="15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3"/>
                <w:szCs w:val="13"/>
                <w:color w:val="auto"/>
              </w:rPr>
            </w:pPr>
          </w:p>
        </w:tc>
        <w:tc>
          <w:tcPr>
            <w:tcW w:w="1100" w:type="dxa"/>
            <w:vAlign w:val="bottom"/>
          </w:tcPr>
          <w:p>
            <w:pPr>
              <w:jc w:val="right"/>
              <w:ind w:right="257"/>
              <w:spacing w:after="0" w:line="157"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(1,874 )</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r>
      <w:tr>
        <w:trPr>
          <w:trHeight w:val="280"/>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519,945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450,389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50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08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1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January 3, 2021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38,868,350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5,122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(3,303,492 )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(2,424 )</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510,467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840" w:type="dxa"/>
            <w:vAlign w:val="bottom"/>
            <w:shd w:val="clear" w:color="auto" w:fill="CFF0FC"/>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4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(139,588 )</w:t>
            </w:r>
          </w:p>
        </w:tc>
        <w:tc>
          <w:tcPr>
            <w:tcW w:w="1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($3.76 per share)</w:t>
            </w:r>
          </w:p>
        </w:tc>
        <w:tc>
          <w:tcPr>
            <w:tcW w:w="140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40" w:type="dxa"/>
            <w:vAlign w:val="bottom"/>
            <w:vMerge w:val="continue"/>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(1,994 )</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(14,826 )</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(6,820 )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(2,912,558 )</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(30 )</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(45,568 )</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(1,275,304 )</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199,301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19,680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28,670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(244 )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(396 )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January 2,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36,138,273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(4,207,917 )</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(2,820 )</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452,263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840" w:type="dxa"/>
            <w:vAlign w:val="bottom"/>
            <w:shd w:val="clear" w:color="auto" w:fill="CFF0FC"/>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4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(157,479 )</w:t>
            </w:r>
          </w:p>
        </w:tc>
        <w:tc>
          <w:tcPr>
            <w:tcW w:w="1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($4.40 per share)</w:t>
            </w:r>
          </w:p>
        </w:tc>
        <w:tc>
          <w:tcPr>
            <w:tcW w:w="140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40" w:type="dxa"/>
            <w:vAlign w:val="bottom"/>
            <w:vMerge w:val="continue"/>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(26,699 )</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(10,349 )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(371 )</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(739,847 )</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(7 )</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(12,819 )</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(280,914 )</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32,979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(1,874 )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January 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35,419,718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(4,194,418 )</w:t>
            </w:r>
          </w:p>
        </w:tc>
        <w:tc>
          <w:tcPr>
            <w:tcW w:w="1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(4,694 )</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519,118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840" w:type="dxa"/>
            <w:vAlign w:val="bottom"/>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(170,419 )</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484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($4.84 per share)</w:t>
            </w:r>
          </w:p>
        </w:tc>
        <w:tc>
          <w:tcPr>
            <w:tcW w:w="1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33,947</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(16,038 )</w:t>
            </w: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(5,410 )</w:t>
            </w: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(789,977 )</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(8 )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(47,651 )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(223,929 )</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78,532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37,514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34,726,182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(4,069,648 )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(3,867 )</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-1343660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-1343660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-1343660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-1343660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3"/>
                <w:szCs w:val="13"/>
                <w:color w:val="auto"/>
              </w:rPr>
            </w:pPr>
          </w:p>
        </w:tc>
        <w:tc>
          <w:tcPr>
            <w:tcW w:w="1040" w:type="dxa"/>
            <w:vAlign w:val="bottom"/>
          </w:tcPr>
          <w:p>
            <w:pPr>
              <w:jc w:val="right"/>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519,118</w:t>
            </w:r>
          </w:p>
        </w:tc>
        <w:tc>
          <w:tcPr>
            <w:tcW w:w="140" w:type="dxa"/>
            <w:vAlign w:val="bottom"/>
          </w:tcPr>
          <w:p>
            <w:pPr>
              <w:spacing w:after="0"/>
              <w:rPr>
                <w:sz w:val="19"/>
                <w:szCs w:val="19"/>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Refranchising loss (gain)</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(21,173 )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(Benefit) provision for deferred income taxes</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(19,509 )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equity-based compensation expense</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37,514</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Excess tax benefits from equity-based compensation</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(3,397 )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(2,169 )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(18,911 )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losses on accounts and notes receivable</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(17,713 )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(36,758 )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accounts receivable</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(26,515 )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(8,107 )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inventories, prepaid expenses and other</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(17,059 )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(9,420 )</w:t>
            </w:r>
          </w:p>
        </w:tc>
        <w:tc>
          <w:tcPr>
            <w:tcW w:w="0" w:type="dxa"/>
            <w:vAlign w:val="bottom"/>
          </w:tcPr>
          <w:p>
            <w:pPr>
              <w:spacing w:after="0"/>
              <w:rPr>
                <w:sz w:val="1"/>
                <w:szCs w:val="1"/>
                <w:color w:val="auto"/>
              </w:rPr>
            </w:pPr>
          </w:p>
        </w:tc>
      </w:tr>
      <w:tr>
        <w:trPr>
          <w:trHeight w:val="220"/>
        </w:trPr>
        <w:tc>
          <w:tcPr>
            <w:tcW w:w="65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accounts payable and accrued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(36,605 )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insurance reserves</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(5,163 )</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operating lease assets and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advertising fund assets and liabilities, restricted</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(52,731 )</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590,864</w:t>
            </w: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475,317</w:t>
            </w: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654,206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(105,396 )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(87,234 )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(94,172 )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41,089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franchise operations and other assets</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(6,814 )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investments</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(49,082 )</w:t>
            </w: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(1,682 )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(106,917 )</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(53,681 )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(142,723 )</w:t>
            </w:r>
          </w:p>
        </w:tc>
        <w:tc>
          <w:tcPr>
            <w:tcW w:w="0" w:type="dxa"/>
            <w:vAlign w:val="bottom"/>
          </w:tcPr>
          <w:p>
            <w:pPr>
              <w:spacing w:after="0"/>
              <w:rPr>
                <w:sz w:val="1"/>
                <w:szCs w:val="1"/>
                <w:color w:val="auto"/>
              </w:rPr>
            </w:pPr>
          </w:p>
        </w:tc>
      </w:tr>
      <w:tr>
        <w:trPr>
          <w:trHeight w:val="220"/>
        </w:trPr>
        <w:tc>
          <w:tcPr>
            <w:tcW w:w="6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finance lease obligations</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(55,705 )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(175,676 )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(910,212 )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(269,025 )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(293,740 )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(1,320,902 )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payments for restricted stock upon vesting</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(5,410 )</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(10,720 )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(6,820 )</w:t>
            </w: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common stock dividends and equivalents</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(169,772 )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(157,531 )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(139,399 )</w:t>
            </w:r>
          </w:p>
        </w:tc>
        <w:tc>
          <w:tcPr>
            <w:tcW w:w="0" w:type="dxa"/>
            <w:vAlign w:val="bottom"/>
          </w:tcPr>
          <w:p>
            <w:pPr>
              <w:spacing w:after="0"/>
              <w:rPr>
                <w:sz w:val="1"/>
                <w:szCs w:val="1"/>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financing costs</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(14,938 )</w:t>
            </w: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(476,358 )</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(515,949 )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(522,833 )</w:t>
            </w:r>
          </w:p>
        </w:tc>
        <w:tc>
          <w:tcPr>
            <w:tcW w:w="0" w:type="dxa"/>
            <w:vAlign w:val="bottom"/>
          </w:tcPr>
          <w:p>
            <w:pPr>
              <w:spacing w:after="0"/>
              <w:rPr>
                <w:sz w:val="1"/>
                <w:szCs w:val="1"/>
                <w:color w:val="auto"/>
              </w:rPr>
            </w:pPr>
          </w:p>
        </w:tc>
      </w:tr>
      <w:tr>
        <w:trPr>
          <w:trHeight w:val="23"/>
        </w:trPr>
        <w:tc>
          <w:tcPr>
            <w:tcW w:w="65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 restricted cash and cash equivalents</w:t>
            </w: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beginning of period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20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143,559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cash equivalents and cash</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cash equivalents included in advertising fund assets, restricted,</w:t>
            </w:r>
          </w:p>
        </w:tc>
        <w:tc>
          <w:tcPr>
            <w:tcW w:w="2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490,480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end of period</w:t>
            </w:r>
          </w:p>
        </w:tc>
        <w:tc>
          <w:tcPr>
            <w:tcW w:w="20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1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100" w:type="dxa"/>
            <w:vAlign w:val="bottom"/>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2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88,165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143,559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cash equivalents and cash</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cash equivalents included in advertising fund assets, restricted,</w:t>
            </w:r>
          </w:p>
        </w:tc>
        <w:tc>
          <w:tcPr>
            <w:tcW w:w="2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403,133</w:t>
            </w:r>
          </w:p>
        </w:tc>
        <w:tc>
          <w:tcPr>
            <w:tcW w:w="14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-5273675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-5273675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-5273675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-4083685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-4083685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-2611120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-2611120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-2302510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-2285365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-2302510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-2285365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-1574800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-1574800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681"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percentages, share and per share amounts)</w:t>
      </w:r>
    </w:p>
    <w:p>
      <w:pPr>
        <w:spacing w:after="0" w:line="175"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3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Domino’s Pizza, Inc. (“DPI”), a Delaware corporation, conducts its operations and derives substantially all of its income from operations and cash provided by operating activities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franchised Domino’s Pizza stores through Company-owned supply chain centers in the U.S. and Canada; (iii) receipt of royalties, advertising contributions and fees from U.S. Domino’s Pizza franchisees; and (iv) receipt of royalties and fees from international Domino’s Pizza franchisees.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34" w:lineRule="exact"/>
        <w:rPr>
          <w:sz w:val="20"/>
          <w:szCs w:val="20"/>
          <w:color w:val="auto"/>
        </w:rPr>
      </w:pPr>
    </w:p>
    <w:p>
      <w:pPr>
        <w:ind w:right="340" w:firstLine="449"/>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DPI and its subsidiaries. All significant intercompany accounts and transactions have been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34" w:lineRule="exact"/>
        <w:rPr>
          <w:sz w:val="20"/>
          <w:szCs w:val="20"/>
          <w:color w:val="auto"/>
        </w:rPr>
      </w:pPr>
    </w:p>
    <w:p>
      <w:pPr>
        <w:jc w:val="both"/>
        <w:ind w:right="380" w:firstLine="449"/>
        <w:spacing w:after="0" w:line="312" w:lineRule="auto"/>
        <w:rPr>
          <w:sz w:val="20"/>
          <w:szCs w:val="20"/>
          <w:color w:val="auto"/>
        </w:rPr>
      </w:pPr>
      <w:r>
        <w:rPr>
          <w:rFonts w:ascii="Times New Roman" w:cs="Times New Roman" w:eastAsia="Times New Roman" w:hAnsi="Times New Roman"/>
          <w:sz w:val="17"/>
          <w:szCs w:val="17"/>
          <w:color w:val="auto"/>
        </w:rPr>
        <w:t>The Company’s fiscal year ends on the Sunday closest to December 31. The 2023 fiscal year ended on December 31, 2023, the 2022 fiscal year ended on January 1, 2023 and the 2021 fiscal year ended on January 2, 2022. The 2023, 2022 and 2021 fiscal years each consisted of fifty-two weeks.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3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p>
      <w:pPr>
        <w:spacing w:after="0" w:line="13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December 31, 2023 included $149.1 million of restricted cash and cash equivalents held for future principal and interest payments and other working capital requirements of the Company’s asset-backed securitization structure, $51.6 million of restricted cash equivalents held in a three-month interest reserve as required by the related debt agreements and $0.2 million of other restricted cash. As of December 31, 2023, the Company also held $88.2 million of advertising fund restricted cash and cash equivalents, which can only be used for activities that promote the Domino’s Pizza brand.</w:t>
      </w:r>
    </w:p>
    <w:p>
      <w:pPr>
        <w:spacing w:after="0" w:line="88"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January 1, 2023 included $141.2 million of restricted cash and cash equivalents held for future principal and interest payments and other working capital requirements of the Company’s asset-backed securitization structure, $49.9 million of restricted cash equivalents held in a three-month interest reserve as required by the related debt agreements and $0.2 million of other restricted cash. As of January 1, 2023, the Company also held $143.6 million of advertising fund restricted cash and cash equivalents, which can only be used for activities that promote the Domino’s Pizza brand.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134" w:lineRule="exact"/>
        <w:rPr>
          <w:sz w:val="20"/>
          <w:szCs w:val="20"/>
          <w:color w:val="auto"/>
        </w:rPr>
      </w:pPr>
    </w:p>
    <w:p>
      <w:pPr>
        <w:ind w:right="60" w:firstLine="469"/>
        <w:spacing w:after="0" w:line="265" w:lineRule="auto"/>
        <w:rPr>
          <w:sz w:val="20"/>
          <w:szCs w:val="20"/>
          <w:color w:val="auto"/>
        </w:rPr>
      </w:pPr>
      <w:r>
        <w:rPr>
          <w:rFonts w:ascii="Times New Roman" w:cs="Times New Roman" w:eastAsia="Times New Roman" w:hAnsi="Times New Roman"/>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83" w:lineRule="exact"/>
        <w:rPr>
          <w:sz w:val="20"/>
          <w:szCs w:val="20"/>
          <w:color w:val="auto"/>
        </w:rPr>
      </w:pPr>
    </w:p>
    <w:p>
      <w:pPr>
        <w:ind w:right="320" w:firstLine="469"/>
        <w:spacing w:after="0" w:line="265" w:lineRule="auto"/>
        <w:rPr>
          <w:sz w:val="20"/>
          <w:szCs w:val="20"/>
          <w:color w:val="auto"/>
        </w:rPr>
      </w:pPr>
      <w:r>
        <w:rPr>
          <w:rFonts w:ascii="Times New Roman" w:cs="Times New Roman" w:eastAsia="Times New Roman" w:hAnsi="Times New Roman"/>
          <w:sz w:val="18"/>
          <w:szCs w:val="18"/>
          <w:color w:val="auto"/>
        </w:rPr>
        <w:t>The Company also monitors its off-balance sheet exposures under its letters of credit (Note 3), lease guarantees (Note 5) and surety bonds. Total conditional commitments under surety bonds were $14.7 million in each of December 31, 2023 and January 1, 2023, respectively. None of these arrangements has had or is likely to have a material effect on the Company’s results of operations, financial condition, revenues, expenses or liquidity.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34"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Inventories at December 31, 2023 and January 1, 2023 were comprised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Food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74,052</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supplies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00" w:type="dxa"/>
            <w:vAlign w:val="bottom"/>
          </w:tcPr>
          <w:p>
            <w:pPr>
              <w:spacing w:after="0"/>
              <w:rPr>
                <w:sz w:val="20"/>
                <w:szCs w:val="20"/>
                <w:color w:val="auto"/>
              </w:rPr>
            </w:pPr>
          </w:p>
        </w:tc>
      </w:tr>
      <w:tr>
        <w:trPr>
          <w:trHeight w:val="28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34" w:lineRule="exact"/>
        <w:rPr>
          <w:sz w:val="20"/>
          <w:szCs w:val="20"/>
          <w:color w:val="auto"/>
        </w:rPr>
      </w:pPr>
    </w:p>
    <w:p>
      <w:pPr>
        <w:ind w:right="460" w:firstLine="469"/>
        <w:spacing w:after="0" w:line="265" w:lineRule="auto"/>
        <w:rPr>
          <w:sz w:val="20"/>
          <w:szCs w:val="20"/>
          <w:color w:val="auto"/>
        </w:rPr>
      </w:pPr>
      <w:r>
        <w:rPr>
          <w:rFonts w:ascii="Times New Roman" w:cs="Times New Roman" w:eastAsia="Times New Roman" w:hAnsi="Times New Roman"/>
          <w:sz w:val="18"/>
          <w:szCs w:val="18"/>
          <w:color w:val="auto"/>
        </w:rPr>
        <w:t>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w:t>
      </w:r>
    </w:p>
    <w:p>
      <w:pPr>
        <w:spacing w:after="0" w:line="83" w:lineRule="exact"/>
        <w:rPr>
          <w:sz w:val="20"/>
          <w:szCs w:val="20"/>
          <w:color w:val="auto"/>
        </w:rPr>
      </w:pPr>
    </w:p>
    <w:p>
      <w:pPr>
        <w:ind w:right="240" w:firstLine="469"/>
        <w:spacing w:after="0" w:line="260" w:lineRule="auto"/>
        <w:rPr>
          <w:sz w:val="20"/>
          <w:szCs w:val="20"/>
          <w:color w:val="auto"/>
        </w:rPr>
      </w:pPr>
      <w:r>
        <w:rPr>
          <w:rFonts w:ascii="Times New Roman" w:cs="Times New Roman" w:eastAsia="Times New Roman" w:hAnsi="Times New Roman"/>
          <w:sz w:val="18"/>
          <w:szCs w:val="18"/>
          <w:color w:val="auto"/>
        </w:rPr>
        <w:t>Other long-term assets included implementation costs for cloud-based computing arrangements (primarily related to certain enterprise systems) of $11.1 million and $11.9 million, net of accumulated amortization of $6.2 million and $3.5 million as of December 31, 2023 and January 1, 2023, respectively. Amortization expense for implementation costs for cloud-based computing arrangements was $2.7 million, $1.9 million and $1.3 million in 2023, 2022 and 2021,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34"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Repair and maintenance costs are expensed as incurred. Depreciation and amortization expense are recorded using the straight-line method over the estimated useful lives of the related assets. Estimated useful lives are generally as follows (in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860" w:type="dxa"/>
            <w:vAlign w:val="bottom"/>
            <w:shd w:val="clear" w:color="auto" w:fill="CFF0FC"/>
          </w:tcPr>
          <w:p>
            <w:pPr>
              <w:spacing w:after="0"/>
              <w:rPr>
                <w:sz w:val="21"/>
                <w:szCs w:val="21"/>
                <w:color w:val="auto"/>
              </w:rPr>
            </w:pP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w:t>
            </w:r>
          </w:p>
        </w:tc>
      </w:tr>
    </w:tbl>
    <w:p>
      <w:pPr>
        <w:spacing w:after="0" w:line="103"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$52.4 million, $51.8 million and $48.6 million in 2023,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 of Long-Lived Assets</w:t>
      </w:r>
    </w:p>
    <w:p>
      <w:pPr>
        <w:spacing w:after="0" w:line="134"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Company evaluates the potential impairment of long-lived assets at least annually based on various analyses including, on an annual basis, the projection of undiscounted cash flows and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There were no triggering events in 2023, 2022 and 2021 and accordingly, the Company did not record any impairment losses on long-lived assets in 2023, 2022 and 2021.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w:t>
      </w:r>
    </w:p>
    <w:p>
      <w:pPr>
        <w:spacing w:after="0" w:line="134" w:lineRule="exact"/>
        <w:rPr>
          <w:sz w:val="20"/>
          <w:szCs w:val="20"/>
          <w:color w:val="auto"/>
        </w:rPr>
      </w:pPr>
    </w:p>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3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8"/>
          <w:szCs w:val="18"/>
          <w:color w:val="auto"/>
        </w:rPr>
        <w:t>The Company’s goodwill amounts primarily relate to franchise store acquisitions. The Company performs its required impairment tests in the fourth quarter of each fiscal year and did not recognize any goodwill impairment charges in 2023, 2022 and 2021.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134" w:lineRule="exact"/>
        <w:rPr>
          <w:sz w:val="20"/>
          <w:szCs w:val="20"/>
          <w:color w:val="auto"/>
        </w:rPr>
      </w:pPr>
    </w:p>
    <w:p>
      <w:pPr>
        <w:ind w:right="300" w:firstLine="449"/>
        <w:spacing w:after="0" w:line="265" w:lineRule="auto"/>
        <w:rPr>
          <w:sz w:val="20"/>
          <w:szCs w:val="20"/>
          <w:color w:val="auto"/>
        </w:rPr>
      </w:pPr>
      <w:r>
        <w:rPr>
          <w:rFonts w:ascii="Times New Roman" w:cs="Times New Roman" w:eastAsia="Times New Roman" w:hAnsi="Times New Roman"/>
          <w:sz w:val="18"/>
          <w:szCs w:val="18"/>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ten years. Capitalized software amortization expense was $28.2 million, $28.5 million and $24.3 million in 2023, 2022 and 2021, respectively.</w:t>
      </w:r>
    </w:p>
    <w:p>
      <w:pPr>
        <w:spacing w:after="0" w:line="83"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8"/>
          <w:szCs w:val="18"/>
          <w:color w:val="auto"/>
        </w:rPr>
        <w:t>As of December 31, 2023, scheduled amortization for capitalized software that had been placed in service as of December 31, 2023 is as follows in the table below. As of December 31, 2023, the Company also had $34.1 million of capitalized software that had not yet been placed in service.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DPC Dash</w:t>
      </w:r>
    </w:p>
    <w:p>
      <w:pPr>
        <w:spacing w:after="0" w:line="134" w:lineRule="exact"/>
        <w:rPr>
          <w:sz w:val="20"/>
          <w:szCs w:val="20"/>
          <w:color w:val="auto"/>
        </w:rPr>
      </w:pPr>
    </w:p>
    <w:p>
      <w:pPr>
        <w:ind w:right="260" w:firstLine="449"/>
        <w:spacing w:after="0" w:line="260"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Prior to March 28, 2023, the Company’s investment in DPC Dash’s senior ordinary shares, which were not in-substance common stock, represented an equity investment without a readily determinable fair value and was recorded at cost with adjustments for observable changes in prices resulting from orderly transactions for the identical or a similar investment of the same issuer or impairments.</w:t>
      </w:r>
    </w:p>
    <w:p>
      <w:pPr>
        <w:spacing w:after="0" w:line="87"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On March 28, 2023, DPC Dash completed its initial public offering on the Hong Kong Exchange (HK: 1405), at which point the Company’s 18,101,019 DPC Dash senior ordinary shares automatically converted to DPC Dash ordinary shares pursuant to the terms of the investment. The Company is required to hold the DPC Dash ordinary shares for at least 360 days from the date of the initial public offering of March 28, 2023. The Company accounts for its investment in DPC Dash as a trading security and records it at fair value at the end of each reporting period, with gains and losses recorded in other income or expense in its consolidated statements of income. Refer to Note 4 for fair value disclosures related to the Company’s investment in DPC Dash.</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3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Debt issuance costs are recorded as a reduction to the Company’s debt balance and primarily include the expenses incurred by the Company as part of the 2021, 2019, 2018, 2017 and 2015 Recapitalizations. Refer to Note 3 for a description of the 2021, 2019, 2018, 2017 and 2015 Recapitalizations. Amortization is recorded on a straight-line basis (which is materially consistent with the effective interest method) over the expected terms of the respective debt instrument to which the costs relate and is included in interest expense. Debt issuance cost amortization expense was $5.5 million, $5.6 million and $7.5 million in 2023, 2022 and 2021,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3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$2.0 million per occurrence under these retention programs for workers’ compensation and general liability exposures. The Company is also generally responsible for between $500,000 and $5.5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9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as appropriate. The Company had reserves for these programs of $56.3 million and $57.6 million as of December 31, 2023 and January 1, 2023,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color w:val="auto"/>
        </w:rPr>
        <w:t>In addition, the Company maintains reserves for its share of employee health costs as part of the health care benefits offered to its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are based on estimated claims incurred that have not yet been paid, based on historical claims and payment lag times.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34"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Contract liabilities consist primarily of deferred franchise fees and deferred development fees. Deferred franchise fees and deferred development fees of $5.3 million and $5.5 million were included in current other accrued liabilities as of December 31, 2023 and January 1, 2023, respectively. Deferred franchise fees and deferred development fees of $19.9 million and $22.7 million were included in long-term other accrued liabilities as of December 31, 2023 and January 1, 2023, respectively.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in 2023 and 2022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131"/>
        </w:trPr>
        <w:tc>
          <w:tcPr>
            <w:tcW w:w="77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(6,468 )</w:t>
            </w:r>
          </w:p>
        </w:tc>
        <w:tc>
          <w:tcPr>
            <w:tcW w:w="4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(6,654 )</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8"/>
          <w:szCs w:val="18"/>
          <w:color w:val="auto"/>
        </w:rPr>
        <w:t>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134" w:lineRule="exact"/>
        <w:rPr>
          <w:sz w:val="20"/>
          <w:szCs w:val="20"/>
          <w:color w:val="auto"/>
        </w:rPr>
      </w:pPr>
    </w:p>
    <w:p>
      <w:pPr>
        <w:ind w:right="380" w:firstLine="449"/>
        <w:spacing w:after="0" w:line="265" w:lineRule="auto"/>
        <w:rPr>
          <w:sz w:val="20"/>
          <w:szCs w:val="20"/>
          <w:color w:val="auto"/>
        </w:rPr>
      </w:pPr>
      <w:r>
        <w:rPr>
          <w:rFonts w:ascii="Times New Roman" w:cs="Times New Roman" w:eastAsia="Times New Roman" w:hAnsi="Times New Roman"/>
          <w:sz w:val="18"/>
          <w:szCs w:val="18"/>
          <w:color w:val="auto"/>
        </w:rPr>
        <w:t>Current and long-term other accrued liabilities primarily include accruals for income, sales, property and other taxes, legal reserves, operating expenses, dividends payable, deferred compensation, unredeemed gift cards and contract liabilities. The Company had $38.9 million and $29.2 million included in other current accrued liabilities related to unredeemed gift cards as of December 31, 2023 and January 1, 2023,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34" w:lineRule="exact"/>
        <w:rPr>
          <w:sz w:val="20"/>
          <w:szCs w:val="20"/>
          <w:color w:val="auto"/>
        </w:rPr>
      </w:pPr>
    </w:p>
    <w:p>
      <w:pPr>
        <w:ind w:right="160" w:firstLine="449"/>
        <w:spacing w:after="0" w:line="288" w:lineRule="auto"/>
        <w:rPr>
          <w:sz w:val="20"/>
          <w:szCs w:val="20"/>
          <w:color w:val="auto"/>
        </w:rPr>
      </w:pPr>
      <w:r>
        <w:rPr>
          <w:rFonts w:ascii="Times New Roman" w:cs="Times New Roman" w:eastAsia="Times New Roman" w:hAnsi="Times New Roman"/>
          <w:sz w:val="17"/>
          <w:szCs w:val="17"/>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120" w:firstLine="469"/>
        <w:spacing w:after="0" w:line="260" w:lineRule="auto"/>
        <w:rPr>
          <w:sz w:val="20"/>
          <w:szCs w:val="20"/>
          <w:color w:val="auto"/>
        </w:rPr>
      </w:pPr>
      <w:r>
        <w:rPr>
          <w:rFonts w:ascii="Times New Roman" w:cs="Times New Roman" w:eastAsia="Times New Roman" w:hAnsi="Times New Roman"/>
          <w:sz w:val="18"/>
          <w:szCs w:val="18"/>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74"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Payments for U.S. royalties and fees are generally due within seven days of the prior week end date.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3" w:name="page64"/>
    <w:bookmarkEnd w:id="63"/>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Supply chain revenues are primarily comprised of sales of food, equipment and supplies to franchised Domino’s Pizza stores located in the U.S. and Canada. Revenues from the sale of food are recognized upon delivery of the food to franchisees and payments for food purchases are generally due within 30 days of the shipping date. Revenues from the sale of equipment and supplies are recognized upon delivery or shipment of the related products to franchisees, based on shipping terms, and payments for equipment and supplies are generally due within 90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spacing w:after="0" w:line="7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International franchise royalties and fees are primarily comprised of royalties and fees from Domino’s Pizza franchisees outside of the U.S. Royalty revenues are recognized when the items are delivered to or carried out by franchisees’ customers. Franchise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revenues primarily relate to per-transaction technology fees that are recognized as the related sales occur. International franchise royalties and fees are invoiced at least quarterly, and payments are generally due within 60 days.</w:t>
      </w:r>
    </w:p>
    <w:p>
      <w:pPr>
        <w:spacing w:after="0" w:line="7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6.0% of their retail sales to fund national marketing and advertising campaigns (subject, in certain instances, to lower rates based on certain incentives and waivers). Beginning on March 27, 2023, the Company effectuated a temporary reduction of 0.25% to its standard 6.0% advertising contribution, which will expire on March 24, 2024.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its U.S. royalty payment stream and as a result, these franchise contributions and the related expenses are presented gross in the Company’s consolidated statements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right="100" w:firstLine="449"/>
        <w:spacing w:after="0" w:line="265" w:lineRule="auto"/>
        <w:rPr>
          <w:sz w:val="20"/>
          <w:szCs w:val="20"/>
          <w:color w:val="auto"/>
        </w:rPr>
      </w:pPr>
      <w:r>
        <w:rPr>
          <w:rFonts w:ascii="Times New Roman" w:cs="Times New Roman" w:eastAsia="Times New Roman" w:hAnsi="Times New Roman"/>
          <w:sz w:val="18"/>
          <w:szCs w:val="18"/>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Profit-Sharing Arrangements</w:t>
      </w:r>
    </w:p>
    <w:p>
      <w:pPr>
        <w:spacing w:after="0" w:line="134"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The Company enters into profit-sharing arrangements with U.S. and Canadian franchisees that purchase all of their food from the Company’s supply chain centers. These profit-sharing arrangements generally offer Company-owned stores and participating franchisees 50% of the pre-tax profit from the Company’s supply chain center operations. Profit-sharing obligations are recorded as a reduction to supply chain revenues in the same period as the related revenues and costs are recorded, and were $138.7 million, $110.0 million and $148.3 million in 2023, 2022 and 2021,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34" w:lineRule="exact"/>
        <w:rPr>
          <w:sz w:val="20"/>
          <w:szCs w:val="20"/>
          <w:color w:val="auto"/>
        </w:rPr>
      </w:pPr>
    </w:p>
    <w:p>
      <w:pPr>
        <w:ind w:right="460" w:firstLine="449"/>
        <w:spacing w:after="0" w:line="265" w:lineRule="auto"/>
        <w:rPr>
          <w:sz w:val="20"/>
          <w:szCs w:val="20"/>
          <w:color w:val="auto"/>
        </w:rPr>
      </w:pPr>
      <w:r>
        <w:rPr>
          <w:rFonts w:ascii="Times New Roman" w:cs="Times New Roman" w:eastAsia="Times New Roman" w:hAnsi="Times New Roman"/>
          <w:sz w:val="18"/>
          <w:szCs w:val="18"/>
          <w:color w:val="auto"/>
        </w:rPr>
        <w:t>Cost of sales consists primarily of U.S. Company-owned store and supply chain costs incurred to generate related revenues. Components of consolidated cost of sales primarily include food, labor, delivery, occupancy costs (including rent, telephone, utilities and depreciation) and insurance expense.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34" w:lineRule="exact"/>
        <w:rPr>
          <w:sz w:val="20"/>
          <w:szCs w:val="20"/>
          <w:color w:val="auto"/>
        </w:rPr>
      </w:pPr>
    </w:p>
    <w:p>
      <w:pPr>
        <w:ind w:right="260" w:firstLine="44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consists primarily of labor cost (including variable performance-based compensation expense and non-cash equity-based compensation expense), depreciation and amortization, computer expenses, professional fees, travel and entertainment, rent, insurance and other corporate administrative costs.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34"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8"/>
          <w:szCs w:val="18"/>
          <w:color w:val="auto"/>
        </w:rPr>
        <w:t>U.S. stores are generally required to contribute 6.0% of sales to DNAF (subject, in certain instances, to lower rates based on certain incentives and waivers). Beginning on March 27, 2023, the Company effectuated a temporary reduction of 0.25% to its standard 6.0% advertising contribution, which will expire on March 24, 2024.</w:t>
      </w:r>
    </w:p>
    <w:p>
      <w:pPr>
        <w:spacing w:after="0" w:line="6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U.S. franchise advertising costs are accrued and expensed when the related U.S. franchise advertising revenues are recognized, as DNAF is obligated to expend such revenues on advertising and other activities that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sheets.</w:t>
      </w:r>
    </w:p>
    <w:p>
      <w:pPr>
        <w:spacing w:after="0" w:line="74"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Advertising expense included $473.2 million, $485.3 million and $479.5 million of U.S. franchise advertising expense in 2023, 2022 and 2021, respectively. Advertising expense also included $33.5 million, $33.8 million and $42.1 million in 2023, 2022 and 2021, respectively, primarily related to advertising costs funded by U.S. Company-owned stores and other general marketing expenses which are included in general and administrative expense in the consolidated statements of income.</w:t>
      </w:r>
    </w:p>
    <w:p>
      <w:pPr>
        <w:spacing w:after="0" w:line="87" w:lineRule="exact"/>
        <w:rPr>
          <w:sz w:val="20"/>
          <w:szCs w:val="20"/>
          <w:color w:val="auto"/>
        </w:rPr>
      </w:pPr>
    </w:p>
    <w:p>
      <w:pPr>
        <w:jc w:val="both"/>
        <w:ind w:right="40" w:firstLine="449"/>
        <w:spacing w:after="0" w:line="265" w:lineRule="auto"/>
        <w:rPr>
          <w:sz w:val="20"/>
          <w:szCs w:val="20"/>
          <w:color w:val="auto"/>
        </w:rPr>
      </w:pPr>
      <w:r>
        <w:rPr>
          <w:rFonts w:ascii="Times New Roman" w:cs="Times New Roman" w:eastAsia="Times New Roman" w:hAnsi="Times New Roman"/>
          <w:sz w:val="18"/>
          <w:szCs w:val="18"/>
          <w:color w:val="auto"/>
        </w:rPr>
        <w:t>As of December 31, 2023, advertising fund assets, restricted of $106.3 million consisted of $88.2 million of cash and cash equivalents, $14.0 million of accounts receivable and $4.1 million of prepaid expenses. As of December 31, 2023, advertising fund cash and cash equivalents included $2.1 million of cash contributed from U.S. Company-owned stores that had not yet been expended.</w:t>
      </w:r>
    </w:p>
    <w:p>
      <w:pPr>
        <w:spacing w:after="0" w:line="83" w:lineRule="exact"/>
        <w:rPr>
          <w:sz w:val="20"/>
          <w:szCs w:val="20"/>
          <w:color w:val="auto"/>
        </w:rPr>
      </w:pPr>
    </w:p>
    <w:p>
      <w:pPr>
        <w:jc w:val="both"/>
        <w:ind w:right="6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advertising fund assets, restricted of $162.7 million consisted of $143.6 million of cash and cash equivalents, $13.1 million of accounts receivable and $6.0 million of prepaid expenses. As of January 1, 2023, advertising fund cash and cash equivalents included $4.8 million of cash contributed from U.S. Company-owned stores that had not yet been expended.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4" w:lineRule="exact"/>
        <w:rPr>
          <w:sz w:val="20"/>
          <w:szCs w:val="20"/>
          <w:color w:val="auto"/>
        </w:rPr>
      </w:pPr>
    </w:p>
    <w:p>
      <w:pPr>
        <w:ind w:right="300" w:firstLine="449"/>
        <w:spacing w:after="0" w:line="260"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sheets. Finance leases are included in property, plant and equipment, current portion of long-term debt and long-term debt on the Company’s consolidated balance sheets.</w:t>
      </w:r>
    </w:p>
    <w:p>
      <w:pPr>
        <w:spacing w:after="0" w:line="74" w:lineRule="exact"/>
        <w:rPr>
          <w:sz w:val="20"/>
          <w:szCs w:val="20"/>
          <w:color w:val="auto"/>
        </w:rPr>
      </w:pPr>
    </w:p>
    <w:p>
      <w:pPr>
        <w:jc w:val="both"/>
        <w:ind w:right="280" w:firstLine="449"/>
        <w:spacing w:after="0" w:line="260" w:lineRule="auto"/>
        <w:rPr>
          <w:sz w:val="20"/>
          <w:szCs w:val="20"/>
          <w:color w:val="auto"/>
        </w:rPr>
      </w:pPr>
      <w:r>
        <w:rPr>
          <w:rFonts w:ascii="Times New Roman" w:cs="Times New Roman" w:eastAsia="Times New Roman" w:hAnsi="Times New Roman"/>
          <w:sz w:val="18"/>
          <w:szCs w:val="18"/>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74"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8"/>
          <w:szCs w:val="18"/>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69" w:lineRule="exact"/>
        <w:rPr>
          <w:sz w:val="20"/>
          <w:szCs w:val="20"/>
          <w:color w:val="auto"/>
        </w:rPr>
      </w:pPr>
    </w:p>
    <w:p>
      <w:pPr>
        <w:ind w:right="80" w:firstLine="449"/>
        <w:spacing w:after="0" w:line="280" w:lineRule="auto"/>
        <w:rPr>
          <w:sz w:val="20"/>
          <w:szCs w:val="20"/>
          <w:color w:val="auto"/>
        </w:rPr>
      </w:pPr>
      <w:r>
        <w:rPr>
          <w:rFonts w:ascii="Times New Roman" w:cs="Times New Roman" w:eastAsia="Times New Roman" w:hAnsi="Times New Roman"/>
          <w:sz w:val="17"/>
          <w:szCs w:val="17"/>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134"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The Company declared dividends of $170.4 million (or $4.84 per share) in 2023, $157.5 million (or $4.40 per share) in 2022 and $139.6 million (or $3.76 per share) in 2021. The Company paid dividends of $169.8 million, $157.5 million, and $139.4 million in 2023, 2022 and 2021, respectively.</w:t>
      </w:r>
    </w:p>
    <w:p>
      <w:pPr>
        <w:spacing w:after="0" w:line="54"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 xml:space="preserve">Subsequent to the end of fiscal 2023, </w:t>
      </w:r>
      <w:r>
        <w:rPr>
          <w:rFonts w:ascii="Arial" w:cs="Arial" w:eastAsia="Arial" w:hAnsi="Arial"/>
          <w:sz w:val="18"/>
          <w:szCs w:val="18"/>
          <w:color w:val="auto"/>
        </w:rPr>
        <w:t>o</w:t>
      </w:r>
      <w:r>
        <w:rPr>
          <w:rFonts w:ascii="Times New Roman" w:cs="Times New Roman" w:eastAsia="Times New Roman" w:hAnsi="Times New Roman"/>
          <w:sz w:val="18"/>
          <w:szCs w:val="18"/>
          <w:color w:val="auto"/>
        </w:rPr>
        <w:t>n February 21, 2024, the Company’s Board of Directors declared a quarterly dividend of $1.51 per common share payable on March 29, 2024 to shareholders of record at the close of business on March 15, 2024.</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Stock Options and Other Equity-Based Compensation Arrangements</w:t>
      </w:r>
    </w:p>
    <w:p>
      <w:pPr>
        <w:spacing w:after="0" w:line="134" w:lineRule="exact"/>
        <w:rPr>
          <w:sz w:val="20"/>
          <w:szCs w:val="20"/>
          <w:color w:val="auto"/>
        </w:rPr>
      </w:pPr>
    </w:p>
    <w:p>
      <w:pPr>
        <w:ind w:right="380" w:firstLine="449"/>
        <w:spacing w:after="0" w:line="281" w:lineRule="auto"/>
        <w:rPr>
          <w:sz w:val="20"/>
          <w:szCs w:val="20"/>
          <w:color w:val="auto"/>
        </w:rPr>
      </w:pPr>
      <w:r>
        <w:rPr>
          <w:rFonts w:ascii="Times New Roman" w:cs="Times New Roman" w:eastAsia="Times New Roman" w:hAnsi="Times New Roman"/>
          <w:sz w:val="18"/>
          <w:szCs w:val="18"/>
          <w:color w:val="auto"/>
        </w:rPr>
        <w:t>The cost of all of the Company’s stock options, as well as other equity-based compensation arrangements, is reflected in the financial statements based on the estimated fair value of the awards (Note 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3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awards and units and unvested performance-based restricted stock awards and units.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paid interest of $186.8 million, $188.5 million and $174.6 million during 2023, 2022 and 2021, respectively, on its Notes (Note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was $136.3 million, $134.4 million and $106.3 million in 2023, 2022 and 2021, respectively.</w:t>
      </w:r>
    </w:p>
    <w:p>
      <w:pPr>
        <w:spacing w:after="0" w:line="98" w:lineRule="exact"/>
        <w:rPr>
          <w:sz w:val="20"/>
          <w:szCs w:val="20"/>
          <w:color w:val="auto"/>
        </w:rPr>
      </w:pPr>
    </w:p>
    <w:p>
      <w:pPr>
        <w:ind w:right="460" w:firstLine="449"/>
        <w:spacing w:after="0" w:line="260"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$6.7 million, $6.9 million and $5.4 million at December 31, 2023, January 1, 2023 and January 2, 2022, respectively. As of December 31, 2023, the Company also had $2.6 million in non-cash financing activity related to accruals for excise taxes on share repurchases. The Company had $0.1 million, $0.1 million and $0.4 million of non-cash investing activities related to lease incentives in 2023, 2022 and 2021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30"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and adopted the following accounting standards.</w:t>
      </w:r>
    </w:p>
    <w:p>
      <w:pPr>
        <w:spacing w:after="0" w:line="5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(“ASU”) 2020-04, Facilitation of the Effects of Reference Rate Reform on Financial Reporting, </w:t>
      </w:r>
      <w:r>
        <w:rPr>
          <w:rFonts w:ascii="Times New Roman" w:cs="Times New Roman" w:eastAsia="Times New Roman" w:hAnsi="Times New Roman"/>
          <w:sz w:val="18"/>
          <w:szCs w:val="18"/>
          <w:color w:val="auto"/>
        </w:rPr>
        <w:t>updated by</w:t>
      </w:r>
      <w:r>
        <w:rPr>
          <w:rFonts w:ascii="Times New Roman" w:cs="Times New Roman" w:eastAsia="Times New Roman" w:hAnsi="Times New Roman"/>
          <w:sz w:val="18"/>
          <w:szCs w:val="18"/>
          <w:i w:val="1"/>
          <w:iCs w:val="1"/>
          <w:color w:val="auto"/>
        </w:rPr>
        <w:t xml:space="preserve"> ASU 2022-06, Deferral of the Sunset Date of Topic 848 (“ASU 2022-06”)</w:t>
      </w:r>
    </w:p>
    <w:p>
      <w:pPr>
        <w:spacing w:after="0" w:line="65"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 xml:space="preserve">In March 2020, the FASB issued </w:t>
      </w:r>
      <w:r>
        <w:rPr>
          <w:rFonts w:ascii="Times New Roman" w:cs="Times New Roman" w:eastAsia="Times New Roman" w:hAnsi="Times New Roman"/>
          <w:sz w:val="17"/>
          <w:szCs w:val="17"/>
          <w:i w:val="1"/>
          <w:iCs w:val="1"/>
          <w:color w:val="auto"/>
        </w:rPr>
        <w:t>ASU 2020-04, Reference Rate Reform (Topic 848): Facilitation of the Effects of Reference Rate Reform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Reporting (“ASU 2020-04”)</w:t>
      </w:r>
      <w:r>
        <w:rPr>
          <w:rFonts w:ascii="Times New Roman" w:cs="Times New Roman" w:eastAsia="Times New Roman" w:hAnsi="Times New Roman"/>
          <w:sz w:val="17"/>
          <w:szCs w:val="17"/>
          <w:color w:val="auto"/>
        </w:rPr>
        <w:t>, which provides temporary optional expedients and exceptions for applying generally accepted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principles to contracts, hedging relationships and other transactions affected by reference rate reform. On May 15, 2023, certain of the Company’s subsidiaries executed an amendment to the Company’s 2021 variable funding notes to affect the transition from LIBOR to the Secured Overnight Financing Rate (“Term SOFR”), plus a spread adjustment. In connection with this contract amendment, the Company adopted ASU 2020-04 (as updated by ASU</w:t>
      </w:r>
    </w:p>
    <w:p>
      <w:pPr>
        <w:spacing w:after="0" w:line="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2022-06) in the second quarter of 2023. The amendment to the Company’s 2021 variable funding notes and the adoption of this accounting standard did not have a material impact on the Company’s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2022-03, Fair Value Measurement (Topic 820): Fair Value Measurement of Equity Securities Subject to Contractual Sale Restrictions</w:t>
      </w:r>
    </w:p>
    <w:p>
      <w:pPr>
        <w:spacing w:after="0" w:line="130"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7"/>
          <w:szCs w:val="17"/>
          <w:color w:val="auto"/>
        </w:rPr>
        <w:t xml:space="preserve">In June 2022, the FASB issued </w:t>
      </w:r>
      <w:r>
        <w:rPr>
          <w:rFonts w:ascii="Times New Roman" w:cs="Times New Roman" w:eastAsia="Times New Roman" w:hAnsi="Times New Roman"/>
          <w:sz w:val="17"/>
          <w:szCs w:val="17"/>
          <w:i w:val="1"/>
          <w:iCs w:val="1"/>
          <w:color w:val="auto"/>
        </w:rPr>
        <w:t>ASU 2022-03, Fair Value Measurement (Topic 820): Fair Value Measurement of Equity Securities Subject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Contractual Sale Restrictions (“ASU 2022-03”)</w:t>
      </w:r>
      <w:r>
        <w:rPr>
          <w:rFonts w:ascii="Times New Roman" w:cs="Times New Roman" w:eastAsia="Times New Roman" w:hAnsi="Times New Roman"/>
          <w:sz w:val="17"/>
          <w:szCs w:val="17"/>
          <w:color w:val="auto"/>
        </w:rPr>
        <w:t>, which clarifies and amends the guidance of measuring the fair value of equity securities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sale restrictions. ASU 2022-03 also requires disclosure of the fair value of equity securities subject to contractual sale restrictions, the nature and remaining duration of the restrictions and the circumstances that could cause a lapse in the restrictions. The Company’s investment in DPC Dash (Note</w:t>
      </w:r>
    </w:p>
    <w:p>
      <w:pPr>
        <w:ind w:right="180" w:firstLine="8"/>
        <w:spacing w:after="0" w:line="255" w:lineRule="auto"/>
        <w:tabs>
          <w:tab w:leader="none" w:pos="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contractual restrictions that prohibit the Company from selling the security for 360 days following DPC Dash’s initial public offering. The Company early adopted ASU 2022-03 in the second quarter of 2023 and the adoption of this accounting standard did not have a material impact on the Company’s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considered all new accounting pronouncements issued by the FASB. The Company has not yet adopted the following standards: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198"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which requires disclosure on an annual and interim basis,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name and title of the chief operating decision maker.</w:t>
      </w:r>
    </w:p>
    <w:p>
      <w:pPr>
        <w:spacing w:after="0" w:line="88" w:lineRule="exact"/>
        <w:rPr>
          <w:sz w:val="20"/>
          <w:szCs w:val="20"/>
          <w:color w:val="auto"/>
        </w:rPr>
      </w:pPr>
    </w:p>
    <w:p>
      <w:pPr>
        <w:ind w:right="80" w:firstLine="449"/>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ASU 2023-07 </w:t>
      </w:r>
      <w:r>
        <w:rPr>
          <w:rFonts w:ascii="Times New Roman" w:cs="Times New Roman" w:eastAsia="Times New Roman" w:hAnsi="Times New Roman"/>
          <w:sz w:val="17"/>
          <w:szCs w:val="17"/>
          <w:color w:val="auto"/>
        </w:rPr>
        <w:t>is effective for fiscal years beginning after December 15, 2023, and interim periods within fiscal years beginning after December 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and early adoption is permitted. The Company is currently evaluating the impact of this accounting standard on its consolidated financial statements.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9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which requires disclosure on an annual basis, a tabular reconciliation, including both reporting currency and percentages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92" w:lineRule="exact"/>
        <w:rPr>
          <w:sz w:val="20"/>
          <w:szCs w:val="20"/>
          <w:color w:val="auto"/>
        </w:rPr>
      </w:pPr>
    </w:p>
    <w:p>
      <w:pPr>
        <w:ind w:right="180" w:firstLine="4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is effective for fiscal years beginning after December 15, 2024, and early adoption is permitted. The Company is currently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of this accounting standard on its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4" w:lineRule="exact"/>
        <w:rPr>
          <w:sz w:val="20"/>
          <w:szCs w:val="20"/>
          <w:color w:val="auto"/>
        </w:rPr>
      </w:pPr>
    </w:p>
    <w:p>
      <w:pPr>
        <w:ind w:right="340" w:firstLine="44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137"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basic and diluted earnings per common share for 2023, 2022 and 2021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shd w:val="clear" w:color="auto" w:fill="CFF0FC"/>
          </w:tcPr>
          <w:p>
            <w:pPr>
              <w:spacing w:after="0"/>
              <w:rPr>
                <w:sz w:val="24"/>
                <w:szCs w:val="24"/>
                <w:color w:val="auto"/>
              </w:rPr>
            </w:pPr>
          </w:p>
        </w:tc>
      </w:tr>
      <w:tr>
        <w:trPr>
          <w:trHeight w:val="219"/>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35,081,779</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35,724,325</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37,198,292</w:t>
            </w:r>
          </w:p>
        </w:tc>
        <w:tc>
          <w:tcPr>
            <w:tcW w:w="100" w:type="dxa"/>
            <w:vAlign w:val="bottom"/>
            <w:tcBorders>
              <w:top w:val="single" w:sz="8" w:color="CFF0FC"/>
            </w:tcBorders>
          </w:tcPr>
          <w:p>
            <w:pPr>
              <w:spacing w:after="0"/>
              <w:rPr>
                <w:sz w:val="19"/>
                <w:szCs w:val="19"/>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common shares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35,401,313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36,093,754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37,691,351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-641350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-624205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-641350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-624205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0" w:firstLine="449"/>
        <w:spacing w:after="0" w:line="281"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2023, 2022 and 2021 do not include the following because the effect of including these shares would be anti-dilutive or because the performance targets for these awards had not yet been met: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96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216,128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115,187</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41,215</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1,470</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FF0FC"/>
          </w:tcPr>
          <w:p>
            <w:pPr>
              <w:spacing w:after="0"/>
              <w:rPr>
                <w:sz w:val="21"/>
                <w:szCs w:val="2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22,353</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29,704</w:t>
            </w:r>
          </w:p>
        </w:tc>
        <w:tc>
          <w:tcPr>
            <w:tcW w:w="100" w:type="dxa"/>
            <w:vAlign w:val="bottom"/>
            <w:shd w:val="clear" w:color="auto" w:fill="CFF0FC"/>
          </w:tcPr>
          <w:p>
            <w:pPr>
              <w:spacing w:after="0"/>
              <w:rPr>
                <w:sz w:val="21"/>
                <w:szCs w:val="21"/>
                <w:color w:val="auto"/>
              </w:rPr>
            </w:pPr>
          </w:p>
        </w:tc>
      </w:tr>
      <w:tr>
        <w:trPr>
          <w:trHeight w:val="432"/>
        </w:trPr>
        <w:tc>
          <w:tcPr>
            <w:tcW w:w="4620" w:type="dxa"/>
            <w:vAlign w:val="bottom"/>
          </w:tcPr>
          <w:p>
            <w:pPr>
              <w:spacing w:after="0"/>
              <w:rPr>
                <w:sz w:val="24"/>
                <w:szCs w:val="24"/>
                <w:color w:val="auto"/>
              </w:rPr>
            </w:pPr>
          </w:p>
        </w:tc>
        <w:tc>
          <w:tcPr>
            <w:tcW w:w="1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66</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7" w:name="page68"/>
    <w:bookmarkEnd w:id="67"/>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Recapitalizations and Financing Arrangements</w:t>
      </w:r>
    </w:p>
    <w:p>
      <w:pPr>
        <w:spacing w:after="0" w:line="134" w:lineRule="exact"/>
        <w:rPr>
          <w:sz w:val="20"/>
          <w:szCs w:val="20"/>
          <w:color w:val="auto"/>
        </w:rPr>
      </w:pPr>
    </w:p>
    <w:p>
      <w:pPr>
        <w:ind w:right="180" w:firstLine="449"/>
        <w:spacing w:after="0" w:line="265" w:lineRule="auto"/>
        <w:rPr>
          <w:sz w:val="20"/>
          <w:szCs w:val="20"/>
          <w:color w:val="auto"/>
        </w:rPr>
      </w:pPr>
      <w:r>
        <w:rPr>
          <w:rFonts w:ascii="Times New Roman" w:cs="Times New Roman" w:eastAsia="Times New Roman" w:hAnsi="Times New Roman"/>
          <w:sz w:val="18"/>
          <w:szCs w:val="18"/>
          <w:color w:val="auto"/>
        </w:rPr>
        <w:t>The 2021 Notes, 2019 Notes, 2018 Notes, 2017 Notes and 2015 Notes (each, as defined below) are collectively referred to as the “Notes.” The Company made payments of $51.5 million, $51.5 million and $907.0 million in 2023, 2022 and 2021, respectively on the Notes. The Company borrowed and repaid $120.0 million under its 2021 Variable Funding Notes (as defined below) in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Recapitalization</w:t>
      </w:r>
    </w:p>
    <w:p>
      <w:pPr>
        <w:spacing w:after="0" w:line="134" w:lineRule="exact"/>
        <w:rPr>
          <w:sz w:val="20"/>
          <w:szCs w:val="20"/>
          <w:color w:val="auto"/>
        </w:rPr>
      </w:pPr>
    </w:p>
    <w:p>
      <w:pPr>
        <w:ind w:right="180" w:firstLine="464"/>
        <w:spacing w:after="0" w:line="258" w:lineRule="auto"/>
        <w:rPr>
          <w:sz w:val="20"/>
          <w:szCs w:val="20"/>
          <w:color w:val="auto"/>
        </w:rPr>
      </w:pPr>
      <w:r>
        <w:rPr>
          <w:rFonts w:ascii="Times New Roman" w:cs="Times New Roman" w:eastAsia="Times New Roman" w:hAnsi="Times New Roman"/>
          <w:sz w:val="18"/>
          <w:szCs w:val="18"/>
          <w:color w:val="auto"/>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88"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8"/>
          <w:szCs w:val="18"/>
          <w:color w:val="auto"/>
        </w:rPr>
        <w:t>Concurrently, certain of the Company’s subsidiaries also issued a new variable funding note facility which allows for advances of up to $200.0 million of Series 2021-1 Variable Funding Senior Secured Notes, Class A-1 Notes and certain other credit instruments, including letters of credit (the “2021 Variable Funding Notes”). In connection with the issuance of the 2021 Variable Funding Notes, the Company’s 2019 Variable Funding Notes (as defined below) were canceled.</w:t>
      </w:r>
    </w:p>
    <w:p>
      <w:pPr>
        <w:spacing w:after="0" w:line="87"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8"/>
          <w:szCs w:val="18"/>
          <w:color w:val="auto"/>
        </w:rPr>
        <w:t>The proceeds from the 2021 Recapitalization were used to repay the remaining $291.0 million in outstanding principal under the Company’s 2017 Floating Rate Notes (as defined below) and $582.0 million in outstanding principal under the Company’s 2017 Five-Year Notes (as defined below), prefund a portion of the interest payable on the 2021 Notes, pay transaction fees and expenses and repurchase and retire shares of the Company’s common stock (Note 10).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Recapitalization</w:t>
      </w:r>
    </w:p>
    <w:p>
      <w:pPr>
        <w:spacing w:after="0" w:line="134"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8"/>
          <w:szCs w:val="18"/>
          <w:color w:val="auto"/>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The Company also entered into a variable funding note facility, which allowed for the issuance of up to $200.0 million Series 2019-1 Variable Funding Senior Secured Notes, Class A-1 (the “2019 Variable Funding Notes”) and certain other credit instruments, including letters of credit. Gross proceeds from the issuance of the 2019 Notes were $675.0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Recapitalization</w:t>
      </w:r>
    </w:p>
    <w:p>
      <w:pPr>
        <w:spacing w:after="0" w:line="13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On April 24, 2018, the Company completed a recapitalization transaction (the “2018 Recapitalization”) in which certain of the Company’s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Recapitalization</w:t>
      </w:r>
    </w:p>
    <w:p>
      <w:pPr>
        <w:spacing w:after="0" w:line="13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ten years (the “2017 Ten-Year Notes” and, collectively with the 2017 Floating Rate Notes and the 2017 Five-Year Notes, the “2017 Notes”). The interest rate on the 2017 Floating Rate Notes was payable at a rate equal to LIBOR plus 125 basis points. Gross proceeds from the issuance of the 2017 Notes were $1.9 billion.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2015 Recapitalization</w:t>
      </w:r>
    </w:p>
    <w:p>
      <w:pPr>
        <w:spacing w:after="0" w:line="134" w:lineRule="exact"/>
        <w:rPr>
          <w:sz w:val="20"/>
          <w:szCs w:val="20"/>
          <w:color w:val="auto"/>
        </w:rPr>
      </w:pPr>
    </w:p>
    <w:p>
      <w:pPr>
        <w:ind w:firstLine="449"/>
        <w:spacing w:after="0" w:line="280" w:lineRule="auto"/>
        <w:rPr>
          <w:sz w:val="20"/>
          <w:szCs w:val="20"/>
          <w:color w:val="auto"/>
        </w:rPr>
      </w:pPr>
      <w:r>
        <w:rPr>
          <w:rFonts w:ascii="Times New Roman" w:cs="Times New Roman" w:eastAsia="Times New Roman" w:hAnsi="Times New Roman"/>
          <w:sz w:val="17"/>
          <w:szCs w:val="17"/>
          <w:color w:val="auto"/>
        </w:rPr>
        <w:t>On October 21, 2015, the Company completed a recapitalization transaction (the “2015 Recapitalization”) in which certain of the Company’s subsidiaries issued notes pursuant to an asset-backed securitization. The notes consisted of $500.0 million Series 2015-1 3.484% Fixed Rate Senior Secured Notes, Class A-2-I (the “2015 Five-Year Notes”) and $800.0 million Series 2015-1 4.474% Fixed Rate Senior Secured Notes, Class A-2-II (the “2015 Ten-Year Notes” and, together with the 2015 Five-Year Notes, the “2015 Notes”). Gross proceeds from the issuance of the 2015 Notes were $1.3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Variable Funding Notes</w:t>
      </w:r>
    </w:p>
    <w:p>
      <w:pPr>
        <w:spacing w:after="0" w:line="134"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On September 16, 2022, certain of the Company’s subsidiaries issued a new variable funding note facility which allows for advances of up to $120.0 million of Series 2022-1 Variable Funding Senior Secured Notes, Class A-1 Notes (the “2022 Variable Funding Notes”). The facility was undrawn at closing. Interest on the 2022 Variable Funding Notes is payable at a per year rate equal to Secured Overnight Financing Rate, plus a spread adjustment (“Adjusted Term SOFR”), plus 150 basis points. The unused portion of the 2022 Variable Funding Notes is subject to a commitment fee of 50 basis points. It is anticipated that any amounts outstanding on the 2022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2022 Variable Funding Notes equal to 5% per annum.</w:t>
      </w:r>
    </w:p>
    <w:p>
      <w:pPr>
        <w:spacing w:after="0" w:line="92" w:lineRule="exact"/>
        <w:rPr>
          <w:sz w:val="20"/>
          <w:szCs w:val="20"/>
          <w:color w:val="auto"/>
        </w:rPr>
      </w:pPr>
    </w:p>
    <w:p>
      <w:pPr>
        <w:ind w:right="360" w:firstLine="449"/>
        <w:spacing w:after="0" w:line="281" w:lineRule="auto"/>
        <w:rPr>
          <w:sz w:val="20"/>
          <w:szCs w:val="20"/>
          <w:color w:val="auto"/>
        </w:rPr>
      </w:pPr>
      <w:r>
        <w:rPr>
          <w:rFonts w:ascii="Times New Roman" w:cs="Times New Roman" w:eastAsia="Times New Roman" w:hAnsi="Times New Roman"/>
          <w:sz w:val="18"/>
          <w:szCs w:val="18"/>
          <w:color w:val="auto"/>
        </w:rPr>
        <w:t>As of December 31, 2023 and January 1, 2023, the Company had no outstanding borrowings and $120.0 million of available borrowing capacity under its 2022 Variable Funding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34" w:lineRule="exact"/>
        <w:rPr>
          <w:sz w:val="20"/>
          <w:szCs w:val="20"/>
          <w:color w:val="auto"/>
        </w:rPr>
      </w:pPr>
    </w:p>
    <w:p>
      <w:pPr>
        <w:ind w:right="100" w:firstLine="449"/>
        <w:spacing w:after="0" w:line="281" w:lineRule="auto"/>
        <w:rPr>
          <w:sz w:val="20"/>
          <w:szCs w:val="20"/>
          <w:color w:val="auto"/>
        </w:rPr>
      </w:pPr>
      <w:r>
        <w:rPr>
          <w:rFonts w:ascii="Times New Roman" w:cs="Times New Roman" w:eastAsia="Times New Roman" w:hAnsi="Times New Roman"/>
          <w:sz w:val="18"/>
          <w:szCs w:val="18"/>
          <w:color w:val="auto"/>
        </w:rPr>
        <w:t>The 2021 Notes have remaining scheduled principal payments of $18.5 million in each of 2024 through 2027, $804.8 million in 2028, $10.0 million in each of 2029 and 2030 and $905.0 million in 2031.</w:t>
      </w:r>
    </w:p>
    <w:p>
      <w:pPr>
        <w:spacing w:after="0" w:line="68" w:lineRule="exact"/>
        <w:rPr>
          <w:sz w:val="20"/>
          <w:szCs w:val="20"/>
          <w:color w:val="auto"/>
        </w:rPr>
      </w:pPr>
    </w:p>
    <w:p>
      <w:pPr>
        <w:ind w:right="8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spacing w:after="0" w:line="8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2021 Variable Funding Notes allow for advances of up to $200.0 million and issuance of certain other credit instruments, including letters of credit. The letters of credit are primarily related to our casualty insurance programs and certain supply chain center leases. On May 15, 2023, certain of the Company’s subsidiaries executed an amendment to the Company’s 2021 Variable Funding Notes to affect the transition from LIBOR to Adjusted Term SOFR. Certain clarifying amendments were effectuated on September 19, 2023. The interest rate on the 2021 Variable Funding Notes is payable at a per year rate equal to Adjusted Term SOFR, plus 150 basis points. The 2021 Variable Funding Notes were undrawn at closing of the 2021 Recapitalization. The unused portion of the 2021 Variable Funding Notes is subject to a commitment fee ranging from 50 to 100 basis points depending on utilization. It is anticipated that any amounts outstanding on the 2021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2021 Variable Funding Notes equal to 5% per annum.</w:t>
      </w:r>
    </w:p>
    <w:p>
      <w:pPr>
        <w:spacing w:after="0" w:line="92" w:lineRule="exact"/>
        <w:rPr>
          <w:sz w:val="20"/>
          <w:szCs w:val="20"/>
          <w:color w:val="auto"/>
        </w:rPr>
      </w:pPr>
    </w:p>
    <w:p>
      <w:pPr>
        <w:ind w:right="360" w:firstLine="449"/>
        <w:spacing w:after="0" w:line="281" w:lineRule="auto"/>
        <w:rPr>
          <w:sz w:val="20"/>
          <w:szCs w:val="20"/>
          <w:color w:val="auto"/>
        </w:rPr>
      </w:pPr>
      <w:r>
        <w:rPr>
          <w:rFonts w:ascii="Times New Roman" w:cs="Times New Roman" w:eastAsia="Times New Roman" w:hAnsi="Times New Roman"/>
          <w:sz w:val="18"/>
          <w:szCs w:val="18"/>
          <w:color w:val="auto"/>
        </w:rPr>
        <w:t>As of December 31, 2023 and January 1, 2023, the Company had no outstanding borrowings and $157.8 million of available borrowing capacity under its 2021 Variable Funding Notes, net of letters of credit issued of $42.2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Notes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2019 Notes have remaining scheduled principal payments of $6.8 million in each of 2024 through 2028 and $615.9 million in 2029.</w:t>
      </w:r>
    </w:p>
    <w:p>
      <w:pPr>
        <w:spacing w:after="0" w:line="130" w:lineRule="exact"/>
        <w:rPr>
          <w:sz w:val="20"/>
          <w:szCs w:val="20"/>
          <w:color w:val="auto"/>
        </w:rPr>
      </w:pPr>
    </w:p>
    <w:p>
      <w:pPr>
        <w:ind w:right="8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dates, additional interest of at least 5% per annum will accrue, as defined in the related agreements.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9" w:name="page70"/>
    <w:bookmarkEnd w:id="69"/>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The 2019 Variable Funding Notes allowed for advances of up to $200.0 million and issuance of certain other credit instruments, including letters of credit. The letters of credit are primarily related to our casualty insurance programs and certain supply chain center leases. Interest on the 2019 Variable Funding Notes was payable at a per year rate equal to LIBOR plus 150 basis points. The 2019 Variable Funding Notes were cancelled in connection with the 2021 Recapitalization.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Notes</w:t>
      </w:r>
    </w:p>
    <w:p>
      <w:pPr>
        <w:spacing w:after="0" w:line="134" w:lineRule="exact"/>
        <w:rPr>
          <w:sz w:val="20"/>
          <w:szCs w:val="20"/>
          <w:color w:val="auto"/>
        </w:rPr>
      </w:pPr>
    </w:p>
    <w:p>
      <w:pPr>
        <w:ind w:right="440" w:firstLine="449"/>
        <w:spacing w:after="0" w:line="281" w:lineRule="auto"/>
        <w:rPr>
          <w:sz w:val="20"/>
          <w:szCs w:val="20"/>
          <w:color w:val="auto"/>
        </w:rPr>
      </w:pPr>
      <w:r>
        <w:rPr>
          <w:rFonts w:ascii="Times New Roman" w:cs="Times New Roman" w:eastAsia="Times New Roman" w:hAnsi="Times New Roman"/>
          <w:sz w:val="18"/>
          <w:szCs w:val="18"/>
          <w:color w:val="auto"/>
        </w:rPr>
        <w:t>The 2018 Notes have remaining scheduled principal payments of $8.3 million in 2024, $403.5 million in 2025, $4.0 million in 2026 and $368.0 million in 2027.</w:t>
      </w:r>
    </w:p>
    <w:p>
      <w:pPr>
        <w:spacing w:after="0" w:line="68"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2018 Notes is July 2048, but it is anticipated that, unless earlier prepaid to the extent permitted under the related debt agreements, the 2018 7.5-Year Notes will be repaid on or prior to the anticipated repayment date occurring in October 2025, and the 2018 9.25-Year Notes will be repaid on or prior to the anticipated repayment date occurring in July 2027. If the Company has not repaid or refinanced the 2018 Notes prior to the applicable anticipated repayment dates, additional interest of at least 5% per annum will accrue, as defined in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Notes</w:t>
      </w:r>
    </w:p>
    <w:p>
      <w:pPr>
        <w:spacing w:after="0" w:line="134" w:lineRule="exact"/>
        <w:rPr>
          <w:sz w:val="20"/>
          <w:szCs w:val="20"/>
          <w:color w:val="auto"/>
        </w:rPr>
      </w:pPr>
    </w:p>
    <w:p>
      <w:pPr>
        <w:ind w:right="320" w:firstLine="449"/>
        <w:spacing w:after="0" w:line="281" w:lineRule="auto"/>
        <w:rPr>
          <w:sz w:val="20"/>
          <w:szCs w:val="20"/>
          <w:color w:val="auto"/>
        </w:rPr>
      </w:pPr>
      <w:r>
        <w:rPr>
          <w:rFonts w:ascii="Times New Roman" w:cs="Times New Roman" w:eastAsia="Times New Roman" w:hAnsi="Times New Roman"/>
          <w:sz w:val="18"/>
          <w:szCs w:val="18"/>
          <w:color w:val="auto"/>
        </w:rPr>
        <w:t>The 2017 Five-Year Notes and the 2017 Floating Rate Notes were repaid in connection with the 2021 Recapitalization. The 2017 Ten-Year Notes have remaining scheduled principal payments of $10.0 million in each of 2024 through 2026 and $912.5 million in 2027.</w:t>
      </w:r>
    </w:p>
    <w:p>
      <w:pPr>
        <w:spacing w:after="0" w:line="55" w:lineRule="exact"/>
        <w:rPr>
          <w:sz w:val="20"/>
          <w:szCs w:val="20"/>
          <w:color w:val="auto"/>
        </w:rPr>
      </w:pPr>
    </w:p>
    <w:p>
      <w:pPr>
        <w:ind w:right="26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2017 Ten-Year Notes is October 2047, but it is anticipated that, unless earlier prepaid to the extent permitted under the related debt agreements, the 2017 Ten-Year Notes will be repaid on or prior to the anticipated repayment date occurring in July 2027. If the Company has not repaid or refinanced the 2017 Ten-Year Notes prior to the applicable anticipated repayment dates, additional interest of at least 5% per annum will accrue, as defined in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Notes</w:t>
      </w:r>
    </w:p>
    <w:p>
      <w:pPr>
        <w:spacing w:after="0" w:line="134" w:lineRule="exact"/>
        <w:rPr>
          <w:sz w:val="20"/>
          <w:szCs w:val="20"/>
          <w:color w:val="auto"/>
        </w:rPr>
      </w:pPr>
    </w:p>
    <w:p>
      <w:pPr>
        <w:ind w:right="240" w:firstLine="449"/>
        <w:spacing w:after="0" w:line="281" w:lineRule="auto"/>
        <w:rPr>
          <w:sz w:val="20"/>
          <w:szCs w:val="20"/>
          <w:color w:val="auto"/>
        </w:rPr>
      </w:pPr>
      <w:r>
        <w:rPr>
          <w:rFonts w:ascii="Times New Roman" w:cs="Times New Roman" w:eastAsia="Times New Roman" w:hAnsi="Times New Roman"/>
          <w:sz w:val="18"/>
          <w:szCs w:val="18"/>
          <w:color w:val="auto"/>
        </w:rPr>
        <w:t>The 2015 Five-Year Notes were repaid in connection with the 2018 Recapitalization. The 2015 Ten-Year Notes have original remaining scheduled principal payments of $8.0 million in 2024 and $736.0 million in 2025.</w:t>
      </w:r>
    </w:p>
    <w:p>
      <w:pPr>
        <w:spacing w:after="0" w:line="68" w:lineRule="exact"/>
        <w:rPr>
          <w:sz w:val="20"/>
          <w:szCs w:val="20"/>
          <w:color w:val="auto"/>
        </w:rPr>
      </w:pPr>
    </w:p>
    <w:p>
      <w:pPr>
        <w:ind w:right="20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2015 Ten-Year Notes is in October 2045, but it is anticipated that, unless earlier prepaid to the extent permitted under the related debt agreements, the 2015 Ten-Year Notes will be repaid on or prior to the anticipated repayment date occurring in October 2025. If the Company has not repaid or refinanced the 2015 Ten-Year Notes prior to the applicable anticipated repayment date, additional interest of at least 5% per annum will accrue, as defined in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Transaction-Related Expenses</w:t>
      </w:r>
    </w:p>
    <w:p>
      <w:pPr>
        <w:spacing w:after="0" w:line="134" w:lineRule="exact"/>
        <w:rPr>
          <w:sz w:val="20"/>
          <w:szCs w:val="20"/>
          <w:color w:val="auto"/>
        </w:rPr>
      </w:pPr>
    </w:p>
    <w:p>
      <w:pPr>
        <w:ind w:right="460" w:firstLine="449"/>
        <w:spacing w:after="0" w:line="265" w:lineRule="auto"/>
        <w:rPr>
          <w:sz w:val="20"/>
          <w:szCs w:val="20"/>
          <w:color w:val="auto"/>
        </w:rPr>
      </w:pPr>
      <w:r>
        <w:rPr>
          <w:rFonts w:ascii="Times New Roman" w:cs="Times New Roman" w:eastAsia="Times New Roman" w:hAnsi="Times New Roman"/>
          <w:sz w:val="18"/>
          <w:szCs w:val="18"/>
          <w:color w:val="auto"/>
        </w:rPr>
        <w:t>During 2022 and in connection with the issuance of the 2022 Variable Funding Notes, the Company capitalized $1.6 million of financing costs, which are recorded in long-term other assets in the Company’s consolidated balance sheets and are being amortized into interest expense over the remaining term of the 2022 Variable Funding Notes.</w:t>
      </w:r>
    </w:p>
    <w:p>
      <w:pPr>
        <w:spacing w:after="0" w:line="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During 2021 and in connection with the 2021 Recapitalization, the Company incurred approximately $2.8 million of net pre-tax expenses, primarily related to $2.0 million in expense related to the write-off of debt issuance costs associated with the repayment of the 2017 Five-Year Notes and 2017 Floating Rate Notes. The Company also incurred approximately $0.3 million of interest expense on the 2017 Five-Year Notes and the 2017 Floating Rate Notes subsequent to the closing of the Company’s 2021 Recapitalization, but prior to the repayment of the 2017 Five-Year Notes and the 2017 Floating Rate Notes, resulting in the payment of interest on both the 2017 Five-Year Notes and the 2017 Floating Rate Notes as well as the 2021 Notes for a short period of time. Further, the Company incurred $0.5 million of 2021 Recapitalization-related general and administrative expenses, including legal and professional fees. In connection with the 2021 Recapitalization, the Company recorded $14.9 million of debt issuance costs, which are being amortized into interest expense over the respective terms of the 2021 Notes.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Guarantees and Covenants of the Notes</w:t>
      </w:r>
    </w:p>
    <w:p>
      <w:pPr>
        <w:spacing w:after="0" w:line="13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Notes are guaranteed by certain subsidiaries of DPLLC and secured by a security interest in substantially all of the assets of the Company, including royalty and certain other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w:t>
      </w:r>
    </w:p>
    <w:p>
      <w:pPr>
        <w:spacing w:after="0" w:line="9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74"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While the Notes are outstanding, scheduled payments of principal and interest are required to be made on a quarterly basis. The payment of principal of the Notes may be suspended if the leverage ratio for the Company is less than or equal to 5.0x total debt, as defined, to adjusted EBITDA, as defined in the related agreements. Scheduled principal payments will resume upon failure to satisfy the aforementioned leverage ratio on an ongoing basis and no catch-up provisions are applicable.</w:t>
      </w:r>
    </w:p>
    <w:p>
      <w:pPr>
        <w:spacing w:after="0" w:line="74" w:lineRule="exact"/>
        <w:rPr>
          <w:sz w:val="20"/>
          <w:szCs w:val="20"/>
          <w:color w:val="auto"/>
        </w:rPr>
      </w:pPr>
    </w:p>
    <w:p>
      <w:pPr>
        <w:ind w:right="120" w:firstLine="449"/>
        <w:spacing w:after="0" w:line="288" w:lineRule="auto"/>
        <w:rPr>
          <w:sz w:val="20"/>
          <w:szCs w:val="20"/>
          <w:color w:val="auto"/>
        </w:rPr>
      </w:pPr>
      <w:r>
        <w:rPr>
          <w:rFonts w:ascii="Times New Roman" w:cs="Times New Roman" w:eastAsia="Times New Roman" w:hAnsi="Times New Roman"/>
          <w:sz w:val="17"/>
          <w:szCs w:val="17"/>
          <w:color w:val="auto"/>
        </w:rPr>
        <w:t>As of the fourth quarter of 2020, the Company had a leverage ratio of less than 5.0x, and accordingly, did not make the previously scheduled debt amortization payment in the first quarter of 2021. Subsequent to the closing of the 2021 Recapitalization, the Company had a leverage ratio of greater than 5.0x and, accordingly, the Company resumed making the scheduled amortization payments on its then outstanding notes in the second quarter of 2021.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Long-Term Debt</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2023 and January 1, 2023, consolidated long-term debt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3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744,000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2017</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942,500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403,750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649,688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828,750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975,000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73,482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14,877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(21,619 )</w:t>
            </w:r>
          </w:p>
        </w:tc>
        <w:tc>
          <w:tcPr>
            <w:tcW w:w="280" w:type="dxa"/>
            <w:vAlign w:val="bottom"/>
          </w:tcPr>
          <w:p>
            <w:pPr>
              <w:spacing w:after="0"/>
              <w:rPr>
                <w:sz w:val="18"/>
                <w:szCs w:val="18"/>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(27,154 )</w:t>
            </w:r>
          </w:p>
        </w:tc>
        <w:tc>
          <w:tcPr>
            <w:tcW w:w="0" w:type="dxa"/>
            <w:vAlign w:val="bottom"/>
          </w:tcPr>
          <w:p>
            <w:pPr>
              <w:spacing w:after="0"/>
              <w:rPr>
                <w:sz w:val="1"/>
                <w:szCs w:val="1"/>
                <w:color w:val="auto"/>
              </w:rPr>
            </w:pPr>
          </w:p>
        </w:tc>
      </w:tr>
      <w:tr>
        <w:trPr>
          <w:trHeight w:val="234"/>
        </w:trPr>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$29.2 million in 2023 and $23.6 million in 2022</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4,990,428</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5,022,233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(56,366 )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(54,813 )</w:t>
            </w:r>
          </w:p>
        </w:tc>
        <w:tc>
          <w:tcPr>
            <w:tcW w:w="0" w:type="dxa"/>
            <w:vAlign w:val="bottom"/>
          </w:tcPr>
          <w:p>
            <w:pPr>
              <w:spacing w:after="0"/>
              <w:rPr>
                <w:sz w:val="1"/>
                <w:szCs w:val="1"/>
                <w:color w:val="auto"/>
              </w:rPr>
            </w:pPr>
          </w:p>
        </w:tc>
      </w:tr>
      <w:tr>
        <w:trPr>
          <w:trHeight w:val="276"/>
        </w:trPr>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4,934,062</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4,967,420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00" w:type="dxa"/>
            <w:vAlign w:val="bottom"/>
          </w:tcPr>
          <w:p>
            <w:pPr>
              <w:spacing w:after="0"/>
              <w:rPr>
                <w:sz w:val="24"/>
                <w:szCs w:val="24"/>
                <w:color w:val="auto"/>
              </w:rPr>
            </w:pPr>
          </w:p>
        </w:tc>
        <w:tc>
          <w:tcPr>
            <w:tcW w:w="91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At December 31, 2023, maturities of long-term debt, financing obligations and finance leases were as follows: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28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28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28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 w:type="dxa"/>
            <w:vAlign w:val="bottom"/>
            <w:shd w:val="clear" w:color="auto" w:fill="CFF0FC"/>
          </w:tcPr>
          <w:p>
            <w:pPr>
              <w:spacing w:after="0"/>
              <w:rPr>
                <w:sz w:val="24"/>
                <w:szCs w:val="24"/>
                <w:color w:val="auto"/>
              </w:rPr>
            </w:pPr>
          </w:p>
        </w:tc>
        <w:tc>
          <w:tcPr>
            <w:tcW w:w="4280" w:type="dxa"/>
            <w:vAlign w:val="bottom"/>
            <w:shd w:val="clear" w:color="auto" w:fill="CFF0FC"/>
          </w:tcPr>
          <w:p>
            <w:pPr>
              <w:spacing w:after="0"/>
              <w:rPr>
                <w:sz w:val="24"/>
                <w:szCs w:val="24"/>
                <w:color w:val="auto"/>
              </w:rPr>
            </w:pPr>
          </w:p>
        </w:tc>
        <w:tc>
          <w:tcPr>
            <w:tcW w:w="30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5,012,047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0" w:type="dxa"/>
            <w:vAlign w:val="bottom"/>
            <w:tcBorders>
              <w:top w:val="single" w:sz="8" w:color="CFF0FC"/>
            </w:tcBorders>
          </w:tcPr>
          <w:p>
            <w:pPr>
              <w:spacing w:after="0"/>
              <w:rPr>
                <w:sz w:val="24"/>
                <w:szCs w:val="24"/>
                <w:color w:val="auto"/>
              </w:rPr>
            </w:pPr>
          </w:p>
        </w:tc>
        <w:tc>
          <w:tcPr>
            <w:tcW w:w="4280" w:type="dxa"/>
            <w:vAlign w:val="bottom"/>
            <w:tcBorders>
              <w:top w:val="single" w:sz="8" w:color="CFF0FC"/>
            </w:tcBorders>
          </w:tcPr>
          <w:p>
            <w:pPr>
              <w:spacing w:after="0"/>
              <w:rPr>
                <w:sz w:val="24"/>
                <w:szCs w:val="24"/>
                <w:color w:val="auto"/>
              </w:rPr>
            </w:pPr>
          </w:p>
        </w:tc>
        <w:tc>
          <w:tcPr>
            <w:tcW w:w="30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-2199640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-2182495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1" w:name="page72"/>
    <w:bookmarkEnd w:id="71"/>
    <w:p>
      <w:pPr>
        <w:ind w:left="480" w:hanging="472"/>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4"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130" w:lineRule="exact"/>
        <w:rPr>
          <w:sz w:val="20"/>
          <w:szCs w:val="20"/>
          <w:color w:val="auto"/>
        </w:rPr>
      </w:pPr>
    </w:p>
    <w:p>
      <w:pPr>
        <w:ind w:right="60" w:firstLine="449"/>
        <w:spacing w:after="0" w:line="281"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84" w:lineRule="exact"/>
        <w:rPr>
          <w:sz w:val="20"/>
          <w:szCs w:val="20"/>
          <w:color w:val="auto"/>
        </w:rPr>
      </w:pPr>
    </w:p>
    <w:p>
      <w:pPr>
        <w:ind w:right="460" w:firstLine="449"/>
        <w:spacing w:after="0" w:line="281" w:lineRule="auto"/>
        <w:rPr>
          <w:sz w:val="20"/>
          <w:szCs w:val="20"/>
          <w:color w:val="auto"/>
        </w:rPr>
      </w:pPr>
      <w:r>
        <w:rPr>
          <w:rFonts w:ascii="Times New Roman" w:cs="Times New Roman" w:eastAsia="Times New Roman" w:hAnsi="Times New Roman"/>
          <w:sz w:val="18"/>
          <w:szCs w:val="18"/>
          <w:color w:val="auto"/>
        </w:rPr>
        <w:t>The Company holds a non-controlling interest in DPC Dash, the Company’s master franchisee in China that owns and operates Domino’s Pizza stores in that market.</w:t>
      </w:r>
    </w:p>
    <w:p>
      <w:pPr>
        <w:spacing w:after="0" w:line="68"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As of December 31, 2023, the fair value of the Company’s investment in DPC Dash is based on the active exchange quoted price for the equity security of HK$61.95 per share. The Company recorded a total net adjustment to the carrying amount of its investment in DPC Dash of $17.7 million in 2023, with the gain recorded in other income in its consolidated statements of income. As of January 1, 2023, the fair value of the Company’s investment in DPC Dash was not readily determinable and was categorized in Level 3 of the fair value hierarchy. The Company did not record any adjustments to the carrying amount of its investment in 2022. In 2021, the Company recorded positive adjustments of $2.5 million and $34.3 million resulting from the observable change in price from the valuation of the additional investments made by the Company during the 2021 fiscal year. The Company transferred its investment from Level 3 to Level 1 on March 28, 2023, concurrent with DPC Dash’s initial public offering.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December 31,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900" w:type="dxa"/>
            <w:vAlign w:val="bottom"/>
          </w:tcPr>
          <w:p>
            <w:pPr>
              <w:jc w:val="right"/>
              <w:ind w:right="258"/>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35"/>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January 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At January 1,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900" w:type="dxa"/>
            <w:vAlign w:val="bottom"/>
          </w:tcPr>
          <w:p>
            <w:pPr>
              <w:jc w:val="right"/>
              <w:ind w:right="258"/>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35"/>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5"/>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4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1"/>
                <w:szCs w:val="21"/>
                <w:color w:val="auto"/>
              </w:rPr>
            </w:pPr>
          </w:p>
        </w:tc>
      </w:tr>
      <w:tr>
        <w:trPr>
          <w:trHeight w:val="769"/>
        </w:trPr>
        <w:tc>
          <w:tcPr>
            <w:tcW w:w="43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Notes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591,865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830,700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792,925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December 31, 2023 or January 1, 2023.</w:t>
      </w:r>
    </w:p>
    <w:p>
      <w:pPr>
        <w:spacing w:after="0" w:line="221" w:lineRule="exact"/>
        <w:rPr>
          <w:sz w:val="20"/>
          <w:szCs w:val="20"/>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34"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2023, 2022 and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4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00" w:type="dxa"/>
            <w:vAlign w:val="bottom"/>
            <w:shd w:val="clear" w:color="auto" w:fill="CFF0FC"/>
          </w:tcPr>
          <w:p>
            <w:pPr>
              <w:spacing w:after="0"/>
              <w:rPr>
                <w:sz w:val="20"/>
                <w:szCs w:val="20"/>
                <w:color w:val="auto"/>
              </w:rPr>
            </w:pPr>
          </w:p>
        </w:tc>
      </w:tr>
      <w:tr>
        <w:trPr>
          <w:trHeight w:val="243"/>
        </w:trPr>
        <w:tc>
          <w:tcPr>
            <w:tcW w:w="5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48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Rent expense totaled $85.6 million, $79.6 million and $78.6 million in 2023, 2022 and 2021,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$5.4 million, $7.0 million and $8.0 million in 2023, 2022 and 2021, respectively. Variable rent expense and rent expense for other short-term leases were immaterial for 2023, 2022 and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December 31, 2023 and January 1, 2023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83,969</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100" w:type="dxa"/>
            <w:vAlign w:val="bottom"/>
            <w:shd w:val="clear" w:color="auto" w:fill="CFF0FC"/>
          </w:tcPr>
          <w:p>
            <w:pPr>
              <w:spacing w:after="0"/>
              <w:rPr>
                <w:sz w:val="20"/>
                <w:szCs w:val="20"/>
                <w:color w:val="auto"/>
              </w:rPr>
            </w:pP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0"/>
                <w:szCs w:val="20"/>
                <w:color w:val="auto"/>
              </w:rPr>
            </w:pPr>
          </w:p>
        </w:tc>
      </w:tr>
      <w:tr>
        <w:trPr>
          <w:trHeight w:val="240"/>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88,253</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85,508</w:t>
            </w:r>
          </w:p>
        </w:tc>
        <w:tc>
          <w:tcPr>
            <w:tcW w:w="100" w:type="dxa"/>
            <w:vAlign w:val="bottom"/>
            <w:shd w:val="clear" w:color="auto" w:fill="CFF0FC"/>
          </w:tcPr>
          <w:p>
            <w:pPr>
              <w:spacing w:after="0"/>
              <w:rPr>
                <w:sz w:val="20"/>
                <w:szCs w:val="20"/>
                <w:color w:val="auto"/>
              </w:rPr>
            </w:pP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(24,159 )</w:t>
            </w:r>
          </w:p>
        </w:tc>
        <w:tc>
          <w:tcPr>
            <w:tcW w:w="2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(19,405 )</w:t>
            </w:r>
          </w:p>
        </w:tc>
      </w:tr>
      <w:tr>
        <w:trPr>
          <w:trHeight w:val="27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FF0FC"/>
          </w:tcPr>
          <w:p>
            <w:pPr>
              <w:spacing w:after="0"/>
              <w:rPr>
                <w:sz w:val="21"/>
                <w:szCs w:val="21"/>
                <w:color w:val="auto"/>
              </w:rPr>
            </w:pP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68,704</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70,886</w:t>
            </w:r>
          </w:p>
        </w:tc>
        <w:tc>
          <w:tcPr>
            <w:tcW w:w="100" w:type="dxa"/>
            <w:vAlign w:val="bottom"/>
          </w:tcPr>
          <w:p>
            <w:pPr>
              <w:spacing w:after="0"/>
              <w:rPr>
                <w:sz w:val="20"/>
                <w:szCs w:val="20"/>
                <w:color w:val="auto"/>
              </w:rPr>
            </w:pPr>
          </w:p>
        </w:tc>
      </w:tr>
      <w:tr>
        <w:trPr>
          <w:trHeight w:val="27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-675640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-658495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360" w:firstLine="449"/>
        <w:spacing w:after="0" w:line="281" w:lineRule="auto"/>
        <w:rPr>
          <w:sz w:val="20"/>
          <w:szCs w:val="20"/>
          <w:color w:val="auto"/>
        </w:rPr>
      </w:pPr>
      <w:r>
        <w:rPr>
          <w:rFonts w:ascii="Times New Roman" w:cs="Times New Roman" w:eastAsia="Times New Roman" w:hAnsi="Times New Roman"/>
          <w:sz w:val="18"/>
          <w:szCs w:val="18"/>
          <w:color w:val="auto"/>
        </w:rPr>
        <w:t>As of December 31, 2023 and January 1, 2023, the weighted average remaining lease term and weighted average discount rate for the Company’s operating and finance leases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7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5200" w:type="dxa"/>
            <w:vAlign w:val="bottom"/>
          </w:tcPr>
          <w:p>
            <w:pPr>
              <w:spacing w:after="0"/>
              <w:rPr>
                <w:sz w:val="13"/>
                <w:szCs w:val="13"/>
                <w:color w:val="auto"/>
              </w:rPr>
            </w:pPr>
          </w:p>
        </w:tc>
        <w:tc>
          <w:tcPr>
            <w:tcW w:w="1780" w:type="dxa"/>
            <w:vAlign w:val="bottom"/>
            <w:gridSpan w:val="3"/>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100" w:type="dxa"/>
            <w:vAlign w:val="bottom"/>
            <w:gridSpan w:val="4"/>
          </w:tcPr>
          <w:p>
            <w:pPr>
              <w:jc w:val="center"/>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33"/>
              <w:spacing w:after="0" w:line="157"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60" w:type="dxa"/>
            <w:vAlign w:val="bottom"/>
            <w:gridSpan w:val="2"/>
          </w:tcPr>
          <w:p>
            <w:pPr>
              <w:spacing w:after="0"/>
              <w:rPr>
                <w:sz w:val="13"/>
                <w:szCs w:val="13"/>
                <w:color w:val="auto"/>
              </w:rPr>
            </w:pPr>
          </w:p>
        </w:tc>
      </w:tr>
      <w:tr>
        <w:trPr>
          <w:trHeight w:val="187"/>
        </w:trPr>
        <w:tc>
          <w:tcPr>
            <w:tcW w:w="5200" w:type="dxa"/>
            <w:vAlign w:val="bottom"/>
          </w:tcPr>
          <w:p>
            <w:pPr>
              <w:spacing w:after="0"/>
              <w:rPr>
                <w:sz w:val="16"/>
                <w:szCs w:val="16"/>
                <w:color w:val="auto"/>
              </w:rPr>
            </w:pP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6"/>
                <w:szCs w:val="16"/>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8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7 years</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4"/>
            <w:shd w:val="clear" w:color="auto" w:fill="CFF0FC"/>
          </w:tcPr>
          <w:p>
            <w:pPr>
              <w:jc w:val="center"/>
              <w:ind w:right="168"/>
              <w:spacing w:after="0"/>
              <w:rPr>
                <w:sz w:val="20"/>
                <w:szCs w:val="20"/>
                <w:color w:val="auto"/>
              </w:rPr>
            </w:pPr>
            <w:r>
              <w:rPr>
                <w:rFonts w:ascii="Times New Roman" w:cs="Times New Roman" w:eastAsia="Times New Roman" w:hAnsi="Times New Roman"/>
                <w:sz w:val="18"/>
                <w:szCs w:val="18"/>
                <w:color w:val="auto"/>
              </w:rPr>
              <w:t>13 years</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6"/>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 years</w:t>
            </w:r>
          </w:p>
        </w:tc>
        <w:tc>
          <w:tcPr>
            <w:tcW w:w="60" w:type="dxa"/>
            <w:vAlign w:val="bottom"/>
          </w:tcPr>
          <w:p>
            <w:pPr>
              <w:spacing w:after="0"/>
              <w:rPr>
                <w:sz w:val="20"/>
                <w:szCs w:val="20"/>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346"/>
        </w:trPr>
        <w:tc>
          <w:tcPr>
            <w:tcW w:w="742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2023, 2022 and 2021 was as follows: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5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46,936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45,082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4,369</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4,176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1"/>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4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64,660</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6"/>
        </w:trPr>
        <w:tc>
          <w:tcPr>
            <w:tcW w:w="69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5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5"/>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7"/>
        </w:trPr>
        <w:tc>
          <w:tcPr>
            <w:tcW w:w="5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6"/>
                <w:szCs w:val="16"/>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49,267</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42,647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41,130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33,239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26,278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64,997</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257,558</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103,950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(38,680 )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(30,468 )</w:t>
            </w:r>
          </w:p>
        </w:tc>
        <w:tc>
          <w:tcPr>
            <w:tcW w:w="60" w:type="dxa"/>
            <w:vAlign w:val="bottom"/>
          </w:tcPr>
          <w:p>
            <w:pPr>
              <w:spacing w:after="0"/>
              <w:rPr>
                <w:sz w:val="20"/>
                <w:szCs w:val="20"/>
                <w:color w:val="auto"/>
              </w:rPr>
            </w:pPr>
          </w:p>
        </w:tc>
      </w:tr>
      <w:tr>
        <w:trPr>
          <w:trHeight w:val="27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218,878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520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9"/>
        </w:trPr>
        <w:tc>
          <w:tcPr>
            <w:tcW w:w="5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-1112520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-787400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-770255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74" w:name="page75"/>
    <w:bookmarkEnd w:id="74"/>
    <w:p>
      <w:pPr>
        <w:ind w:right="100" w:firstLine="449"/>
        <w:spacing w:after="0" w:line="260" w:lineRule="auto"/>
        <w:rPr>
          <w:sz w:val="20"/>
          <w:szCs w:val="20"/>
          <w:color w:val="auto"/>
        </w:rPr>
      </w:pPr>
      <w:r>
        <w:rPr>
          <w:rFonts w:ascii="Times New Roman" w:cs="Times New Roman" w:eastAsia="Times New Roman" w:hAnsi="Times New Roman"/>
          <w:sz w:val="18"/>
          <w:szCs w:val="18"/>
          <w:color w:val="auto"/>
        </w:rPr>
        <w:t>In the fourth quarter of 2023, a subsidiary of the Company entered into a purchase and sale agreement with a developer to sell one of the Company’s owned supply chain center buildings and the associated land for $14.9 million. Concurrently, a separate subsidiary of the Company entered into a lease agreement with the developer to construct a new supply chain center which includes both the existing building as well as an adjoined new construction on the adjacent properties owned by the developer.</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leaseback of the Company’s building on a standalone basis for the construction period plus the 20-year term using the discount rate implicit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resulted in a finance lease classification, and therefore, the transaction was accounted for as a failed sale leaseback. The Company retained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land and buildings on its consolidated balance sheet which are included in property, plant and equipment and the Company continues to depreciate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as if it owned it. The $14.9 million cash proceeds from the transaction were recorded as a financing obligation which is classified as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 the Company’s consolidated balance sheet and will be amortized into principal and interest expense over the term of the lease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$119.5 million of future minimum rent payments associated with the new construction on a standalone basis is included in the disclosure for material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yet commenced, below.</w:t>
      </w:r>
    </w:p>
    <w:p>
      <w:pPr>
        <w:spacing w:after="0" w:line="98"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As of December 31, 2023, in addition to the lease for the new supply chain construction on a standalone basis discussed above, the Company also had additional leases for certain supply chain and U.S. Company-owned store vehicles that had not yet commenced. The total estimated future minimum rental commitments for all of these arrangements is $146.3 million. These leases are expected to commence in 2024 and 2025 with lease terms of up to 20 years. These undiscounted amounts are not included in the table above.</w:t>
      </w:r>
    </w:p>
    <w:p>
      <w:pPr>
        <w:spacing w:after="0" w:line="74"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$18.5 million and $24.5 million as of December 31, 2023 and January 1, 2023, respectively. The Company does not believe these arrangements have or are likely to have a material effect on its results of operations, financial condition, revenues or expenses, capital expenditures or liquidity.</w:t>
      </w:r>
    </w:p>
    <w:p>
      <w:pPr>
        <w:spacing w:after="0" w:line="178"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4"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unpredictable. These matters could be decided unfavorably and could require the Company to pay damages or make other expenditures in amounts or a range of amounts that cannot be estimated with accuracy. However, the Company does not believe these matters, individually or in the aggregate, will have a material adverse effect on the business or financial condition of the Company, and the Company expects that the established accruals adequately provide for the estimated resolution of such claims.</w:t>
      </w:r>
    </w:p>
    <w:p>
      <w:pPr>
        <w:spacing w:after="0" w:line="142"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before provision for income taxes in 2023, 2022 and 2021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640,255</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560,115</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611,267</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00" w:type="dxa"/>
            <w:vAlign w:val="bottom"/>
          </w:tcPr>
          <w:p>
            <w:pPr>
              <w:spacing w:after="0"/>
              <w:rPr>
                <w:sz w:val="20"/>
                <w:szCs w:val="20"/>
                <w:color w:val="auto"/>
              </w:rPr>
            </w:pPr>
          </w:p>
        </w:tc>
      </w:tr>
      <w:tr>
        <w:trPr>
          <w:trHeight w:val="280"/>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80" w:firstLine="449"/>
        <w:spacing w:after="0" w:line="281" w:lineRule="auto"/>
        <w:rPr>
          <w:sz w:val="20"/>
          <w:szCs w:val="20"/>
          <w:color w:val="auto"/>
        </w:rPr>
      </w:pPr>
      <w:r>
        <w:rPr>
          <w:rFonts w:ascii="Times New Roman" w:cs="Times New Roman" w:eastAsia="Times New Roman" w:hAnsi="Times New Roman"/>
          <w:sz w:val="18"/>
          <w:szCs w:val="18"/>
          <w:color w:val="auto"/>
        </w:rPr>
        <w:t>The differences between the U.S. Federal statutory income tax provision (using the statutory rate of 21%) and the Company’s consolidated provision for income taxes for 2023, 2022 and 2021 are 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 provision based on the statutory rate</w:t>
            </w:r>
          </w:p>
        </w:tc>
        <w:tc>
          <w:tcPr>
            <w:tcW w:w="22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related Federal income taxes</w:t>
            </w: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Non-resident withholding and foreign income taxes</w:t>
            </w:r>
          </w:p>
        </w:tc>
        <w:tc>
          <w:tcPr>
            <w:tcW w:w="2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and other tax credits</w:t>
            </w: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(25,786 )</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(19,849 )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(23,509 )</w:t>
            </w: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(17,850 )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(15,068 )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(16,800 )</w:t>
            </w: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(3,397 )</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(2,169 )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(18,911 )</w:t>
            </w: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net</w:t>
            </w:r>
          </w:p>
        </w:tc>
        <w:tc>
          <w:tcPr>
            <w:tcW w:w="2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provision (benefit), net of related Federal income taxes</w:t>
            </w: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(3,788 )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(6,487 )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(1,427 )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(2,754 )</w:t>
            </w:r>
          </w:p>
        </w:tc>
        <w:tc>
          <w:tcPr>
            <w:tcW w:w="0" w:type="dxa"/>
            <w:vAlign w:val="bottom"/>
          </w:tcPr>
          <w:p>
            <w:pPr>
              <w:spacing w:after="0"/>
              <w:rPr>
                <w:sz w:val="1"/>
                <w:szCs w:val="1"/>
                <w:color w:val="auto"/>
              </w:rPr>
            </w:pPr>
          </w:p>
        </w:tc>
      </w:tr>
      <w:tr>
        <w:trPr>
          <w:trHeight w:val="234"/>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2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4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-949960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-949960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5" w:name="page76"/>
    <w:bookmarkEnd w:id="75"/>
    <w:p>
      <w:pPr>
        <w:jc w:val="both"/>
        <w:ind w:right="40" w:firstLine="449"/>
        <w:spacing w:after="0" w:line="265" w:lineRule="auto"/>
        <w:rPr>
          <w:sz w:val="20"/>
          <w:szCs w:val="20"/>
          <w:color w:val="auto"/>
        </w:rPr>
      </w:pPr>
      <w:r>
        <w:rPr>
          <w:rFonts w:ascii="Times New Roman" w:cs="Times New Roman" w:eastAsia="Times New Roman" w:hAnsi="Times New Roman"/>
          <w:sz w:val="18"/>
          <w:szCs w:val="18"/>
          <w:color w:val="auto"/>
        </w:rPr>
        <w:t>Excess tax benefits from equity-based compensation activity resulted in a decrease in the Company’s provision for income taxes of $3.4 million, $2.2 million and $18.9 million in 2023, 2022 and 2021, respectively, primarily due to the recognition of excess tax benefits for options exercised and the vesting of equity awards.</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2023, 2022 and 2021 consolidated provision for income taxes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28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76,552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74,910</w:t>
            </w:r>
          </w:p>
        </w:tc>
        <w:tc>
          <w:tcPr>
            <w:tcW w:w="100" w:type="dxa"/>
            <w:vAlign w:val="bottom"/>
          </w:tcPr>
          <w:p>
            <w:pPr>
              <w:spacing w:after="0"/>
              <w:rPr>
                <w:sz w:val="20"/>
                <w:szCs w:val="20"/>
                <w:color w:val="auto"/>
              </w:rPr>
            </w:pPr>
          </w:p>
        </w:tc>
      </w:tr>
      <w:tr>
        <w:trPr>
          <w:trHeight w:val="243"/>
        </w:trPr>
        <w:tc>
          <w:tcPr>
            <w:tcW w:w="180" w:type="dxa"/>
            <w:vAlign w:val="bottom"/>
            <w:shd w:val="clear" w:color="auto" w:fill="CFF0FC"/>
          </w:tcPr>
          <w:p>
            <w:pPr>
              <w:spacing w:after="0"/>
              <w:rPr>
                <w:sz w:val="21"/>
                <w:szCs w:val="21"/>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(16,467 )</w:t>
            </w:r>
          </w:p>
        </w:tc>
        <w:tc>
          <w:tcPr>
            <w:tcW w:w="32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(2,051 )</w:t>
            </w:r>
          </w:p>
        </w:tc>
      </w:tr>
      <w:tr>
        <w:trPr>
          <w:trHeight w:val="236"/>
        </w:trPr>
        <w:tc>
          <w:tcPr>
            <w:tcW w:w="180" w:type="dxa"/>
            <w:vAlign w:val="bottom"/>
            <w:tcBorders>
              <w:top w:val="single" w:sz="8" w:color="CFF0FC"/>
            </w:tcBorders>
          </w:tcPr>
          <w:p>
            <w:pPr>
              <w:spacing w:after="0"/>
              <w:rPr>
                <w:sz w:val="20"/>
                <w:szCs w:val="20"/>
                <w:color w:val="auto"/>
              </w:rPr>
            </w:pPr>
          </w:p>
        </w:tc>
        <w:tc>
          <w:tcPr>
            <w:tcW w:w="64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provision for Federal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72,859</w:t>
            </w:r>
          </w:p>
        </w:tc>
        <w:tc>
          <w:tcPr>
            <w:tcW w:w="100" w:type="dxa"/>
            <w:vAlign w:val="bottom"/>
            <w:tcBorders>
              <w:top w:val="single" w:sz="8" w:color="CFF0FC"/>
            </w:tcBorders>
          </w:tcPr>
          <w:p>
            <w:pPr>
              <w:spacing w:after="0"/>
              <w:rPr>
                <w:sz w:val="20"/>
                <w:szCs w:val="20"/>
                <w:color w:val="auto"/>
              </w:rPr>
            </w:pP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state and local income taxes</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Pr>
          <w:p>
            <w:pPr>
              <w:spacing w:after="0"/>
              <w:rPr>
                <w:sz w:val="20"/>
                <w:szCs w:val="20"/>
                <w:color w:val="auto"/>
              </w:rPr>
            </w:pPr>
          </w:p>
        </w:tc>
      </w:tr>
      <w:tr>
        <w:trPr>
          <w:trHeight w:val="243"/>
        </w:trPr>
        <w:tc>
          <w:tcPr>
            <w:tcW w:w="180" w:type="dxa"/>
            <w:vAlign w:val="bottom"/>
            <w:shd w:val="clear" w:color="auto" w:fill="CFF0FC"/>
          </w:tcPr>
          <w:p>
            <w:pPr>
              <w:spacing w:after="0"/>
              <w:rPr>
                <w:sz w:val="21"/>
                <w:szCs w:val="21"/>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(2,991 )</w:t>
            </w: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(461 )</w:t>
            </w:r>
          </w:p>
        </w:tc>
      </w:tr>
      <w:tr>
        <w:trPr>
          <w:trHeight w:val="236"/>
        </w:trPr>
        <w:tc>
          <w:tcPr>
            <w:tcW w:w="180" w:type="dxa"/>
            <w:vAlign w:val="bottom"/>
            <w:tcBorders>
              <w:top w:val="single" w:sz="8" w:color="CFF0FC"/>
            </w:tcBorders>
          </w:tcPr>
          <w:p>
            <w:pPr>
              <w:spacing w:after="0"/>
              <w:rPr>
                <w:sz w:val="20"/>
                <w:szCs w:val="20"/>
                <w:color w:val="auto"/>
              </w:rPr>
            </w:pPr>
          </w:p>
        </w:tc>
        <w:tc>
          <w:tcPr>
            <w:tcW w:w="64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provision for state and local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top w:val="single" w:sz="8" w:color="CFF0FC"/>
            </w:tcBorders>
          </w:tcPr>
          <w:p>
            <w:pPr>
              <w:spacing w:after="0"/>
              <w:rPr>
                <w:sz w:val="20"/>
                <w:szCs w:val="20"/>
                <w:color w:val="auto"/>
              </w:rPr>
            </w:pP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non-resident withholding and foreign income taxes</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21,833</w:t>
            </w:r>
          </w:p>
        </w:tc>
        <w:tc>
          <w:tcPr>
            <w:tcW w:w="100" w:type="dxa"/>
            <w:vAlign w:val="bottom"/>
          </w:tcPr>
          <w:p>
            <w:pPr>
              <w:spacing w:after="0"/>
              <w:rPr>
                <w:sz w:val="20"/>
                <w:szCs w:val="20"/>
                <w:color w:val="auto"/>
              </w:rPr>
            </w:pPr>
          </w:p>
        </w:tc>
      </w:tr>
      <w:tr>
        <w:trPr>
          <w:trHeight w:val="243"/>
        </w:trPr>
        <w:tc>
          <w:tcPr>
            <w:tcW w:w="180" w:type="dxa"/>
            <w:vAlign w:val="bottom"/>
            <w:shd w:val="clear" w:color="auto" w:fill="CFF0FC"/>
          </w:tcPr>
          <w:p>
            <w:pPr>
              <w:spacing w:after="0"/>
              <w:rPr>
                <w:sz w:val="21"/>
                <w:szCs w:val="21"/>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(51 )</w:t>
            </w:r>
          </w:p>
        </w:tc>
        <w:tc>
          <w:tcPr>
            <w:tcW w:w="320" w:type="dxa"/>
            <w:vAlign w:val="bottom"/>
            <w:shd w:val="clear" w:color="auto" w:fill="CFF0FC"/>
          </w:tcPr>
          <w:p>
            <w:pPr>
              <w:spacing w:after="0"/>
              <w:rPr>
                <w:sz w:val="21"/>
                <w:szCs w:val="21"/>
                <w:color w:val="auto"/>
              </w:rPr>
            </w:pPr>
          </w:p>
        </w:tc>
        <w:tc>
          <w:tcPr>
            <w:tcW w:w="126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(4,449 )</w:t>
            </w:r>
          </w:p>
        </w:tc>
        <w:tc>
          <w:tcPr>
            <w:tcW w:w="18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21"/>
                <w:szCs w:val="21"/>
                <w:color w:val="auto"/>
              </w:rPr>
            </w:pPr>
          </w:p>
        </w:tc>
      </w:tr>
      <w:tr>
        <w:trPr>
          <w:trHeight w:val="236"/>
        </w:trPr>
        <w:tc>
          <w:tcPr>
            <w:tcW w:w="180" w:type="dxa"/>
            <w:vAlign w:val="bottom"/>
            <w:tcBorders>
              <w:top w:val="single" w:sz="8" w:color="CFF0FC"/>
            </w:tcBorders>
          </w:tcPr>
          <w:p>
            <w:pPr>
              <w:spacing w:after="0"/>
              <w:rPr>
                <w:sz w:val="20"/>
                <w:szCs w:val="20"/>
                <w:color w:val="auto"/>
              </w:rPr>
            </w:pPr>
          </w:p>
        </w:tc>
        <w:tc>
          <w:tcPr>
            <w:tcW w:w="64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provision for non-resident withholding and foreign income taxes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26,333</w:t>
            </w:r>
          </w:p>
        </w:tc>
        <w:tc>
          <w:tcPr>
            <w:tcW w:w="100" w:type="dxa"/>
            <w:vAlign w:val="bottom"/>
            <w:tcBorders>
              <w:top w:val="single" w:sz="8" w:color="CFF0FC"/>
            </w:tcBorders>
          </w:tcPr>
          <w:p>
            <w:pPr>
              <w:spacing w:after="0"/>
              <w:rPr>
                <w:sz w:val="20"/>
                <w:szCs w:val="20"/>
                <w:color w:val="auto"/>
              </w:rPr>
            </w:pPr>
          </w:p>
        </w:tc>
      </w:tr>
      <w:tr>
        <w:trPr>
          <w:trHeight w:val="276"/>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115,238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11"/>
        </w:trPr>
        <w:tc>
          <w:tcPr>
            <w:tcW w:w="180" w:type="dxa"/>
            <w:vAlign w:val="bottom"/>
          </w:tcPr>
          <w:p>
            <w:pPr>
              <w:spacing w:after="0"/>
              <w:rPr>
                <w:sz w:val="24"/>
                <w:szCs w:val="24"/>
                <w:color w:val="auto"/>
              </w:rPr>
            </w:pPr>
          </w:p>
        </w:tc>
        <w:tc>
          <w:tcPr>
            <w:tcW w:w="908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As of December 31, 2023 and January 1, 2023, the significant components of net deferred income taxes were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18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1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180" w:type="dxa"/>
            <w:vAlign w:val="bottom"/>
          </w:tcPr>
          <w:p>
            <w:pPr>
              <w:spacing w:after="0"/>
              <w:rPr>
                <w:sz w:val="20"/>
                <w:szCs w:val="20"/>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tax credit</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6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80" w:type="dxa"/>
            <w:vAlign w:val="bottom"/>
          </w:tcPr>
          <w:p>
            <w:pPr>
              <w:spacing w:after="0"/>
              <w:rPr>
                <w:sz w:val="20"/>
                <w:szCs w:val="20"/>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122,776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(18,166 )</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(15,001 )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64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20" w:type="dxa"/>
            <w:vAlign w:val="bottom"/>
            <w:tcBorders>
              <w:top w:val="single" w:sz="8" w:color="CFF0FC"/>
            </w:tcBorders>
          </w:tcPr>
          <w:p>
            <w:pPr>
              <w:spacing w:after="0"/>
              <w:rPr>
                <w:sz w:val="20"/>
                <w:szCs w:val="20"/>
                <w:color w:val="auto"/>
              </w:rPr>
            </w:pPr>
          </w:p>
        </w:tc>
        <w:tc>
          <w:tcPr>
            <w:tcW w:w="7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104,610</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180" w:type="dxa"/>
            <w:vAlign w:val="bottom"/>
          </w:tcPr>
          <w:p>
            <w:pPr>
              <w:spacing w:after="0"/>
              <w:rPr>
                <w:sz w:val="20"/>
                <w:szCs w:val="20"/>
                <w:color w:val="auto"/>
              </w:rPr>
            </w:pPr>
          </w:p>
        </w:tc>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software</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asset basis differences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6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80" w:type="dxa"/>
            <w:vAlign w:val="bottom"/>
          </w:tcPr>
          <w:p>
            <w:pPr>
              <w:spacing w:after="0"/>
              <w:rPr>
                <w:sz w:val="20"/>
                <w:szCs w:val="20"/>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(5,835 )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80" w:type="dxa"/>
            <w:vAlign w:val="bottom"/>
          </w:tcPr>
          <w:p>
            <w:pPr>
              <w:spacing w:after="0" w:line="20" w:lineRule="exact"/>
              <w:rPr>
                <w:sz w:val="1"/>
                <w:szCs w:val="1"/>
                <w:color w:val="auto"/>
              </w:rPr>
            </w:pPr>
          </w:p>
        </w:tc>
        <w:tc>
          <w:tcPr>
            <w:tcW w:w="6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-4922520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-4922520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-4922520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-4297680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-4297680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-4297680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-3672840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-3672840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-3672840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-3347085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-3329940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-3347085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-3329940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-3347085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-1617345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-1617345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-1292225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-1292225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-350520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ind w:right="200" w:firstLine="449"/>
        <w:spacing w:after="0" w:line="265" w:lineRule="auto"/>
        <w:rPr>
          <w:sz w:val="20"/>
          <w:szCs w:val="20"/>
          <w:color w:val="auto"/>
        </w:rPr>
      </w:pPr>
      <w:r>
        <w:rPr>
          <w:rFonts w:ascii="Times New Roman" w:cs="Times New Roman" w:eastAsia="Times New Roman" w:hAnsi="Times New Roman"/>
          <w:sz w:val="18"/>
          <w:szCs w:val="18"/>
          <w:color w:val="auto"/>
        </w:rPr>
        <w:t>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dependent upon many factors, including, but not limited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generate sufficient taxable income. Although 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not assured, on an ongoing basis, management assesses whether it remains more likely than not the deferred tax assets will be realized.</w:t>
      </w:r>
    </w:p>
    <w:p>
      <w:pPr>
        <w:spacing w:after="0" w:line="82"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As of December 31, 2023 and January 1, 2023, the Company had total foreign tax credits of $16.8 million and $13.5 million, respectively, which were fully offset with a corresponding valuation allowance. As of December 31, 2023 and January 1, 2023, the Company also had valuation allowances related to interest deductibility in separately filed states of $1.4 million and $1.5 million, respectively. Management believes the remaining deferred tax assets will be realized. For financial reporting purposes,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investment in foreign subsidiaries does not exceed its tax basis. Therefore, no deferred income taxes have been provided. In 2023 and 2021, the Company recorded certain unrealized gains on its non-controlling interest in DPC Dash as disclosed in Note 4, and accordingly, has also recorded a deferred tax liability representing the book basis over tax basis related to these unrealized gains.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6" w:name="page77"/>
    <w:bookmarkEnd w:id="76"/>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pacing w:after="0" w:line="88"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 of December 31, 2023, January 1, 2023 and January 2, 2022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Reductions for changes in prior year tax positions</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(551 )</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(4,521 )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(379 )</w:t>
            </w: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(897 )</w:t>
            </w: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(1,112 )</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(484 )</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20" w:firstLine="449"/>
        <w:spacing w:after="0" w:line="265" w:lineRule="auto"/>
        <w:rPr>
          <w:sz w:val="20"/>
          <w:szCs w:val="20"/>
          <w:color w:val="auto"/>
        </w:rPr>
      </w:pPr>
      <w:r>
        <w:rPr>
          <w:rFonts w:ascii="Times New Roman" w:cs="Times New Roman" w:eastAsia="Times New Roman" w:hAnsi="Times New Roman"/>
          <w:sz w:val="18"/>
          <w:szCs w:val="18"/>
          <w:color w:val="auto"/>
        </w:rPr>
        <w:t>As of December 31, 2023, the amount of unrecognized tax benefits was $3.9 million of which, if ultimately recognized, $3.9 million would be recognized as an income tax benefit and reduce the Company’s effective tax rate. As of December 31, 2023, the Company had $0.4 million of accrued interest and no accrued penalties.</w:t>
      </w:r>
    </w:p>
    <w:p>
      <w:pPr>
        <w:spacing w:after="0" w:line="83" w:lineRule="exact"/>
        <w:rPr>
          <w:sz w:val="20"/>
          <w:szCs w:val="20"/>
          <w:color w:val="auto"/>
        </w:rPr>
      </w:pPr>
    </w:p>
    <w:p>
      <w:pPr>
        <w:ind w:right="12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the amount of unrecognized tax benefits was $3.9 million of which, if ultimately recognized, $3.6 million would be recognized as an income tax benefit and reduce the Company’s effective tax rate. As of January 1, 2023, the Company had $0.3 million of accrued interest and no accrued penalties.</w:t>
      </w:r>
    </w:p>
    <w:p>
      <w:pPr>
        <w:spacing w:after="0" w:line="83" w:lineRule="exact"/>
        <w:rPr>
          <w:sz w:val="20"/>
          <w:szCs w:val="20"/>
          <w:color w:val="auto"/>
        </w:rPr>
      </w:pPr>
    </w:p>
    <w:p>
      <w:pPr>
        <w:ind w:right="140" w:firstLine="449"/>
        <w:spacing w:after="0" w:line="265" w:lineRule="auto"/>
        <w:rPr>
          <w:sz w:val="20"/>
          <w:szCs w:val="20"/>
          <w:color w:val="auto"/>
        </w:rPr>
      </w:pPr>
      <w:r>
        <w:rPr>
          <w:rFonts w:ascii="Times New Roman" w:cs="Times New Roman" w:eastAsia="Times New Roman" w:hAnsi="Times New Roman"/>
          <w:sz w:val="18"/>
          <w:szCs w:val="18"/>
          <w:color w:val="auto"/>
        </w:rPr>
        <w:t>There are currently no Internal Revenue Service audits in progress for the Company. The Company continues to be under examination by certain states. The Company’s Federal statute of limitation has expired for years prior to 2020, but it varies for state and foreign locations. The Company believes appropriate provisions for all outstanding tax issues have been made for all jurisdictions and all open years.</w:t>
      </w:r>
    </w:p>
    <w:p>
      <w:pPr>
        <w:spacing w:after="0" w:line="133"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3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has a retirement savings plan which qualifies under Internal Revenue Code Section 401(k). All employees of the Company who have completed 1,000 hours of service and are at least 18 years of age are eligible to participate in the plan. Beginning in fiscal 2024, employees aged 18 or older who have also worked at least 60 days for the Company will be eligible to participate in the plan. The plan requires the Company to match 100% of the first 5% of each employee’s elective deferrals. The Company’s matching contributions are made in the form of cash and vested immediately. The expenses incurred for Company contributions to the plan were $12.5 million, $12.4 million and $12.9 million in 2023, 2022 and 2021, respectively.</w:t>
      </w:r>
    </w:p>
    <w:p>
      <w:pPr>
        <w:spacing w:after="0" w:line="88" w:lineRule="exact"/>
        <w:rPr>
          <w:sz w:val="20"/>
          <w:szCs w:val="20"/>
          <w:color w:val="auto"/>
        </w:rPr>
      </w:pPr>
    </w:p>
    <w:p>
      <w:pPr>
        <w:ind w:right="160" w:firstLine="449"/>
        <w:spacing w:after="0" w:line="288" w:lineRule="auto"/>
        <w:rPr>
          <w:sz w:val="20"/>
          <w:szCs w:val="20"/>
          <w:color w:val="auto"/>
        </w:rPr>
      </w:pPr>
      <w:r>
        <w:rPr>
          <w:rFonts w:ascii="Times New Roman" w:cs="Times New Roman" w:eastAsia="Times New Roman" w:hAnsi="Times New Roman"/>
          <w:sz w:val="17"/>
          <w:szCs w:val="17"/>
          <w:color w:val="auto"/>
        </w:rPr>
        <w:t>The Company has established a non-qualified deferred compensation plan available for certain key employees. Under this self-funding plan, the participants may defer up to 40% of their base salary and up to 80% of their bonus compensation. The participants direct the investment of their deferred compensation within several investment funds. The Company is not required to contribute and did not contribute to this plan during 2023, 2022 and 2021.</w:t>
      </w:r>
    </w:p>
    <w:p>
      <w:pPr>
        <w:spacing w:after="0" w:line="6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Company has an employee stock payroll deduction plan (the “ESPDP”). Under the ESPDP, eligible employees may deduct up to 15% of their eligible wages to purchase common stock at 85% of the market price of the stock at the purchase date. The ESPDP requires employees to hold their purchased common stock for at least one year. The Company purchases common stock on the open market for the ESPDP at the current market price. There were 18,439 shares, 17,378 shares and 16,382 shares of common stock in 2023, 2022 and 2021, respectively, purchased on the open market for participating employees at a weighted-average price of $341.76 in 2023, $391.23 in 2022 and $424.90 in 2021. The expenses incurred under the ESPDP were $0.9 million, $1.0 million, and $1.0 million in 2023, 2022 and 2021, respectively.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7" w:name="page78"/>
    <w:bookmarkEnd w:id="77"/>
    <w:p>
      <w:pPr>
        <w:ind w:left="480" w:hanging="472"/>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3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Company’s current equity incentive plan, named the Domino’s Pizza, Inc. 2004 Equity Incentive Plan (the “2004 Equity Incentive Plan”), benefits certain of the Company’s employees and members of the Company’s Board of Directors. As of December 31, 2023, the maximum number of shares that may be granted under the 2004 Equity Incentive Plan is 15,600,000 shares of voting common stock of which 2,172,419 shares were authorized for grant but have not been granted.</w:t>
      </w:r>
    </w:p>
    <w:p>
      <w:pPr>
        <w:spacing w:after="0" w:line="87" w:lineRule="exact"/>
        <w:rPr>
          <w:sz w:val="20"/>
          <w:szCs w:val="20"/>
          <w:color w:val="auto"/>
        </w:rPr>
      </w:pPr>
    </w:p>
    <w:p>
      <w:pPr>
        <w:ind w:right="500" w:firstLine="449"/>
        <w:spacing w:after="0" w:line="265" w:lineRule="auto"/>
        <w:rPr>
          <w:sz w:val="20"/>
          <w:szCs w:val="20"/>
          <w:color w:val="auto"/>
        </w:rPr>
      </w:pPr>
      <w:r>
        <w:rPr>
          <w:rFonts w:ascii="Times New Roman" w:cs="Times New Roman" w:eastAsia="Times New Roman" w:hAnsi="Times New Roman"/>
          <w:sz w:val="18"/>
          <w:szCs w:val="18"/>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equity-based compensation expense amounts are recorded in general and administrative expense. The Company accounts for forfeitures as they occur.</w:t>
      </w:r>
    </w:p>
    <w:p>
      <w:pPr>
        <w:spacing w:after="0" w:line="83"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8"/>
          <w:szCs w:val="18"/>
          <w:color w:val="auto"/>
        </w:rPr>
        <w:t>The Company recorded total non-cash equity-based compensation expense of $37.5 million, $28.7 million and $28.7 million in 2023, 2022 and 2021, respectively. The Company recorded a deferred tax benefit related to non-cash equity-based compensation expense of $6.3 million, $4.9 million and $4.3 million in 2023, 2022 and 2021,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34" w:lineRule="exact"/>
        <w:rPr>
          <w:sz w:val="20"/>
          <w:szCs w:val="20"/>
          <w:color w:val="auto"/>
        </w:rPr>
      </w:pPr>
    </w:p>
    <w:p>
      <w:pPr>
        <w:ind w:right="260" w:firstLine="449"/>
        <w:spacing w:after="0" w:line="255" w:lineRule="auto"/>
        <w:rPr>
          <w:sz w:val="20"/>
          <w:szCs w:val="20"/>
          <w:color w:val="auto"/>
        </w:rPr>
      </w:pPr>
      <w:r>
        <w:rPr>
          <w:rFonts w:ascii="Times New Roman" w:cs="Times New Roman" w:eastAsia="Times New Roman" w:hAnsi="Times New Roman"/>
          <w:sz w:val="18"/>
          <w:szCs w:val="18"/>
          <w:color w:val="auto"/>
        </w:rPr>
        <w:t>As of December 31, 2023, the number of stock options granted and outstanding under the 2004 Equity Incentive Plan was 686,348 options. Stock options granted in fiscal 2014 through fiscal 2020 were granted with an exercise price equal to the market price at the date of the grant, expire ten years from the date of grant and generally vest over four years from the date of grant, generally subject to the holder’s continued employment. Stock options granted after fiscal 2020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holders that have achieved specific service and age requirements.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related to the 2004 Equity Incentive Plan is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Common Stock Options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3, 2021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832,666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(11,990 )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(199,301 )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2,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664,117</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(8,712 )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(32,979 )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672,142</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(11,973 )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(78,532 )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686,348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543,728</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-205105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-205105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20" w:firstLine="449"/>
        <w:spacing w:after="0" w:line="265" w:lineRule="auto"/>
        <w:rPr>
          <w:sz w:val="20"/>
          <w:szCs w:val="20"/>
          <w:color w:val="auto"/>
        </w:rPr>
      </w:pPr>
      <w:r>
        <w:rPr>
          <w:rFonts w:ascii="Times New Roman" w:cs="Times New Roman" w:eastAsia="Times New Roman" w:hAnsi="Times New Roman"/>
          <w:sz w:val="18"/>
          <w:szCs w:val="18"/>
          <w:color w:val="auto"/>
        </w:rPr>
        <w:t>The total intrinsic value of stock options exercised was $19.6 million, $8.8 million and $77.4 million in 2023, 2022 and 2021, respectively. Cash received from the exercise of stock options was $8.7 million, $3.3 million and $19.7 million in 2023, 2022 and 2021, respectively. The tax benefit realized from stock options exercised was $4.2 million, $1.9 million and $17.6 million in 2023, 2022 and 2021,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8" w:name="page79"/>
    <w:bookmarkEnd w:id="78"/>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The Company recorded total non-cash equity-based compensation expense of $5.8 million, $4.2 million and $5.7 million in 2023, 2022 and 2021, respectively, related to stock option awards. As of December 31, 2023, there was $8.6 million of total unrecognized compensation cost related to unvested stock options granted under the 2004 Equity Incentive Plan which generally will be recognized on a straight-line basis over the related vesting period. This unrecognized compensation cost is expected to be recognized over a weighted average period of 1.9 years.</w:t>
      </w:r>
    </w:p>
    <w:p>
      <w:pPr>
        <w:spacing w:after="0" w:line="87"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Management estimated the fair value of each option grant made during 2023, 2022 and 2021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options.</w:t>
      </w:r>
    </w:p>
    <w:p>
      <w:pPr>
        <w:spacing w:after="0" w:line="87" w:lineRule="exact"/>
        <w:rPr>
          <w:sz w:val="20"/>
          <w:szCs w:val="20"/>
          <w:color w:val="auto"/>
        </w:rPr>
      </w:pPr>
    </w:p>
    <w:p>
      <w:pPr>
        <w:ind w:right="360" w:firstLine="449"/>
        <w:spacing w:after="0" w:line="281"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each stock option granted in 2023, 2022 and 2021 using the Black-Scholes option pricing method are presented in the following table: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3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5.25 years</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 years</w:t>
            </w:r>
          </w:p>
        </w:tc>
        <w:tc>
          <w:tcPr>
            <w:tcW w:w="32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5.25 years</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32.0 %</w:t>
            </w:r>
          </w:p>
        </w:tc>
        <w:tc>
          <w:tcPr>
            <w:tcW w:w="3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4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stock option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Equity-Based Compensation Arrangements</w:t>
      </w:r>
    </w:p>
    <w:p>
      <w:pPr>
        <w:spacing w:after="0" w:line="134"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Company granted 4,553 units, 3,792 shares and 3,292 shares of restricted stock in 2023, 2022 and 2021, respectively, to members of its Board of Directors. Restricted stock units and awards granted to members of the Company’s Board of Directors were granted with a fair value equal to the market price of the Company’s common stock on the grant date and generally vest one year from the date of grant, generally subject to the director’s continued service. These awards also contain provisions for accelerated vesting upon the retirement eligibility of holders that have achieved specified service and age requirements. The Company recorded total non-cash equity-based compensation expense of $1.6 million in 2023 and $1.4 million in each of 2022 and 2021, related to these restricted stock grants. As of December 31, 2023, there was $0.1 million of total unrecognized compensation cost related to these restricted stock grants.</w:t>
      </w:r>
    </w:p>
    <w:p>
      <w:pPr>
        <w:spacing w:after="0" w:line="187"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Company granted 125,285 units, 81,739 units and 49,963 units of restricted stock in 2023, 2022 and 2021, respectively, to certain employees of the Company. These restricted stock units were granted with a fair value equal to the market price of the Company’s common stock on the grant date. These restricted stock units are generally separated into three tranches and have time-based vesting conditions with the last tranche of the award vesting three years from the grant date, generally subject to the holder’s continued employment. These awards generally also contain provisions for accelerated vesting upon the retirement of holders that have achieved specified service and age requirements. The Company recorded total non-cash equity-based compensation expense of $14.1 million, $11.1 million and $5.4 million in 2023 and 2022, respectively, related to these restricted stock units. As of December 31, 2023, there was $24.9 million of total unrecognized compensation cost related to these restricted stock units.</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79" w:name="page80"/>
    <w:bookmarkEnd w:id="79"/>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The Company granted 37,677 units, 8,921 units and 6,546 units of performance-based restricted stock in 2023, 2022 and 2021, respectively, to certain employees of the Company. These restricted stock units were granted with a fair value equal to the market price of the Company’s common stock on the grant date, certain of which were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achievement as compared to the specified target performance conditions. Certain of the performance-based restricted stock units also include provisions for a potential modifier (upward or downward) based on the Company’s cumulative three-year common stock total shareholder return performance relative to that of a pre-established peer group. These awards contain provisions for full or partial vesting if holder retires during the performance period, after achieving specified service and age requirements. For the awards with a market condition,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 The Company recorded total non-cash equity-based compensation expense of $12.8 million, $3.4 million and $1.4 million in 2023, 2022 and 2021, respectively, related to these performance-based restricted stock units. As of December 31, 2023, there was $24.2 million of total estimated unrecognized compensation cost based on current attainment projections related to these performance-based restricted stock units.</w:t>
      </w:r>
    </w:p>
    <w:p>
      <w:pPr>
        <w:spacing w:after="0" w:line="98" w:lineRule="exact"/>
        <w:rPr>
          <w:sz w:val="20"/>
          <w:szCs w:val="20"/>
          <w:color w:val="auto"/>
        </w:rPr>
      </w:pPr>
    </w:p>
    <w:p>
      <w:pPr>
        <w:ind w:right="240" w:firstLine="449"/>
        <w:spacing w:after="0" w:line="281"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the performance-based restricted stock units granted in 2023, 2022 and 2021 that include a market condition using the Monte-Carlo simulation pricing method are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3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 years</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 years</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 years</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30.2 %</w:t>
            </w:r>
          </w:p>
        </w:tc>
        <w:tc>
          <w:tcPr>
            <w:tcW w:w="3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33.2 %</w:t>
            </w:r>
          </w:p>
        </w:tc>
        <w:tc>
          <w:tcPr>
            <w:tcW w:w="3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performance-based restricted stock unit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Company previously granted performance-based restricted stock to certain employees of the Company. These performance-based restricted stock awards are separated into four tranches and have time-based and performance-based vesting conditions with the last tranche vesting four years from the issuance date, generally subject to the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continued employment. These awards contain provisions for full or partial vesting if holder retires during the performance period, after achieving specified service and age requirements. These awards were considered granted for accounting purposes when the performance target was established, which was generally in the fourth quarter of each year. The Company recorded total non-cash equity-based compensation expense of $3.2 million, $8.0 million and $12.7 million in 2023, 2022 and 2021, respectively, related to these awards. As of December 31, 2023, there was an estimated $0.5 million of total unrecognized compensation cost related to performance-based restricted stock.</w:t>
      </w:r>
    </w:p>
    <w:p>
      <w:pPr>
        <w:spacing w:after="0" w:line="78" w:lineRule="exact"/>
        <w:rPr>
          <w:sz w:val="20"/>
          <w:szCs w:val="20"/>
          <w:color w:val="auto"/>
        </w:rPr>
      </w:pPr>
    </w:p>
    <w:p>
      <w:pPr>
        <w:ind w:right="80" w:firstLine="494"/>
        <w:spacing w:after="0" w:line="265" w:lineRule="auto"/>
        <w:rPr>
          <w:sz w:val="20"/>
          <w:szCs w:val="20"/>
          <w:color w:val="auto"/>
        </w:rPr>
      </w:pPr>
      <w:r>
        <w:rPr>
          <w:rFonts w:ascii="Times New Roman" w:cs="Times New Roman" w:eastAsia="Times New Roman" w:hAnsi="Times New Roman"/>
          <w:sz w:val="18"/>
          <w:szCs w:val="18"/>
          <w:color w:val="auto"/>
        </w:rPr>
        <w:t>In 2018, the Company granted 28,570 shares of restricted stock to two executives of the Company. These awards had a fair value equal to the market price of the Company’s common stock on the grant date and vested in 2022, four years from the date of the grant. The Company recorded total non-cash equity-based compensation expense of $0.6 million in 2022 and $2.1 million in 2021 related to these restricted stock awards.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80" w:name="page81"/>
    <w:bookmarkEnd w:id="80"/>
    <w:p>
      <w:pPr>
        <w:ind w:right="660" w:firstLine="449"/>
        <w:spacing w:after="0" w:line="265" w:lineRule="auto"/>
        <w:rPr>
          <w:sz w:val="20"/>
          <w:szCs w:val="20"/>
          <w:color w:val="auto"/>
        </w:rPr>
      </w:pPr>
      <w:r>
        <w:rPr>
          <w:rFonts w:ascii="Times New Roman" w:cs="Times New Roman" w:eastAsia="Times New Roman" w:hAnsi="Times New Roman"/>
          <w:sz w:val="18"/>
          <w:szCs w:val="18"/>
          <w:color w:val="auto"/>
        </w:rPr>
        <w:t>Activity related to restricted stock awards and units and performance-based restricted stock awards and units awarded under the 2004 Equity Incentive Plan is summarized as follows in the table below. The unrecognized compensation cost related to restricted stock awards and units and performance-based restricted stock awards and units is expected to be recognized over a weighted average period of 2.3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0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3, 2021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146,762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(12,924 )</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0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(48,378 )</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 2022</w:t>
            </w:r>
          </w:p>
        </w:tc>
        <w:tc>
          <w:tcPr>
            <w:tcW w:w="10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145,261</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(18,563 )</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0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(75,506 )</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0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145,644</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167,515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(9,799 )</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0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(54,225 )</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249,135</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Capital Structure</w:t>
      </w:r>
    </w:p>
    <w:p>
      <w:pPr>
        <w:spacing w:after="0" w:line="13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On October 4, 2019, the Company’s Board of Directors authorized a share repurchase program to repurchase up to $1.0 billion of the Company’s common stock. On February 24, 2021, the Company’s Board of Directors authorized a new share repurchase program to repurchase up to $1.0 billion of the Company’s common stock, which was fully utilized in connection with the ASR Agreement, described below. On July 20, 2021, the Company’s Board of Directors authorized a new share repurchase program to repurchase up to $1.0 billion of the Company's common stock, which replaced the previously approved and fully utilized $1.0 billion share repurchase program. As of December 31, 2023, the Company had $141.3 million remaining under its $1.0 billion authorization for repurchases of shares of the Company’s common stock. Subsequent to the end of fiscal 2023, 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w:t>
      </w:r>
    </w:p>
    <w:p>
      <w:pPr>
        <w:spacing w:after="0" w:line="95"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87"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During 2023, 2022 and 2021, the Company repurchased 789,977 shares, 739,847 shares and 2,912,558 shares of the Company’s common stock for $269.0 million, $293.7 million and $1.32 billion, respectively.</w:t>
      </w:r>
    </w:p>
    <w:p>
      <w:pPr>
        <w:spacing w:after="0" w:line="68"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On April 30, 2021, the Company entered into a $1.0 billion accelerated share repurchase agreement (the “ASR Agreement”) with a counterparty. Pursuant to the terms of the ASR Agreement, on May 3, 2021, the Company used a portion of the proceeds from the 2021 Recapitalization to pay the counterparty $1.0 billion in cash and received and retired 2,012,596 shares of its common stock. Final settlement of the ASR Agreement occurred on July 21, 2021. In connection with the ASR Agreement, the Company received and retired a total of 2,250,786 shares of its common stock at an average price of $444.29.</w:t>
      </w:r>
    </w:p>
    <w:p>
      <w:pPr>
        <w:spacing w:after="0" w:line="88"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8"/>
          <w:szCs w:val="18"/>
          <w:color w:val="auto"/>
        </w:rPr>
        <w:t>As of December 31, 2023, authorized common stock consists of 160,000,000 voting shares and 10,000,000 non-voting shares. The share components of outstanding common stock at December 31, 2023 and January 1, 2023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6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3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5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34,722,988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35,416,526</w:t>
            </w:r>
          </w:p>
        </w:tc>
        <w:tc>
          <w:tcPr>
            <w:tcW w:w="100" w:type="dxa"/>
            <w:vAlign w:val="bottom"/>
            <w:shd w:val="clear" w:color="auto" w:fill="CFF0FC"/>
          </w:tcPr>
          <w:p>
            <w:pPr>
              <w:spacing w:after="0"/>
              <w:rPr>
                <w:sz w:val="20"/>
                <w:szCs w:val="20"/>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Non-Voting</w:t>
            </w:r>
          </w:p>
        </w:tc>
        <w:tc>
          <w:tcPr>
            <w:tcW w:w="4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0"/>
                <w:szCs w:val="20"/>
                <w:color w:val="auto"/>
              </w:rPr>
            </w:pPr>
          </w:p>
        </w:tc>
      </w:tr>
      <w:tr>
        <w:trPr>
          <w:trHeight w:val="2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Stock</w:t>
            </w:r>
          </w:p>
        </w:tc>
        <w:tc>
          <w:tcPr>
            <w:tcW w:w="5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100" w:type="dxa"/>
            <w:vAlign w:val="bottom"/>
            <w:shd w:val="clear" w:color="auto" w:fill="CFF0FC"/>
          </w:tcPr>
          <w:p>
            <w:pPr>
              <w:spacing w:after="0"/>
              <w:rPr>
                <w:sz w:val="24"/>
                <w:szCs w:val="24"/>
                <w:color w:val="auto"/>
              </w:rPr>
            </w:pPr>
          </w:p>
        </w:tc>
      </w:tr>
      <w:tr>
        <w:trPr>
          <w:trHeight w:val="416"/>
        </w:trPr>
        <w:tc>
          <w:tcPr>
            <w:tcW w:w="3540" w:type="dxa"/>
            <w:vAlign w:val="bottom"/>
            <w:tcBorders>
              <w:top w:val="single" w:sz="8" w:color="CFF0FC"/>
            </w:tcBorders>
          </w:tcPr>
          <w:p>
            <w:pPr>
              <w:spacing w:after="0"/>
              <w:rPr>
                <w:sz w:val="24"/>
                <w:szCs w:val="24"/>
                <w:color w:val="auto"/>
              </w:rPr>
            </w:pPr>
          </w:p>
        </w:tc>
        <w:tc>
          <w:tcPr>
            <w:tcW w:w="4120" w:type="dxa"/>
            <w:vAlign w:val="bottom"/>
            <w:tcBorders>
              <w:top w:val="single" w:sz="8" w:color="CFF0FC"/>
            </w:tcBorders>
          </w:tcPr>
          <w:p>
            <w:pPr>
              <w:jc w:val="right"/>
              <w:ind w:right="1850"/>
              <w:spacing w:after="0"/>
              <w:rPr>
                <w:sz w:val="20"/>
                <w:szCs w:val="20"/>
                <w:color w:val="auto"/>
              </w:rPr>
            </w:pPr>
            <w:r>
              <w:rPr>
                <w:rFonts w:ascii="Times New Roman" w:cs="Times New Roman" w:eastAsia="Times New Roman" w:hAnsi="Times New Roman"/>
                <w:sz w:val="18"/>
                <w:szCs w:val="18"/>
                <w:color w:val="auto"/>
              </w:rPr>
              <w:t>80</w:t>
            </w:r>
          </w:p>
        </w:tc>
        <w:tc>
          <w:tcPr>
            <w:tcW w:w="1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5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-778510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1" w:name="page82"/>
    <w:bookmarkEnd w:id="81"/>
    <w:p>
      <w:pPr>
        <w:ind w:left="480" w:hanging="472"/>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equipment and supplies to stores from the Company’s supply chain center operations in the U.S. and Canada. Over 90% of the Company's supply chain revenues are attributable to the U.S. The international franchise segment primarily includes operations related to the Company’s franchising business in foreign markets. The accounting policies of the reportable segments are the same as those described in Note 1. The Company evaluates the performance of its segments and allocates resources to them based on revenues and earnings before interest, taxes, depreciation, amortization and other, which is the measure by which the Company allocates resources to its segments and which the Company refers to as Segment Income.</w:t>
      </w:r>
    </w:p>
    <w:p>
      <w:pPr>
        <w:spacing w:after="0" w:line="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fiscal 2023, 2022 and 2021.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Supply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40" w:type="dxa"/>
            <w:vAlign w:val="bottom"/>
          </w:tcPr>
          <w:p>
            <w:pPr>
              <w:spacing w:after="0"/>
              <w:rPr>
                <w:sz w:val="13"/>
                <w:szCs w:val="13"/>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1,454,272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2,829,224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(114,215 )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1,487,409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(143,327 )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1,498,360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(138,886 )</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520,977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245,430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(86,894 )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208,799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236,144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(26,022 )</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454,875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(42,926 )</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59,196</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In the first quarter of 2023, the Company changed its allocation methodology for certain costs which support certain internally developed software used across the Company's franchise system. This allocation methodology change was implemented in order to reflect the way the chief operating decision maker allocates resources to the Company’s reportable segments and evaluates segment profitability, including the costs of internally developed software. The change in allocation methodology of certain software development costs resulted in an estimated increase in U.S. stores Segment Income of $65.7 million, an estimated increase in international franchise Segment Income of $8.9 million and an estimated decrease in other Segment Income of $74.6 million in 2023. The change in allocation methodology of certain software development costs had no impact on revenues, supply chain Segment Income or total Segment Income. The change in allocation methodology for certain software development costs is a prospective change and the comparative information has not been restated.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939,121</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857,525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883,699</w:t>
            </w:r>
          </w:p>
        </w:tc>
        <w:tc>
          <w:tcPr>
            <w:tcW w:w="100" w:type="dxa"/>
            <w:vAlign w:val="bottom"/>
            <w:shd w:val="clear" w:color="auto" w:fill="CFF0FC"/>
          </w:tcPr>
          <w:p>
            <w:pPr>
              <w:spacing w:after="0"/>
              <w:rPr>
                <w:sz w:val="20"/>
                <w:szCs w:val="20"/>
                <w:color w:val="auto"/>
              </w:rPr>
            </w:pPr>
          </w:p>
        </w:tc>
      </w:tr>
      <w:tr>
        <w:trPr>
          <w:trHeight w:val="238"/>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(80,640 )</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(80,251 )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(72,923 )</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Refranchising (loss) gain</w:t>
            </w:r>
          </w:p>
        </w:tc>
        <w:tc>
          <w:tcPr>
            <w:tcW w:w="2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(1,299 )</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(1,813 )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(1,189 )</w:t>
            </w: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(37,514 )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(28,709 )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(28,670 )</w:t>
            </w:r>
          </w:p>
        </w:tc>
      </w:tr>
      <w:tr>
        <w:trPr>
          <w:trHeight w:val="238"/>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Recapitalization-related expenses</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(509 )</w:t>
            </w:r>
          </w:p>
        </w:tc>
      </w:tr>
      <w:tr>
        <w:trPr>
          <w:trHeight w:val="24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819,519</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780,408</w:t>
            </w:r>
          </w:p>
        </w:tc>
        <w:tc>
          <w:tcPr>
            <w:tcW w:w="100" w:type="dxa"/>
            <w:vAlign w:val="bottom"/>
            <w:shd w:val="clear" w:color="auto" w:fill="CFF0FC"/>
          </w:tcPr>
          <w:p>
            <w:pPr>
              <w:spacing w:after="0"/>
              <w:rPr>
                <w:sz w:val="20"/>
                <w:szCs w:val="20"/>
                <w:color w:val="auto"/>
              </w:rPr>
            </w:pPr>
          </w:p>
        </w:tc>
      </w:tr>
      <w:tr>
        <w:trPr>
          <w:trHeight w:val="238"/>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r>
      <w:tr>
        <w:trPr>
          <w:trHeight w:val="238"/>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(196,475 )</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(198,254 )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(191,806 )</w:t>
            </w:r>
          </w:p>
        </w:tc>
      </w:tr>
      <w:tr>
        <w:trPr>
          <w:trHeight w:val="276"/>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652,440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480" w:type="dxa"/>
            <w:vAlign w:val="bottom"/>
          </w:tcPr>
          <w:p>
            <w:pPr>
              <w:spacing w:after="0"/>
              <w:rPr>
                <w:sz w:val="24"/>
                <w:szCs w:val="24"/>
                <w:color w:val="auto"/>
              </w:rPr>
            </w:pPr>
          </w:p>
        </w:tc>
        <w:tc>
          <w:tcPr>
            <w:tcW w:w="21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-787400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-770255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-787400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-770255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identifiable asset information by reportable segment as of December 31, 2023 and January 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232,336</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288,149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614,168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772,674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663,030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1,602,221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Unallocated assets primarily include cash and cash equivalents, restricted cash and cash equivalents, certain accounts receivable and prepaid expenses, investments in equity securities without readily determinable fair values and marketable securities, certain long-lived assets including certain property, plant and equipment, capitalized software and the operating lease right-of-use asset for the Company’s corporate headquarters and deferred income taxes. Over 95% of the Company's long-lived assets including property, plant and equipment, capitalized software and operating lease right-of-use assets are located in the U.S.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goodwill balance by reportable segment as of December 31, 2023 and January 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goodwill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Company-owned Store Transactions</w:t>
      </w:r>
    </w:p>
    <w:p>
      <w:pPr>
        <w:spacing w:after="0" w:line="134" w:lineRule="exact"/>
        <w:rPr>
          <w:sz w:val="20"/>
          <w:szCs w:val="20"/>
          <w:color w:val="auto"/>
        </w:rPr>
      </w:pPr>
    </w:p>
    <w:p>
      <w:pPr>
        <w:ind w:right="440" w:firstLine="449"/>
        <w:spacing w:after="0" w:line="265" w:lineRule="auto"/>
        <w:rPr>
          <w:sz w:val="20"/>
          <w:szCs w:val="20"/>
          <w:color w:val="auto"/>
        </w:rPr>
      </w:pPr>
      <w:r>
        <w:rPr>
          <w:rFonts w:ascii="Times New Roman" w:cs="Times New Roman" w:eastAsia="Times New Roman" w:hAnsi="Times New Roman"/>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consolidated statements of income.</w:t>
      </w:r>
    </w:p>
    <w:p>
      <w:pPr>
        <w:spacing w:after="0" w:line="83" w:lineRule="exact"/>
        <w:rPr>
          <w:sz w:val="20"/>
          <w:szCs w:val="20"/>
          <w:color w:val="auto"/>
        </w:rPr>
      </w:pPr>
    </w:p>
    <w:p>
      <w:pPr>
        <w:ind w:right="580" w:firstLine="449"/>
        <w:spacing w:after="0" w:line="281" w:lineRule="auto"/>
        <w:rPr>
          <w:sz w:val="20"/>
          <w:szCs w:val="20"/>
          <w:color w:val="auto"/>
        </w:rPr>
      </w:pPr>
      <w:r>
        <w:rPr>
          <w:rFonts w:ascii="Times New Roman" w:cs="Times New Roman" w:eastAsia="Times New Roman" w:hAnsi="Times New Roman"/>
          <w:sz w:val="18"/>
          <w:szCs w:val="18"/>
          <w:color w:val="auto"/>
        </w:rPr>
        <w:t>During 2022, the Company purchased 23 U.S. franchised stores in Michigan from certain of the Company’s existing U.S. franchisees for $6.8 million, which included $4.0 million of intangibles, $1.7 million of equipment and leasehold improvements and $1.1 million of goodwill.</w:t>
      </w:r>
    </w:p>
    <w:p>
      <w:pPr>
        <w:spacing w:after="0" w:line="68" w:lineRule="exact"/>
        <w:rPr>
          <w:sz w:val="20"/>
          <w:szCs w:val="20"/>
          <w:color w:val="auto"/>
        </w:rPr>
      </w:pPr>
    </w:p>
    <w:p>
      <w:pPr>
        <w:ind w:right="20" w:firstLine="449"/>
        <w:spacing w:after="0" w:line="272" w:lineRule="auto"/>
        <w:rPr>
          <w:sz w:val="20"/>
          <w:szCs w:val="20"/>
          <w:color w:val="auto"/>
        </w:rPr>
      </w:pPr>
      <w:r>
        <w:rPr>
          <w:rFonts w:ascii="Times New Roman" w:cs="Times New Roman" w:eastAsia="Times New Roman" w:hAnsi="Times New Roman"/>
          <w:sz w:val="17"/>
          <w:szCs w:val="17"/>
          <w:color w:val="auto"/>
        </w:rPr>
        <w:t>Also during 2022, the Company refranchised 114 U.S. Company-owned stores in Arizona and Utah for proceeds of $41.1 million. In connection with the refranchising of the stores, the Company recorded a $21.2 million pre-tax gain on the sale of the related assets and liabilities, including a $4.3 million reduction in goodwill. The net gain on the sale of these stores was recorded in refranchising gain in the Company’s consolidated statements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Evaluation of Disclosure Controls and Procedures.</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9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tab/>
        <w:t>Changes in Internal Control over Financial Reporting.</w:t>
      </w:r>
    </w:p>
    <w:p>
      <w:pPr>
        <w:spacing w:after="0" w:line="13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Management’s Annual Report on Internal Control over Financial Reporting.</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December 31, 2023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its internal control over financial reporting was effective as of December 31, 2023. The effectiveness of the Company’s internal control over financial reporting as of December 31, 2023, has been audited by PricewaterhouseCoopers LLP, an independent registered public accounting firm, as stated in their report which appears herein.</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55"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8"/>
          <w:szCs w:val="18"/>
          <w:color w:val="auto"/>
        </w:rPr>
        <w:t>During the fiscal quarter ended December 31, 2023, the following Section 16 officers adopted “Rule 10b5-1 trading arrangements” (as defined in Item 408 under Regulation S-K of the Exchange Act):</w:t>
      </w:r>
    </w:p>
    <w:p>
      <w:pPr>
        <w:spacing w:after="0" w:line="55" w:lineRule="exact"/>
        <w:rPr>
          <w:sz w:val="20"/>
          <w:szCs w:val="20"/>
          <w:color w:val="auto"/>
        </w:rPr>
      </w:pPr>
    </w:p>
    <w:p>
      <w:pPr>
        <w:ind w:left="1020" w:hanging="504"/>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Cynthia A. Headen, our Executive Vice President, Chief Supply Chain Officer, adopted a new Rule 10b5-1 trading arrangement on October 18, 2023. The plan’s maximum duration is until December 27, 2024, and first trades will not occur until February 16, 2024 at the earliest. The trading plan, which is subject to certain conditions, is intended to permit Ms. Headen to (i) sell from time to time an aggregate of up to 1,330 shares of our common stock, the actual amount of which may be less based on tax withholdings and vesting conditions of RSUs, and (ii) exercise and sell from time to time two tranches of an aggregate of 745 stock options.</w:t>
      </w:r>
    </w:p>
    <w:p>
      <w:pPr>
        <w:spacing w:after="0" w:line="74" w:lineRule="exact"/>
        <w:rPr>
          <w:rFonts w:ascii="Times New Roman" w:cs="Times New Roman" w:eastAsia="Times New Roman" w:hAnsi="Times New Roman"/>
          <w:sz w:val="18"/>
          <w:szCs w:val="18"/>
          <w:color w:val="auto"/>
        </w:rPr>
      </w:pPr>
    </w:p>
    <w:p>
      <w:pPr>
        <w:ind w:left="1020" w:right="40" w:hanging="504"/>
        <w:spacing w:after="0" w:line="26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J. Weiner, our Chief Executive Officer and Director, adopted a new Rule 10b5-1 trading arrangement on October 23, 2023. The plan’s maximum duration is until July 17, 2024, and first trades will not occur until February 20, 2024 at the earliest. The trading plan, which is subject to certain conditions, is intended to permit Mr. Weiner to exercise and sell from time to time (i) a tranche of 15,960 stock options set to expire on July 16, 2024 and (ii) a tranche of 11,780 stock options set to expire on July 15, 2025.</w:t>
      </w:r>
    </w:p>
    <w:p>
      <w:pPr>
        <w:spacing w:after="0" w:line="74" w:lineRule="exact"/>
        <w:rPr>
          <w:sz w:val="20"/>
          <w:szCs w:val="20"/>
          <w:color w:val="auto"/>
        </w:rPr>
      </w:pPr>
    </w:p>
    <w:p>
      <w:pPr>
        <w:ind w:right="260" w:firstLine="255"/>
        <w:spacing w:after="0" w:line="281" w:lineRule="auto"/>
        <w:rPr>
          <w:sz w:val="20"/>
          <w:szCs w:val="20"/>
          <w:color w:val="auto"/>
        </w:rPr>
      </w:pPr>
      <w:r>
        <w:rPr>
          <w:rFonts w:ascii="Times New Roman" w:cs="Times New Roman" w:eastAsia="Times New Roman" w:hAnsi="Times New Roman"/>
          <w:sz w:val="18"/>
          <w:szCs w:val="18"/>
          <w:color w:val="auto"/>
        </w:rPr>
        <w:t>The Rule 10b5-1 trading arrangements described above were adopted and precleared in accordance with Domino’s Insider Trading Policy and actual sale transactions made pursuant to such trading arrangements will be disclosed publicly in future Section 16 filings with the SEC.</w:t>
      </w:r>
    </w:p>
    <w:p>
      <w:pPr>
        <w:spacing w:after="0" w:line="55"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Age</w:t>
            </w:r>
          </w:p>
        </w:tc>
        <w:tc>
          <w:tcPr>
            <w:tcW w:w="810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6"/>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J. Weiner</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55</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Jordan</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50</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U.S. and Global Services</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53</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P. D’Elia</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46</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International</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Kelly E. Garcia</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48</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R. Garrido</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53</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Restaurant Officer</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Cynthia A. Headen</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55</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Supply Chain Officer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A. Jackson</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46</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Human Resources</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S. Morris</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63</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Weiner </w:t>
      </w:r>
      <w:r>
        <w:rPr>
          <w:rFonts w:ascii="Times New Roman" w:cs="Times New Roman" w:eastAsia="Times New Roman" w:hAnsi="Times New Roman"/>
          <w:sz w:val="18"/>
          <w:szCs w:val="18"/>
          <w:color w:val="auto"/>
        </w:rPr>
        <w:t>has served as Domino’s Chief Executive Officer since May 2022. Prior to becoming CEO, Mr. Weiner served as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President, Domino’s U.S. from July 2020 to April 2022, Chief Operating Officer and President of the Americas from July 2018 to July 2020, President, Domino’s USA from October 2014 to July 2018 and joined Domino’s as Executive Vice President and Chief Marketing Officer in September 2008. Prior to joining Domino’s, Mr. Weiner held various marketing positions at PepsiCo, Inc. from 1998 to 2008, most recently serving as Vice President of Marketing, Colas for Pepsi-Cola North America. Mr. Weiner has served on Domino’s Board of Directors since May 2022 when he was elected in conjunction with his appointment as Chief Executive Officer. Mr. Weiner also serves on the Board of Directors of The Clorox Company.</w:t>
      </w:r>
    </w:p>
    <w:p>
      <w:pPr>
        <w:spacing w:after="0" w:line="8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H. Jordan </w:t>
      </w:r>
      <w:r>
        <w:rPr>
          <w:rFonts w:ascii="Times New Roman" w:cs="Times New Roman" w:eastAsia="Times New Roman" w:hAnsi="Times New Roman"/>
          <w:sz w:val="18"/>
          <w:szCs w:val="18"/>
          <w:color w:val="auto"/>
        </w:rPr>
        <w:t>has served as Domino’s President, U.S. and Global Services since May 2022. Mr. Jordan previously served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International from April 2018 to April 2022, Senior Vice President and Chief Marketing Officer from May 2015 to April 2018, and joined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w:t>
      </w:r>
    </w:p>
    <w:p>
      <w:pPr>
        <w:spacing w:after="0" w:line="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Sandeep Reddy </w:t>
      </w:r>
      <w:r>
        <w:rPr>
          <w:rFonts w:ascii="Times New Roman" w:cs="Times New Roman" w:eastAsia="Times New Roman" w:hAnsi="Times New Roman"/>
          <w:sz w:val="18"/>
          <w:szCs w:val="18"/>
          <w:color w:val="auto"/>
        </w:rPr>
        <w:t>has served as Domino’s Executive Vice President, Chief Financial Officer since April 2022. Prior to joining Domino’s, Mr. Reddy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and Chief Financial Officer of Six Flags Entertainment from July 2020 to March 2022, and as Chief Financial Officer of Guess?, Inc. from July 2013 to December 2019, after joining Guess?, Inc. in 2010 as the Vice President and European CFO. From 1997 to 2010, Mr. Reddy held a variety of positions with increasing responsibility for Mattel Inc. Mr. Reddy also serves on the Board of Directors of Masco Corporation.</w:t>
      </w:r>
    </w:p>
    <w:p>
      <w:pPr>
        <w:spacing w:after="0" w:line="8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Arthur P. D’Elia </w:t>
      </w:r>
      <w:r>
        <w:rPr>
          <w:rFonts w:ascii="Times New Roman" w:cs="Times New Roman" w:eastAsia="Times New Roman" w:hAnsi="Times New Roman"/>
          <w:sz w:val="18"/>
          <w:szCs w:val="18"/>
          <w:color w:val="auto"/>
        </w:rPr>
        <w:t>has served as Domino’s Executive Vice President, International since May 2022. Mr. D’Elia served as Executive Vice President,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Officer from July 2020 to April 2022 and as Senior Vice President, Chief Marketing Officer from February 2020 to July 2020. Mr. D'Elia joined Domino’s in January 2018 as Senior Vice President, Chief Brand and Innovation Officer. Prior to Domino’s, Mr. D'Elia served as Chief Marketing Officer for Danone Dairy’s UBN business unit from July 2017 to January 2018 after joining Danone U.S. in April 2010, and worked at PepsiCo in corporate strategy, development and marketing for the North American beverage business from June 2003 to March 2010. Mr. D’Elia also serves on the Board of Directors of DPC Dash Ltd.</w:t>
      </w:r>
    </w:p>
    <w:p>
      <w:pPr>
        <w:spacing w:after="0" w:line="8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E. Garcia </w:t>
      </w:r>
      <w:r>
        <w:rPr>
          <w:rFonts w:ascii="Times New Roman" w:cs="Times New Roman" w:eastAsia="Times New Roman" w:hAnsi="Times New Roman"/>
          <w:sz w:val="18"/>
          <w:szCs w:val="18"/>
          <w:color w:val="auto"/>
        </w:rPr>
        <w:t>has served as Domino’s Executive Vice President, Chief Technology Officer since October 2020. Prior to his current role, Mr. Garcia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Chief Technology Officer from April 2019 to October 2020. Mr. Garcia joined Domino’s in July 2012 as Vice President, eCommerce Development. Prior to Domino’s, Mr. Garcia was with R.L. Polk &amp; Co. from 2004 to 2012, most recently as Vice President of Business Intelligence and North American Operations. Mr. Garcia also serves on the Board of Directors of Ulta Beauty, Inc.</w:t>
      </w:r>
    </w:p>
    <w:p>
      <w:pPr>
        <w:spacing w:after="0" w:line="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R. Garrido </w:t>
      </w:r>
      <w:r>
        <w:rPr>
          <w:rFonts w:ascii="Times New Roman" w:cs="Times New Roman" w:eastAsia="Times New Roman" w:hAnsi="Times New Roman"/>
          <w:sz w:val="18"/>
          <w:szCs w:val="18"/>
          <w:color w:val="auto"/>
        </w:rPr>
        <w:t>has served as Domino’s Executive Vice President, Chief Restaurant Officer since March 2023. From March 2021 to March 2023,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Garrido served as Executive Vice President, U.S. Operations and Support. Prior to this role, Mr. Garrido served 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6" w:name="page87"/>
    <w:bookmarkEnd w:id="8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A. Headen </w:t>
      </w:r>
      <w:r>
        <w:rPr>
          <w:rFonts w:ascii="Times New Roman" w:cs="Times New Roman" w:eastAsia="Times New Roman" w:hAnsi="Times New Roman"/>
          <w:sz w:val="18"/>
          <w:szCs w:val="18"/>
          <w:color w:val="auto"/>
        </w:rPr>
        <w:t>has served as Domino’s Executive Vice President, Chief Supply Chain Officer since March 2023. From August 2020 to March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Headen served as Executive Vice President, Supply Chain Services. Ms. Headen previously served as Senior 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spacing w:after="0" w:line="8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A. Jackson </w:t>
      </w:r>
      <w:r>
        <w:rPr>
          <w:rFonts w:ascii="Times New Roman" w:cs="Times New Roman" w:eastAsia="Times New Roman" w:hAnsi="Times New Roman"/>
          <w:sz w:val="18"/>
          <w:szCs w:val="18"/>
          <w:color w:val="auto"/>
        </w:rPr>
        <w:t>has served as Domino’s Executive Vice President, Human Resources since November 2023. Mr. Jackson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of the CEO from April 2022 to November 2023 after joining Domino’s in 2018 as the Vice President of Human Resources. Prior to joining Domino’s, Mr. Jackson spent almost 12 years at Target where he held various roles across real estate, supply chain, store design and human resources, inclusive of leading human resources for Target's headquarters in India.</w:t>
      </w:r>
    </w:p>
    <w:p>
      <w:pPr>
        <w:spacing w:after="0" w:line="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S. Morris </w:t>
      </w:r>
      <w:r>
        <w:rPr>
          <w:rFonts w:ascii="Times New Roman" w:cs="Times New Roman" w:eastAsia="Times New Roman" w:hAnsi="Times New Roman"/>
          <w:sz w:val="18"/>
          <w:szCs w:val="18"/>
          <w:color w:val="auto"/>
        </w:rPr>
        <w:t>has served as Domino’s Executive Vice President, General Counsel since January 2017 and also as Corporate Secretary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Domino’s, Mr. Morris served at Equinox Holdings, Inc. and its various operating subsidiaries and affiliates from December 2012 to January 2017, most recently as Senior Vice President, General Counsel and Corporate Secretary. Mr. Morris operated his own private legal practice from July 2009 to November 2012. Prior to 2009, Mr. Morris served as Vice President and Associate General Counsel at Global Hyatt Corporation (the predecessor in interest to Hyatt Hotels Corporation) from 1999 to 2008. Prior to 1999, Mr. Morris served as a Senior International Attorney and Staff Director at McDonald’s Corporation after beginning his career as an attorney at Rudnick &amp; Wolfe LLP.</w:t>
      </w:r>
    </w:p>
    <w:p>
      <w:pPr>
        <w:spacing w:after="0" w:line="9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from Domino’s Pizza, Inc.'s definitive proxy statement, which will be filed within 120 days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Information regarding executive compensation is incorporated by reference from Domino’s Pizza, Inc.’s definitive proxy statement, which will be filed within 120 days of December 31, 2023. However, no information set forth in the proxy statement regarding the Audit Committee Report shall be deemed incorporated by reference into this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incorporated by reference from Domino’s Pizza, Inc.’s definitive proxy statement, which will be filed within 120 days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incorporated by reference from Domino’s Pizza, Inc.’s definitive proxy statement, which will be filed within 120 days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by reference from Domino’s Pizza, Inc.’s definitive proxy statement, which will be filed within 120 days of December 31, 2023.</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0" w:right="4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(a)1. Financial Statements: The following financial statements for Domino’s Pizza, Inc. and subsidiaries are included in Item 8, “Financial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Statements and Supplementary Data”:</w:t>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January 1, 2023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2023, January 1, 2023 and January 2, 2022</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January 1, 2023 and January 2, 2022</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31, 2023, January 1, 2023 and January 2, 2022</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January 1, 2023 and January 2, 2022</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39" w:lineRule="exact"/>
        <w:rPr>
          <w:sz w:val="20"/>
          <w:szCs w:val="20"/>
          <w:color w:val="auto"/>
        </w:rPr>
      </w:pPr>
    </w:p>
    <w:p>
      <w:pPr>
        <w:ind w:left="1000" w:right="3260" w:hanging="524"/>
        <w:spacing w:after="0" w:line="45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following financial statement schedule is attached to this report. Schedule I – Condensed Financial Information of the Registrant</w:t>
      </w:r>
    </w:p>
    <w:p>
      <w:pPr>
        <w:spacing w:after="0" w:line="14" w:lineRule="exact"/>
        <w:rPr>
          <w:sz w:val="20"/>
          <w:szCs w:val="20"/>
          <w:color w:val="auto"/>
        </w:rPr>
      </w:pPr>
    </w:p>
    <w:p>
      <w:pPr>
        <w:ind w:left="760" w:right="380"/>
        <w:spacing w:after="0" w:line="281"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included in the financial statements or the notes thereto.</w:t>
      </w:r>
    </w:p>
    <w:p>
      <w:pPr>
        <w:spacing w:after="0" w:line="203" w:lineRule="exact"/>
        <w:rPr>
          <w:sz w:val="20"/>
          <w:szCs w:val="20"/>
          <w:color w:val="auto"/>
        </w:rPr>
      </w:pPr>
    </w:p>
    <w:p>
      <w:pPr>
        <w:ind w:left="760" w:right="140" w:hanging="288"/>
        <w:spacing w:after="0" w:line="26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75"/>
        </w:trPr>
        <w:tc>
          <w:tcPr>
            <w:tcW w:w="1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9820" w:type="dxa"/>
            <w:vAlign w:val="bottom"/>
            <w:tcBorders>
              <w:bottom w:val="single" w:sz="8" w:color="0000FF"/>
            </w:tcBorders>
            <w:gridSpan w:val="16"/>
          </w:tcPr>
          <w:p>
            <w:pPr>
              <w:spacing w:after="0" w:line="17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Form of Second Restated Certificate of Incorporation of Domino’s Pizza, Inc. (Incorporated by reference to Exhibit 3.1 to the Domino’s</w:t>
              </w:r>
            </w:hyperlink>
          </w:p>
        </w:tc>
        <w:tc>
          <w:tcPr>
            <w:tcW w:w="280" w:type="dxa"/>
            <w:vAlign w:val="bottom"/>
            <w:gridSpan w:val="10"/>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5"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Pizza, Inc. registration statement on Form S-1 filed on April 13, 2004 (Reg. No. 333-114442) (the “S-1”)).</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Certificate of Amendment to the Second Restated Certificate of Incorporation of Domino’s Pizza, Inc. (Incorporated by reference to Exhibit</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5"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Form 10-Q for the quarter ended June 14, 2015).</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Fourth Amended and Restated By-Laws of Domino’s Pizza, Inc. (Incorporated by reference to Exhibit 3.1 to the registrant’s current report</w:t>
              </w:r>
            </w:hyperlink>
          </w:p>
        </w:tc>
        <w:tc>
          <w:tcPr>
            <w:tcW w:w="10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5"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on Form 8-K filed on October 12, 2023).</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Securities of the Registrant.</w:t>
            </w:r>
          </w:p>
        </w:tc>
        <w:tc>
          <w:tcPr>
            <w:tcW w:w="20" w:type="dxa"/>
            <w:vAlign w:val="bottom"/>
            <w:tcBorders>
              <w:bottom w:val="single" w:sz="8" w:color="0000EE"/>
            </w:tcBorders>
          </w:tcPr>
          <w:p>
            <w:pPr>
              <w:spacing w:after="0"/>
              <w:rPr>
                <w:sz w:val="18"/>
                <w:szCs w:val="18"/>
                <w:color w:val="auto"/>
              </w:rPr>
            </w:pPr>
          </w:p>
        </w:tc>
        <w:tc>
          <w:tcPr>
            <w:tcW w:w="7000" w:type="dxa"/>
            <w:vAlign w:val="bottom"/>
            <w:gridSpan w:val="19"/>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Lease Agreement dated as of December 21, 1998 by and between Domino’s Farms Office Park Limited Partnership and Domino’s, Inc.</w:t>
              </w:r>
            </w:hyperlink>
          </w:p>
        </w:tc>
        <w:tc>
          <w:tcPr>
            <w:tcW w:w="32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5"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(Incorporated by reference to Exhibit 10.3 to the Domino’s, Inc. registration statement on Form S-4 filed on March 22, 1999 (Reg. No. 333-</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347">
              <w:r>
                <w:rPr>
                  <w:rFonts w:ascii="Times New Roman" w:cs="Times New Roman" w:eastAsia="Times New Roman" w:hAnsi="Times New Roman"/>
                  <w:sz w:val="18"/>
                  <w:szCs w:val="18"/>
                  <w:color w:val="0000FF"/>
                  <w:w w:val="97"/>
                </w:rPr>
                <w:t>74797)</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20" w:type="dxa"/>
            <w:vAlign w:val="bottom"/>
            <w:tcBorders>
              <w:top w:val="single" w:sz="8" w:color="0000FF"/>
              <w:bottom w:val="single" w:sz="8" w:color="0000EE"/>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6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Fourth Amendment to the Lease Agreement between Domino’s Farms Office Park, L.L.C. and Domino’s Pizza LLC, dated as of August 28,</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2012 (Incorporated by reference to Exhibit 10.2 to the registrant’s annual report on Form 10-K for the year ended December 30, 2012 (the</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48">
              <w:r>
                <w:rPr>
                  <w:rFonts w:ascii="Times New Roman" w:cs="Times New Roman" w:eastAsia="Times New Roman" w:hAnsi="Times New Roman"/>
                  <w:sz w:val="18"/>
                  <w:szCs w:val="18"/>
                  <w:color w:val="0000FF"/>
                  <w:w w:val="98"/>
                </w:rPr>
                <w:t>“2012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22"/>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Fifth Amendment to a Lease Agreement between Domino’s Farms Office Park, L.L.C. and Domino’s Pizza LLC, dated as of February 1,</w:t>
              </w:r>
            </w:hyperlink>
          </w:p>
        </w:tc>
        <w:tc>
          <w:tcPr>
            <w:tcW w:w="200" w:type="dxa"/>
            <w:vAlign w:val="bottom"/>
            <w:gridSpan w:val="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2015 (Incorporated by reference to Exhibit 10.3 to the registrant’s annual report on Form 10-K for the year ended January 1, 2017 (the</w:t>
              </w:r>
            </w:hyperlink>
          </w:p>
        </w:tc>
        <w:tc>
          <w:tcPr>
            <w:tcW w:w="40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“2016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22"/>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Sixth Amendment to a Lease Agreement between Domino’s Farms Office Park, L.L.C. and Domino’s Pizza LLC, dated as of February 1,</w:t>
              </w:r>
            </w:hyperlink>
          </w:p>
        </w:tc>
        <w:tc>
          <w:tcPr>
            <w:tcW w:w="18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2015 (Incorporated by reference to Exhibit 10.4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6"/>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Seventh Amendment to a Lease Agreement between Domino’s Farms Office Park, L.L.C. and Domino’s Pizza LLC, dated as of April 19,</w:t>
              </w:r>
            </w:hyperlink>
          </w:p>
        </w:tc>
        <w:tc>
          <w:tcPr>
            <w:tcW w:w="16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2016 (Incorporated by reference to Exhibit 10.5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6"/>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Eighth Amendment to a Lease Agreement between Domino’s Farms Office Park, L.L.C. and Domino’s Pizza LLC, dated as of November</w:t>
              </w:r>
            </w:hyperlink>
          </w:p>
        </w:tc>
        <w:tc>
          <w:tcPr>
            <w:tcW w:w="14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4, 2016 (Incorporated by reference to Exhibit 10.6 to the 2016 10-K).</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14"/>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Ninth Amendment to a Lease Agreement between Domino’s Farms Office Park, L.L.C. and Domino’s Pizza LLC, dated as of February 16,</w:t>
              </w:r>
            </w:hyperlink>
          </w:p>
        </w:tc>
        <w:tc>
          <w:tcPr>
            <w:tcW w:w="6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2017 (Incorporated by reference to Exhibit 10.7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6"/>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Tenth Amendment to a Lease Agreement between Domino’s Farms Office Park, L.L.C. and Domino’s Pizza LLC, dated as of November 7,</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2017 (Incorporated by reference to Exhibit 10.8 to the registrant’s annual report on Form 10-K for the year ended December 31, 2017 (the</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54">
              <w:r>
                <w:rPr>
                  <w:rFonts w:ascii="Times New Roman" w:cs="Times New Roman" w:eastAsia="Times New Roman" w:hAnsi="Times New Roman"/>
                  <w:sz w:val="18"/>
                  <w:szCs w:val="18"/>
                  <w:color w:val="0000FF"/>
                  <w:w w:val="98"/>
                </w:rPr>
                <w:t>“2017 10-K”)).</w:t>
              </w:r>
            </w:hyperlink>
          </w:p>
        </w:tc>
        <w:tc>
          <w:tcPr>
            <w:tcW w:w="9000" w:type="dxa"/>
            <w:vAlign w:val="bottom"/>
            <w:gridSpan w:val="23"/>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4820" w:type="dxa"/>
            <w:vAlign w:val="bottom"/>
            <w:gridSpan w:val="9"/>
          </w:tcPr>
          <w:p>
            <w:pPr>
              <w:ind w:left="44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9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Eleventh Amendment to a Lease Agreement between Domino’s Farms Office Park, L.L.C. and Domino’s Pizza LLC, dated as of July 13,</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2018 (Incorporated by reference to Exhibit 10.1 to the registrant’s quarterly report on Form 10-Q for the quarter ended September 9, 2018</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(the “September 2018 10-Q”)).</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31"/>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Twelfth Amendment to a Lease Agreement between Domino’s Farms Office Park, L.L.C. and Domino’s Pizza LLC, dated as of July 13,</w:t>
              </w:r>
            </w:hyperlink>
          </w:p>
        </w:tc>
        <w:tc>
          <w:tcPr>
            <w:tcW w:w="26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2018 (Incorporated by reference to Exhibit 10.2 to the September 2018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Thirteenth Amendment to a Lease Agreement between Domino’s Farms Office Park, L.L.C. and Domino’s Pizza LLC, dated as of May 14,</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2019 (Incorporated by reference to Exhibit 10.1 to the registrant's quarterly report on Form 10-Q for the quarter ended June 16, 2019 (the</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359">
              <w:r>
                <w:rPr>
                  <w:rFonts w:ascii="Times New Roman" w:cs="Times New Roman" w:eastAsia="Times New Roman" w:hAnsi="Times New Roman"/>
                  <w:sz w:val="18"/>
                  <w:szCs w:val="18"/>
                  <w:color w:val="0000FF"/>
                  <w:w w:val="98"/>
                </w:rPr>
                <w:t>“June 2019 10-Q”)).</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33"/>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Fourteenth Amendment to a Lease Agreement between Domino’s Farms Office Park, L.L.C. and Domino’s Pizza LLC, dated as of May 31,</w:t>
              </w:r>
            </w:hyperlink>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2019 (Incorporated by reference to Exhibit 10.1 to the June 2019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Fifteenth Amendment to a Lease Agreement between Domino’s Farms Office Park, L.L.C. and Domino’s Pizza LLC, dated as of July 21,</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2021 (Incorporated by reference to Exhibit 10.13 to the registrant's annual report on Form 10-K for the year ended January 2, 2022 (the</w:t>
              </w:r>
            </w:hyperlink>
          </w:p>
        </w:tc>
        <w:tc>
          <w:tcPr>
            <w:tcW w:w="3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8"/>
              </w:rPr>
            </w:pPr>
            <w:hyperlink r:id="rId361">
              <w:r>
                <w:rPr>
                  <w:rFonts w:ascii="Times New Roman" w:cs="Times New Roman" w:eastAsia="Times New Roman" w:hAnsi="Times New Roman"/>
                  <w:sz w:val="18"/>
                  <w:szCs w:val="18"/>
                  <w:color w:val="0000FF"/>
                  <w:w w:val="98"/>
                </w:rPr>
                <w:t>“2021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3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Sixteenth Amendment to a Lease Agreement between Domino’s Farms Office Park, L.L.C. and Domino’s Pizza LLC, dated as of July 21,</w:t>
              </w:r>
            </w:hyperlink>
          </w:p>
        </w:tc>
        <w:tc>
          <w:tcPr>
            <w:tcW w:w="14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2021 (Incorporated by reference to Exhibit 10.14 to the 2021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6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Third Amendment to the Domino’s Pizza Deferred Compensation Plan effective as of October 11, 2022 (Incorporated by reference to</w:t>
              </w:r>
            </w:hyperlink>
          </w:p>
        </w:tc>
        <w:tc>
          <w:tcPr>
            <w:tcW w:w="44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740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Exhibit 10.18 to the registrant's annual report on Form 10-K for the fiscal year ended January 1, 2023).</w:t>
              </w:r>
            </w:hyperlink>
          </w:p>
        </w:tc>
        <w:tc>
          <w:tcPr>
            <w:tcW w:w="20" w:type="dxa"/>
            <w:vAlign w:val="bottom"/>
            <w:tcBorders>
              <w:bottom w:val="single" w:sz="8" w:color="0000EE"/>
            </w:tcBorders>
          </w:tcPr>
          <w:p>
            <w:pPr>
              <w:spacing w:after="0"/>
              <w:rPr>
                <w:sz w:val="17"/>
                <w:szCs w:val="17"/>
                <w:color w:val="auto"/>
              </w:rPr>
            </w:pPr>
          </w:p>
        </w:tc>
        <w:tc>
          <w:tcPr>
            <w:tcW w:w="2680" w:type="dxa"/>
            <w:vAlign w:val="bottom"/>
            <w:gridSpan w:val="20"/>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Amended Domino’s Pizza, Inc. 2004 Equity Incentive Plan (Incorporated by reference to Exhibit 10.1 to the registrant’s quarterly report on</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Form 10-Q for the quarter ended March 22, 2009 (the “March 2009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Form of Employee Stock Option Agreement under the Amended Domino’s Pizza, Inc. 2004 Equity Incentive Plan (Incorporated by</w:t>
              </w:r>
            </w:hyperlink>
          </w:p>
        </w:tc>
        <w:tc>
          <w:tcPr>
            <w:tcW w:w="58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16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reference to Exhibit 10.8 to the 2012 10-K).</w:t>
              </w:r>
            </w:hyperlink>
          </w:p>
        </w:tc>
        <w:tc>
          <w:tcPr>
            <w:tcW w:w="6940" w:type="dxa"/>
            <w:vAlign w:val="bottom"/>
            <w:gridSpan w:val="29"/>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2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Form of 2013 Special Employee Stock Option Agreement under the Amended Domino’s Pizza, Inc. 2004 Equity Incentive Plan</w:t>
              </w:r>
            </w:hyperlink>
          </w:p>
        </w:tc>
        <w:tc>
          <w:tcPr>
            <w:tcW w:w="860" w:type="dxa"/>
            <w:vAlign w:val="bottom"/>
            <w:gridSpan w:val="1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(Incorporated by reference to Exhibit 10.9 to the 2012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Form of Director Stock Option Agreement under the Amended Domino’s Pizza, Inc. 2004 Equity Incentive Plan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to Exhibit 10.3 to the March 2009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tcBorders>
              <w:right w:val="single" w:sz="8" w:color="0000EE"/>
            </w:tcBorders>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4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Form of Amendment to Existing Director Stock Option Grants (Incorporated by reference to Exhibit 10.5 to the March 2009 10-Q).</w:t>
              </w:r>
            </w:hyperlink>
          </w:p>
        </w:tc>
        <w:tc>
          <w:tcPr>
            <w:tcW w:w="620" w:type="dxa"/>
            <w:vAlign w:val="bottom"/>
            <w:gridSpan w:val="15"/>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6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Form of Performance-Based Restricted Stock Agreement (Incorporated by reference to Exhibit 10.12 to the 2012 10-K).</w:t>
              </w:r>
            </w:hyperlink>
          </w:p>
        </w:tc>
        <w:tc>
          <w:tcPr>
            <w:tcW w:w="20" w:type="dxa"/>
            <w:vAlign w:val="bottom"/>
            <w:tcBorders>
              <w:bottom w:val="single" w:sz="8" w:color="0000EE"/>
            </w:tcBorders>
          </w:tcPr>
          <w:p>
            <w:pPr>
              <w:spacing w:after="0"/>
              <w:rPr>
                <w:sz w:val="18"/>
                <w:szCs w:val="18"/>
                <w:color w:val="auto"/>
              </w:rPr>
            </w:pPr>
          </w:p>
        </w:tc>
        <w:tc>
          <w:tcPr>
            <w:tcW w:w="1420" w:type="dxa"/>
            <w:vAlign w:val="bottom"/>
            <w:gridSpan w:val="18"/>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6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Form of 2013 Special Performance-Based Restricted Stock Agreement (Incorporated by reference to Exhibit 10.13 to the 2012 10-K).</w:t>
              </w:r>
            </w:hyperlink>
          </w:p>
        </w:tc>
        <w:tc>
          <w:tcPr>
            <w:tcW w:w="460" w:type="dxa"/>
            <w:vAlign w:val="bottom"/>
            <w:gridSpan w:val="12"/>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40"/>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Form of Performance-Based Restricted Stock Unit Award Agreement (Incorporated by reference to Exhibit 10.14 to the 2012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9"/>
            <w:shd w:val="clear" w:color="auto" w:fill="0000FF"/>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Form of 2013 Special Performance-Based Restricted Stock Unit Award Agreement (Incorporated by reference to Exhibit 10.15 to the 2012</w:t>
              </w:r>
            </w:hyperlink>
          </w:p>
        </w:tc>
        <w:tc>
          <w:tcPr>
            <w:tcW w:w="6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6"/>
              </w:rPr>
            </w:pPr>
            <w:hyperlink r:id="rId372">
              <w:r>
                <w:rPr>
                  <w:rFonts w:ascii="Times New Roman" w:cs="Times New Roman" w:eastAsia="Times New Roman" w:hAnsi="Times New Roman"/>
                  <w:sz w:val="18"/>
                  <w:szCs w:val="18"/>
                  <w:color w:val="0000FF"/>
                  <w:w w:val="96"/>
                </w:rPr>
                <w:t>10-K).</w:t>
              </w:r>
            </w:hyperlink>
          </w:p>
        </w:tc>
        <w:tc>
          <w:tcPr>
            <w:tcW w:w="20" w:type="dxa"/>
            <w:vAlign w:val="bottom"/>
            <w:tcBorders>
              <w:bottom w:val="single" w:sz="8" w:color="0000EE"/>
            </w:tcBorders>
          </w:tcPr>
          <w:p>
            <w:pPr>
              <w:spacing w:after="0"/>
              <w:rPr>
                <w:sz w:val="17"/>
                <w:szCs w:val="17"/>
                <w:color w:val="auto"/>
              </w:rPr>
            </w:pPr>
          </w:p>
        </w:tc>
        <w:tc>
          <w:tcPr>
            <w:tcW w:w="9600" w:type="dxa"/>
            <w:vAlign w:val="bottom"/>
            <w:gridSpan w:val="38"/>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9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Form of Domino’s Pizza, Inc. 2004 Equity Incentive Plan Restricted Stock Agreement for Directors (Incorporated by reference to Exhibit</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FF"/>
                </w:rPr>
                <w:t xml:space="preserve"> to the registrant’s annual report on Form 10-K for the year ended January 3, 2010).</w:t>
              </w:r>
            </w:hyperlink>
          </w:p>
        </w:tc>
      </w:tr>
      <w:tr>
        <w:trPr>
          <w:trHeight w:val="20"/>
        </w:trPr>
        <w:tc>
          <w:tcPr>
            <w:tcW w:w="11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0" w:type="dxa"/>
            <w:vAlign w:val="bottom"/>
            <w:tcBorders>
              <w:right w:val="single" w:sz="8" w:color="0000FF"/>
            </w:tcBorders>
            <w:gridSpan w:val="9"/>
            <w:shd w:val="clear" w:color="auto" w:fill="0000FF"/>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Amended and Restated Domino’s Pizza Senior Executive Annual Incentive Plan (Incorporated by reference to Exhibit 10.20 to the</w:t>
              </w:r>
            </w:hyperlink>
          </w:p>
        </w:tc>
        <w:tc>
          <w:tcPr>
            <w:tcW w:w="660" w:type="dxa"/>
            <w:vAlign w:val="bottom"/>
            <w:gridSpan w:val="1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registrant’s annual report on Form 10-K for the year ended January 2, 2011).</w:t>
              </w:r>
            </w:hyperlink>
          </w:p>
        </w:tc>
      </w:tr>
      <w:tr>
        <w:trPr>
          <w:trHeight w:val="20"/>
        </w:trPr>
        <w:tc>
          <w:tcPr>
            <w:tcW w:w="11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0" w:type="dxa"/>
            <w:vAlign w:val="bottom"/>
            <w:tcBorders>
              <w:right w:val="single" w:sz="8" w:color="0000FF"/>
            </w:tcBorders>
            <w:gridSpan w:val="9"/>
            <w:shd w:val="clear" w:color="auto" w:fill="0000FF"/>
          </w:tcPr>
          <w:p>
            <w:pPr>
              <w:spacing w:after="0" w:line="20" w:lineRule="exact"/>
              <w:rPr>
                <w:sz w:val="1"/>
                <w:szCs w:val="1"/>
                <w:color w:val="auto"/>
              </w:rPr>
            </w:pPr>
          </w:p>
        </w:tc>
        <w:tc>
          <w:tcPr>
            <w:tcW w:w="2300" w:type="dxa"/>
            <w:vAlign w:val="bottom"/>
            <w:tcBorders>
              <w:right w:val="single" w:sz="8" w:color="0000EE"/>
            </w:tcBorders>
            <w:gridSpan w:val="4"/>
            <w:shd w:val="clear" w:color="auto" w:fill="0000FF"/>
          </w:tcPr>
          <w:p>
            <w:pPr>
              <w:spacing w:after="0" w:line="20" w:lineRule="exact"/>
              <w:rPr>
                <w:sz w:val="1"/>
                <w:szCs w:val="1"/>
                <w:color w:val="auto"/>
              </w:rPr>
            </w:pPr>
          </w:p>
        </w:tc>
        <w:tc>
          <w:tcPr>
            <w:tcW w:w="41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6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Amended and Restated Domino’s Pizza, Inc. Employee Stock Payroll Deduction Plan dated as of February 21, 2023 (Incorporated by</w:t>
              </w:r>
            </w:hyperlink>
          </w:p>
        </w:tc>
        <w:tc>
          <w:tcPr>
            <w:tcW w:w="44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reference to Exhibit 10.1 to the registrant’s quarterly report on Form 10-Q for the quarter ended March 26, 2023 (the "March 2023 10-Q")).</w:t>
              </w:r>
            </w:hyperlink>
          </w:p>
        </w:tc>
      </w:tr>
      <w:tr>
        <w:trPr>
          <w:trHeight w:val="20"/>
        </w:trPr>
        <w:tc>
          <w:tcPr>
            <w:tcW w:w="11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0" w:type="dxa"/>
            <w:vAlign w:val="bottom"/>
            <w:tcBorders>
              <w:right w:val="single" w:sz="8" w:color="0000FF"/>
            </w:tcBorders>
            <w:gridSpan w:val="9"/>
            <w:shd w:val="clear" w:color="auto" w:fill="0000FF"/>
          </w:tcPr>
          <w:p>
            <w:pPr>
              <w:spacing w:after="0" w:line="20" w:lineRule="exact"/>
              <w:rPr>
                <w:sz w:val="1"/>
                <w:szCs w:val="1"/>
                <w:color w:val="auto"/>
              </w:rPr>
            </w:pPr>
          </w:p>
        </w:tc>
        <w:tc>
          <w:tcPr>
            <w:tcW w:w="6520" w:type="dxa"/>
            <w:vAlign w:val="bottom"/>
            <w:gridSpan w:val="18"/>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Form of Domino’s Pizza, Inc. Dividend Reinvestment &amp; Direct Stock Purchase and Sale Plan (Incorporated by reference to Exhibit 10.32 to</w:t>
              </w:r>
            </w:hyperlink>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6"/>
              </w:rPr>
            </w:pPr>
            <w:hyperlink r:id="rId376">
              <w:r>
                <w:rPr>
                  <w:rFonts w:ascii="Times New Roman" w:cs="Times New Roman" w:eastAsia="Times New Roman" w:hAnsi="Times New Roman"/>
                  <w:sz w:val="18"/>
                  <w:szCs w:val="18"/>
                  <w:color w:val="0000FF"/>
                  <w:w w:val="96"/>
                </w:rPr>
                <w:t>the S-1).</w:t>
              </w:r>
            </w:hyperlink>
          </w:p>
        </w:tc>
        <w:tc>
          <w:tcPr>
            <w:tcW w:w="9480" w:type="dxa"/>
            <w:vAlign w:val="bottom"/>
            <w:gridSpan w:val="37"/>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Form of 2018 Restricted Stock Agreement (Incorporated by reference to Exhibit 10.4 to the registrant’s current report on Form 8-K filed on</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January 11, 2018 (the “January 2018 8-K”)).</w:t>
              </w:r>
            </w:hyperlink>
          </w:p>
        </w:tc>
      </w:tr>
      <w:tr>
        <w:trPr>
          <w:trHeight w:val="20"/>
        </w:trPr>
        <w:tc>
          <w:tcPr>
            <w:tcW w:w="1140" w:type="dxa"/>
            <w:vAlign w:val="bottom"/>
          </w:tcPr>
          <w:p>
            <w:pPr>
              <w:spacing w:after="0" w:line="20" w:lineRule="exact"/>
              <w:rPr>
                <w:sz w:val="1"/>
                <w:szCs w:val="1"/>
                <w:color w:val="auto"/>
              </w:rPr>
            </w:pPr>
          </w:p>
        </w:tc>
        <w:tc>
          <w:tcPr>
            <w:tcW w:w="3220" w:type="dxa"/>
            <w:vAlign w:val="bottom"/>
            <w:tcBorders>
              <w:right w:val="single" w:sz="8" w:color="0000EE"/>
            </w:tcBorders>
            <w:gridSpan w:val="12"/>
            <w:shd w:val="clear" w:color="auto" w:fill="0000FF"/>
          </w:tcPr>
          <w:p>
            <w:pPr>
              <w:spacing w:after="0" w:line="20" w:lineRule="exact"/>
              <w:rPr>
                <w:sz w:val="1"/>
                <w:szCs w:val="1"/>
                <w:color w:val="auto"/>
              </w:rPr>
            </w:pPr>
          </w:p>
        </w:tc>
        <w:tc>
          <w:tcPr>
            <w:tcW w:w="6520" w:type="dxa"/>
            <w:vAlign w:val="bottom"/>
            <w:gridSpan w:val="1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Form of 2021 Employee Stock Option Agreement under the Amended Domino’s Pizza, Inc. 2004 Equity Incentive Plan (Incorporated by</w:t>
              </w:r>
            </w:hyperlink>
          </w:p>
        </w:tc>
        <w:tc>
          <w:tcPr>
            <w:tcW w:w="18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reference to Exhibit 10.1 to the registrant's quarterly report on Form 10-Q for the quarter ended June 20, 2021 (the “June 2021 10-Q”)).</w:t>
              </w:r>
            </w:hyperlink>
          </w:p>
        </w:tc>
      </w:tr>
      <w:tr>
        <w:trPr>
          <w:trHeight w:val="250"/>
        </w:trPr>
        <w:tc>
          <w:tcPr>
            <w:tcW w:w="1140" w:type="dxa"/>
            <w:vAlign w:val="bottom"/>
          </w:tcPr>
          <w:p>
            <w:pPr>
              <w:spacing w:after="0"/>
              <w:rPr>
                <w:sz w:val="21"/>
                <w:szCs w:val="21"/>
                <w:color w:val="auto"/>
              </w:rPr>
            </w:pPr>
          </w:p>
        </w:tc>
        <w:tc>
          <w:tcPr>
            <w:tcW w:w="4920" w:type="dxa"/>
            <w:vAlign w:val="bottom"/>
            <w:tcBorders>
              <w:top w:val="single" w:sz="8" w:color="0000FF"/>
            </w:tcBorders>
            <w:gridSpan w:val="14"/>
          </w:tcPr>
          <w:p>
            <w:pPr>
              <w:ind w:left="440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9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10.31*</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Form of Performance-Based Restricted Stock Unit Award Agreement under the Amended Domino’s Pizza, Inc. 2004 Equity Incentive Plan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by reference to Exhibit 10.2 to the June 2021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10.32*</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Form of Restricted Stock Unit Award Agreement (three-year vesting) under the Amended Domino’s Pizza, Inc. 2004 Equity Incentive Plan</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(Incorporated by reference to Exhibit 10.3 to the June 2021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10.33*</w:t>
            </w:r>
          </w:p>
        </w:tc>
        <w:tc>
          <w:tcPr>
            <w:tcW w:w="100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Form of Restricted Stock Unit Award Agreement (two vesting dates) under the Amended Domino’s Pizza, Inc. 2004 Equity Incentive Plan</w:t>
              </w:r>
            </w:hyperlink>
          </w:p>
        </w:tc>
        <w:tc>
          <w:tcPr>
            <w:tcW w:w="8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(Incorporated by reference to Exhibit 10.1 to the registrant's quarterly report on Form 10-Q for the quarter ended September 12, 2021).</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10.34*</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Form of Restricted Stock Unit Award Agreement (three vesting dates) under the Amended Domino’s Pizza, Inc. 2004 Equity Incentive Plan</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(Incorporated by reference to Exhibit 10.6 to the registrant's quarterly report on Form 10-Q for the quarter ended March 27, 2022 (the</w:t>
              </w:r>
            </w:hyperlink>
          </w:p>
        </w:tc>
        <w:tc>
          <w:tcPr>
            <w:tcW w:w="4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2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“March 2022 10-Q”)).</w:t>
              </w:r>
            </w:hyperlink>
          </w:p>
        </w:tc>
        <w:tc>
          <w:tcPr>
            <w:tcW w:w="20" w:type="dxa"/>
            <w:vAlign w:val="bottom"/>
            <w:tcBorders>
              <w:bottom w:val="single" w:sz="8" w:color="0000EE"/>
            </w:tcBorders>
          </w:tcPr>
          <w:p>
            <w:pPr>
              <w:spacing w:after="0"/>
              <w:rPr>
                <w:sz w:val="17"/>
                <w:szCs w:val="17"/>
                <w:color w:val="auto"/>
              </w:rPr>
            </w:pPr>
          </w:p>
        </w:tc>
        <w:tc>
          <w:tcPr>
            <w:tcW w:w="8460" w:type="dxa"/>
            <w:vAlign w:val="bottom"/>
            <w:gridSpan w:val="31"/>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10.35*</w:t>
            </w: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Form of Restricted Stock Unit Award Agreement (two-year vesting with acceleration events) under the Amended Domino’s Pizza, Inc.</w:t>
              </w:r>
            </w:hyperlink>
          </w:p>
        </w:tc>
        <w:tc>
          <w:tcPr>
            <w:tcW w:w="36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2004 Equity Incentive Plan (Incorporated by reference to Exhibit 10.1 to the registrant's quarterly report on Form 10-Q for the quarter</w:t>
              </w:r>
            </w:hyperlink>
          </w:p>
        </w:tc>
        <w:tc>
          <w:tcPr>
            <w:tcW w:w="4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ended June 19, 2022 (the “June 2022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10.36*</w:t>
            </w:r>
          </w:p>
        </w:tc>
        <w:tc>
          <w:tcPr>
            <w:tcW w:w="9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Form of Restricted Stock Unit Award Agreement (three-year vesting with acceleration events) under the Amended Domino’s Pizza, Inc.</w:t>
              </w:r>
            </w:hyperlink>
          </w:p>
        </w:tc>
        <w:tc>
          <w:tcPr>
            <w:tcW w:w="26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2004 Equity Incentive Plan (Incorporated by reference to Exhibit 10.2 to the June 2022 8-K).</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17"/>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10.37*</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Form of 2023 Performance-Based Restricted Stock Unit Award Agreement under the Amended Domino’s Pizza, Inc. 2004 Equity Incentive</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Plan (Incorporated by reference to Exhibit 10.2 to the March 2023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10.38*</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Form of 2023 Restricted Stock Unit Award Agreement (three-year vesting) under the Amended Domino’s Pizza, Inc. 2004 Equity Incentive</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Plan (Incorporated by reference to Exhibit 10.3 to the March 2023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10.39*</w:t>
            </w:r>
          </w:p>
        </w:tc>
        <w:tc>
          <w:tcPr>
            <w:tcW w:w="9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Form of 2023 Employee Stock Option Agreement under the Amended Domino’s Pizza, Inc. 2004 Equity Incentive Plan (Incorporated by</w:t>
              </w:r>
            </w:hyperlink>
          </w:p>
        </w:tc>
        <w:tc>
          <w:tcPr>
            <w:tcW w:w="18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reference to Exhibit 10.4 to the March 2023 10-Q).</w:t>
              </w:r>
            </w:hyperlink>
          </w:p>
        </w:tc>
        <w:tc>
          <w:tcPr>
            <w:tcW w:w="20" w:type="dxa"/>
            <w:vAlign w:val="bottom"/>
            <w:tcBorders>
              <w:bottom w:val="single" w:sz="8" w:color="0000EE"/>
            </w:tcBorders>
          </w:tcPr>
          <w:p>
            <w:pPr>
              <w:spacing w:after="0"/>
              <w:rPr>
                <w:sz w:val="17"/>
                <w:szCs w:val="17"/>
                <w:color w:val="auto"/>
              </w:rPr>
            </w:pPr>
          </w:p>
        </w:tc>
        <w:tc>
          <w:tcPr>
            <w:tcW w:w="6400" w:type="dxa"/>
            <w:vAlign w:val="bottom"/>
            <w:gridSpan w:val="25"/>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10.40*</w:t>
            </w:r>
          </w:p>
        </w:tc>
        <w:tc>
          <w:tcPr>
            <w:tcW w:w="9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Form of 2023 Restricted Stock Unit Award Agreement (three vesting dates) under the Amended Domino’s Pizza, Inc. 2004 Equity</w:t>
              </w:r>
            </w:hyperlink>
          </w:p>
        </w:tc>
        <w:tc>
          <w:tcPr>
            <w:tcW w:w="660" w:type="dxa"/>
            <w:vAlign w:val="bottom"/>
            <w:gridSpan w:val="1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00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Incentive Plan (Incorporated by reference to Exhibit 10.5 to the March 2023 10-Q).</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20"/>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10.41*</w:t>
            </w:r>
          </w:p>
        </w:tc>
        <w:tc>
          <w:tcPr>
            <w:tcW w:w="100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Form of 2023 Restricted Stock Unit Award Agreement (two vesting dates) under the Amended Domino’s Pizza, Inc. 2004 Equity Incentive</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Plan (Incorporated by reference to Exhibit 10.6 to the March 2023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10.42*</w:t>
            </w:r>
          </w:p>
        </w:tc>
        <w:tc>
          <w:tcPr>
            <w:tcW w:w="9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Form of 2023 Restricted Stock Unit Award Agreement for Directors under the Amended Domino’s Pizza, Inc. 2004 Equity Incentive Plan</w:t>
              </w:r>
            </w:hyperlink>
          </w:p>
        </w:tc>
        <w:tc>
          <w:tcPr>
            <w:tcW w:w="12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(Incorporated by reference to Exhibit 10.7 to the March 2023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10.43*</w:t>
            </w:r>
          </w:p>
        </w:tc>
        <w:tc>
          <w:tcPr>
            <w:tcW w:w="9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Amended and Restated Employment Agreement dated as of February 24, 2022 between Domino’s Pizza, Inc., Domino’s Pizza LLC and</w:t>
              </w:r>
            </w:hyperlink>
          </w:p>
        </w:tc>
        <w:tc>
          <w:tcPr>
            <w:tcW w:w="26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Russell J. Weiner (Incorporated by reference to Exhibit 10.1 to the registrant’s current report on Form 8-K filed on March 1, 2022 (the</w:t>
              </w:r>
            </w:hyperlink>
          </w:p>
        </w:tc>
        <w:tc>
          <w:tcPr>
            <w:tcW w:w="4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“March 2022 8-K”)).</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10.44*</w:t>
            </w:r>
          </w:p>
        </w:tc>
        <w:tc>
          <w:tcPr>
            <w:tcW w:w="96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Time Sharing Agreement dated as of February 24, 2022 by and between Domino’s Pizza LLC and Russell J. Weiner (Incorporated by</w:t>
              </w:r>
            </w:hyperlink>
          </w:p>
        </w:tc>
        <w:tc>
          <w:tcPr>
            <w:tcW w:w="460" w:type="dxa"/>
            <w:vAlign w:val="bottom"/>
            <w:gridSpan w:val="1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reference to Exhibit 10.2 to the March 2022 8-K).</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10.45*</w:t>
            </w:r>
          </w:p>
        </w:tc>
        <w:tc>
          <w:tcPr>
            <w:tcW w:w="9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Employment Agreement dated as of February 25, 2022 by and between Domino’s Pizza LLC and Sandeep Reddy (Incorporated by</w:t>
              </w:r>
            </w:hyperlink>
          </w:p>
        </w:tc>
        <w:tc>
          <w:tcPr>
            <w:tcW w:w="62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reference to Exhibit 10.3 to the March 2022 8-K).</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EE"/>
            </w:tcBorders>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10.46*</w:t>
            </w:r>
          </w:p>
        </w:tc>
        <w:tc>
          <w:tcPr>
            <w:tcW w:w="10100" w:type="dxa"/>
            <w:vAlign w:val="bottom"/>
            <w:gridSpan w:val="34"/>
          </w:tcPr>
          <w:p>
            <w:pPr>
              <w:spacing w:after="0"/>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Employment Agreement dated as of March 14, 2011 between Domino’s Pizza LLC and Richard E. Allison, Jr. (Incorporated by reference to</w:t>
              </w:r>
            </w:hyperlink>
          </w:p>
        </w:tc>
      </w:tr>
      <w:tr>
        <w:trPr>
          <w:trHeight w:val="196"/>
        </w:trPr>
        <w:tc>
          <w:tcPr>
            <w:tcW w:w="114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Exhibit 10.1 to the registrant’s quarterly report on Form 10-Q for the quarter ended March 27, 2011).</w:t>
              </w:r>
            </w:hyperlink>
          </w:p>
        </w:tc>
        <w:tc>
          <w:tcPr>
            <w:tcW w:w="282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10.47*</w:t>
            </w:r>
          </w:p>
        </w:tc>
        <w:tc>
          <w:tcPr>
            <w:tcW w:w="9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Employment Agreement dated as of January 8, 2018 between Domino’s Pizza, Inc., Domino’s Pizza LLC and Richard E. Allison, Jr.</w:t>
              </w:r>
            </w:hyperlink>
          </w:p>
        </w:tc>
        <w:tc>
          <w:tcPr>
            <w:tcW w:w="52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(Incorporated by reference to Exhibit 10.1 to the January 2018 8-K).</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6"/>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10.48*</w:t>
            </w:r>
          </w:p>
        </w:tc>
        <w:tc>
          <w:tcPr>
            <w:tcW w:w="100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Time Sharing Agreement dated as of January 8, 2018 between Domino’s Pizza LLC and Richard E. Allison, Jr. (Incorporated by reference</w:t>
              </w:r>
            </w:hyperlink>
          </w:p>
        </w:tc>
        <w:tc>
          <w:tcPr>
            <w:tcW w:w="10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to Exhibit 10.3 to the January 2018 8-K).</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10.49*</w:t>
            </w:r>
          </w:p>
        </w:tc>
        <w:tc>
          <w:tcPr>
            <w:tcW w:w="9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Addendum to Employment Agreement effective as of February 24, 2022 by and among Domino’s Pizza, Inc., Domino’s Pizza LLC and</w:t>
              </w:r>
            </w:hyperlink>
          </w:p>
        </w:tc>
        <w:tc>
          <w:tcPr>
            <w:tcW w:w="300" w:type="dxa"/>
            <w:vAlign w:val="bottom"/>
            <w:gridSpan w:val="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Richard E. Allison, Jr. (Incorporated by reference to Exhibit 10.5 to the March 2022 10-Q).</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780" w:type="dxa"/>
            <w:vAlign w:val="bottom"/>
            <w:tcBorders>
              <w:right w:val="single" w:sz="8" w:color="0000EE"/>
            </w:tcBorders>
            <w:gridSpan w:val="11"/>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10.50*</w:t>
            </w: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Addendum to Amended and Restated Employment Agreement dated as of June 22, 2018 between Domino’s Pizza LLC and David A.</w:t>
              </w:r>
            </w:hyperlink>
          </w:p>
        </w:tc>
        <w:tc>
          <w:tcPr>
            <w:tcW w:w="40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Brandon (Incorporated by reference to Exhibit 10.1 to the registrant’s quarterly report on Form 10-Q for the quarter ended June 17, 2018</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8"/>
              </w:rPr>
            </w:pPr>
            <w:hyperlink r:id="rId400">
              <w:r>
                <w:rPr>
                  <w:rFonts w:ascii="Times New Roman" w:cs="Times New Roman" w:eastAsia="Times New Roman" w:hAnsi="Times New Roman"/>
                  <w:sz w:val="18"/>
                  <w:szCs w:val="18"/>
                  <w:color w:val="0000FF"/>
                  <w:w w:val="98"/>
                </w:rPr>
                <w:t>(the “June 2018 10-Q”)).</w:t>
              </w:r>
            </w:hyperlink>
          </w:p>
        </w:tc>
        <w:tc>
          <w:tcPr>
            <w:tcW w:w="8300" w:type="dxa"/>
            <w:vAlign w:val="bottom"/>
            <w:gridSpan w:val="30"/>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4800" w:type="dxa"/>
            <w:vAlign w:val="bottom"/>
            <w:gridSpan w:val="10"/>
          </w:tcPr>
          <w:p>
            <w:pPr>
              <w:ind w:left="44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99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Second Addendum to Amended and Restated Employment Agreement dated as of December 29, 2018 between Domino’s Pizza LLC and</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David A. Brandon (Incorporated by reference to Exhibit 10.39 to the registrant’s annual report on Form 10-K for the year ended December</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30, 2018 (the “December 2018 10-K”)).</w:t>
              </w:r>
            </w:hyperlink>
          </w:p>
        </w:tc>
        <w:tc>
          <w:tcPr>
            <w:tcW w:w="20" w:type="dxa"/>
            <w:vAlign w:val="bottom"/>
            <w:tcBorders>
              <w:bottom w:val="single" w:sz="8" w:color="0000EE"/>
            </w:tcBorders>
          </w:tcPr>
          <w:p>
            <w:pPr>
              <w:spacing w:after="0"/>
              <w:rPr>
                <w:sz w:val="17"/>
                <w:szCs w:val="17"/>
                <w:color w:val="auto"/>
              </w:rPr>
            </w:pPr>
          </w:p>
        </w:tc>
        <w:tc>
          <w:tcPr>
            <w:tcW w:w="7200" w:type="dxa"/>
            <w:vAlign w:val="bottom"/>
            <w:gridSpan w:val="31"/>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00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404">
              <w:r>
                <w:rPr>
                  <w:rFonts w:ascii="Times New Roman" w:cs="Times New Roman" w:eastAsia="Times New Roman" w:hAnsi="Times New Roman"/>
                  <w:sz w:val="18"/>
                  <w:szCs w:val="18"/>
                  <w:color w:val="0000FF"/>
                  <w:w w:val="99"/>
                </w:rPr>
                <w:t>Third Addendum to Amended and Restated Employment Agreement dated as of January 30, 2020 between Domino’s Pizza LLC and David</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 Brandon (Incorporated by reference to Exhibit 10.1 to the registrant’s quarterly report on Form 10-Q for the quarter ended March 22,</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404">
              <w:r>
                <w:rPr>
                  <w:rFonts w:ascii="Times New Roman" w:cs="Times New Roman" w:eastAsia="Times New Roman" w:hAnsi="Times New Roman"/>
                  <w:sz w:val="18"/>
                  <w:szCs w:val="18"/>
                  <w:color w:val="0000FF"/>
                  <w:w w:val="94"/>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Amended and Restated Employment Agreement dated as of March 2, 2022 by and between Domino’s Pizza LLC and Joseph H. Jordan</w:t>
              </w:r>
            </w:hyperlink>
          </w:p>
        </w:tc>
        <w:tc>
          <w:tcPr>
            <w:tcW w:w="32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(Incorporated by reference to Exhibit 10.1 to the registrant’s current report on Form 8-K filed on March 4, 2022).</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010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Employment Agreement dated as of September 21, 2020 by and between Domino’s Pizza LLC and Kelly E. Garcia.</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8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Employment Agreement dated as of July 30, 2020 by and between Domino’s Pizza LLC and Arthur P. D'Elia</w:t>
            </w:r>
            <w:r>
              <w:rPr>
                <w:rFonts w:ascii="Times New Roman" w:cs="Times New Roman" w:eastAsia="Times New Roman" w:hAnsi="Times New Roman"/>
                <w:sz w:val="18"/>
                <w:szCs w:val="18"/>
                <w:color w:val="000000"/>
              </w:rPr>
              <w:t>.</w:t>
            </w:r>
          </w:p>
        </w:tc>
        <w:tc>
          <w:tcPr>
            <w:tcW w:w="1760" w:type="dxa"/>
            <w:vAlign w:val="bottom"/>
            <w:gridSpan w:val="22"/>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786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Form of Indemnification Agreement (Incorporated by reference to Exhibit 10.3 to the June 2022 10-Q).</w:t>
              </w:r>
            </w:hyperlink>
          </w:p>
        </w:tc>
        <w:tc>
          <w:tcPr>
            <w:tcW w:w="2240" w:type="dxa"/>
            <w:vAlign w:val="bottom"/>
            <w:gridSpan w:val="24"/>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97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Amended and Restated Base Indenture dated March 15, 2012 among Domino’s Pizza Master Issuer LLC, Domino’s Pizza Distribution</w:t>
              </w:r>
            </w:hyperlink>
          </w:p>
        </w:tc>
        <w:tc>
          <w:tcPr>
            <w:tcW w:w="36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LLC, Domino’s IP Holder LLC and Domino’s SPV Canadian Holding Company Inc., each as Co-Issuer, and Citibank, N.A., as Trustee and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Securities Intermediary (Incorporated by reference to Exhibit 4.1 to the registrant’s current report on Form 8-K filed on March 19, 2012 (the</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36"/>
          </w:tcPr>
          <w:p>
            <w:pPr>
              <w:spacing w:after="0" w:line="195"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“March 2012 8-K”)).</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99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First Supplement dated as of September 16, 2013 to the Amended and Restated Base Indenture dated as of March 15, 2012 (Incorporated</w:t>
              </w:r>
            </w:hyperlink>
          </w:p>
        </w:tc>
        <w:tc>
          <w:tcPr>
            <w:tcW w:w="18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by reference to Exhibit 4.1 to the registrant’s current report on Form 8-K filed on October 22, 2015 (the “October 2015 8-K”)).</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10100" w:type="dxa"/>
            <w:vAlign w:val="bottom"/>
            <w:gridSpan w:val="37"/>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Second Supplement dated as of October 21, 2015 to the Amended and Restated Base Indenture dated as of March 15, 2012 (Incorporated</w:t>
              </w:r>
            </w:hyperlink>
          </w:p>
        </w:tc>
      </w:tr>
      <w:tr>
        <w:trPr>
          <w:trHeight w:val="196"/>
        </w:trPr>
        <w:tc>
          <w:tcPr>
            <w:tcW w:w="1140" w:type="dxa"/>
            <w:vAlign w:val="bottom"/>
          </w:tcPr>
          <w:p>
            <w:pPr>
              <w:spacing w:after="0"/>
              <w:rPr>
                <w:sz w:val="17"/>
                <w:szCs w:val="17"/>
                <w:color w:val="auto"/>
              </w:rPr>
            </w:pPr>
          </w:p>
        </w:tc>
        <w:tc>
          <w:tcPr>
            <w:tcW w:w="8900" w:type="dxa"/>
            <w:vAlign w:val="bottom"/>
            <w:tcBorders>
              <w:top w:val="single" w:sz="8" w:color="0000EE"/>
            </w:tcBorders>
            <w:gridSpan w:val="19"/>
          </w:tcPr>
          <w:p>
            <w:pPr>
              <w:spacing w:after="0" w:line="195"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by reference to Exhibit 4.2 to the October 2015 8-K).</w:t>
              </w:r>
            </w:hyperlink>
          </w:p>
        </w:tc>
        <w:tc>
          <w:tcPr>
            <w:tcW w:w="1020" w:type="dxa"/>
            <w:vAlign w:val="bottom"/>
            <w:tcBorders>
              <w:top w:val="single" w:sz="8" w:color="0000FF"/>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10.60</w:t>
            </w:r>
          </w:p>
        </w:tc>
        <w:tc>
          <w:tcPr>
            <w:tcW w:w="10100" w:type="dxa"/>
            <w:vAlign w:val="bottom"/>
            <w:gridSpan w:val="37"/>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Third Supplement dated as of October 21, 2015 to the Amended and Restated Base Indenture dated as of March 15, 2012 (Incorporated by</w:t>
              </w:r>
            </w:hyperlink>
          </w:p>
        </w:tc>
      </w:tr>
      <w:tr>
        <w:trPr>
          <w:trHeight w:val="196"/>
        </w:trPr>
        <w:tc>
          <w:tcPr>
            <w:tcW w:w="1140" w:type="dxa"/>
            <w:vAlign w:val="bottom"/>
          </w:tcPr>
          <w:p>
            <w:pPr>
              <w:spacing w:after="0"/>
              <w:rPr>
                <w:sz w:val="17"/>
                <w:szCs w:val="17"/>
                <w:color w:val="auto"/>
              </w:rPr>
            </w:pPr>
          </w:p>
        </w:tc>
        <w:tc>
          <w:tcPr>
            <w:tcW w:w="8760" w:type="dxa"/>
            <w:vAlign w:val="bottom"/>
            <w:tcBorders>
              <w:top w:val="single" w:sz="8" w:color="0000EE"/>
            </w:tcBorders>
            <w:gridSpan w:val="18"/>
          </w:tcPr>
          <w:p>
            <w:pPr>
              <w:spacing w:after="0" w:line="195"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reference to Exhibit 4.3 to the October 2015 8-K).</w:t>
              </w:r>
            </w:hyperlink>
          </w:p>
        </w:tc>
        <w:tc>
          <w:tcPr>
            <w:tcW w:w="1260" w:type="dxa"/>
            <w:vAlign w:val="bottom"/>
            <w:tcBorders>
              <w:top w:val="single" w:sz="8" w:color="0000FF"/>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EE"/>
            </w:tcBorders>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9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Fourth Supplement dated as of July 24, 2017 to the Amended and Restated Base Indenture dated as of March 15, 2012 by and among</w:t>
              </w:r>
            </w:hyperlink>
          </w:p>
        </w:tc>
        <w:tc>
          <w:tcPr>
            <w:tcW w:w="46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Domino’s Pizza, Inc. Current Report on Form 8-K, filed on July 25, 2017 (the “July 2017 8-K”)).</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70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99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Fifth Supplement dated as of November 21, 2018 to the Amended and Restated Base Indenture dated as of March 15, 2012 by and among</w:t>
              </w:r>
            </w:hyperlink>
          </w:p>
        </w:tc>
        <w:tc>
          <w:tcPr>
            <w:tcW w:w="14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12">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412">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10.49 to</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the registrant’s annual report on Form 10-K for the year ended December 29, 2019).</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70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10.63</w:t>
            </w:r>
          </w:p>
        </w:tc>
        <w:tc>
          <w:tcPr>
            <w:tcW w:w="96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Sixth Supplement dated as of April 16, 2021 to the Amended and Restated Base Indenture dated as of March 15, 2012 by and among</w:t>
              </w:r>
            </w:hyperlink>
          </w:p>
        </w:tc>
        <w:tc>
          <w:tcPr>
            <w:tcW w:w="48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registrant’s Current Report on Form 8-K filed on April 20, 2021 (the “April 2021 8-K”)).</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060" w:type="dxa"/>
            <w:vAlign w:val="bottom"/>
            <w:tcBorders>
              <w:right w:val="single" w:sz="8" w:color="0000EE"/>
            </w:tcBorders>
            <w:gridSpan w:val="6"/>
            <w:shd w:val="clear" w:color="auto" w:fill="0000FF"/>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10.64</w:t>
            </w:r>
          </w:p>
        </w:tc>
        <w:tc>
          <w:tcPr>
            <w:tcW w:w="9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Seventh Supplement dated as of December 30, 2021 to the Amended and Restated Base Indenture dated as of March 15, 2012 by and</w:t>
              </w:r>
            </w:hyperlink>
          </w:p>
        </w:tc>
        <w:tc>
          <w:tcPr>
            <w:tcW w:w="46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among Domino’s Pizza Master Issuer LLC, Domino’s SPV Canadian Holding Company Inc., Domino’s Pizza Distribution LLC and</w:t>
              </w:r>
            </w:hyperlink>
          </w:p>
        </w:tc>
        <w:tc>
          <w:tcPr>
            <w:tcW w:w="54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8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Domino’s IP Holder LLC, each as Co-Issuer, and Citibank, N.A., as Trustee and Securities Intermediary (Incorporated by reference to</w:t>
              </w:r>
            </w:hyperlink>
          </w:p>
        </w:tc>
        <w:tc>
          <w:tcPr>
            <w:tcW w:w="4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Exhibit 10.62 to the 2021 10-K).</w:t>
              </w:r>
            </w:hyperlink>
          </w:p>
        </w:tc>
        <w:tc>
          <w:tcPr>
            <w:tcW w:w="7740" w:type="dxa"/>
            <w:vAlign w:val="bottom"/>
            <w:gridSpan w:val="33"/>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10.65</w:t>
            </w: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Series 2015-1 Supplement dated as of October 21, 2015 to the Amended and Restated Base Indenture dated March 15, 2012 among</w:t>
              </w:r>
            </w:hyperlink>
          </w:p>
        </w:tc>
        <w:tc>
          <w:tcPr>
            <w:tcW w:w="600" w:type="dxa"/>
            <w:vAlign w:val="bottom"/>
            <w:gridSpan w:val="1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Domino’s Pizza Master Issuer LLC, Domino’s Pizza Distribution LLC, Domino’s IP Holder LLC and Domino’s SPV Canadian Holding</w:t>
              </w:r>
            </w:hyperlink>
          </w:p>
        </w:tc>
        <w:tc>
          <w:tcPr>
            <w:tcW w:w="26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Company Inc., each as a Co-Issuer of the Series 2015-1 3.484% Fixed Rate Senior Secured Notes, Class A-2-I, the Series 2015-1 4.474%</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Fixed Rate Senior Secured Notes, Class A-2-II and the Series 2015-1 Variable Funding Senior Notes, Class A-1, and Citibank, N.A., as</w:t>
              </w:r>
            </w:hyperlink>
          </w:p>
        </w:tc>
        <w:tc>
          <w:tcPr>
            <w:tcW w:w="32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50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Trustee and Series 2015-1 Securities Intermediary (Incorporated by reference to Exhibit 4.4 to the October 2015 8-K).</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20"/>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99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Series 2017-1 Supplement dated as of July 24, 2017 by and among Domino’s Pizza Master Issuer LLC, Domino’s SPV Canadian Holding</w:t>
              </w:r>
            </w:hyperlink>
          </w:p>
        </w:tc>
        <w:tc>
          <w:tcPr>
            <w:tcW w:w="14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Company Inc., Domino’s Pizza Distribution LLC and Domino’s IP Holder LLC, each as Co-Issuer, and Citibank, N.A., as Trustee, Series</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2017-1 Securities Intermediary and Calculation Agent (Incorporated by reference to Exhibit 4.2 to the July 2017 8-K).</w:t>
              </w:r>
            </w:hyperlink>
          </w:p>
        </w:tc>
      </w:tr>
      <w:tr>
        <w:trPr>
          <w:trHeight w:val="250"/>
        </w:trPr>
        <w:tc>
          <w:tcPr>
            <w:tcW w:w="1140" w:type="dxa"/>
            <w:vAlign w:val="bottom"/>
          </w:tcPr>
          <w:p>
            <w:pPr>
              <w:spacing w:after="0"/>
              <w:rPr>
                <w:sz w:val="21"/>
                <w:szCs w:val="21"/>
                <w:color w:val="auto"/>
              </w:rPr>
            </w:pPr>
          </w:p>
        </w:tc>
        <w:tc>
          <w:tcPr>
            <w:tcW w:w="6060" w:type="dxa"/>
            <w:vAlign w:val="bottom"/>
            <w:tcBorders>
              <w:top w:val="single" w:sz="8" w:color="0000FF"/>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10.67</w:t>
            </w:r>
          </w:p>
        </w:tc>
        <w:tc>
          <w:tcPr>
            <w:tcW w:w="94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Supplemental Indenture, dated as of April 24, 2018, among Domino’s Pizza Master Issuer LLC, Domino’s SPV Canadian Holding</w:t>
              </w:r>
            </w:hyperlink>
          </w:p>
        </w:tc>
        <w:tc>
          <w:tcPr>
            <w:tcW w:w="66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Company Inc., Domino’s Pizza Distribution LLC and Domino’s IP Holder LLC, each as Co-Issuer of Series 2018-1 4.116% Fixed Rate</w:t>
              </w:r>
            </w:hyperlink>
          </w:p>
        </w:tc>
        <w:tc>
          <w:tcPr>
            <w:tcW w:w="3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Senior Secured Notes, Class A-2-I and Series 2018-1 4.328% Fixed Rate Senior Secured Notes, Class A-2-II, and Citibank, N.A., as</w:t>
              </w:r>
            </w:hyperlink>
          </w:p>
        </w:tc>
        <w:tc>
          <w:tcPr>
            <w:tcW w:w="5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Trustee and Securities Intermediary (Incorporated by reference to Exhibit 4.1 to the registrant’s current report on Form 8-K filed on April</w:t>
              </w:r>
            </w:hyperlink>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25, 2018 (the “April 2018 8-K”)).</w:t>
              </w:r>
            </w:hyperlink>
          </w:p>
        </w:tc>
        <w:tc>
          <w:tcPr>
            <w:tcW w:w="20" w:type="dxa"/>
            <w:vAlign w:val="bottom"/>
            <w:tcBorders>
              <w:bottom w:val="single" w:sz="8" w:color="0000EE"/>
            </w:tcBorders>
          </w:tcPr>
          <w:p>
            <w:pPr>
              <w:spacing w:after="0"/>
              <w:rPr>
                <w:sz w:val="17"/>
                <w:szCs w:val="17"/>
                <w:color w:val="auto"/>
              </w:rPr>
            </w:pPr>
          </w:p>
        </w:tc>
        <w:tc>
          <w:tcPr>
            <w:tcW w:w="7640" w:type="dxa"/>
            <w:vAlign w:val="bottom"/>
            <w:gridSpan w:val="32"/>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10.68</w:t>
            </w:r>
          </w:p>
        </w:tc>
        <w:tc>
          <w:tcPr>
            <w:tcW w:w="94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Supplemental Indenture, dated November 19, 2019, among Domino’s Pizza Master Issuer LLC, Domino’s SPV Canadian Holding</w:t>
              </w:r>
            </w:hyperlink>
          </w:p>
        </w:tc>
        <w:tc>
          <w:tcPr>
            <w:tcW w:w="680" w:type="dxa"/>
            <w:vAlign w:val="bottom"/>
            <w:gridSpan w:val="1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Company Inc., Domino’s Pizza Distribution LLC and Domino’s IP Holder LLC, each as Co-Issuer of Series 2019-1 3.668% Fixed Rate</w:t>
              </w:r>
            </w:hyperlink>
          </w:p>
        </w:tc>
        <w:tc>
          <w:tcPr>
            <w:tcW w:w="3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Senior Secured Notes, Class A-2, and Citibank, N.A., as Trustee and Securities Intermediary (Incorporated by reference to Exhibit 4.1 to</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34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the registrant’s current report on Form 8-K filed on November 19, 2019 (the “November 2019 8-K”)).</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21"/>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10.69</w:t>
            </w:r>
          </w:p>
        </w:tc>
        <w:tc>
          <w:tcPr>
            <w:tcW w:w="98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Supplemental Indenture, dated April 16, 2021, among Domino’s Pizza Master Issuer LLC, Domino’s SPV Canadian Holding Company</w:t>
              </w:r>
            </w:hyperlink>
          </w:p>
        </w:tc>
        <w:tc>
          <w:tcPr>
            <w:tcW w:w="30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421">
              <w:r>
                <w:rPr>
                  <w:rFonts w:ascii="Times New Roman" w:cs="Times New Roman" w:eastAsia="Times New Roman" w:hAnsi="Times New Roman"/>
                  <w:sz w:val="18"/>
                  <w:szCs w:val="18"/>
                  <w:color w:val="0000FF"/>
                  <w:w w:val="99"/>
                </w:rPr>
                <w:t>Inc., Domino’s Pizza Distribution LLC and Domino’s IP Holder LLC, each as Co-Issuer of Series 2021-1 2.662% Fixed Rate Senior</w:t>
              </w:r>
            </w:hyperlink>
          </w:p>
        </w:tc>
        <w:tc>
          <w:tcPr>
            <w:tcW w:w="5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Secured Notes, Class A-2-I and Series 2021-1 3.151% Fixed Rate Senior Secured Notes, Class A-2-II, and Citibank, N.A., as Trustee and</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38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421">
              <w:r>
                <w:rPr>
                  <w:rFonts w:ascii="Times New Roman" w:cs="Times New Roman" w:eastAsia="Times New Roman" w:hAnsi="Times New Roman"/>
                  <w:sz w:val="18"/>
                  <w:szCs w:val="18"/>
                  <w:color w:val="0000FF"/>
                  <w:w w:val="99"/>
                </w:rPr>
                <w:t>Securities Intermediary (Incorporated by reference to Exhibit 4.2 to the April 2021 8-K).</w:t>
              </w:r>
            </w:hyperlink>
          </w:p>
        </w:tc>
        <w:tc>
          <w:tcPr>
            <w:tcW w:w="20" w:type="dxa"/>
            <w:vAlign w:val="bottom"/>
            <w:tcBorders>
              <w:bottom w:val="single" w:sz="8" w:color="0000EE"/>
            </w:tcBorders>
          </w:tcPr>
          <w:p>
            <w:pPr>
              <w:spacing w:after="0"/>
              <w:rPr>
                <w:sz w:val="17"/>
                <w:szCs w:val="17"/>
                <w:color w:val="auto"/>
              </w:rPr>
            </w:pPr>
          </w:p>
        </w:tc>
        <w:tc>
          <w:tcPr>
            <w:tcW w:w="3700" w:type="dxa"/>
            <w:vAlign w:val="bottom"/>
            <w:gridSpan w:val="23"/>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10.70</w:t>
            </w:r>
          </w:p>
        </w:tc>
        <w:tc>
          <w:tcPr>
            <w:tcW w:w="98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Series 2022-1 Supplement to the Amended and Restated Base Indenture, dated as of September 16, 2022, by and among Domino’s Pizza</w:t>
              </w:r>
            </w:hyperlink>
          </w:p>
        </w:tc>
        <w:tc>
          <w:tcPr>
            <w:tcW w:w="22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Master Issuer LLC, Domino’s SPV Canadian Holding Company Inc., Domino’s Pizza Distribution LLC and Domino’s IP Holder LLC,</w:t>
              </w:r>
            </w:hyperlink>
          </w:p>
        </w:tc>
        <w:tc>
          <w:tcPr>
            <w:tcW w:w="3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each as Co-Issuer, and Citibank, N.A., as Trustee and Securities Intermediary (Incorporated by reference to Exhibit 4.1 to the registrant's</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6"/>
          </w:tcPr>
          <w:p>
            <w:pPr>
              <w:spacing w:after="0" w:line="195"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current report on Form 8-K filed on September 16, 2022 (the “September 2022 8-K”)).</w:t>
              </w:r>
            </w:hyperlink>
          </w:p>
        </w:tc>
      </w:tr>
      <w:tr>
        <w:trPr>
          <w:trHeight w:val="20"/>
        </w:trPr>
        <w:tc>
          <w:tcPr>
            <w:tcW w:w="11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10.71</w:t>
            </w:r>
          </w:p>
        </w:tc>
        <w:tc>
          <w:tcPr>
            <w:tcW w:w="99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Purchase Agreement dated as of October 14, 2015 among Domino’s Pizza Master Issuer LLC, Domino’s IP Holder LLC, Domino’s Pizza</w:t>
              </w:r>
            </w:hyperlink>
          </w:p>
        </w:tc>
        <w:tc>
          <w:tcPr>
            <w:tcW w:w="16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Distribution LLC and Domino’s SPV Canadian Holding Company Inc. for the Series 2015-1 3.484% Fixed Rate Senior Secured Notes,</w:t>
              </w:r>
            </w:hyperlink>
          </w:p>
        </w:tc>
        <w:tc>
          <w:tcPr>
            <w:tcW w:w="32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Class A-2-I and the Series 2015-1 4.474% Fixed Rate Senior Secured Notes, Class A-2-II (Incorporated by reference to Exhibit 10.1 to the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8"/>
              </w:rPr>
            </w:pPr>
            <w:hyperlink r:id="rId423">
              <w:r>
                <w:rPr>
                  <w:rFonts w:ascii="Times New Roman" w:cs="Times New Roman" w:eastAsia="Times New Roman" w:hAnsi="Times New Roman"/>
                  <w:sz w:val="18"/>
                  <w:szCs w:val="18"/>
                  <w:color w:val="0000FF"/>
                  <w:w w:val="98"/>
                </w:rPr>
                <w:t>October 2015 8-K).</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34"/>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10.72</w:t>
            </w:r>
          </w:p>
        </w:tc>
        <w:tc>
          <w:tcPr>
            <w:tcW w:w="98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Purchase Agreement dated as of June 12, 2017 among Domino’s Pizza Master Issuer LLC, Domino’s SPV Canadian Holding Company</w:t>
              </w:r>
            </w:hyperlink>
          </w:p>
        </w:tc>
        <w:tc>
          <w:tcPr>
            <w:tcW w:w="30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Inc., Domino’s Pizza Distribution LLC and Domino’s IP Holder LLC, each as Co-Issuer, Domino’s SPV Guarantor LLC, Domino’s Pizza</w:t>
              </w:r>
            </w:hyperlink>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Franchising LLC, Domino’s Pizza International Franchising Inc., Domino’s Pizza Canadian Distribution ULC, Domino’s RE LLC and</w:t>
              </w:r>
            </w:hyperlink>
          </w:p>
        </w:tc>
        <w:tc>
          <w:tcPr>
            <w:tcW w:w="38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Domino’s EQ LLC, each as Guarantor, Domino’s Pizza LLC, as manager, Domino’s Pizza, Inc. and Domino’s Inc., as parent companies,</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and Guggenheim Securities, LLC and Barclays Capital Inc., as initial purchasers (Incorporated by reference to Exhibit 10.1 to the Domino’s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6"/>
          </w:tcPr>
          <w:p>
            <w:pPr>
              <w:spacing w:after="0" w:line="195"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Pizza, Inc. Current Report on Form 8-K, filed on June 14, 2017 (the “June 2017 8-K”)).</w:t>
              </w:r>
            </w:hyperlink>
          </w:p>
        </w:tc>
      </w:tr>
      <w:tr>
        <w:trPr>
          <w:trHeight w:val="20"/>
        </w:trPr>
        <w:tc>
          <w:tcPr>
            <w:tcW w:w="114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2"/>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10.73</w:t>
            </w:r>
          </w:p>
        </w:tc>
        <w:tc>
          <w:tcPr>
            <w:tcW w:w="100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Purchase Agreement, dated April 18, 2018, by and among Domino’s Pizza Master Issuer LLC, Domino’s SPV Canadian Holding Company</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46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Inc., Domino’s Pizza Distribution LLC, Domino’s IP Holder LLC, Domino’s Pizza, Inc., Domino’s Pizza LLC, Domino’s, Inc., the</w:t>
              </w:r>
            </w:hyperlink>
          </w:p>
        </w:tc>
        <w:tc>
          <w:tcPr>
            <w:tcW w:w="64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guarantors party thereto and Guggenheim Securities, LLC, as representative of the initial purchasers named in Schedule I thereto</w:t>
              </w:r>
            </w:hyperlink>
          </w:p>
        </w:tc>
        <w:tc>
          <w:tcPr>
            <w:tcW w:w="78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6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(Incorporated by reference to Exhibit 1.1 to the April 2018 8-K).</w:t>
              </w:r>
            </w:hyperlink>
          </w:p>
        </w:tc>
        <w:tc>
          <w:tcPr>
            <w:tcW w:w="20" w:type="dxa"/>
            <w:vAlign w:val="bottom"/>
            <w:tcBorders>
              <w:bottom w:val="single" w:sz="8" w:color="0000EE"/>
            </w:tcBorders>
          </w:tcPr>
          <w:p>
            <w:pPr>
              <w:spacing w:after="0"/>
              <w:rPr>
                <w:sz w:val="17"/>
                <w:szCs w:val="17"/>
                <w:color w:val="auto"/>
              </w:rPr>
            </w:pPr>
          </w:p>
        </w:tc>
        <w:tc>
          <w:tcPr>
            <w:tcW w:w="5420" w:type="dxa"/>
            <w:vAlign w:val="bottom"/>
            <w:gridSpan w:val="27"/>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10.74</w:t>
            </w: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Purchase Agreement, dated November 6, 2019, among Domino’s Pizza Master Issuer LLC, Domino’s SPV Canadian Holding Company</w:t>
              </w:r>
            </w:hyperlink>
          </w:p>
        </w:tc>
        <w:tc>
          <w:tcPr>
            <w:tcW w:w="24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Inc., Domino’s Pizza Distribution LLC and Domino’s IP Holder LLC, each as Co-Issuer, Domino’s SPV Guarantor LLC, Domino’s Pizza</w:t>
              </w:r>
            </w:hyperlink>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Franchising LLC, Domino’s Pizza International Franchising Inc., Domino’s Pizza Canadian Distribution ULC, Domino’s RE LLC and</w:t>
              </w:r>
            </w:hyperlink>
          </w:p>
        </w:tc>
        <w:tc>
          <w:tcPr>
            <w:tcW w:w="38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Domino’s EQ LLC, each as Guarantor, Domino’s Pizza LLC, as manager, the Company and Domino’s Inc., as parent companies, and</w:t>
              </w:r>
            </w:hyperlink>
          </w:p>
        </w:tc>
        <w:tc>
          <w:tcPr>
            <w:tcW w:w="46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Guggenheim Securities, LLC and Barclays Capital Inc., as initial purchasers (Incorporated by reference to Exhibit 99.1 to the registrant’s</w:t>
              </w:r>
            </w:hyperlink>
          </w:p>
        </w:tc>
        <w:tc>
          <w:tcPr>
            <w:tcW w:w="2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Current Report on Form 8-K filed on November 7, 2019).</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29"/>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10.75</w:t>
            </w:r>
          </w:p>
        </w:tc>
        <w:tc>
          <w:tcPr>
            <w:tcW w:w="98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Purchase Agreement, dated April 8, 2021, among Domino’s Pizza Master Issuer LLC, Domino’s SPV Canadian Holding Company Inc.,</w:t>
              </w:r>
            </w:hyperlink>
          </w:p>
        </w:tc>
        <w:tc>
          <w:tcPr>
            <w:tcW w:w="260" w:type="dxa"/>
            <w:vAlign w:val="bottom"/>
            <w:gridSpan w:val="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60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Domino’s Pizza Distribution LLC and Domino’s IP Holder LLC, each as Co-Issuer, Domino’s SPV Guarantor LLC, Domino’s Pizza</w:t>
              </w:r>
            </w:hyperlink>
          </w:p>
        </w:tc>
        <w:tc>
          <w:tcPr>
            <w:tcW w:w="5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Franchising LLC, Domino’s Pizza International Franchising Inc., Domino’s Pizza Canadian Distribution ULC, Domino’s RE LLC and</w:t>
              </w:r>
            </w:hyperlink>
          </w:p>
        </w:tc>
        <w:tc>
          <w:tcPr>
            <w:tcW w:w="38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Domino’s EQ LLC, each as Guarantor, Domino’s Pizza LLC, as manager, the Company and Domino’s Inc., as parent companies, and</w:t>
              </w:r>
            </w:hyperlink>
          </w:p>
        </w:tc>
        <w:tc>
          <w:tcPr>
            <w:tcW w:w="46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Guggenheim Securities, LLC and Barclays Capital Inc., as initial purchasers (Incorporated by reference to Exhibit 99.1 to the registrant’s</w:t>
              </w:r>
            </w:hyperlink>
          </w:p>
        </w:tc>
        <w:tc>
          <w:tcPr>
            <w:tcW w:w="2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Current Report on Form 8-K filed on April 9, 2021).</w:t>
              </w:r>
            </w:hyperlink>
          </w:p>
        </w:tc>
        <w:tc>
          <w:tcPr>
            <w:tcW w:w="6320" w:type="dxa"/>
            <w:vAlign w:val="bottom"/>
            <w:gridSpan w:val="31"/>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4660" w:type="dxa"/>
            <w:vAlign w:val="bottom"/>
            <w:gridSpan w:val="8"/>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10.76</w:t>
            </w: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Class A-1 Note Purchase Agreement, dated April 16, 2021, among Domino’s Pizza Master Issuer LLC, Domino’s SPV Canadian Holding</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Company Inc., Domino’s Pizza Distribution LLC and Domino’s IP Holder LLC, each as Co-Issuer, Domino’s SPV Guarantor LLC,</w:t>
              </w:r>
            </w:hyperlink>
          </w:p>
        </w:tc>
        <w:tc>
          <w:tcPr>
            <w:tcW w:w="58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Domino’s Pizza Franchising LLC, Domino’s Pizza International Franchising Inc., Domino’s Pizza Canadian Distribution ULC, Domino’s</w:t>
              </w:r>
            </w:hyperlink>
          </w:p>
        </w:tc>
        <w:tc>
          <w:tcPr>
            <w:tcW w:w="16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RE LLC and Domino’s EQ LLC, each as Guarantor, Domino’s Pizza LLC, as manager, certain conduit investors, financial institutions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2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funding agents, and Coöperatieve Rabobank U.A., New York Branch, as provider of letters of credit, as swingline lender and as</w:t>
              </w:r>
            </w:hyperlink>
          </w:p>
        </w:tc>
        <w:tc>
          <w:tcPr>
            <w:tcW w:w="880" w:type="dxa"/>
            <w:vAlign w:val="bottom"/>
            <w:gridSpan w:val="2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administrative agent (Incorporated by reference to Exhibit 10.1 to the April 2021 8-K).</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10.77</w:t>
            </w:r>
          </w:p>
        </w:tc>
        <w:tc>
          <w:tcPr>
            <w:tcW w:w="95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First Amendment dated as of May 15, 2023 to the Class A-1 Note Purchase Agreement, dated as of April 16, 2021, by and between</w:t>
              </w:r>
            </w:hyperlink>
          </w:p>
        </w:tc>
        <w:tc>
          <w:tcPr>
            <w:tcW w:w="580" w:type="dxa"/>
            <w:vAlign w:val="bottom"/>
            <w:gridSpan w:val="1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Holder LLC, each as Co-Issuer, Domino’s Pizza Franchising LLC, Domino’s Pizza International Franchising Inc., Domino’s Pizza</w:t>
              </w:r>
            </w:hyperlink>
          </w:p>
        </w:tc>
        <w:tc>
          <w:tcPr>
            <w:tcW w:w="660" w:type="dxa"/>
            <w:vAlign w:val="bottom"/>
            <w:gridSpan w:val="2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Canadian Distribution ULC, Domino’s RE LLC, Domino’s EQ LLC and Domino’s SPV Guarantor LLC, each as Guarantor, Domino’s</w:t>
              </w:r>
            </w:hyperlink>
          </w:p>
        </w:tc>
        <w:tc>
          <w:tcPr>
            <w:tcW w:w="36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Pizza LLC, as manager, and Coöperatieve Rabobank U.A., New York Branch, as administrative agent ((Incorporated by reference to</w:t>
              </w:r>
            </w:hyperlink>
          </w:p>
        </w:tc>
        <w:tc>
          <w:tcPr>
            <w:tcW w:w="52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Exhibit 10.1 to the registrant’s quarterly report on Form 10-Q for the quarter ended June 18, 2023).</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10.78</w:t>
            </w:r>
          </w:p>
        </w:tc>
        <w:tc>
          <w:tcPr>
            <w:tcW w:w="9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Second Amendment dated as of September 19, 2023 to the Class A-1 Note Purchase Agreement, dated as of April 16, 2021, by and</w:t>
            </w:r>
          </w:p>
        </w:tc>
        <w:tc>
          <w:tcPr>
            <w:tcW w:w="600" w:type="dxa"/>
            <w:vAlign w:val="bottom"/>
            <w:gridSpan w:val="2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660" w:type="dxa"/>
            <w:vAlign w:val="bottom"/>
            <w:tcBorders>
              <w:bottom w:val="single" w:sz="8" w:color="0000FF"/>
            </w:tcBorders>
            <w:gridSpan w:val="23"/>
          </w:tcPr>
          <w:p>
            <w:pPr>
              <w:spacing w:after="0" w:line="195" w:lineRule="exact"/>
              <w:rPr>
                <w:sz w:val="20"/>
                <w:szCs w:val="20"/>
                <w:color w:val="auto"/>
              </w:rPr>
            </w:pPr>
            <w:r>
              <w:rPr>
                <w:rFonts w:ascii="Times New Roman" w:cs="Times New Roman" w:eastAsia="Times New Roman" w:hAnsi="Times New Roman"/>
                <w:sz w:val="18"/>
                <w:szCs w:val="18"/>
                <w:color w:val="0000FF"/>
                <w:w w:val="99"/>
              </w:rPr>
              <w:t>between Domino’s Pizza Master Issuer LLC, Domino’s SPV Canadian Holding Company Inc., Domino’s Pizza Distribution LLC and</w:t>
            </w:r>
          </w:p>
        </w:tc>
        <w:tc>
          <w:tcPr>
            <w:tcW w:w="44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1"/>
          </w:tcPr>
          <w:p>
            <w:pPr>
              <w:spacing w:after="0" w:line="195" w:lineRule="exact"/>
              <w:rPr>
                <w:sz w:val="20"/>
                <w:szCs w:val="20"/>
                <w:color w:val="auto"/>
              </w:rPr>
            </w:pPr>
            <w:r>
              <w:rPr>
                <w:rFonts w:ascii="Times New Roman" w:cs="Times New Roman" w:eastAsia="Times New Roman" w:hAnsi="Times New Roman"/>
                <w:sz w:val="18"/>
                <w:szCs w:val="18"/>
                <w:color w:val="0000FF"/>
                <w:w w:val="99"/>
              </w:rPr>
              <w:t>Domino’s IP Holder LLC, each as Co-Issuer, Domino’s Pizza Franchising LLC, Domino’s Pizza International Franchising Inc., Domino’s</w:t>
            </w:r>
          </w:p>
        </w:tc>
        <w:tc>
          <w:tcPr>
            <w:tcW w:w="1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w w:val="99"/>
              </w:rPr>
              <w:t>Pizza Canadian Distribution ULC, Domino’s RE LLC, Domino’s EQ LLC and Domino’s SPV Guarantor LLC, each as Guarantor,</w:t>
            </w:r>
          </w:p>
        </w:tc>
        <w:tc>
          <w:tcPr>
            <w:tcW w:w="680" w:type="dxa"/>
            <w:vAlign w:val="bottom"/>
            <w:gridSpan w:val="2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sz w:val="20"/>
                <w:szCs w:val="20"/>
                <w:color w:val="auto"/>
              </w:rPr>
            </w:pPr>
            <w:r>
              <w:rPr>
                <w:rFonts w:ascii="Times New Roman" w:cs="Times New Roman" w:eastAsia="Times New Roman" w:hAnsi="Times New Roman"/>
                <w:sz w:val="18"/>
                <w:szCs w:val="18"/>
                <w:color w:val="0000FF"/>
              </w:rPr>
              <w:t>Domino’s Pizza LLC, as manager, and Coöperatieve Rabobank U.A., New York Branch, as administrative agent</w:t>
            </w:r>
            <w:r>
              <w:rPr>
                <w:rFonts w:ascii="Times New Roman" w:cs="Times New Roman" w:eastAsia="Times New Roman" w:hAnsi="Times New Roman"/>
                <w:sz w:val="18"/>
                <w:szCs w:val="18"/>
                <w:color w:val="000000"/>
              </w:rPr>
              <w:t>.</w:t>
            </w:r>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10.79</w:t>
            </w: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Class A-1 Note Purchase Agreement, dated September 16, 2022, among Domino’s Pizza Master Issuer LLC, Domino’s SPV Canadian</w:t>
              </w:r>
            </w:hyperlink>
          </w:p>
        </w:tc>
        <w:tc>
          <w:tcPr>
            <w:tcW w:w="36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Holding Company Inc., Domino’s Pizza Distribution LLC and Domino’s IP Holder LLC, each as Co-Issuer, Domino’s SPV Guarantor</w:t>
              </w:r>
            </w:hyperlink>
          </w:p>
        </w:tc>
        <w:tc>
          <w:tcPr>
            <w:tcW w:w="38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LLC, Domino’s Pizza Franchising LLC, Domino’s Pizza International Franchising Inc., Domino’s Pizza Canadian Distribution ULC,</w:t>
              </w:r>
            </w:hyperlink>
          </w:p>
        </w:tc>
        <w:tc>
          <w:tcPr>
            <w:tcW w:w="48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0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Domino’s RE LLC and Domino’s EQ LLC, each as Guarantor, Domino’s Pizza LLC, as manager, certain conduit investors, financial</w:t>
              </w:r>
            </w:hyperlink>
          </w:p>
        </w:tc>
        <w:tc>
          <w:tcPr>
            <w:tcW w:w="50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institutions and funding agents, and Barclays Bank PLC, as provider of letters of credit, as swingline lender and as administrative agent</w:t>
              </w:r>
            </w:hyperlink>
          </w:p>
        </w:tc>
        <w:tc>
          <w:tcPr>
            <w:tcW w:w="3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4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(Incorporated by reference to Exhibit 10.1 to the September 2022 8-K).</w:t>
              </w:r>
            </w:hyperlink>
          </w:p>
        </w:tc>
        <w:tc>
          <w:tcPr>
            <w:tcW w:w="20" w:type="dxa"/>
            <w:vAlign w:val="bottom"/>
            <w:tcBorders>
              <w:bottom w:val="single" w:sz="8" w:color="0000EE"/>
            </w:tcBorders>
          </w:tcPr>
          <w:p>
            <w:pPr>
              <w:spacing w:after="0"/>
              <w:rPr>
                <w:sz w:val="17"/>
                <w:szCs w:val="17"/>
                <w:color w:val="auto"/>
              </w:rPr>
            </w:pPr>
          </w:p>
        </w:tc>
        <w:tc>
          <w:tcPr>
            <w:tcW w:w="4940" w:type="dxa"/>
            <w:vAlign w:val="bottom"/>
            <w:gridSpan w:val="31"/>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10.80</w:t>
            </w:r>
          </w:p>
        </w:tc>
        <w:tc>
          <w:tcPr>
            <w:tcW w:w="10100" w:type="dxa"/>
            <w:vAlign w:val="bottom"/>
            <w:gridSpan w:val="38"/>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Amended and Restated Guarantee and Collateral Agreement dated as of March 15, 2012 among Domino’s SPV Guarantor LLC, Domino’s</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Pizza Franchising LLC, Domino’s Pizza International Franchising Inc., Domino’s Pizza Canadian Distribution ULC, Domino’s RE LLC</w:t>
              </w:r>
            </w:hyperlink>
          </w:p>
        </w:tc>
        <w:tc>
          <w:tcPr>
            <w:tcW w:w="2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and Domino’s EQ LLC, each as a Guarantor, in favor of Citibank, N.A., as Trustee (Incorporated by reference to Exhibit 10.2 to the March</w:t>
              </w:r>
            </w:hyperlink>
          </w:p>
        </w:tc>
      </w:tr>
      <w:tr>
        <w:trPr>
          <w:trHeight w:val="196"/>
        </w:trPr>
        <w:tc>
          <w:tcPr>
            <w:tcW w:w="1140" w:type="dxa"/>
            <w:vAlign w:val="bottom"/>
          </w:tcPr>
          <w:p>
            <w:pPr>
              <w:spacing w:after="0"/>
              <w:rPr>
                <w:sz w:val="17"/>
                <w:szCs w:val="17"/>
                <w:color w:val="auto"/>
              </w:rPr>
            </w:pPr>
          </w:p>
        </w:tc>
        <w:tc>
          <w:tcPr>
            <w:tcW w:w="6000" w:type="dxa"/>
            <w:vAlign w:val="bottom"/>
            <w:tcBorders>
              <w:top w:val="single" w:sz="8" w:color="0000EE"/>
            </w:tcBorders>
            <w:gridSpan w:val="9"/>
          </w:tcPr>
          <w:p>
            <w:pPr>
              <w:spacing w:after="0" w:line="195"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2012 8-K).</w:t>
              </w:r>
            </w:hyperlink>
          </w:p>
        </w:tc>
        <w:tc>
          <w:tcPr>
            <w:tcW w:w="4040" w:type="dxa"/>
            <w:vAlign w:val="bottom"/>
            <w:tcBorders>
              <w:top w:val="single" w:sz="8" w:color="0000FF"/>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10.81</w:t>
            </w:r>
          </w:p>
        </w:tc>
        <w:tc>
          <w:tcPr>
            <w:tcW w:w="10100" w:type="dxa"/>
            <w:vAlign w:val="bottom"/>
            <w:gridSpan w:val="38"/>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Amended and Restated Management Agreement dated as of March 15, 2012 among Domino’s Pizza Master Issuer LLC, certain</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7"/>
          </w:tcPr>
          <w:p>
            <w:pPr>
              <w:spacing w:after="0" w:line="195" w:lineRule="exact"/>
              <w:rPr>
                <w:rFonts w:ascii="Times New Roman" w:cs="Times New Roman" w:eastAsia="Times New Roman" w:hAnsi="Times New Roman"/>
                <w:sz w:val="18"/>
                <w:szCs w:val="18"/>
                <w:color w:val="0000FF"/>
                <w:w w:val="99"/>
              </w:rPr>
            </w:pPr>
            <w:hyperlink r:id="rId434">
              <w:r>
                <w:rPr>
                  <w:rFonts w:ascii="Times New Roman" w:cs="Times New Roman" w:eastAsia="Times New Roman" w:hAnsi="Times New Roman"/>
                  <w:sz w:val="18"/>
                  <w:szCs w:val="18"/>
                  <w:color w:val="0000FF"/>
                  <w:w w:val="99"/>
                </w:rPr>
                <w:t>subsidiaries of Domino’s Pizza Master Issuer LLC party thereto, Domino’s Pizza LLC, as Manager and in its individual capacity, Domino’s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Pizza NS Co., and Citibank, N.A. as Trustee (Incorporated by reference to Exhibit 10.3 to the March 2012 8-K).</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10.82</w:t>
            </w:r>
          </w:p>
        </w:tc>
        <w:tc>
          <w:tcPr>
            <w:tcW w:w="566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Amendment No. 1 dated as of October 21, 2015 to the Amended and Restated</w:t>
              </w:r>
            </w:hyperlink>
          </w:p>
        </w:tc>
        <w:tc>
          <w:tcPr>
            <w:tcW w:w="4440" w:type="dxa"/>
            <w:vAlign w:val="bottom"/>
            <w:gridSpan w:val="3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w w:val="99"/>
              </w:rPr>
            </w:pPr>
            <w:hyperlink r:id="rId435">
              <w:r>
                <w:rPr>
                  <w:rFonts w:ascii="Times New Roman" w:cs="Times New Roman" w:eastAsia="Times New Roman" w:hAnsi="Times New Roman"/>
                  <w:sz w:val="18"/>
                  <w:szCs w:val="18"/>
                  <w:color w:val="0000FF"/>
                  <w:w w:val="99"/>
                </w:rPr>
                <w:t>Management Agreement dated as of March 15, 2012 among Domino’s Pizza Master Issuer LLC, certain subsidiaries of Domino’s Pizza</w:t>
              </w:r>
            </w:hyperlink>
          </w:p>
        </w:tc>
        <w:tc>
          <w:tcPr>
            <w:tcW w:w="28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435">
              <w:r>
                <w:rPr>
                  <w:rFonts w:ascii="Times New Roman" w:cs="Times New Roman" w:eastAsia="Times New Roman" w:hAnsi="Times New Roman"/>
                  <w:sz w:val="18"/>
                  <w:szCs w:val="18"/>
                  <w:color w:val="0000FF"/>
                  <w:w w:val="99"/>
                </w:rPr>
                <w:t>Master Issuer LLC party thereto, Domino’s Pizza LLC, as Manager and in its individual capacity, Domino’s Pizza NS Co., and Citibank,</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N.A. as Trustee (Incorporated by reference to Exhibit 10.3 to the October 2015 8-K).</w:t>
              </w:r>
            </w:hyperlink>
          </w:p>
        </w:tc>
      </w:tr>
      <w:tr>
        <w:trPr>
          <w:trHeight w:val="20"/>
        </w:trPr>
        <w:tc>
          <w:tcPr>
            <w:tcW w:w="11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10.83</w:t>
            </w: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Amendment No. 2 dated as of July 24, 2017 to the Amended and Restated Management Agreement dated as of March 15, 2012 by and</w:t>
              </w:r>
            </w:hyperlink>
          </w:p>
        </w:tc>
        <w:tc>
          <w:tcPr>
            <w:tcW w:w="36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among Domino’s Pizza Master Issuer LLC, certain subsidiaries of Domino’s Pizza Master Issuer LLC party thereto, Domino’s SPV</w:t>
              </w:r>
            </w:hyperlink>
          </w:p>
        </w:tc>
        <w:tc>
          <w:tcPr>
            <w:tcW w:w="58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(Incorporated by reference to Exhibit 10.1 to the July 2017 8-K)).</w:t>
              </w:r>
            </w:hyperlink>
          </w:p>
        </w:tc>
      </w:tr>
      <w:tr>
        <w:trPr>
          <w:trHeight w:val="20"/>
        </w:trPr>
        <w:tc>
          <w:tcPr>
            <w:tcW w:w="114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right w:val="single" w:sz="8" w:color="0000EE"/>
            </w:tcBorders>
            <w:gridSpan w:val="2"/>
            <w:shd w:val="clear" w:color="auto" w:fill="0000FF"/>
          </w:tcPr>
          <w:p>
            <w:pPr>
              <w:spacing w:after="0" w:line="20" w:lineRule="exact"/>
              <w:rPr>
                <w:sz w:val="1"/>
                <w:szCs w:val="1"/>
                <w:color w:val="auto"/>
              </w:rPr>
            </w:pPr>
          </w:p>
        </w:tc>
        <w:tc>
          <w:tcPr>
            <w:tcW w:w="5320" w:type="dxa"/>
            <w:vAlign w:val="bottom"/>
            <w:gridSpan w:val="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10.84</w:t>
            </w:r>
          </w:p>
        </w:tc>
        <w:tc>
          <w:tcPr>
            <w:tcW w:w="100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Amendment No. 3 dated as of April 16, 2021 to the Amended and Restated Management Agreement by and among Domino’s Pizza Master</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Issuer LLC, certain subsidiaries of Domino’s Pizza Master Issuer LLC party thereto, Domino’s SPV Guarantor LLC, Domino’s Pizza LLC,</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7"/>
          </w:tcPr>
          <w:p>
            <w:pPr>
              <w:spacing w:after="0" w:line="195"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as manager and in its individual capacity, Domino’s Pizza NS Co., and Citibank, N.A., as Trustee (Incorporated by reference to Exhibit 10.2</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8"/>
          </w:tcPr>
          <w:p>
            <w:pPr>
              <w:spacing w:after="0" w:line="195"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to the April 2021 8-K).</w:t>
              </w:r>
            </w:hyperlink>
          </w:p>
        </w:tc>
      </w:tr>
      <w:tr>
        <w:trPr>
          <w:trHeight w:val="250"/>
        </w:trPr>
        <w:tc>
          <w:tcPr>
            <w:tcW w:w="1140" w:type="dxa"/>
            <w:vAlign w:val="bottom"/>
          </w:tcPr>
          <w:p>
            <w:pPr>
              <w:spacing w:after="0"/>
              <w:rPr>
                <w:sz w:val="21"/>
                <w:szCs w:val="21"/>
                <w:color w:val="auto"/>
              </w:rPr>
            </w:pPr>
          </w:p>
        </w:tc>
        <w:tc>
          <w:tcPr>
            <w:tcW w:w="1720" w:type="dxa"/>
            <w:vAlign w:val="bottom"/>
            <w:tcBorders>
              <w:top w:val="single" w:sz="8" w:color="0000FF"/>
            </w:tcBorders>
            <w:gridSpan w:val="3"/>
          </w:tcPr>
          <w:p>
            <w:pPr>
              <w:spacing w:after="0"/>
              <w:rPr>
                <w:sz w:val="21"/>
                <w:szCs w:val="21"/>
                <w:color w:val="auto"/>
              </w:rPr>
            </w:pPr>
          </w:p>
        </w:tc>
        <w:tc>
          <w:tcPr>
            <w:tcW w:w="3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10.85</w:t>
            </w:r>
          </w:p>
        </w:tc>
        <w:tc>
          <w:tcPr>
            <w:tcW w:w="98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Amendment No. 4 dated as of December 30, 2021 to the Amended and Restated Management Agreement dated as of March 15, 2012 by</w:t>
              </w:r>
            </w:hyperlink>
          </w:p>
        </w:tc>
        <w:tc>
          <w:tcPr>
            <w:tcW w:w="20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and among Domino’s Pizza Master Issuer LLC, certain subsidiaries of Domino’s Pizza Master Issuer LLC party thereto, Domino’s SPV</w:t>
              </w:r>
            </w:hyperlink>
          </w:p>
        </w:tc>
        <w:tc>
          <w:tcPr>
            <w:tcW w:w="26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50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(Incorporated by reference to Exhibit 10.79 to the 2021 10-K).</w:t>
              </w:r>
            </w:hyperlink>
          </w:p>
        </w:tc>
        <w:tc>
          <w:tcPr>
            <w:tcW w:w="20" w:type="dxa"/>
            <w:vAlign w:val="bottom"/>
            <w:tcBorders>
              <w:bottom w:val="single" w:sz="8" w:color="0000EE"/>
            </w:tcBorders>
          </w:tcPr>
          <w:p>
            <w:pPr>
              <w:spacing w:after="0"/>
              <w:rPr>
                <w:sz w:val="17"/>
                <w:szCs w:val="17"/>
                <w:color w:val="auto"/>
              </w:rPr>
            </w:pPr>
          </w:p>
        </w:tc>
        <w:tc>
          <w:tcPr>
            <w:tcW w:w="5560" w:type="dxa"/>
            <w:vAlign w:val="bottom"/>
            <w:gridSpan w:val="26"/>
          </w:tcPr>
          <w:p>
            <w:pPr>
              <w:spacing w:after="0"/>
              <w:rPr>
                <w:sz w:val="17"/>
                <w:szCs w:val="17"/>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10.86</w:t>
            </w: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Amendment No. 5 dated as of September 16, 2022 to the Amended and Restated Management Agreement dated as of March 15, 2012 by</w:t>
              </w:r>
            </w:hyperlink>
          </w:p>
        </w:tc>
        <w:tc>
          <w:tcPr>
            <w:tcW w:w="160" w:type="dxa"/>
            <w:vAlign w:val="bottom"/>
            <w:gridSpan w:val="4"/>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and among Domino’s Pizza Master Issuer LLC, certain subsidiaries of Domino’s Pizza Master Issuer LLC party thereto, Domino’s SPV</w:t>
              </w:r>
            </w:hyperlink>
          </w:p>
        </w:tc>
        <w:tc>
          <w:tcPr>
            <w:tcW w:w="26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4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(Incorporated by reference to Exhibit 10.2 to the September 2022 8-K).</w:t>
              </w:r>
            </w:hyperlink>
          </w:p>
        </w:tc>
        <w:tc>
          <w:tcPr>
            <w:tcW w:w="4940" w:type="dxa"/>
            <w:vAlign w:val="bottom"/>
            <w:gridSpan w:val="22"/>
          </w:tcPr>
          <w:p>
            <w:pPr>
              <w:spacing w:after="0"/>
              <w:rPr>
                <w:sz w:val="17"/>
                <w:szCs w:val="17"/>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10.87</w:t>
            </w:r>
          </w:p>
        </w:tc>
        <w:tc>
          <w:tcPr>
            <w:tcW w:w="96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Parent Company Support Agreement dated as of March 15, 2012 made by Domino’s Pizza, Inc. in favor of Citibank, N.A., as Trustee</w:t>
              </w:r>
            </w:hyperlink>
          </w:p>
        </w:tc>
        <w:tc>
          <w:tcPr>
            <w:tcW w:w="420" w:type="dxa"/>
            <w:vAlign w:val="bottom"/>
            <w:gridSpan w:val="11"/>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(Incorporated by reference to Exhibit 10.4 to the October 2015 8-K).</w:t>
              </w:r>
            </w:hyperlink>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10.88</w:t>
            </w:r>
          </w:p>
        </w:tc>
        <w:tc>
          <w:tcPr>
            <w:tcW w:w="100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Amendment No. 1 dated as of October 21, 2015 to the Parent Company Support Agreement dated as of March 15, 2012 made by Domino’s</w:t>
              </w:r>
            </w:hyperlink>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Pizza, Inc. in favor of Citibank, N.A., as Trustee (Incorporated by reference to Exhibit 10.5 to the October 2015 8-K).</w:t>
              </w:r>
            </w:hyperlink>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10.89</w:t>
            </w:r>
          </w:p>
        </w:tc>
        <w:tc>
          <w:tcPr>
            <w:tcW w:w="99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Amendment No. 2 dated April 16, 2021 to the Parent Company Support Agreement dated as of March 15, 2012 made by Domino’s Pizza,</w:t>
              </w:r>
            </w:hyperlink>
          </w:p>
        </w:tc>
        <w:tc>
          <w:tcPr>
            <w:tcW w:w="120" w:type="dxa"/>
            <w:vAlign w:val="bottom"/>
            <w:gridSpan w:val="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Inc. in favor of Citibank, N.A., as Trustee (Incorporated by reference to Exhibit 10.3 to the April 2021 8-K).</w:t>
              </w:r>
            </w:hyperlink>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10.90</w:t>
            </w:r>
          </w:p>
        </w:tc>
        <w:tc>
          <w:tcPr>
            <w:tcW w:w="99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Fixed Dollar Accelerated Share Repurchase Transaction Confirmation, dated April 30, 2021 (Incorporated by reference to Exhibit 10.1 to</w:t>
              </w:r>
            </w:hyperlink>
          </w:p>
        </w:tc>
        <w:tc>
          <w:tcPr>
            <w:tcW w:w="140" w:type="dxa"/>
            <w:vAlign w:val="bottom"/>
            <w:gridSpan w:val="3"/>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484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the registrant’s Current Report on Form 8-K filed on May 3, 2021).</w:t>
              </w:r>
            </w:hyperlink>
          </w:p>
        </w:tc>
        <w:tc>
          <w:tcPr>
            <w:tcW w:w="20" w:type="dxa"/>
            <w:vAlign w:val="bottom"/>
            <w:tcBorders>
              <w:bottom w:val="single" w:sz="8" w:color="0000EE"/>
            </w:tcBorders>
          </w:tcPr>
          <w:p>
            <w:pPr>
              <w:spacing w:after="0"/>
              <w:rPr>
                <w:sz w:val="17"/>
                <w:szCs w:val="17"/>
                <w:color w:val="auto"/>
              </w:rPr>
            </w:pPr>
          </w:p>
        </w:tc>
        <w:tc>
          <w:tcPr>
            <w:tcW w:w="5220" w:type="dxa"/>
            <w:vAlign w:val="bottom"/>
            <w:gridSpan w:val="24"/>
          </w:tcPr>
          <w:p>
            <w:pPr>
              <w:spacing w:after="0"/>
              <w:rPr>
                <w:sz w:val="17"/>
                <w:szCs w:val="17"/>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Omnibus Amendment No. 1, dated December 15, 2017, among Domino’s Pizza Master Issuer LLC, Domino’s SPV Canadian Holding</w:t>
              </w:r>
            </w:hyperlink>
          </w:p>
        </w:tc>
        <w:tc>
          <w:tcPr>
            <w:tcW w:w="360" w:type="dxa"/>
            <w:vAlign w:val="bottom"/>
            <w:gridSpan w:val="10"/>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54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Company Inc., Domino’s Pizza Distribution LLC and Domino’s IP Holder LLC, each as Co-Issuer, Domino’s SPV Guarantor LLC,</w:t>
              </w:r>
            </w:hyperlink>
          </w:p>
        </w:tc>
        <w:tc>
          <w:tcPr>
            <w:tcW w:w="54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4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Domino’s Pizza Franchising LLC, Domino’s Pizza International Franchising Inc., Domino’s Pizza Canadian Distribution ULC, Domino’s</w:t>
              </w:r>
            </w:hyperlink>
          </w:p>
        </w:tc>
        <w:tc>
          <w:tcPr>
            <w:tcW w:w="14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0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RE LLC and Domino’s EQ LLC, each as Guarantor, Domino’s Pizza LLC, as manager, certain conduit investors, financial institutions and</w:t>
              </w:r>
            </w:hyperlink>
          </w:p>
        </w:tc>
        <w:tc>
          <w:tcPr>
            <w:tcW w:w="8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22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funding agents, and Coöperatieve Rabobank U.A., New York Branch, as provider of letters of credit, as swingline lender and as</w:t>
              </w:r>
            </w:hyperlink>
          </w:p>
        </w:tc>
        <w:tc>
          <w:tcPr>
            <w:tcW w:w="86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administrative agent (Incorporated by reference to Exhibit 10.1 to the Domino’s Pizza, Inc. Current Report on Form 8-K, filed on December</w:t>
              </w:r>
            </w:hyperlink>
          </w:p>
        </w:tc>
      </w:tr>
      <w:tr>
        <w:trPr>
          <w:trHeight w:val="196"/>
        </w:trPr>
        <w:tc>
          <w:tcPr>
            <w:tcW w:w="1120" w:type="dxa"/>
            <w:vAlign w:val="bottom"/>
          </w:tcPr>
          <w:p>
            <w:pPr>
              <w:spacing w:after="0"/>
              <w:rPr>
                <w:sz w:val="17"/>
                <w:szCs w:val="17"/>
                <w:color w:val="auto"/>
              </w:rPr>
            </w:pPr>
          </w:p>
        </w:tc>
        <w:tc>
          <w:tcPr>
            <w:tcW w:w="74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446">
              <w:r>
                <w:rPr>
                  <w:rFonts w:ascii="Times New Roman" w:cs="Times New Roman" w:eastAsia="Times New Roman" w:hAnsi="Times New Roman"/>
                  <w:sz w:val="18"/>
                  <w:szCs w:val="18"/>
                  <w:color w:val="0000FF"/>
                  <w:w w:val="97"/>
                </w:rPr>
                <w:t>19, 2017).</w:t>
              </w:r>
            </w:hyperlink>
          </w:p>
        </w:tc>
        <w:tc>
          <w:tcPr>
            <w:tcW w:w="20" w:type="dxa"/>
            <w:vAlign w:val="bottom"/>
            <w:tcBorders>
              <w:bottom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10.92</w:t>
            </w:r>
          </w:p>
        </w:tc>
        <w:tc>
          <w:tcPr>
            <w:tcW w:w="98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Agreement dated as of January 6, 2009 between Domino’s Pizza, Inc., Blue Harbour Strategic Value Partners Master Fund, LP and Blue</w:t>
              </w:r>
            </w:hyperlink>
          </w:p>
        </w:tc>
        <w:tc>
          <w:tcPr>
            <w:tcW w:w="240" w:type="dxa"/>
            <w:vAlign w:val="bottom"/>
            <w:gridSpan w:val="8"/>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Harbour Institutional Partners Master Fund, L.P. (Incorporated by reference to Exhibit 10.1 to the registrant’s current report on Form 8-K</w:t>
              </w:r>
            </w:hyperlink>
          </w:p>
        </w:tc>
        <w:tc>
          <w:tcPr>
            <w:tcW w:w="18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filed on January 9, 2009).</w:t>
              </w:r>
            </w:hyperlink>
          </w:p>
        </w:tc>
      </w:tr>
      <w:tr>
        <w:trPr>
          <w:trHeight w:val="20"/>
        </w:trPr>
        <w:tc>
          <w:tcPr>
            <w:tcW w:w="1120" w:type="dxa"/>
            <w:vAlign w:val="bottom"/>
          </w:tcPr>
          <w:p>
            <w:pPr>
              <w:spacing w:after="0" w:line="20" w:lineRule="exact"/>
              <w:rPr>
                <w:sz w:val="1"/>
                <w:szCs w:val="1"/>
                <w:color w:val="auto"/>
              </w:rPr>
            </w:pPr>
          </w:p>
        </w:tc>
        <w:tc>
          <w:tcPr>
            <w:tcW w:w="186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10.93</w:t>
            </w:r>
          </w:p>
        </w:tc>
        <w:tc>
          <w:tcPr>
            <w:tcW w:w="2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Board of Directors’ Compensation.</w:t>
            </w:r>
          </w:p>
        </w:tc>
        <w:tc>
          <w:tcPr>
            <w:tcW w:w="20" w:type="dxa"/>
            <w:vAlign w:val="bottom"/>
            <w:tcBorders>
              <w:bottom w:val="single" w:sz="8" w:color="0000EE"/>
            </w:tcBorders>
          </w:tcPr>
          <w:p>
            <w:pPr>
              <w:spacing w:after="0"/>
              <w:rPr>
                <w:sz w:val="18"/>
                <w:szCs w:val="18"/>
                <w:color w:val="auto"/>
              </w:rPr>
            </w:pPr>
          </w:p>
        </w:tc>
        <w:tc>
          <w:tcPr>
            <w:tcW w:w="7520" w:type="dxa"/>
            <w:vAlign w:val="bottom"/>
            <w:gridSpan w:val="30"/>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Subsidiaries of Domino’s Pizza, Inc.</w:t>
            </w:r>
          </w:p>
        </w:tc>
      </w:tr>
      <w:tr>
        <w:trPr>
          <w:trHeight w:val="20"/>
        </w:trPr>
        <w:tc>
          <w:tcPr>
            <w:tcW w:w="112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120" w:type="dxa"/>
            <w:vAlign w:val="bottom"/>
          </w:tcPr>
          <w:p>
            <w:pPr>
              <w:spacing w:after="0" w:line="20" w:lineRule="exact"/>
              <w:rPr>
                <w:sz w:val="1"/>
                <w:szCs w:val="1"/>
                <w:color w:val="auto"/>
              </w:rPr>
            </w:pPr>
          </w:p>
        </w:tc>
        <w:tc>
          <w:tcPr>
            <w:tcW w:w="3020" w:type="dxa"/>
            <w:vAlign w:val="bottom"/>
            <w:tcBorders>
              <w:right w:val="single" w:sz="8" w:color="0000EE"/>
            </w:tcBorders>
            <w:gridSpan w:val="7"/>
            <w:shd w:val="clear" w:color="auto" w:fill="0000FF"/>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relating to Domino’s Pizza, Inc.</w:t>
            </w:r>
          </w:p>
        </w:tc>
        <w:tc>
          <w:tcPr>
            <w:tcW w:w="20" w:type="dxa"/>
            <w:vAlign w:val="bottom"/>
            <w:tcBorders>
              <w:top w:val="single" w:sz="8" w:color="0000FF"/>
              <w:bottom w:val="single" w:sz="8" w:color="0000EE"/>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40" w:type="dxa"/>
            <w:vAlign w:val="bottom"/>
            <w:gridSpan w:val="14"/>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w:t>
            </w:r>
          </w:p>
        </w:tc>
        <w:tc>
          <w:tcPr>
            <w:tcW w:w="460" w:type="dxa"/>
            <w:vAlign w:val="bottom"/>
            <w:gridSpan w:val="1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5800" w:type="dxa"/>
            <w:vAlign w:val="bottom"/>
            <w:tcBorders>
              <w:right w:val="single" w:sz="8" w:color="0000EE"/>
            </w:tcBorders>
            <w:gridSpan w:val="14"/>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1350, Chapter 63 of Title 18, United States Code, as adopted pursuant to</w:t>
            </w:r>
          </w:p>
        </w:tc>
        <w:tc>
          <w:tcPr>
            <w:tcW w:w="520" w:type="dxa"/>
            <w:vAlign w:val="bottom"/>
            <w:gridSpan w:val="13"/>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5"/>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5800" w:type="dxa"/>
            <w:vAlign w:val="bottom"/>
            <w:tcBorders>
              <w:right w:val="single" w:sz="8" w:color="0000EE"/>
            </w:tcBorders>
            <w:gridSpan w:val="14"/>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40" w:type="dxa"/>
            <w:vAlign w:val="bottom"/>
            <w:gridSpan w:val="20"/>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Domino's Pizza, Inc. Policy for Recoupment of Incentive Compensation Effective as of October 2, 2023.</w:t>
            </w:r>
          </w:p>
        </w:tc>
        <w:tc>
          <w:tcPr>
            <w:tcW w:w="2540" w:type="dxa"/>
            <w:vAlign w:val="bottom"/>
            <w:gridSpan w:val="20"/>
          </w:tcPr>
          <w:p>
            <w:pPr>
              <w:spacing w:after="0"/>
              <w:rPr>
                <w:sz w:val="18"/>
                <w:szCs w:val="18"/>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9"/>
        </w:trPr>
        <w:tc>
          <w:tcPr>
            <w:tcW w:w="1120" w:type="dxa"/>
            <w:vAlign w:val="bottom"/>
          </w:tcPr>
          <w:p>
            <w:pPr>
              <w:spacing w:after="0"/>
              <w:rPr>
                <w:sz w:val="19"/>
                <w:szCs w:val="19"/>
                <w:color w:val="auto"/>
              </w:rPr>
            </w:pP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1140" w:hanging="1119"/>
        <w:spacing w:after="0"/>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management contract or compensatory plan or arrangement required to be filed as an exhibit to this report pursuant to Item 15(b) of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THE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6"/>
        </w:trPr>
        <w:tc>
          <w:tcPr>
            <w:tcW w:w="18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8"/>
        </w:trPr>
        <w:tc>
          <w:tcPr>
            <w:tcW w:w="7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0"/>
        </w:trPr>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800" w:type="dxa"/>
            <w:vAlign w:val="bottom"/>
            <w:shd w:val="clear" w:color="auto" w:fill="CFF0FC"/>
          </w:tcPr>
          <w:p>
            <w:pPr>
              <w:spacing w:after="0"/>
              <w:rPr>
                <w:sz w:val="18"/>
                <w:szCs w:val="18"/>
                <w:color w:val="auto"/>
              </w:rPr>
            </w:pPr>
          </w:p>
        </w:tc>
        <w:tc>
          <w:tcPr>
            <w:tcW w:w="5940" w:type="dxa"/>
            <w:vAlign w:val="bottom"/>
            <w:gridSpan w:val="4"/>
            <w:shd w:val="clear" w:color="auto" w:fill="CFF0FC"/>
          </w:tcPr>
          <w:p>
            <w:pPr>
              <w:jc w:val="center"/>
              <w:ind w:right="198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1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940" w:type="dxa"/>
            <w:vAlign w:val="bottom"/>
            <w:tcBorders>
              <w:top w:val="single" w:sz="8" w:color="auto"/>
            </w:tcBorders>
            <w:gridSpan w:val="3"/>
          </w:tcPr>
          <w:p>
            <w:pPr>
              <w:spacing w:after="0"/>
              <w:rPr>
                <w:sz w:val="20"/>
                <w:szCs w:val="20"/>
                <w:color w:val="auto"/>
              </w:rPr>
            </w:pPr>
          </w:p>
        </w:tc>
        <w:tc>
          <w:tcPr>
            <w:tcW w:w="20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 net deficit of subsidiaries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4,070,367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Due to subsidiary</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4,070,367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170,000,000 shares authorized;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gridSpan w:val="5"/>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34,726,182 in 2023 and 35,419,718 in 2022 issued and outstanding</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none issued</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(4,069,648 )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(4,194,418 )</w:t>
            </w:r>
          </w:p>
        </w:tc>
      </w:tr>
      <w:tr>
        <w:trPr>
          <w:trHeight w:val="243"/>
        </w:trPr>
        <w:tc>
          <w:tcPr>
            <w:tcW w:w="774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(3,867 )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(4,694 )</w:t>
            </w:r>
          </w:p>
        </w:tc>
      </w:tr>
      <w:tr>
        <w:trPr>
          <w:trHeight w:val="20"/>
        </w:trPr>
        <w:tc>
          <w:tcPr>
            <w:tcW w:w="180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(4,070,367 )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(4,189,065 )</w:t>
            </w:r>
          </w:p>
        </w:tc>
      </w:tr>
      <w:tr>
        <w:trPr>
          <w:trHeight w:val="276"/>
        </w:trPr>
        <w:tc>
          <w:tcPr>
            <w:tcW w:w="774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-2388235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-1420495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2"/>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earnings in subsidiaries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519,118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519,945</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450,389</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510,071</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-1951355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-1951355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-1626235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-1626235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-1626235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-667385</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-650240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-667385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-650240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6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435,551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458,679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538,741</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from subsidiaries</w:t>
            </w: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908,698</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6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908,698</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common stock dividends and equivalents</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(169,772 )</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(157,531 )</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(139,399 )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(269,025 )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(293,740 )</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(1,320,902 )</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(7,408 )</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tcPr>
          <w:p>
            <w:pPr>
              <w:spacing w:after="0"/>
              <w:rPr>
                <w:sz w:val="19"/>
                <w:szCs w:val="19"/>
                <w:color w:val="auto"/>
              </w:rPr>
            </w:pPr>
          </w:p>
        </w:tc>
      </w:tr>
      <w:tr>
        <w:trPr>
          <w:trHeight w:val="23"/>
        </w:trPr>
        <w:tc>
          <w:tcPr>
            <w:tcW w:w="6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(435,551 )</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(458,679 )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(1,447,439 )</w:t>
            </w:r>
          </w:p>
        </w:tc>
      </w:tr>
      <w:tr>
        <w:trPr>
          <w:trHeight w:val="23"/>
        </w:trPr>
        <w:tc>
          <w:tcPr>
            <w:tcW w:w="66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-1377950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-1377950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-478790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-478790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-179070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-179070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PARENT COMPANY FINANCIAL STATEMENTS</w:t>
      </w:r>
    </w:p>
    <w:p>
      <w:pPr>
        <w:spacing w:after="0" w:line="202"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and Basis of Presentation</w:t>
      </w:r>
    </w:p>
    <w:p>
      <w:pPr>
        <w:spacing w:after="0" w:line="134" w:lineRule="exact"/>
        <w:rPr>
          <w:sz w:val="20"/>
          <w:szCs w:val="20"/>
          <w:color w:val="auto"/>
        </w:rPr>
      </w:pPr>
    </w:p>
    <w:p>
      <w:pPr>
        <w:ind w:right="280" w:firstLine="562"/>
        <w:spacing w:after="0" w:line="260" w:lineRule="auto"/>
        <w:rPr>
          <w:sz w:val="20"/>
          <w:szCs w:val="20"/>
          <w:color w:val="auto"/>
        </w:rPr>
      </w:pPr>
      <w:r>
        <w:rPr>
          <w:rFonts w:ascii="Times New Roman" w:cs="Times New Roman" w:eastAsia="Times New Roman" w:hAnsi="Times New Roman"/>
          <w:sz w:val="18"/>
          <w:szCs w:val="18"/>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4" w:lineRule="exact"/>
        <w:rPr>
          <w:sz w:val="20"/>
          <w:szCs w:val="20"/>
          <w:color w:val="auto"/>
        </w:rPr>
      </w:pPr>
    </w:p>
    <w:p>
      <w:pPr>
        <w:ind w:right="480" w:firstLine="562"/>
        <w:spacing w:after="0" w:line="281" w:lineRule="auto"/>
        <w:rPr>
          <w:sz w:val="20"/>
          <w:szCs w:val="20"/>
          <w:color w:val="auto"/>
        </w:rPr>
      </w:pPr>
      <w:r>
        <w:rPr>
          <w:rFonts w:ascii="Times New Roman" w:cs="Times New Roman" w:eastAsia="Times New Roman" w:hAnsi="Times New Roman"/>
          <w:sz w:val="18"/>
          <w:szCs w:val="18"/>
          <w:color w:val="auto"/>
        </w:rPr>
        <w:t>The use of estimates is inherent in the preparation of financial statements in accordance with generally accepted accounting principles. Actual results could differ from those estimates.</w:t>
      </w:r>
    </w:p>
    <w:p>
      <w:pPr>
        <w:spacing w:after="0" w:line="186" w:lineRule="exact"/>
        <w:rPr>
          <w:sz w:val="20"/>
          <w:szCs w:val="20"/>
          <w:color w:val="auto"/>
        </w:rPr>
      </w:pPr>
    </w:p>
    <w:p>
      <w:pPr>
        <w:ind w:left="560" w:hanging="552"/>
        <w:spacing w:after="0"/>
        <w:tabs>
          <w:tab w:leader="none" w:pos="5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4"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During 2023, 2022 and 2021, the Parent Company received dividends from its subsidiaries primarily consisting of amounts received to pay dividends and repurchase common stock, and in 2021, such amounts were received in connection with the Company’s recapitalization transaction. See Note 3 to the Company’s consolidated financial statements as filed in this Form 10-K for a description of the Company's recapitalization transactions. In 2021 and in connection with the Company's recapitalization, the amount of dividends received was in excess of current year equity in earnings from its subsidiaries, and thus a portion of these dividends was considered to be a return of investment and is classified as a cash inflow from investing activities.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8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Sandeep Reddy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3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Russell J. Weiner</w:t>
            </w:r>
          </w:p>
        </w:tc>
        <w:tc>
          <w:tcPr>
            <w:tcW w:w="4160" w:type="dxa"/>
            <w:vAlign w:val="bottom"/>
          </w:tcPr>
          <w:p>
            <w:pPr>
              <w:spacing w:after="0"/>
              <w:rPr>
                <w:sz w:val="20"/>
                <w:szCs w:val="20"/>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J. Weiner</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2"/>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c>
          <w:tcPr>
            <w:tcW w:w="4160" w:type="dxa"/>
            <w:vAlign w:val="bottom"/>
          </w:tcPr>
          <w:p>
            <w:pPr>
              <w:spacing w:after="0"/>
              <w:rPr>
                <w:sz w:val="24"/>
                <w:szCs w:val="24"/>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Reddy</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2"/>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Jessica L. Parrish</w:t>
            </w:r>
          </w:p>
        </w:tc>
        <w:tc>
          <w:tcPr>
            <w:tcW w:w="4160" w:type="dxa"/>
            <w:vAlign w:val="bottom"/>
          </w:tcPr>
          <w:p>
            <w:pPr>
              <w:spacing w:after="0"/>
              <w:rPr>
                <w:sz w:val="24"/>
                <w:szCs w:val="24"/>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Jessica L. Parrish</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Vice President, Chief Accounting Officer and Treasurer</w:t>
            </w:r>
          </w:p>
        </w:tc>
      </w:t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 Brandon</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Brandon</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Andrew Ballard</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Andrew Ballard</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B. Balson</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 Balson</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Corie S. Barry</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Corie S. Barry</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F. Cantor</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F. Cantor</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L. Federico</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 Federico</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Goldman</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Goldman</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9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Patricia E. Lopez</w:t>
            </w:r>
          </w:p>
        </w:tc>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E. Lopez</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4160" w:type="dxa"/>
            <w:vAlign w:val="bottom"/>
          </w:tcPr>
          <w:p>
            <w:pPr>
              <w:spacing w:after="0"/>
              <w:rPr>
                <w:sz w:val="21"/>
                <w:szCs w:val="21"/>
                <w:color w:val="auto"/>
              </w:rPr>
            </w:pPr>
          </w:p>
        </w:tc>
      </w:tr>
      <w:tr>
        <w:trPr>
          <w:trHeight w:val="445"/>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829"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5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following description of the securities of Domino’s Pizza, Inc. (the “Company” or “our”) is a summary and does not purport to be complete. It is subject to and qualified in its entirety by reference to our second restated certificate of incorporation, as amended (“certificate of incorporation”), our fourth amended and restated by-laws (“by-laws”), our Annual Report on Form 10-K and the applicable provisions of the Delaware General Corporation Law, as amended (the “DGCL”).</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160,000,000 shares of common stock, $0.01 par value per share, 10,000,000 shares of non-voting common stock, $0.01 par value per share, and 5,000,000 shares of undesignated preferred stock, $0.01 par value per share (the “Preferred Stock”). The Preferred Stock is issuable in one or more classes and series, with powers, preferences, rights, restrictions and qualifications as may be established by the board of directors of the Company without stockholder approval, including without limitation thereof, dividend rights, conversion rights, redemption privileges and liquidation preferences, any or all of which may be greater than the rights of the common stock. No shares of Preferred Stock are outstanding.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Each outstanding share of common stock (other than shares of non-voting common stock held by certain securityholders that acquired these shares, or options exercisable for such shares, prior to the Company’s initial public offering in 2004) entitles its holder to one vote on all matters submitted to a vote of our stockholders, including the election of directors. There are no cumulative voting rights. Our voting common stock votes together as one class on all matters.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 of Non-Voting Common Stock</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All shares of non-voting common stock are convertible into shares of our common stock upon transfer to a non-affiliate of the holder or otherwise in a brokerage transaction. We do not expect to issue any additional shares of our non-voting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Subject to the rights of the holders of any Preferred Stock which may be outstanding from time to time, the holders of common stock are entitled to receive dividends as, when and if dividends are declared by our board of directors out of assets legally available for the payment of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our affairs, whether voluntary or involuntary, after payment of our liabilities and obligations to creditors and any holders of Preferred Stock, our remaining assets will be distributed ratably among the holders of shares of common stock on a per share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jc w:val="both"/>
        <w:ind w:right="380" w:firstLine="509"/>
        <w:spacing w:after="0" w:line="265" w:lineRule="auto"/>
        <w:rPr>
          <w:sz w:val="20"/>
          <w:szCs w:val="20"/>
          <w:color w:val="auto"/>
        </w:rPr>
      </w:pPr>
      <w:r>
        <w:rPr>
          <w:rFonts w:ascii="Times New Roman" w:cs="Times New Roman" w:eastAsia="Times New Roman" w:hAnsi="Times New Roman"/>
          <w:sz w:val="18"/>
          <w:szCs w:val="18"/>
          <w:color w:val="auto"/>
        </w:rPr>
        <w:t>Our common stock has no preemptive, redemption, conversion or subscription rights. No sinking fund provisions are applicable to our common stock. The rights, powers, preferences and privileges of holders of our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1" w:name="page102"/>
    <w:bookmarkEnd w:id="10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“DPZ.”</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of our Certificate of Incorporation and By-laws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our board of directors. These provisions include elimination of stockholder action by written consents, elimination of the ability of stockholders to call special meetings, advance notice procedures for stockholder proposals and supermajority vote requirements for amendments to our certificate of incorporation and by-laws.</w:t>
      </w:r>
    </w:p>
    <w:p>
      <w:pPr>
        <w:spacing w:after="0" w:line="18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Our certificate of incorporation provides for each member of our board of directors to be elected annually and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removed, with or without cause, upon the affirmative vote of the holders of a majority of our then outstanding capital stock entitled to vote at an election of directors.</w:t>
      </w:r>
    </w:p>
    <w:p>
      <w:pPr>
        <w:spacing w:after="0" w:line="172" w:lineRule="exact"/>
        <w:rPr>
          <w:sz w:val="20"/>
          <w:szCs w:val="20"/>
          <w:color w:val="auto"/>
        </w:rPr>
      </w:pPr>
    </w:p>
    <w:p>
      <w:pPr>
        <w:jc w:val="both"/>
        <w:ind w:right="1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Elimination of Stockholder Action Through Written Consent</w:t>
      </w:r>
      <w:r>
        <w:rPr>
          <w:rFonts w:ascii="Times New Roman" w:cs="Times New Roman" w:eastAsia="Times New Roman" w:hAnsi="Times New Roman"/>
          <w:sz w:val="18"/>
          <w:szCs w:val="18"/>
          <w:color w:val="auto"/>
        </w:rPr>
        <w:t>. Our by-laws provide that stockholder action can be taken only at an annual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and cannot be taken by written consent in lieu of a meeting.</w:t>
      </w:r>
    </w:p>
    <w:p>
      <w:pPr>
        <w:spacing w:after="0" w:line="159" w:lineRule="exact"/>
        <w:rPr>
          <w:sz w:val="20"/>
          <w:szCs w:val="20"/>
          <w:color w:val="auto"/>
        </w:rPr>
      </w:pPr>
    </w:p>
    <w:p>
      <w:pPr>
        <w:jc w:val="both"/>
        <w:ind w:right="20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Elimination of the Ability to Call Special Meetings</w:t>
      </w:r>
      <w:r>
        <w:rPr>
          <w:rFonts w:ascii="Times New Roman" w:cs="Times New Roman" w:eastAsia="Times New Roman" w:hAnsi="Times New Roman"/>
          <w:sz w:val="17"/>
          <w:szCs w:val="17"/>
          <w:color w:val="auto"/>
        </w:rPr>
        <w:t>. Our certificate of incorporation and by-laws provide that, except as otherwise required by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special meetings of our stockholders can only be called pursuant to a resolution adopted by a majority of our board of directors or by our chief executive officer or the chairman of our board of directors. Stockholders are not permitted to call a special meeting or to require our board to call a special meeting.</w:t>
      </w:r>
    </w:p>
    <w:p>
      <w:pPr>
        <w:spacing w:after="0" w:line="15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Advanced Notice Procedures for Stockholder Proposals</w:t>
      </w:r>
      <w:r>
        <w:rPr>
          <w:rFonts w:ascii="Times New Roman" w:cs="Times New Roman" w:eastAsia="Times New Roman" w:hAnsi="Times New Roman"/>
          <w:sz w:val="18"/>
          <w:szCs w:val="18"/>
          <w:color w:val="auto"/>
        </w:rPr>
        <w:t>. Our by-laws establish an advance notice procedure for stockholder proposals to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 annual meeting of our stockholders, including proposed nominations of persons for election to our board.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has provided us with the other information required under our by-laws. Although our by-laws do not give our board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Amendments to the Certificate of Incorporation or By-laws</w:t>
      </w:r>
      <w:r>
        <w:rPr>
          <w:rFonts w:ascii="Times New Roman" w:cs="Times New Roman" w:eastAsia="Times New Roman" w:hAnsi="Times New Roman"/>
          <w:sz w:val="18"/>
          <w:szCs w:val="18"/>
          <w:color w:val="auto"/>
        </w:rPr>
        <w:t>. Our certificate of incorporation and by-laws provide that the affirmative vote of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at least 75% of the total votes eligible to be cast in the election of directors is required to amend, alter, change or repeal some of their provisions, unless, in certain circumstances, such amendment or change has been approved by a majority of those directors who are not affiliated or associated with any person or entity holding 10% or more of the voting power of our outstanding capital stock or who have been determined by us to be independent under the applicable listing standards of the New York Stock Exchange. This requirement of a super-majority vote to approve amendments to our certificate of incorporation and by-laws could enable a minority of our stockholders to exercise veto power over any such amendments.</w:t>
      </w:r>
    </w:p>
    <w:p>
      <w:pPr>
        <w:spacing w:after="0" w:line="186" w:lineRule="exact"/>
        <w:rPr>
          <w:sz w:val="20"/>
          <w:szCs w:val="20"/>
          <w:color w:val="auto"/>
        </w:rPr>
      </w:pPr>
    </w:p>
    <w:p>
      <w:pPr>
        <w:ind w:right="4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61"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Pursuant to our by-laws, a stockholder, or a group of up to 20 stockholders, owning 3% or more of the Company’s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continuously for at least three years may nominate, and the Company will include in its proxy materials for any annual meeting of stockholders, nominees for director constituting up to 20% of the Company’s board (rounded down to the nearest whole number, but not less than two individuals). To nominate an individual for director, an eligible stockholder’s notice must be received by the Secretary of the Company at the Company’s principal executive offices no earlier than 120 days and no later than 90 days before the first anniversary of the date that the Company issued its proxy statement to stockholders for the previous year’s annual meeting of stockholders. The by-laws also specify disclosures, agreements and representations required to be submitted to the Company by each nominating stockholder and each proxy access nominee and circumstances in which (i) the maximum number of proxy access nominees shall be reduced or (ii) the board will not be required to include any proxy access nominees in the Company’s proxy statement for a particular annual meeting of stockholders. The stockholder(s) and the nominee(s) are also required to satisfy the other requirements specified in the by-laws.</w:t>
      </w:r>
    </w:p>
    <w:p>
      <w:pPr>
        <w:spacing w:after="0" w:line="191"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We are subject to the “business combination” provisions of the DGCL. In general,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prohibit a publicly-held Delaware corporation from engaging in any “business combination” transactions with any “interested stockholder” for a period of three years after the date on which the person became an “interested stockholder,” unless:</w:t>
      </w:r>
    </w:p>
    <w:p>
      <w:pPr>
        <w:spacing w:after="0" w:line="93" w:lineRule="exact"/>
        <w:rPr>
          <w:sz w:val="20"/>
          <w:szCs w:val="20"/>
          <w:color w:val="auto"/>
        </w:rPr>
      </w:pPr>
    </w:p>
    <w:p>
      <w:pPr>
        <w:ind w:left="1040" w:right="460" w:hanging="452"/>
        <w:spacing w:after="0" w:line="28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“interested stockholder” obtaining such status;</w:t>
      </w:r>
    </w:p>
    <w:p>
      <w:pPr>
        <w:spacing w:after="0" w:line="95" w:lineRule="exact"/>
        <w:rPr>
          <w:rFonts w:ascii="Times New Roman" w:cs="Times New Roman" w:eastAsia="Times New Roman" w:hAnsi="Times New Roman"/>
          <w:sz w:val="18"/>
          <w:szCs w:val="18"/>
          <w:color w:val="auto"/>
        </w:rPr>
      </w:pPr>
    </w:p>
    <w:p>
      <w:pPr>
        <w:ind w:left="1040" w:right="40" w:hanging="452"/>
        <w:spacing w:after="0" w:line="272" w:lineRule="auto"/>
        <w:tabs>
          <w:tab w:leader="none" w:pos="10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w:t>
      </w:r>
    </w:p>
    <w:p>
      <w:pPr>
        <w:ind w:left="104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12" w:lineRule="exact"/>
        <w:rPr>
          <w:rFonts w:ascii="Times New Roman" w:cs="Times New Roman" w:eastAsia="Times New Roman" w:hAnsi="Times New Roman"/>
          <w:sz w:val="17"/>
          <w:szCs w:val="17"/>
          <w:color w:val="auto"/>
        </w:rPr>
      </w:pPr>
    </w:p>
    <w:p>
      <w:pPr>
        <w:ind w:left="1040" w:hanging="452"/>
        <w:spacing w:after="0" w:line="25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outstanding voting stock which is not owned by the “interested stockholder.”</w:t>
      </w:r>
    </w:p>
    <w:p>
      <w:pPr>
        <w:spacing w:after="0" w:line="20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However, Bain Capital, LLC and its affiliates will not be deemed to be “interested stockholders” regardless of the percentage of our voting stock owned by them. The statute could prohibit or delay mergers or other takeover or change in control attempts with respect to us and, accordingly, may discourage attempts to acquire us.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10.54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September 21, 2020 and will become effective as of</w:t>
      </w:r>
    </w:p>
    <w:p>
      <w:pPr>
        <w:spacing w:after="0" w:line="1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12:00 AM Midnight on October 2,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Domino’s Pizza LLC, a Michigan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the one hand, and Kelly Garcia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on the other hand.</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2" w:lineRule="exact"/>
        <w:rPr>
          <w:sz w:val="20"/>
          <w:szCs w:val="20"/>
          <w:color w:val="auto"/>
        </w:rPr>
      </w:pPr>
    </w:p>
    <w:p>
      <w:pPr>
        <w:ind w:left="1240" w:hanging="430"/>
        <w:spacing w:after="0"/>
        <w:tabs>
          <w:tab w:leader="none" w:pos="12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experience and expertise required by the Company and its Affiliates.</w:t>
      </w:r>
    </w:p>
    <w:p>
      <w:pPr>
        <w:spacing w:after="0" w:line="232" w:lineRule="exact"/>
        <w:rPr>
          <w:rFonts w:ascii="Times New Roman" w:cs="Times New Roman" w:eastAsia="Times New Roman" w:hAnsi="Times New Roman"/>
          <w:sz w:val="22"/>
          <w:szCs w:val="22"/>
          <w:color w:val="auto"/>
        </w:rPr>
      </w:pPr>
    </w:p>
    <w:p>
      <w:pPr>
        <w:ind w:left="1500" w:hanging="690"/>
        <w:spacing w:after="0" w:line="244" w:lineRule="auto"/>
        <w:tabs>
          <w:tab w:leader="none" w:pos="12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hereinafter set forth, the Company therefore wishes to employ the Executive as its Executive Vice President and Chief Technology Officer, and the Executive wishes to accept such employment.</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for valid consideration received, the parties agree as follows:</w:t>
      </w:r>
    </w:p>
    <w:p>
      <w:pPr>
        <w:spacing w:after="0" w:line="232" w:lineRule="exact"/>
        <w:rPr>
          <w:sz w:val="20"/>
          <w:szCs w:val="20"/>
          <w:color w:val="auto"/>
        </w:rPr>
      </w:pPr>
    </w:p>
    <w:p>
      <w:pPr>
        <w:ind w:left="1500" w:hanging="690"/>
        <w:spacing w:after="0" w:line="258" w:lineRule="auto"/>
        <w:tabs>
          <w:tab w:leader="none" w:pos="12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Subject to the terms and conditions set forth in this Agreement, the Company offers and the Executive accepts employment hereunder effective as of the Effective Date.</w:t>
      </w:r>
    </w:p>
    <w:p>
      <w:pPr>
        <w:spacing w:after="0" w:line="184" w:lineRule="exact"/>
        <w:rPr>
          <w:rFonts w:ascii="Times New Roman" w:cs="Times New Roman" w:eastAsia="Times New Roman" w:hAnsi="Times New Roman"/>
          <w:sz w:val="22"/>
          <w:szCs w:val="22"/>
          <w:color w:val="auto"/>
        </w:rPr>
      </w:pPr>
    </w:p>
    <w:p>
      <w:pPr>
        <w:ind w:left="1500" w:hanging="690"/>
        <w:spacing w:after="0" w:line="258" w:lineRule="auto"/>
        <w:tabs>
          <w:tab w:leader="none" w:pos="123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shall commence on the Effective Date and shall remain in effect for an indefinite time until terminated by either party as set forth in Section 5 hereof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and Performance</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Offices</w:t>
      </w:r>
      <w:r>
        <w:rPr>
          <w:rFonts w:ascii="Times New Roman" w:cs="Times New Roman" w:eastAsia="Times New Roman" w:hAnsi="Times New Roman"/>
          <w:sz w:val="22"/>
          <w:szCs w:val="22"/>
          <w:color w:val="auto"/>
        </w:rPr>
        <w:t>. During the Term, the Executive shall serve the Company as its Executive Vice President and Chief Technology Officer. The Executive shall have such other powers, duties and responsibilities consistent with the Executive’s position as Executive Vice President and Chief Technology Officer as may from time to time be prescribed by the Chief Executive Officer of the Company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 the discharge of his/her duties and responsibilities hereunder. The Executive shall not engage in any other business activity or serve in any industry, trade, professional, governmental, political, charitable or academic position during the Term, except for such directorships or other positions which he/she currently holds and has disclosed to the CEO on Exhibit A hereof and except as otherwise may be approved in advance by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4" w:name="page105"/>
    <w:bookmarkEnd w:id="104"/>
    <w:p>
      <w:pPr>
        <w:ind w:left="690" w:hanging="690"/>
        <w:spacing w:after="0" w:line="244" w:lineRule="auto"/>
        <w:tabs>
          <w:tab w:leader="none" w:pos="4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spacing w:after="0" w:line="199" w:lineRule="exact"/>
        <w:rPr>
          <w:sz w:val="20"/>
          <w:szCs w:val="20"/>
          <w:color w:val="auto"/>
        </w:rPr>
      </w:pPr>
    </w:p>
    <w:p>
      <w:pPr>
        <w:jc w:val="both"/>
        <w:ind w:left="690"/>
        <w:spacing w:after="0" w:line="237"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the Executive a base salary at the rate of Four Hundred and Twenty Five Thousand Dollars ($425,000) per year, payable in accordance with the payroll practices of the Company for its executives and subject to such increases as the Board of Directors of the Company or 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its sole discretion may determine from time to time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690"/>
        <w:spacing w:after="0" w:line="23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 Compensation</w:t>
      </w:r>
      <w:r>
        <w:rPr>
          <w:rFonts w:ascii="Times New Roman" w:cs="Times New Roman" w:eastAsia="Times New Roman" w:hAnsi="Times New Roman"/>
          <w:sz w:val="22"/>
          <w:szCs w:val="22"/>
          <w:color w:val="auto"/>
        </w:rPr>
        <w:t>. During the Term, the Executive shall participate in the Company’s Senior Executive Annual Incentive Plan or such other annual bonus plan maintained by the Company for its executives, as it may be amended from time to time pursuant to the terms thereof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shall be eligible for annual bonus awards thereunder (each annual bonus award, a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For purposes of the Plan, the Executive shall be eligible for a Bonus, and the Executive’s specified percentage (the “Specified Percentage”) for such Bonus shall initially be one hundred percent (100%) of Base Salary and shall thereafter be established annually by the Board of Directors (the “Board”) or, if the Board delegates the Specified Percentage determination process to a Committee of the Board, by such Committee. In the event the Board or Committee does not approve the Executive’s Specified Percentage within ninety (90) days of the beginning of a fiscal year, such Specified Percentage shall be the same as the immediately preceding year. Whenever any Bonus payable to the Executive is stated in this Agreement to be prorated for any period of service less than a full year, such Bonus shall be prorated by multiplying (x) the amount of the Bonus otherwise earned and payable for the applicable fiscal year in accordance with this Sub-Section 4.2 by (y) a fraction, the denominator of which shall be three hundred and sixty five (365) and the numerator of which shall be the number of days during the applicable fiscal year for which the Executive was employed by the Company as its Executive Vice President and Chief Technology Officer. The Executive agrees and understands that any prorated Bonus payments will be made only after determination of the achievement of the applicable Performance Measures (as defined in the Plan or other performance objectives associated with the Bonus) by the Board or the Compensation Committee in accordance with the terms of the Plan. Any compensation paid to the Executive as a Bonus shall be in addition to the Base Salary.</w:t>
      </w:r>
    </w:p>
    <w:p>
      <w:pPr>
        <w:spacing w:after="0" w:line="206" w:lineRule="exact"/>
        <w:rPr>
          <w:sz w:val="20"/>
          <w:szCs w:val="20"/>
          <w:color w:val="auto"/>
        </w:rPr>
      </w:pPr>
    </w:p>
    <w:p>
      <w:pPr>
        <w:jc w:val="both"/>
        <w:ind w:left="690"/>
        <w:spacing w:after="0" w:line="23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Paid Time Off (PTO)</w:t>
      </w:r>
      <w:r>
        <w:rPr>
          <w:rFonts w:ascii="Times New Roman" w:cs="Times New Roman" w:eastAsia="Times New Roman" w:hAnsi="Times New Roman"/>
          <w:sz w:val="22"/>
          <w:szCs w:val="22"/>
          <w:color w:val="auto"/>
        </w:rPr>
        <w:t>. During the Term, the Executive shall be entitled to four (4) weeks of vacation per calendar year, to be taken at such times and intervals as shall be determined by the Executive, subject to the reasonable business needs of the Company. The Executive may not accumulate or carry over from one (1) calendar year to another any unused, accrued vacation time. The Executive shall not be entitled to compensation for vacation time not taken. In addition, the Executive shall be entitled to five (5) days of emergency/medical PTO per calendar year.</w:t>
      </w:r>
    </w:p>
    <w:p>
      <w:pPr>
        <w:spacing w:after="0" w:line="355"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05" w:name="page106"/>
    <w:bookmarkEnd w:id="105"/>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and subject to any contribution 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w:t>
      </w:r>
    </w:p>
    <w:p>
      <w:pPr>
        <w:spacing w:after="0" w:line="4" w:lineRule="exact"/>
        <w:rPr>
          <w:sz w:val="20"/>
          <w:szCs w:val="20"/>
          <w:color w:val="auto"/>
        </w:rPr>
      </w:pPr>
    </w:p>
    <w:p>
      <w:pPr>
        <w:jc w:val="both"/>
        <w:ind w:left="690" w:firstLine="5"/>
        <w:spacing w:after="0" w:line="233" w:lineRule="auto"/>
        <w:tabs>
          <w:tab w:leader="none" w:pos="101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applicable policies of the Company. The Company may alter, modify, add to or delete any aspects of its employee benefit plans at any time as the Board, in its sole judgment, determines to be appropriate. Additionally, the Executive shall receive a standard relocation package at the beginning of the Executive’s employment for relocation of Executive to the Ann Arbor, Michigan area, in accordance with the Company’s policies in relation to its executive officers.</w:t>
      </w:r>
    </w:p>
    <w:p>
      <w:pPr>
        <w:spacing w:after="0" w:line="204" w:lineRule="exact"/>
        <w:rPr>
          <w:sz w:val="20"/>
          <w:szCs w:val="20"/>
          <w:color w:val="auto"/>
        </w:rPr>
      </w:pPr>
    </w:p>
    <w:p>
      <w:pPr>
        <w:jc w:val="both"/>
        <w:ind w:left="690"/>
        <w:spacing w:after="0" w:line="262"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including without limitation any portion thereof intended to comply with Section 409A of the Internal Revenue Code of 1986, as amended, and the regulations and other guidance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(ii) such reasonable substantiation and documentation requirements as may be specified by the Board or the CEO from time to time.</w:t>
      </w:r>
    </w:p>
    <w:p>
      <w:pPr>
        <w:spacing w:after="0" w:line="184" w:lineRule="exact"/>
        <w:rPr>
          <w:sz w:val="20"/>
          <w:szCs w:val="20"/>
          <w:color w:val="auto"/>
        </w:rPr>
      </w:pPr>
    </w:p>
    <w:p>
      <w:pPr>
        <w:jc w:val="both"/>
        <w:ind w:left="690"/>
        <w:spacing w:after="0" w:line="23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Airline Clubs</w:t>
      </w:r>
      <w:r>
        <w:rPr>
          <w:rFonts w:ascii="Times New Roman" w:cs="Times New Roman" w:eastAsia="Times New Roman" w:hAnsi="Times New Roman"/>
          <w:sz w:val="22"/>
          <w:szCs w:val="22"/>
          <w:color w:val="auto"/>
        </w:rPr>
        <w:t>. Upon receiving the prior written approval of the CEO authorizing the Executive to join a particular airline club, the Company shall pay or reimburse the Executive for dues for not less than two (2) nor more than four (4) airline clubs, provided that such club memberships serve a direct business purpose and subject to such reasonable substantiation and documentation requirements as to cost and purpose as may be specified by the Company from time to time.</w:t>
      </w:r>
    </w:p>
    <w:p>
      <w:pPr>
        <w:spacing w:after="0" w:line="207" w:lineRule="exact"/>
        <w:rPr>
          <w:sz w:val="20"/>
          <w:szCs w:val="20"/>
          <w:color w:val="auto"/>
        </w:rPr>
      </w:pPr>
    </w:p>
    <w:p>
      <w:pPr>
        <w:jc w:val="both"/>
        <w:ind w:left="690"/>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Physicals</w:t>
      </w:r>
      <w:r>
        <w:rPr>
          <w:rFonts w:ascii="Times New Roman" w:cs="Times New Roman" w:eastAsia="Times New Roman" w:hAnsi="Times New Roman"/>
          <w:sz w:val="22"/>
          <w:szCs w:val="22"/>
          <w:color w:val="auto"/>
        </w:rPr>
        <w:t>. During the Term, the Company shall annually pay for or reimburse the Executive for the cost of a physical examination and health evaluation performed by a licensed medical doctor, subject to such reasonable substantiation and documentation requirements as to cost as may be specified by the Board or the Company from time to time.</w:t>
      </w:r>
    </w:p>
    <w:p>
      <w:pPr>
        <w:spacing w:after="0" w:line="206" w:lineRule="exact"/>
        <w:rPr>
          <w:sz w:val="20"/>
          <w:szCs w:val="20"/>
          <w:color w:val="auto"/>
        </w:rPr>
      </w:pPr>
    </w:p>
    <w:p>
      <w:pPr>
        <w:ind w:left="690" w:hanging="690"/>
        <w:spacing w:after="0" w:line="235" w:lineRule="auto"/>
        <w:tabs>
          <w:tab w:leader="none" w:pos="4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Severance Benefits</w:t>
      </w:r>
      <w:r>
        <w:rPr>
          <w:rFonts w:ascii="Times New Roman" w:cs="Times New Roman" w:eastAsia="Times New Roman" w:hAnsi="Times New Roman"/>
          <w:sz w:val="22"/>
          <w:szCs w:val="22"/>
          <w:color w:val="auto"/>
        </w:rPr>
        <w:t>. The Executive’s employment hereunder shall continue until terminated under the circumstances described in this Section 5. All references herein to termination of employment, separation from service and similar or correlative terms, insofar as they are relevant to the payment of any benefit that could constitute nonqualified deferred compensation subject to Section 409A, shall be construed to require a “separation from service” within the meaning of Section 409A (after giving effect to the presumptions contained therein), and the Company and the Executive shall use reasonable efforts to take all steps necessary (including with regard to any post-termination services by the Executive)</w:t>
      </w:r>
    </w:p>
    <w:p>
      <w:pPr>
        <w:spacing w:after="0" w:line="140"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06" w:name="page107"/>
    <w:bookmarkEnd w:id="106"/>
    <w:p>
      <w:pPr>
        <w:ind w:left="380"/>
        <w:spacing w:after="0"/>
        <w:rPr>
          <w:sz w:val="20"/>
          <w:szCs w:val="20"/>
          <w:color w:val="auto"/>
        </w:rPr>
      </w:pPr>
      <w:r>
        <w:rPr>
          <w:rFonts w:ascii="Times New Roman" w:cs="Times New Roman" w:eastAsia="Times New Roman" w:hAnsi="Times New Roman"/>
          <w:sz w:val="22"/>
          <w:szCs w:val="22"/>
          <w:color w:val="auto"/>
        </w:rPr>
        <w:t>to ensure that any such termination constitutes a “separation from service” as so defined.</w:t>
      </w:r>
    </w:p>
    <w:p>
      <w:pPr>
        <w:spacing w:after="0" w:line="232"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Retirement or Death</w:t>
      </w:r>
      <w:r>
        <w:rPr>
          <w:rFonts w:ascii="Times New Roman" w:cs="Times New Roman" w:eastAsia="Times New Roman" w:hAnsi="Times New Roman"/>
          <w:sz w:val="22"/>
          <w:szCs w:val="22"/>
          <w:color w:val="auto"/>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within thirty (30) days following death (or at such earlier time as may be required by applicable law), any Base Salary earned but unpaid through the date of such retirement or death, and any Bonus for the fiscal year preceding the year in which such retirement or death occurs that was earned but has not yet been paid and, at the times the Company pays its executives bonuses in accordance with its general payroll policies, but no later than two and one half (2½) months following the fiscal year in which earned, an amount equal to that portion of any Bonus earned but unpaid during the fiscal year of such retirement or death (prorated in accordance with Section 4.2).</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one hundred twenty (120) days during any period of three hundred sixty-five (365) consecutive calendar days; provided, that if the Executive incurs a leave of absence due to any medically determinable physical or mental impairment that can be expected to result in death or can be expected to last for a continuous period of not less than six (6) months, the Executive, unless he/she earlier returns to service (at a level of service inconsistent with a separation from service under Section 409A) or his/her employment is earlier terminated, shall in all events be deemed to have separated from service not later than by the end of the twenty-ninth (29th) month, commencing with the commencement of such leave of absence.</w:t>
      </w:r>
    </w:p>
    <w:p>
      <w:pPr>
        <w:spacing w:after="0" w:line="208"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and applicable law, until the Executive becomes disabled within the meaning of Section 409A or until the termination of his/her employment, whichever shall first occur. Upon becoming so disabled, or upon such termination, whichever shall first occur, the Company shall promptly and in all events within thirty (30) days (or at such earlier time as may be required by applicable law), pay to the Executive any Base Salary earned but unpaid</w:t>
      </w:r>
    </w:p>
    <w:p>
      <w:pPr>
        <w:spacing w:after="0" w:line="1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07" w:name="page108"/>
    <w:bookmarkEnd w:id="107"/>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through the date of such eligibility or termination and any Bonus for the fiscal year preceding the year of such eligibility or termination that was earned but unpaid. At the times the Company pays its executives bonuses generally, but no later than two and one half (2 ½) months after the end of the fiscal year in which the Bonus is earned, the Company shall pay the Executive an amount equal to that portion of any Bonus earned but unpaid during the fiscal year of such eligibility or termination (prorated in accordance with Section 4.2). During the eighteen (18)-month period from the date of such disability (as determined under Section 409A), the Company shall pay the Executive, at its regular pay periods, an amount equal to the difference between the Base Salary and the amounts of any disability income benefits that the Executive receives in respect of such period.</w:t>
      </w:r>
    </w:p>
    <w:p>
      <w:pPr>
        <w:spacing w:after="0" w:line="207"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and applicable law, until the termination of his/her employment. During the eighteen (18)-month period from the date of disability (as determined under Section 409A) or termination, whichever shall first occur, the Company shall contribute to the cost of the Executive’s participation in group medical plans of the Company, provided that the Executive is entitled to continue such participation under applicable law and plan terms.</w:t>
      </w:r>
    </w:p>
    <w:p>
      <w:pPr>
        <w:spacing w:after="0" w:line="207"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5.2.4 If any question shall arise as to whether during any period the Executive is disabled through any illness, injury, accident or condition of either a physical or psychological nature so as to be unable to perform substantially all of his/her duties and responsibilities hereunder, or for purposes of Section 409A,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207"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The Company may terminate the Executive’s employment hereunder for Cause at any time upon notice to the Executive setting forth in reasonable detail the nature of such Cause. The following events or conditions shall constitute “Cause” for termination: (i) the 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w:t>
      </w:r>
    </w:p>
    <w:p>
      <w:pPr>
        <w:spacing w:after="0" w:line="1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08" w:name="page109"/>
    <w:bookmarkEnd w:id="108"/>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of its Affiliates; or (iv) the conviction of the Executive of, or plea by the Executive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204"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at any time upon notice to the Executive. In the event of such termination, the Company shall pay the Executive: (i) promptly following termination and in all events within thirty (30) days thereof (or at such earlier time as may be required by applicable law), any Base Salary earned but unpaid through the date of termination, plus (ii) severance payments for a period to end twelve (12) months after the termination date (the “</w:t>
      </w:r>
      <w:r>
        <w:rPr>
          <w:rFonts w:ascii="Times New Roman" w:cs="Times New Roman" w:eastAsia="Times New Roman" w:hAnsi="Times New Roman"/>
          <w:sz w:val="20"/>
          <w:szCs w:val="20"/>
          <w:u w:val="single" w:color="auto"/>
          <w:color w:val="auto"/>
        </w:rPr>
        <w:t>Severance Term</w:t>
      </w:r>
      <w:r>
        <w:rPr>
          <w:rFonts w:ascii="Times New Roman" w:cs="Times New Roman" w:eastAsia="Times New Roman" w:hAnsi="Times New Roman"/>
          <w:sz w:val="20"/>
          <w:szCs w:val="20"/>
          <w:color w:val="auto"/>
        </w:rPr>
        <w:t>”), of which (a) the first severance payment shall be made on the date that is six (6) months from the date of termination and in an amount equal to six (6) times the Executive’s monthly base compensation in effect at the time of such termination and (b) the balance of the severance shall be paid in accordance with the Company’s then current payroll practices (currently biweekly payments) over the next six</w:t>
      </w:r>
    </w:p>
    <w:p>
      <w:pPr>
        <w:spacing w:after="0" w:line="1" w:lineRule="exact"/>
        <w:rPr>
          <w:sz w:val="20"/>
          <w:szCs w:val="20"/>
          <w:color w:val="auto"/>
        </w:rPr>
      </w:pPr>
    </w:p>
    <w:p>
      <w:pPr>
        <w:jc w:val="both"/>
        <w:ind w:left="380" w:firstLine="5"/>
        <w:spacing w:after="0" w:line="231" w:lineRule="auto"/>
        <w:tabs>
          <w:tab w:leader="none" w:pos="7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through the date that is twelve (12) months from the date of termination, each such payment in an amount equal to the Base Salary in effect at the time of such termination dependent on payroll practices of the Company (i.e., 1/12th of the Base Salary, 1/24th of the Base Salary, 1/26th of Base Salary, etc.), plus (iii) promptly following termination and in all events within thirty (30) days thereof, any unpaid portion of any Bonus for the fiscal year preceding the year in which such termination occurs that was earned but has not been paid, plus (iv) at the times the Company pays its executives bonuses generally, but no later than two and one half (2 ½) months after the end of the fiscal year in which the Bonus is earned, an amount equal to that portion of any Bonus earned but unpaid during the fiscal year of such termination (prorated in accordance with Section 4.2), plus (v) vested, outstanding equity grants under the Stock Plan, in accordance with the terms thereof and any applicable award agreements.</w:t>
      </w:r>
    </w:p>
    <w:p>
      <w:pPr>
        <w:spacing w:after="0" w:line="211" w:lineRule="exact"/>
        <w:rPr>
          <w:sz w:val="20"/>
          <w:szCs w:val="20"/>
          <w:color w:val="auto"/>
        </w:rPr>
      </w:pPr>
    </w:p>
    <w:p>
      <w:pPr>
        <w:jc w:val="both"/>
        <w:ind w:left="380"/>
        <w:spacing w:after="0" w:line="257"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By the Executive for Good Reason</w:t>
      </w:r>
      <w:r>
        <w:rPr>
          <w:rFonts w:ascii="Times New Roman" w:cs="Times New Roman" w:eastAsia="Times New Roman" w:hAnsi="Times New Roman"/>
          <w:sz w:val="20"/>
          <w:szCs w:val="20"/>
          <w:color w:val="auto"/>
        </w:rPr>
        <w:t>. The Executive may terminate his/her employment hereunder for Good Reason, provided that (a) the Executive provides written notice to the Company, setting forth in reasonable detail the nature of the condition giving rise to Good Reason, within ninety (90) days after the initial existence of such condition, (b) the condition remains uncured by the Company for a period of thirty (30) days following such notice and (c) the Executive terminates his/her employment, if at all, not later than thirty (30) days after the expiration of such cure period. The following shall constitute “Good Reason” for termination by the Executive:</w:t>
      </w:r>
    </w:p>
    <w:p>
      <w:pPr>
        <w:spacing w:after="0" w:line="3" w:lineRule="exact"/>
        <w:rPr>
          <w:sz w:val="20"/>
          <w:szCs w:val="20"/>
          <w:color w:val="auto"/>
        </w:rPr>
      </w:pPr>
    </w:p>
    <w:p>
      <w:pPr>
        <w:jc w:val="both"/>
        <w:ind w:left="380" w:firstLine="5"/>
        <w:spacing w:after="0" w:line="235" w:lineRule="auto"/>
        <w:tabs>
          <w:tab w:leader="none" w:pos="65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nature and scope of the Executive’s responsibilities, duties, authority or title, however, a change in reporting structure shall not constitute a material diminution of authority; (ii) material failure of the Company to provide the Executive the Base Salary and benefits in accordance with</w:t>
      </w:r>
    </w:p>
    <w:p>
      <w:pPr>
        <w:spacing w:after="0" w:line="1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7" w:right="339" w:bottom="1440" w:gutter="0" w:footer="0" w:header="0"/>
        </w:sectPr>
      </w:pPr>
    </w:p>
    <w:bookmarkStart w:id="109" w:name="page110"/>
    <w:bookmarkEnd w:id="109"/>
    <w:p>
      <w:pPr>
        <w:jc w:val="both"/>
        <w:ind w:left="690"/>
        <w:spacing w:after="0" w:line="239" w:lineRule="auto"/>
        <w:rPr>
          <w:sz w:val="20"/>
          <w:szCs w:val="20"/>
          <w:color w:val="auto"/>
        </w:rPr>
      </w:pPr>
      <w:r>
        <w:rPr>
          <w:rFonts w:ascii="Times New Roman" w:cs="Times New Roman" w:eastAsia="Times New Roman" w:hAnsi="Times New Roman"/>
          <w:sz w:val="22"/>
          <w:szCs w:val="22"/>
          <w:color w:val="auto"/>
        </w:rPr>
        <w:t>the terms of Section 4 hereof; or (iii) relocation of the Executive’s office to a location outside a fifty (50)-mile radius of the Company’s current headquarters in Ann Arbor, Michigan. In the event of termination in accordance with this Section 5.5, then the Company shall pay the Executive the amounts specified in Section 5.4.</w:t>
      </w:r>
    </w:p>
    <w:p>
      <w:pPr>
        <w:spacing w:after="0" w:line="206" w:lineRule="exact"/>
        <w:rPr>
          <w:sz w:val="20"/>
          <w:szCs w:val="20"/>
          <w:color w:val="auto"/>
        </w:rPr>
      </w:pPr>
    </w:p>
    <w:p>
      <w:pPr>
        <w:jc w:val="both"/>
        <w:ind w:left="690"/>
        <w:spacing w:after="0" w:line="258"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By the Executive Other Than for Good Reason</w:t>
      </w:r>
      <w:r>
        <w:rPr>
          <w:rFonts w:ascii="Times New Roman" w:cs="Times New Roman" w:eastAsia="Times New Roman" w:hAnsi="Times New Roman"/>
          <w:sz w:val="20"/>
          <w:szCs w:val="20"/>
          <w:color w:val="auto"/>
        </w:rPr>
        <w:t>. The Executive may terminate employment hereunder at any time upon ninety (90) days’ written notice to the Company. In the event of termination of the Executive’s employment pursuant to this Section 5.6, the CEO or the Board may elect to waive the period of notice or any portion thereof. The Company will pay the Executive the Base Salary for the notice period, except to the extent that the notice period is waived by the Board. Upon the giving of notice of termination of the Executive’s employment hereunder pursuant to this Section 5.6, the Company and its Affiliates shall have no further obligation or liability to the Executive, other than (i) payment to the Executive of the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 earned but has not been paid. The payments made under subsections (i) and (iii) hereof shall be made promptly following termination and in all events within thirty (30) days thereof (or at such earlier time as may be required by applicable law).</w:t>
      </w:r>
    </w:p>
    <w:p>
      <w:pPr>
        <w:spacing w:after="0" w:line="189" w:lineRule="exact"/>
        <w:rPr>
          <w:sz w:val="20"/>
          <w:szCs w:val="20"/>
          <w:color w:val="auto"/>
        </w:rPr>
      </w:pPr>
    </w:p>
    <w:p>
      <w:pPr>
        <w:jc w:val="both"/>
        <w:ind w:left="690" w:right="20"/>
        <w:spacing w:after="0" w:line="258"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Post-Agreement Employment</w:t>
      </w:r>
      <w:r>
        <w:rPr>
          <w:rFonts w:ascii="Times New Roman" w:cs="Times New Roman" w:eastAsia="Times New Roman" w:hAnsi="Times New Roman"/>
          <w:sz w:val="22"/>
          <w:szCs w:val="22"/>
          <w:color w:val="auto"/>
        </w:rPr>
        <w:t>. In the event the Executive remains in the employ of the Company or any of its Affiliates following termination of this Agreement, then such employment shall be at will.</w:t>
      </w:r>
    </w:p>
    <w:p>
      <w:pPr>
        <w:spacing w:after="0" w:line="184"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Delayed Payments for Specified Employees</w:t>
      </w:r>
      <w:r>
        <w:rPr>
          <w:rFonts w:ascii="Times New Roman" w:cs="Times New Roman" w:eastAsia="Times New Roman" w:hAnsi="Times New Roman"/>
          <w:sz w:val="22"/>
          <w:szCs w:val="22"/>
          <w:color w:val="auto"/>
        </w:rPr>
        <w:t>. Notwithstanding the foregoing provisions of this Section 5, if the Executive is a “specified employee” as defined in Section 409A, determined in accordance with the methodology established by the Company as in effect on the Executive’s termination, amounts payable hereunder on account of the Executive’s termination that would constitute nonqualified deferred compensation for purposes of Section 409A and that would, but for this Section 5.8, be payable within the six (6) month period commencing with the Executive’s termination shall instead be accumulated and paid, with interest at the applicable federal rate determined under Code Section 7872(f)(2)(A), in a lump sum at the conclusion of such six (6)-month period.</w:t>
      </w:r>
    </w:p>
    <w:p>
      <w:pPr>
        <w:spacing w:after="0" w:line="211" w:lineRule="exact"/>
        <w:rPr>
          <w:sz w:val="20"/>
          <w:szCs w:val="20"/>
          <w:color w:val="auto"/>
        </w:rPr>
      </w:pPr>
    </w:p>
    <w:p>
      <w:pPr>
        <w:ind w:left="690" w:right="20" w:hanging="690"/>
        <w:spacing w:after="0" w:line="258" w:lineRule="auto"/>
        <w:tabs>
          <w:tab w:leader="none" w:pos="4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w:t>
      </w:r>
      <w:r>
        <w:rPr>
          <w:rFonts w:ascii="Times New Roman" w:cs="Times New Roman" w:eastAsia="Times New Roman" w:hAnsi="Times New Roman"/>
          <w:sz w:val="22"/>
          <w:szCs w:val="22"/>
          <w:color w:val="auto"/>
        </w:rPr>
        <w:t>. The provisions of this Section 6 shall apply in the event of any termination of the Executive’s employment pursuant to Section 5 of this Agreement.</w:t>
      </w:r>
    </w:p>
    <w:p>
      <w:pPr>
        <w:spacing w:after="0" w:line="184" w:lineRule="exact"/>
        <w:rPr>
          <w:sz w:val="20"/>
          <w:szCs w:val="20"/>
          <w:color w:val="auto"/>
        </w:rPr>
      </w:pPr>
    </w:p>
    <w:p>
      <w:pPr>
        <w:jc w:val="both"/>
        <w:ind w:left="690"/>
        <w:spacing w:after="0" w:line="23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the Stock Plan or any other equity plan or award agreements thereunder or</w:t>
      </w:r>
    </w:p>
    <w:p>
      <w:pPr>
        <w:spacing w:after="0" w:line="139"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10" w:name="page111"/>
    <w:bookmarkEnd w:id="110"/>
    <w:p>
      <w:pPr>
        <w:ind w:left="743"/>
        <w:spacing w:after="0"/>
        <w:rPr>
          <w:sz w:val="20"/>
          <w:szCs w:val="20"/>
          <w:color w:val="auto"/>
        </w:rPr>
      </w:pPr>
      <w:r>
        <w:rPr>
          <w:rFonts w:ascii="Times New Roman" w:cs="Times New Roman" w:eastAsia="Times New Roman" w:hAnsi="Times New Roman"/>
          <w:sz w:val="22"/>
          <w:szCs w:val="22"/>
          <w:color w:val="auto"/>
        </w:rPr>
        <w:t>any other agreements to the extent said rights or obligations therein survive termination of employment.</w:t>
      </w:r>
    </w:p>
    <w:p>
      <w:pPr>
        <w:spacing w:after="0" w:line="232" w:lineRule="exact"/>
        <w:rPr>
          <w:sz w:val="20"/>
          <w:szCs w:val="20"/>
          <w:color w:val="auto"/>
        </w:rPr>
      </w:pPr>
    </w:p>
    <w:p>
      <w:pPr>
        <w:jc w:val="both"/>
        <w:ind w:left="743"/>
        <w:spacing w:after="0" w:line="23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of Benefits</w:t>
      </w:r>
      <w:r>
        <w:rPr>
          <w:rFonts w:ascii="Times New Roman" w:cs="Times New Roman" w:eastAsia="Times New Roman" w:hAnsi="Times New Roman"/>
          <w:sz w:val="22"/>
          <w:szCs w:val="22"/>
          <w:color w:val="auto"/>
        </w:rPr>
        <w:t>. If the Executive’s employment is terminated by the Company without Cause, or if the Executive terminates employment with the Company for Good Reason, and provided that Executive elects continuation of health coverage pursuant to Section 601 through 608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pay the Executive or pay directly to the COBRA administrator, at the election of the Company, an amount equal to the monthly COBRA premiums for the Severance Term; provided, however, that such payments will cease upon the Executive’s entitlement to other health insurance without charge. Except for medical insurance coverage continued pursuant to Section 6.2 hereof, all other benefits shall terminate pursuant to the terms of the applicable benefit plans based on the date of termination of the Executive’s employment without regard to any continuation of Base Salary or other payments to the Executive following termination of employment. Notwithstanding the foregoing, in the event that the Company’s payment or reimbursement under this Section 6.2 would subject the Executive or the Company to any tax or penalty under the Patient Protection and Affordable Care Act (as amended from time to time, the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or Section 105(h) of the Internal Revenue Code of 1986, as amended (“</w:t>
      </w:r>
      <w:r>
        <w:rPr>
          <w:rFonts w:ascii="Times New Roman" w:cs="Times New Roman" w:eastAsia="Times New Roman" w:hAnsi="Times New Roman"/>
          <w:sz w:val="22"/>
          <w:szCs w:val="22"/>
          <w:u w:val="single" w:color="auto"/>
          <w:color w:val="auto"/>
        </w:rPr>
        <w:t>Section 105(h)</w:t>
      </w:r>
      <w:r>
        <w:rPr>
          <w:rFonts w:ascii="Times New Roman" w:cs="Times New Roman" w:eastAsia="Times New Roman" w:hAnsi="Times New Roman"/>
          <w:sz w:val="22"/>
          <w:szCs w:val="22"/>
          <w:color w:val="auto"/>
        </w:rPr>
        <w:t>”), or applicable regulations or guidance issued under the ACA or Section 105(h), the Executive and the Company agree to work together in good faith, consistent with the requirements for compliance with or exemption from Section 409A, to restructure such benefit.</w:t>
      </w:r>
    </w:p>
    <w:p>
      <w:pPr>
        <w:spacing w:after="0" w:line="213"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Survival of Certain Provisions; Release of Claims</w:t>
      </w:r>
      <w:r>
        <w:rPr>
          <w:rFonts w:ascii="Times New Roman" w:cs="Times New Roman" w:eastAsia="Times New Roman" w:hAnsi="Times New Roman"/>
          <w:sz w:val="22"/>
          <w:szCs w:val="22"/>
          <w:color w:val="auto"/>
        </w:rPr>
        <w:t>. Provisions of this Agreement shall survive any termination of employment if so provided herein or if necessary or desirable fully to accomplish the purpose of other surviving provisions, including, without limitation, the obligations of the Executive under Sections 7 and 8 hereof. The obligation of the Company to make payments to or on behalf of the Executive under Section 5.2, 5.4, 5.5 or 6.2 hereof (other than any Base Salary that is earned but unpaid through the date of termination) is expressly conditioned upon (a) the Executive’s continued full performance of his/her obligations under Sections 7 and 8 hereof and (b) the Executive’s execution of a timely and effective general release of claims in a form provided by the Company at the time of termination, which general release of claims must become effective, if at all, within sixty (60) days following termination of the Executive’s employment. The Executive recognizes that, except as expressly provided in Section 5.2, 5.4, 5.5 or 6.2, no compensation or benefits are earned after termination of employment.</w:t>
      </w:r>
    </w:p>
    <w:p>
      <w:pPr>
        <w:spacing w:after="0" w:line="211" w:lineRule="exact"/>
        <w:rPr>
          <w:sz w:val="20"/>
          <w:szCs w:val="20"/>
          <w:color w:val="auto"/>
        </w:rPr>
      </w:pPr>
    </w:p>
    <w:p>
      <w:pPr>
        <w:ind w:left="423" w:hanging="423"/>
        <w:spacing w:after="0"/>
        <w:tabs>
          <w:tab w:leader="none" w:pos="42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Intellectual Property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743"/>
        <w:spacing w:after="0" w:line="23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Executive acknowledges that the Company and its Affiliates continually develop Confidential Information (as that term is defined in Section 11.2, below); that the Executive has developed and will continue to develop Confidential Information for the Company and its Affiliates and that the Executive has learned and will continue to learn of Confidential Information during the course of his/her employment. The Executive will comply with the policies and procedures</w:t>
      </w:r>
    </w:p>
    <w:p>
      <w:pPr>
        <w:spacing w:after="0" w:line="140"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1" w:right="339" w:bottom="1440" w:gutter="0" w:footer="0" w:header="0"/>
        </w:sectPr>
      </w:pPr>
    </w:p>
    <w:bookmarkStart w:id="111" w:name="page112"/>
    <w:bookmarkEnd w:id="111"/>
    <w:p>
      <w:pPr>
        <w:jc w:val="both"/>
        <w:ind w:left="743"/>
        <w:spacing w:after="0" w:line="232" w:lineRule="auto"/>
        <w:rPr>
          <w:sz w:val="20"/>
          <w:szCs w:val="20"/>
          <w:color w:val="auto"/>
        </w:rPr>
      </w:pPr>
      <w:r>
        <w:rPr>
          <w:rFonts w:ascii="Times New Roman" w:cs="Times New Roman" w:eastAsia="Times New Roman" w:hAnsi="Times New Roman"/>
          <w:sz w:val="22"/>
          <w:szCs w:val="22"/>
          <w:color w:val="auto"/>
        </w:rPr>
        <w:t xml:space="preserve">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or any of its Affiliates. The Executive understands that this restriction shall continue to apply after employment terminates, regardless of the reason for such termination. For the avoidance of doubt, (a) nothing contained in this Agreement limits, restricts or in any other way affects the Executive’s communicating with any governmental agency or entity, or communicating with any official or staff person of a governmental agency or entity, concerning matters relevant to such governmental agency or entity and (b) the Executive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this immunity from liability, the Executive may be held liable if he/she unlawfully accesses trade secrets by unauthorized means.</w:t>
      </w:r>
    </w:p>
    <w:p>
      <w:pPr>
        <w:spacing w:after="0" w:line="217" w:lineRule="exact"/>
        <w:rPr>
          <w:sz w:val="20"/>
          <w:szCs w:val="20"/>
          <w:color w:val="auto"/>
        </w:rPr>
      </w:pPr>
    </w:p>
    <w:p>
      <w:pPr>
        <w:jc w:val="both"/>
        <w:ind w:left="743"/>
        <w:spacing w:after="0" w:line="26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Return of Documents</w:t>
      </w:r>
      <w:r>
        <w:rPr>
          <w:rFonts w:ascii="Times New Roman" w:cs="Times New Roman" w:eastAsia="Times New Roman" w:hAnsi="Times New Roman"/>
          <w:sz w:val="20"/>
          <w:szCs w:val="20"/>
          <w:color w:val="auto"/>
        </w:rPr>
        <w:t>. All documents, records, tapes and other media of every kind and description relating to the business, present or otherwise, of the Company or any of its Affiliates and any copies, in whole or in part, thereof (the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the CEO or the Board’s other designee may specify, all Documents then in the Executive’s possession or control.</w:t>
      </w:r>
    </w:p>
    <w:p>
      <w:pPr>
        <w:spacing w:after="0" w:line="181"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Assignment of Rights to Intellectual Property</w:t>
      </w:r>
      <w:r>
        <w:rPr>
          <w:rFonts w:ascii="Times New Roman" w:cs="Times New Roman" w:eastAsia="Times New Roman" w:hAnsi="Times New Roman"/>
          <w:sz w:val="22"/>
          <w:szCs w:val="22"/>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(or as otherwise directed by the Company) and to permit the Company and its Affiliates to enforce any patents, copyrights or other proprietary rights to the Intellectual Property. The Executive will not charge the Company or any of its Affiliates for time spent in complying with these obligations. All copyrightable works that the Executive creates during his/her employment with the Company shall be considered “work made for hire” and will, upon creation, be owned exclusively by the Company.</w:t>
      </w:r>
    </w:p>
    <w:p>
      <w:pPr>
        <w:spacing w:after="0" w:line="211" w:lineRule="exact"/>
        <w:rPr>
          <w:sz w:val="20"/>
          <w:szCs w:val="20"/>
          <w:color w:val="auto"/>
        </w:rPr>
      </w:pPr>
    </w:p>
    <w:p>
      <w:pPr>
        <w:ind w:left="423" w:hanging="423"/>
        <w:spacing w:after="0"/>
        <w:tabs>
          <w:tab w:leader="none" w:pos="42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Activities</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1" w:right="339" w:bottom="1440" w:gutter="0" w:footer="0" w:header="0"/>
        </w:sectPr>
      </w:pPr>
    </w:p>
    <w:bookmarkStart w:id="112" w:name="page113"/>
    <w:bookmarkEnd w:id="112"/>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Agreement Not to Compete With the Company</w:t>
      </w:r>
      <w:r>
        <w:rPr>
          <w:rFonts w:ascii="Times New Roman" w:cs="Times New Roman" w:eastAsia="Times New Roman" w:hAnsi="Times New Roman"/>
          <w:sz w:val="22"/>
          <w:szCs w:val="22"/>
          <w:color w:val="auto"/>
        </w:rPr>
        <w:t>. During the Executive’s employment hereunder and for a period of twenty four (24) months following the date of termination thereof (the “</w:t>
      </w:r>
      <w:r>
        <w:rPr>
          <w:rFonts w:ascii="Times New Roman" w:cs="Times New Roman" w:eastAsia="Times New Roman" w:hAnsi="Times New Roman"/>
          <w:sz w:val="22"/>
          <w:szCs w:val="22"/>
          <w:u w:val="single" w:color="auto"/>
          <w:color w:val="auto"/>
        </w:rPr>
        <w:t>Non-Competition Period</w:t>
      </w:r>
      <w:r>
        <w:rPr>
          <w:rFonts w:ascii="Times New Roman" w:cs="Times New Roman" w:eastAsia="Times New Roman" w:hAnsi="Times New Roman"/>
          <w:sz w:val="22"/>
          <w:szCs w:val="22"/>
          <w:color w:val="auto"/>
        </w:rPr>
        <w:t>”),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 (i) 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five percent (5%) of any class of equity security of any publicly traded corporation shall not, of itself, constitute a violation of this Section 8.1.</w:t>
      </w:r>
    </w:p>
    <w:p>
      <w:pPr>
        <w:spacing w:after="0" w:line="206"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Agreement Not to Solicit Employees or Customers of the Company</w:t>
      </w:r>
      <w:r>
        <w:rPr>
          <w:rFonts w:ascii="Times New Roman" w:cs="Times New Roman" w:eastAsia="Times New Roman" w:hAnsi="Times New Roman"/>
          <w:sz w:val="22"/>
          <w:szCs w:val="22"/>
          <w:color w:val="auto"/>
        </w:rPr>
        <w:t>. During employment and during the Non-Competition Period the Executive will not, directly or indirectly, (i) recruit or hire or otherwise seek to induce any employees of the Company or any of the Company’s Affiliates to terminate his/her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211"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Agreement Not to Disparage</w:t>
      </w:r>
      <w:r>
        <w:rPr>
          <w:rFonts w:ascii="Times New Roman" w:cs="Times New Roman" w:eastAsia="Times New Roman" w:hAnsi="Times New Roman"/>
          <w:sz w:val="22"/>
          <w:szCs w:val="22"/>
          <w:color w:val="auto"/>
        </w:rPr>
        <w:t>. The Executive agrees that, during employment and at all times thereafter, he/she will not disparage or criticize the Company, its Affiliates, their business, their management or their products or services, and he/she will not otherwise do or say anything that could disrupt the good morale of employees of the Company or any of its Affiliates or harm the interests or reputation of the Company or any of its Affiliates, but may provide truthful, non-Confidential Information in response to any statement made by the Executive Leadership of the Company with respect to the Executive that he/she reasonably believes to be disparaging.</w:t>
      </w:r>
    </w:p>
    <w:p>
      <w:pPr>
        <w:spacing w:after="0" w:line="3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13" w:name="page114"/>
    <w:bookmarkEnd w:id="113"/>
    <w:p>
      <w:pPr>
        <w:ind w:left="690" w:hanging="690"/>
        <w:spacing w:after="0" w:line="257" w:lineRule="auto"/>
        <w:tabs>
          <w:tab w:leader="none" w:pos="45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he/she has carefully read and considered all the terms and conditions of this Agreement, including without limitation the restraints imposed upon his/her pursuant to Sections 7 and 8 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without having to post bond.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200" w:lineRule="exact"/>
        <w:rPr>
          <w:rFonts w:ascii="Times New Roman" w:cs="Times New Roman" w:eastAsia="Times New Roman" w:hAnsi="Times New Roman"/>
          <w:sz w:val="20"/>
          <w:szCs w:val="20"/>
          <w:color w:val="auto"/>
        </w:rPr>
      </w:pPr>
    </w:p>
    <w:p>
      <w:pPr>
        <w:spacing w:after="0" w:line="242" w:lineRule="exact"/>
        <w:rPr>
          <w:rFonts w:ascii="Times New Roman" w:cs="Times New Roman" w:eastAsia="Times New Roman" w:hAnsi="Times New Roman"/>
          <w:sz w:val="20"/>
          <w:szCs w:val="20"/>
          <w:color w:val="auto"/>
        </w:rPr>
      </w:pPr>
    </w:p>
    <w:p>
      <w:pPr>
        <w:ind w:left="690" w:hanging="690"/>
        <w:spacing w:after="0" w:line="236" w:lineRule="auto"/>
        <w:tabs>
          <w:tab w:leader="none" w:pos="4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Agreements</w:t>
      </w:r>
      <w:r>
        <w:rPr>
          <w:rFonts w:ascii="Times New Roman" w:cs="Times New Roman" w:eastAsia="Times New Roman" w:hAnsi="Times New Roman"/>
          <w:sz w:val="22"/>
          <w:szCs w:val="22"/>
          <w:color w:val="auto"/>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spacing w:after="0" w:line="206" w:lineRule="exact"/>
        <w:rPr>
          <w:rFonts w:ascii="Times New Roman" w:cs="Times New Roman" w:eastAsia="Times New Roman" w:hAnsi="Times New Roman"/>
          <w:sz w:val="22"/>
          <w:szCs w:val="22"/>
          <w:color w:val="auto"/>
        </w:rPr>
      </w:pPr>
    </w:p>
    <w:p>
      <w:pPr>
        <w:ind w:left="690" w:hanging="690"/>
        <w:spacing w:after="0" w:line="244" w:lineRule="auto"/>
        <w:tabs>
          <w:tab w:leader="none" w:pos="4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Words or phrases which are initially capitalized or are within quotation marks shall have the meanings provided in this Section 11 or as specifically defined elsewhere in this Agreement. For purposes of this Agreement, the following definitions apply:</w:t>
      </w:r>
    </w:p>
    <w:p>
      <w:pPr>
        <w:spacing w:after="0" w:line="199" w:lineRule="exact"/>
        <w:rPr>
          <w:sz w:val="20"/>
          <w:szCs w:val="20"/>
          <w:color w:val="auto"/>
        </w:rPr>
      </w:pPr>
    </w:p>
    <w:p>
      <w:pPr>
        <w:jc w:val="both"/>
        <w:ind w:left="690"/>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shall mean Domino’s Pizza, Inc., Domino’s, Inc. and all other persons and entities controlling, controlled by or under common control with the Company, where control may be by management authority or equity interest.</w:t>
      </w:r>
    </w:p>
    <w:p>
      <w:pPr>
        <w:spacing w:after="0" w:line="199"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of the Company and its Affiliates that is not generally known by the public.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of the Company and its Affiliates, and (iv) the people and organizations with whom the Company or any of its Affiliates have business relationships and those relationships. Confidential Information also includes information that the Company or any of its Affiliates have received belonging to others with any understanding, express or implied, that it would not be disclosed.</w:t>
      </w:r>
    </w:p>
    <w:p>
      <w:pPr>
        <w:spacing w:after="0" w:line="140" w:lineRule="exact"/>
        <w:rPr>
          <w:sz w:val="20"/>
          <w:szCs w:val="20"/>
          <w:color w:val="auto"/>
        </w:rPr>
      </w:pPr>
    </w:p>
    <w:p>
      <w:pPr>
        <w:ind w:left="463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14" w:name="page115"/>
    <w:bookmarkEnd w:id="114"/>
    <w:p>
      <w:pPr>
        <w:jc w:val="both"/>
        <w:ind w:left="690"/>
        <w:spacing w:after="0" w:line="244"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federal Employee Retirement Income Security Act of 1974, as amended, or any successor statute, and the rules and regulations thereunder, and, in the case of any referenced section thereof, any successor section thereto, collectively and as from time to time amended and in effect.</w:t>
      </w:r>
    </w:p>
    <w:p>
      <w:pPr>
        <w:spacing w:after="0" w:line="199"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211" w:lineRule="exact"/>
        <w:rPr>
          <w:sz w:val="20"/>
          <w:szCs w:val="20"/>
          <w:color w:val="auto"/>
        </w:rPr>
      </w:pPr>
    </w:p>
    <w:p>
      <w:pPr>
        <w:jc w:val="both"/>
        <w:ind w:left="690"/>
        <w:spacing w:after="0" w:line="307"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corporation, an association, a partnership, a limited liability company, an estate, a trust and any other entity or organization, other than the Company or any of its Affiliates.</w:t>
      </w:r>
    </w:p>
    <w:p>
      <w:pPr>
        <w:spacing w:after="0" w:line="140" w:lineRule="exact"/>
        <w:rPr>
          <w:sz w:val="20"/>
          <w:szCs w:val="20"/>
          <w:color w:val="auto"/>
        </w:rPr>
      </w:pPr>
    </w:p>
    <w:p>
      <w:pPr>
        <w:ind w:left="690" w:hanging="690"/>
        <w:spacing w:after="0" w:line="237" w:lineRule="auto"/>
        <w:tabs>
          <w:tab w:leader="none" w:pos="4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Withholding/Other Tax Matters</w:t>
      </w:r>
      <w:r>
        <w:rPr>
          <w:rFonts w:ascii="Times New Roman" w:cs="Times New Roman" w:eastAsia="Times New Roman" w:hAnsi="Times New Roman"/>
          <w:sz w:val="22"/>
          <w:szCs w:val="22"/>
          <w:color w:val="auto"/>
        </w:rPr>
        <w:t>. All payments made by the Company under this Agreement shall be reduced by any tax or other amounts required to be withheld by the Company under applicable law. This Agreement shall be construed consistent with the intent that all payment and benefits hereunder comply with the requirements of, or the requirements for exemption from, Section 409A. Notwithstanding the foregoing, the Company shall not be liable to the Executive for any failure to comply with any such requirements.</w:t>
      </w:r>
    </w:p>
    <w:p>
      <w:pPr>
        <w:spacing w:after="0" w:line="207" w:lineRule="exact"/>
        <w:rPr>
          <w:rFonts w:ascii="Times New Roman" w:cs="Times New Roman" w:eastAsia="Times New Roman" w:hAnsi="Times New Roman"/>
          <w:sz w:val="22"/>
          <w:szCs w:val="22"/>
          <w:color w:val="auto"/>
        </w:rPr>
      </w:pPr>
    </w:p>
    <w:p>
      <w:pPr>
        <w:ind w:left="430" w:hanging="430"/>
        <w:spacing w:after="0"/>
        <w:tabs>
          <w:tab w:leader="none" w:pos="43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690" w:hanging="264"/>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359" w:lineRule="exact"/>
        <w:rPr>
          <w:sz w:val="20"/>
          <w:szCs w:val="20"/>
          <w:color w:val="auto"/>
        </w:rPr>
      </w:pPr>
    </w:p>
    <w:p>
      <w:pPr>
        <w:ind w:left="463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34" w:right="339" w:bottom="1440" w:gutter="0" w:footer="0" w:header="0"/>
        </w:sectPr>
      </w:pPr>
    </w:p>
    <w:bookmarkStart w:id="115" w:name="page116"/>
    <w:bookmarkEnd w:id="115"/>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206"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206"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 in writing and shall be effective when delivered in person or deposited in the United States mail, postage prepaid, registered or certified, and addressed (i) in the case of the Executive, to: Kelly Garcia, at his/her most recent address on file with the Company, and (ii) in the case of the Company, to the attention of CEO, at 30 Frank Lloyd Wright Drive, Ann Arbor, Michigan 48106, or to such other address as either party may specify by notice to the other actually received.</w:t>
      </w:r>
    </w:p>
    <w:p>
      <w:pPr>
        <w:spacing w:after="0" w:line="206"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20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together shall constitute one and the same instrument.</w:t>
      </w:r>
    </w:p>
    <w:p>
      <w:pPr>
        <w:spacing w:after="0" w:line="184"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spacing w:after="0" w:line="199"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of the Company and the Executive evidenced by the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 as a defense or otherwise, in any such claim or action, any claim that it or he/she is not subject personally to the jurisdiction of the above-named courts,</w:t>
      </w:r>
    </w:p>
    <w:p>
      <w:pPr>
        <w:spacing w:after="0" w:line="1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16" w:name="page117"/>
    <w:bookmarkEnd w:id="116"/>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immediately follows.]</w:t>
      </w:r>
    </w:p>
    <w:p>
      <w:pPr>
        <w:spacing w:after="0" w:line="3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17" w:name="page118"/>
    <w:bookmarkEnd w:id="117"/>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executed by the Company, by its duly authorized representative, and by the Executive, as of the date first above written.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THE COMPANY:</w:t>
            </w:r>
          </w:p>
        </w:tc>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DOMINO’S PIZZA LLC</w:t>
            </w:r>
          </w:p>
        </w:tc>
        <w:tc>
          <w:tcPr>
            <w:tcW w:w="0" w:type="dxa"/>
            <w:vAlign w:val="bottom"/>
          </w:tcPr>
          <w:p>
            <w:pPr>
              <w:spacing w:after="0"/>
              <w:rPr>
                <w:sz w:val="1"/>
                <w:szCs w:val="1"/>
                <w:color w:val="auto"/>
              </w:rPr>
            </w:pPr>
          </w:p>
        </w:tc>
      </w:tr>
      <w:tr>
        <w:trPr>
          <w:trHeight w:val="918"/>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21, 2020</w:t>
            </w:r>
          </w:p>
        </w:tc>
        <w:tc>
          <w:tcPr>
            <w:tcW w:w="540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w w:val="97"/>
              </w:rPr>
              <w:t>By:____/s/ Richard Allison____________________</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Richard Allison</w:t>
            </w:r>
          </w:p>
        </w:tc>
        <w:tc>
          <w:tcPr>
            <w:tcW w:w="0" w:type="dxa"/>
            <w:vAlign w:val="bottom"/>
          </w:tcPr>
          <w:p>
            <w:pPr>
              <w:spacing w:after="0"/>
              <w:rPr>
                <w:sz w:val="1"/>
                <w:szCs w:val="1"/>
                <w:color w:val="auto"/>
              </w:rPr>
            </w:pPr>
          </w:p>
        </w:tc>
      </w:tr>
    </w:tbl>
    <w:p>
      <w:pPr>
        <w:ind w:left="440"/>
        <w:spacing w:after="0"/>
        <w:tabs>
          <w:tab w:leader="none" w:pos="1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w w:val="96"/>
              </w:rPr>
              <w:t>Date:</w:t>
            </w:r>
          </w:p>
        </w:tc>
        <w:tc>
          <w:tcPr>
            <w:tcW w:w="200" w:type="dxa"/>
            <w:vAlign w:val="bottom"/>
          </w:tcPr>
          <w:p>
            <w:pPr>
              <w:spacing w:after="0"/>
              <w:rPr>
                <w:sz w:val="22"/>
                <w:szCs w:val="22"/>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September 21, 2020</w:t>
            </w:r>
          </w:p>
        </w:tc>
        <w:tc>
          <w:tcPr>
            <w:tcW w:w="8220" w:type="dxa"/>
            <w:vAlign w:val="bottom"/>
            <w:gridSpan w:val="3"/>
          </w:tcPr>
          <w:p>
            <w:pPr>
              <w:jc w:val="right"/>
              <w:ind w:right="2860"/>
              <w:spacing w:after="0"/>
              <w:rPr>
                <w:sz w:val="20"/>
                <w:szCs w:val="20"/>
                <w:color w:val="auto"/>
              </w:rPr>
            </w:pPr>
            <w:r>
              <w:rPr>
                <w:rFonts w:ascii="Times New Roman" w:cs="Times New Roman" w:eastAsia="Times New Roman" w:hAnsi="Times New Roman"/>
                <w:sz w:val="22"/>
                <w:szCs w:val="22"/>
                <w:color w:val="auto"/>
              </w:rPr>
              <w:t>____/s/ Kelly Garcia_________________________</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7240" w:type="dxa"/>
            <w:vAlign w:val="bottom"/>
            <w:gridSpan w:val="2"/>
          </w:tcPr>
          <w:p>
            <w:pPr>
              <w:jc w:val="right"/>
              <w:ind w:right="4760"/>
              <w:spacing w:after="0"/>
              <w:rPr>
                <w:sz w:val="20"/>
                <w:szCs w:val="20"/>
                <w:color w:val="auto"/>
              </w:rPr>
            </w:pPr>
            <w:r>
              <w:rPr>
                <w:rFonts w:ascii="Times New Roman" w:cs="Times New Roman" w:eastAsia="Times New Roman" w:hAnsi="Times New Roman"/>
                <w:sz w:val="22"/>
                <w:szCs w:val="22"/>
                <w:color w:val="auto"/>
              </w:rPr>
              <w:t>Name:   Kelly Garcia</w:t>
            </w:r>
          </w:p>
        </w:tc>
        <w:tc>
          <w:tcPr>
            <w:tcW w:w="0" w:type="dxa"/>
            <w:vAlign w:val="bottom"/>
          </w:tcPr>
          <w:p>
            <w:pPr>
              <w:spacing w:after="0"/>
              <w:rPr>
                <w:sz w:val="1"/>
                <w:szCs w:val="1"/>
                <w:color w:val="auto"/>
              </w:rPr>
            </w:pPr>
          </w:p>
        </w:tc>
      </w:tr>
      <w:tr>
        <w:trPr>
          <w:trHeight w:val="633"/>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220" w:type="dxa"/>
            <w:vAlign w:val="bottom"/>
            <w:gridSpan w:val="3"/>
          </w:tcPr>
          <w:p>
            <w:pPr>
              <w:jc w:val="right"/>
              <w:ind w:right="5440"/>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750"/>
        </w:trPr>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10.55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July 30, 2020 and is effective as of July 30,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Domino’s Pizza LLC, a Michigan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the one hand, and Art D’Elia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on the other hand.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2" w:lineRule="exact"/>
        <w:rPr>
          <w:sz w:val="20"/>
          <w:szCs w:val="20"/>
          <w:color w:val="auto"/>
        </w:rPr>
      </w:pPr>
    </w:p>
    <w:p>
      <w:pPr>
        <w:ind w:left="1240" w:hanging="430"/>
        <w:spacing w:after="0"/>
        <w:tabs>
          <w:tab w:leader="none" w:pos="12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experience and expertise required by the Company and its Affiliates.</w:t>
      </w:r>
    </w:p>
    <w:p>
      <w:pPr>
        <w:spacing w:after="0" w:line="232" w:lineRule="exact"/>
        <w:rPr>
          <w:rFonts w:ascii="Times New Roman" w:cs="Times New Roman" w:eastAsia="Times New Roman" w:hAnsi="Times New Roman"/>
          <w:sz w:val="22"/>
          <w:szCs w:val="22"/>
          <w:color w:val="auto"/>
        </w:rPr>
      </w:pPr>
    </w:p>
    <w:p>
      <w:pPr>
        <w:ind w:left="1500" w:right="20" w:hanging="690"/>
        <w:spacing w:after="0" w:line="307" w:lineRule="auto"/>
        <w:tabs>
          <w:tab w:leader="none" w:pos="123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hereinafter set forth, the Company therefore wishes to employ the Executive as its Executive Vice President – Chief Marketing Officer, and the Executive wishes to accept such employment.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for valid consideration received, the parties agree as follows:</w:t>
      </w:r>
    </w:p>
    <w:p>
      <w:pPr>
        <w:spacing w:after="0" w:line="232" w:lineRule="exact"/>
        <w:rPr>
          <w:sz w:val="20"/>
          <w:szCs w:val="20"/>
          <w:color w:val="auto"/>
        </w:rPr>
      </w:pPr>
    </w:p>
    <w:p>
      <w:pPr>
        <w:ind w:left="1500" w:hanging="690"/>
        <w:spacing w:after="0" w:line="258" w:lineRule="auto"/>
        <w:tabs>
          <w:tab w:leader="none" w:pos="127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Subject to the terms and conditions set forth in this Agreement, the Company offers and the Executive accepts employment hereunder effective as of the Effective Date.</w:t>
      </w:r>
    </w:p>
    <w:p>
      <w:pPr>
        <w:spacing w:after="0" w:line="184" w:lineRule="exact"/>
        <w:rPr>
          <w:rFonts w:ascii="Times New Roman" w:cs="Times New Roman" w:eastAsia="Times New Roman" w:hAnsi="Times New Roman"/>
          <w:sz w:val="22"/>
          <w:szCs w:val="22"/>
          <w:color w:val="auto"/>
        </w:rPr>
      </w:pPr>
    </w:p>
    <w:p>
      <w:pPr>
        <w:ind w:left="1500" w:hanging="690"/>
        <w:spacing w:after="0" w:line="258" w:lineRule="auto"/>
        <w:tabs>
          <w:tab w:leader="none" w:pos="123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shall commence on the Effective Date and shall remain in effect for an indefinite time until terminated by either party as set forth in Section 5 hereof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and Performance</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Offices</w:t>
      </w:r>
      <w:r>
        <w:rPr>
          <w:rFonts w:ascii="Times New Roman" w:cs="Times New Roman" w:eastAsia="Times New Roman" w:hAnsi="Times New Roman"/>
          <w:sz w:val="22"/>
          <w:szCs w:val="22"/>
          <w:color w:val="auto"/>
        </w:rPr>
        <w:t>. During the Term, the Executive shall serve the Company as its Executive Vice President - Chief Marketing Officer. The Executive shall have such other powers, duties and responsibilities consistent with the Executive’s position as Executive Vice President - Chief Marketing Officer as may from time to time be prescribed by the Chief Executive Officer of the Company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 the discharge of his/her duties and responsibilities hereunder. The Executive shall not engage in any other business activity or serve in any industry, trade, professional, governmental, political, charitable or academic position during the Term, except for such directorships or other positions which he/she currently holds and has disclosed to the CEO on Exhibit A hereof and except as otherwise may be approved in advance by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19" w:name="page120"/>
    <w:bookmarkEnd w:id="119"/>
    <w:p>
      <w:pPr>
        <w:ind w:left="690" w:hanging="690"/>
        <w:spacing w:after="0" w:line="244" w:lineRule="auto"/>
        <w:tabs>
          <w:tab w:leader="none" w:pos="4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spacing w:after="0" w:line="199" w:lineRule="exact"/>
        <w:rPr>
          <w:sz w:val="20"/>
          <w:szCs w:val="20"/>
          <w:color w:val="auto"/>
        </w:rPr>
      </w:pPr>
    </w:p>
    <w:p>
      <w:pPr>
        <w:jc w:val="both"/>
        <w:ind w:left="690"/>
        <w:spacing w:after="0" w:line="237"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the Executive a base salary at the rate of Four Hundred and Thirty-Five Thousand Dollars ($435,000) per year, payable in accordance with the payroll practices of the Company for its executives and subject to such increases as the Board of Directors of the Company or 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its sole discretion may determine from time to time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690"/>
        <w:spacing w:after="0" w:line="25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Bonus Compensation</w:t>
      </w:r>
      <w:r>
        <w:rPr>
          <w:rFonts w:ascii="Times New Roman" w:cs="Times New Roman" w:eastAsia="Times New Roman" w:hAnsi="Times New Roman"/>
          <w:sz w:val="20"/>
          <w:szCs w:val="20"/>
          <w:color w:val="auto"/>
        </w:rPr>
        <w:t>. During the Term, the Executive shall participate in the Company’s Senior Executive Annual Incentive Plan or such other annual bonus plan maintained by the Company for its executives, as it may be amended from time to time pursuant to the terms thereof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shall be eligible for annual bonus awards thereunder (each annual bonus award, a “</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For purposes of the Plan, the Executive shall be eligible for a Bonus, and the Executive’s specified percentage (the “Specified Percentage”) for such Bonus shall initially be one hundred percent (100%) of Base Salary and shall thereafter be established annually by the Board of Directors (the “Board”) or, if the Board delegates the Specified Percentage determination process to a Committee of the Board, by such Committee. In the event the Board or Committee does not approve the Executive’s Specified Percentage within ninety (90) days of the beginning of a fiscal year, such Specified Percentage shall be the same as the immediately preceding year. Whenever any Bonus payable to the Executive is stated in this Agreement to be prorated for any period of service less than a full year, such Bonus shall be prorated by multiplying (x) the amount of the Bonus otherwise earned and payable for the applicable fiscal year in accordance with this Sub-Section 4.2 by (y) a fraction, the denominator of which shall be three hundred and sixty five (365) and the numerator of which shall be the number of days during the applicable fiscal year for which the Executive was employed by the Company as its Executive Vice President - Chief Marketing Officer. The Executive agrees and understands that any prorated Bonus payments will be made only after determination of the achievement of the applicable Performance Measures (as defined in the Plan or other performance objectives associated with the Bonus) by the Board or the Compensation Committee in accordance with the terms of the Plan. Any compensation paid to the Executive as a Bonus shall be in addition to the Base Salary.</w:t>
      </w:r>
    </w:p>
    <w:p>
      <w:pPr>
        <w:spacing w:after="0" w:line="200" w:lineRule="exact"/>
        <w:rPr>
          <w:sz w:val="20"/>
          <w:szCs w:val="20"/>
          <w:color w:val="auto"/>
        </w:rPr>
      </w:pPr>
    </w:p>
    <w:p>
      <w:pPr>
        <w:spacing w:after="0" w:line="239" w:lineRule="exact"/>
        <w:rPr>
          <w:sz w:val="20"/>
          <w:szCs w:val="20"/>
          <w:color w:val="auto"/>
        </w:rPr>
      </w:pPr>
    </w:p>
    <w:p>
      <w:pPr>
        <w:jc w:val="both"/>
        <w:ind w:left="690"/>
        <w:spacing w:after="0" w:line="23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Paid Time Off (PTO)</w:t>
      </w:r>
      <w:r>
        <w:rPr>
          <w:rFonts w:ascii="Times New Roman" w:cs="Times New Roman" w:eastAsia="Times New Roman" w:hAnsi="Times New Roman"/>
          <w:sz w:val="22"/>
          <w:szCs w:val="22"/>
          <w:color w:val="auto"/>
        </w:rPr>
        <w:t>. During the Term, the Executive shall be entitled to four (4) weeks of vacation per calendar year, to be taken at such times and intervals as shall be determined by the Executive, subject to the reasonable business needs of the Company. The Executive may not accumulate or carry over from one (1) calendar year to another any unused, accrued vacation time. The Executive shall not be entitled to compensation for vacation time not taken. In addition, the Executive shall be entitled to five (5) days of emergency/medical PTO per calendar year.</w:t>
      </w:r>
    </w:p>
    <w:p>
      <w:pPr>
        <w:spacing w:after="0" w:line="355"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20" w:name="page121"/>
    <w:bookmarkEnd w:id="120"/>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and subject to any contribution 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w:t>
      </w:r>
    </w:p>
    <w:p>
      <w:pPr>
        <w:spacing w:after="0" w:line="4" w:lineRule="exact"/>
        <w:rPr>
          <w:sz w:val="20"/>
          <w:szCs w:val="20"/>
          <w:color w:val="auto"/>
        </w:rPr>
      </w:pPr>
    </w:p>
    <w:p>
      <w:pPr>
        <w:jc w:val="both"/>
        <w:ind w:left="690" w:firstLine="5"/>
        <w:spacing w:after="0" w:line="233" w:lineRule="auto"/>
        <w:tabs>
          <w:tab w:leader="none" w:pos="101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applicable policies of the Company. The Company may alter, modify, add to or delete any aspects of its employee benefit plans at any time as the Board, in its sole judgment, determines to be appropriate. Additionally, the Executive shall receive a standard relocation package at the beginning of the Executive’s employment for relocation of Executive to the Ann Arbor, Michigan area, in accordance with the Company’s policies in relation to its executive officers.</w:t>
      </w:r>
    </w:p>
    <w:p>
      <w:pPr>
        <w:spacing w:after="0" w:line="204" w:lineRule="exact"/>
        <w:rPr>
          <w:sz w:val="20"/>
          <w:szCs w:val="20"/>
          <w:color w:val="auto"/>
        </w:rPr>
      </w:pPr>
    </w:p>
    <w:p>
      <w:pPr>
        <w:jc w:val="both"/>
        <w:ind w:left="690"/>
        <w:spacing w:after="0" w:line="262"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including without limitation any portion thereof intended to comply with Section 409A of the Internal Revenue Code of 1986, as amended, and the regulations and other guidance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(ii) such reasonable substantiation and documentation requirements as may be specified by the Board or the CEO from time to time.</w:t>
      </w:r>
    </w:p>
    <w:p>
      <w:pPr>
        <w:spacing w:after="0" w:line="184" w:lineRule="exact"/>
        <w:rPr>
          <w:sz w:val="20"/>
          <w:szCs w:val="20"/>
          <w:color w:val="auto"/>
        </w:rPr>
      </w:pPr>
    </w:p>
    <w:p>
      <w:pPr>
        <w:jc w:val="both"/>
        <w:ind w:left="690"/>
        <w:spacing w:after="0" w:line="23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Airline Clubs</w:t>
      </w:r>
      <w:r>
        <w:rPr>
          <w:rFonts w:ascii="Times New Roman" w:cs="Times New Roman" w:eastAsia="Times New Roman" w:hAnsi="Times New Roman"/>
          <w:sz w:val="22"/>
          <w:szCs w:val="22"/>
          <w:color w:val="auto"/>
        </w:rPr>
        <w:t>. Upon receiving the prior written approval of the CEO authorizing the Executive to join a particular airline club, the Company shall pay or reimburse the Executive for dues for not less than two (2) nor more than four (4) airline clubs, provided that such club memberships serve a direct business purpose and subject to such reasonable substantiation and documentation requirements as to cost and purpose as may be specified by the Company from time to time.</w:t>
      </w:r>
    </w:p>
    <w:p>
      <w:pPr>
        <w:spacing w:after="0" w:line="207" w:lineRule="exact"/>
        <w:rPr>
          <w:sz w:val="20"/>
          <w:szCs w:val="20"/>
          <w:color w:val="auto"/>
        </w:rPr>
      </w:pPr>
    </w:p>
    <w:p>
      <w:pPr>
        <w:jc w:val="both"/>
        <w:ind w:left="690"/>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Physicals</w:t>
      </w:r>
      <w:r>
        <w:rPr>
          <w:rFonts w:ascii="Times New Roman" w:cs="Times New Roman" w:eastAsia="Times New Roman" w:hAnsi="Times New Roman"/>
          <w:sz w:val="22"/>
          <w:szCs w:val="22"/>
          <w:color w:val="auto"/>
        </w:rPr>
        <w:t>. During the Term, the Company shall annually pay for or reimburse the Executive for the cost of a physical examination and health evaluation performed by a licensed medical doctor, subject to such reasonable substantiation and documentation requirements as to cost as may be specified by the Board or the Company from time to time.</w:t>
      </w:r>
    </w:p>
    <w:p>
      <w:pPr>
        <w:spacing w:after="0" w:line="206" w:lineRule="exact"/>
        <w:rPr>
          <w:sz w:val="20"/>
          <w:szCs w:val="20"/>
          <w:color w:val="auto"/>
        </w:rPr>
      </w:pPr>
    </w:p>
    <w:p>
      <w:pPr>
        <w:ind w:left="690" w:hanging="690"/>
        <w:spacing w:after="0" w:line="235" w:lineRule="auto"/>
        <w:tabs>
          <w:tab w:leader="none" w:pos="4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Severance Benefits</w:t>
      </w:r>
      <w:r>
        <w:rPr>
          <w:rFonts w:ascii="Times New Roman" w:cs="Times New Roman" w:eastAsia="Times New Roman" w:hAnsi="Times New Roman"/>
          <w:sz w:val="22"/>
          <w:szCs w:val="22"/>
          <w:color w:val="auto"/>
        </w:rPr>
        <w:t>. The Executive’s employment hereunder shall continue until terminated under the circumstances described in this Section 5. All references herein to termination of employment, separation from service and similar or correlative terms, insofar as they are relevant to the payment of any benefit that could constitute nonqualified deferred compensation subject to Section 409A, shall be construed to require a “separation from service” within the meaning of Section 409A (after giving effect to the presumptions contained therein), and the Company and the Executive shall use reasonable efforts to take all steps necessary (including with regard to any post-termination services by the Executive)</w:t>
      </w:r>
    </w:p>
    <w:p>
      <w:pPr>
        <w:spacing w:after="0" w:line="140"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21" w:name="page122"/>
    <w:bookmarkEnd w:id="121"/>
    <w:p>
      <w:pPr>
        <w:ind w:left="380"/>
        <w:spacing w:after="0"/>
        <w:rPr>
          <w:sz w:val="20"/>
          <w:szCs w:val="20"/>
          <w:color w:val="auto"/>
        </w:rPr>
      </w:pPr>
      <w:r>
        <w:rPr>
          <w:rFonts w:ascii="Times New Roman" w:cs="Times New Roman" w:eastAsia="Times New Roman" w:hAnsi="Times New Roman"/>
          <w:sz w:val="22"/>
          <w:szCs w:val="22"/>
          <w:color w:val="auto"/>
        </w:rPr>
        <w:t>to ensure that any such termination constitutes a “separation from service” as so defined.</w:t>
      </w:r>
    </w:p>
    <w:p>
      <w:pPr>
        <w:spacing w:after="0" w:line="232"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Retirement or Death</w:t>
      </w:r>
      <w:r>
        <w:rPr>
          <w:rFonts w:ascii="Times New Roman" w:cs="Times New Roman" w:eastAsia="Times New Roman" w:hAnsi="Times New Roman"/>
          <w:sz w:val="22"/>
          <w:szCs w:val="22"/>
          <w:color w:val="auto"/>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within thirty (30) days following death (or at such earlier time as may be required by applicable law), any Base Salary earned but unpaid through the date of such retirement or death, and any Bonus for the fiscal year preceding the year in which such retirement or death occurs that was earned but has not yet been paid and, at the times the Company pays its executives bonuses in accordance with its general payroll policies, but no later than two and one half (2½) months following the fiscal year in which earned, an amount equal to that portion of any Bonus earned but unpaid during the fiscal year of such retirement or death (prorated in accordance with Section 4.2).</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one hundred twenty (120) days during any period of three hundred sixty-five (365) consecutive calendar days; provided, that if the Executive incurs a leave of absence due to any medically determinable physical or mental impairment that can be expected to result in death or can be expected to last for a continuous period of not less than six (6) months, the Executive, unless he/she earlier returns to service (at a level of service inconsistent with a separation from service under Section 409A) or his/her employment is earlier terminated, shall in all events be deemed to have separated from service not later than by the end of the twenty-ninth (29th) month, commencing with the commencement of such leave of absence.</w:t>
      </w:r>
    </w:p>
    <w:p>
      <w:pPr>
        <w:spacing w:after="0" w:line="208"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and applicable law, until the Executive becomes disabled within the meaning of Section 409A or until the termination of his/her employment, whichever shall first occur. Upon becoming so disabled, or upon such termination, whichever shall first occur, the Company shall promptly and in all events within thirty (30) days (or at such earlier time as may be required by applicable law), pay to the Executive any Base Salary earned but unpaid</w:t>
      </w:r>
    </w:p>
    <w:p>
      <w:pPr>
        <w:spacing w:after="0" w:line="1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22" w:name="page123"/>
    <w:bookmarkEnd w:id="122"/>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through the date of such eligibility or termination and any Bonus for the fiscal year preceding the year of such eligibility or termination that was earned but unpaid. At the times the Company pays its executives bonuses generally, but no later than two and one half (2 ½) months after the end of the fiscal year in which the Bonus is earned, the Company shall pay the Executive an amount equal to that portion of any Bonus earned but unpaid during the fiscal year of such eligibility or termination (prorated in accordance with Section 4.2). During the eighteen (18)-month period from the date of such disability (as determined under Section 409A), the Company shall pay the Executive, at its regular pay periods, an amount equal to the difference between the Base Salary and the amounts of any disability income benefits that the Executive receives in respect of such period.</w:t>
      </w:r>
    </w:p>
    <w:p>
      <w:pPr>
        <w:spacing w:after="0" w:line="207"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and applicable law, until the termination of his/her employment. During the eighteen (18)-month period from the date of disability (as determined under Section 409A) or termination, whichever shall first occur, the Company shall contribute to the cost of the Executive’s participation in group medical plans of the Company, provided that the Executive is entitled to continue such participation under applicable law and plan terms.</w:t>
      </w:r>
    </w:p>
    <w:p>
      <w:pPr>
        <w:spacing w:after="0" w:line="207" w:lineRule="exact"/>
        <w:rPr>
          <w:sz w:val="20"/>
          <w:szCs w:val="20"/>
          <w:color w:val="auto"/>
        </w:rPr>
      </w:pPr>
    </w:p>
    <w:p>
      <w:pPr>
        <w:jc w:val="both"/>
        <w:ind w:left="1140"/>
        <w:spacing w:after="0" w:line="234" w:lineRule="auto"/>
        <w:rPr>
          <w:sz w:val="20"/>
          <w:szCs w:val="20"/>
          <w:color w:val="auto"/>
        </w:rPr>
      </w:pPr>
      <w:r>
        <w:rPr>
          <w:rFonts w:ascii="Times New Roman" w:cs="Times New Roman" w:eastAsia="Times New Roman" w:hAnsi="Times New Roman"/>
          <w:sz w:val="22"/>
          <w:szCs w:val="22"/>
          <w:color w:val="auto"/>
        </w:rPr>
        <w:t>5.2.4 If any question shall arise as to whether during any period the Executive is disabled through any illness, injury, accident or condition of either a physical or psychological nature so as to be unable to perform substantially all of his/her duties and responsibilities hereunder, or for purposes of Section 409A,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207"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The Company may terminate the Executive’s employment hereunder for Cause at any time upon notice to the Executive setting forth in reasonable detail the nature of such Cause. The following events or conditions shall constitute “Cause” for termination: (i) the 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w:t>
      </w:r>
    </w:p>
    <w:p>
      <w:pPr>
        <w:spacing w:after="0" w:line="1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23" w:name="page124"/>
    <w:bookmarkEnd w:id="123"/>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of its Affiliates; or (iv) the conviction of the Executive of, or plea by the Executive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204"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at any time upon notice to the Executive. In the event of such termination, the Company shall pay the Executive: (i) promptly following termination and in all events within thirty (30) days thereof (or at such earlier time as may be required by applicable law), any Base Salary earned but unpaid through the date of termination, plus (ii) severance payments for a period to end twelve (12) months after the termination date (the “</w:t>
      </w:r>
      <w:r>
        <w:rPr>
          <w:rFonts w:ascii="Times New Roman" w:cs="Times New Roman" w:eastAsia="Times New Roman" w:hAnsi="Times New Roman"/>
          <w:sz w:val="20"/>
          <w:szCs w:val="20"/>
          <w:u w:val="single" w:color="auto"/>
          <w:color w:val="auto"/>
        </w:rPr>
        <w:t>Severance Term</w:t>
      </w:r>
      <w:r>
        <w:rPr>
          <w:rFonts w:ascii="Times New Roman" w:cs="Times New Roman" w:eastAsia="Times New Roman" w:hAnsi="Times New Roman"/>
          <w:sz w:val="20"/>
          <w:szCs w:val="20"/>
          <w:color w:val="auto"/>
        </w:rPr>
        <w:t>”), of which (a) the first severance payment shall be made on the date that is six (6) months from the date of termination and in an amount equal to six (6) times the Executive’s monthly base compensation in effect at the time of such termination and (b) the balance of the severance shall be paid in accordance with the Company’s then current payroll practices (currently biweekly payments) over the next six</w:t>
      </w:r>
    </w:p>
    <w:p>
      <w:pPr>
        <w:spacing w:after="0" w:line="1" w:lineRule="exact"/>
        <w:rPr>
          <w:sz w:val="20"/>
          <w:szCs w:val="20"/>
          <w:color w:val="auto"/>
        </w:rPr>
      </w:pPr>
    </w:p>
    <w:p>
      <w:pPr>
        <w:jc w:val="both"/>
        <w:ind w:left="380" w:firstLine="5"/>
        <w:spacing w:after="0" w:line="231" w:lineRule="auto"/>
        <w:tabs>
          <w:tab w:leader="none" w:pos="70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through the date that is twelve (12) months from the date of termination, each such payment in an amount equal to the Base Salary in effect at the time of such termination dependent on payroll practices of the Company (i.e., 1/12th of the Base Salary, 1/24th of the Base Salary, 1/26th of Base Salary, etc.), plus (iii) promptly following termination and in all events within thirty (30) days thereof, any unpaid portion of any Bonus for the fiscal year preceding the year in which such termination occurs that was earned but has not been paid, plus (iv) at the times the Company pays its executives bonuses generally, but no later than two and one half (2 ½) months after the end of the fiscal year in which the Bonus is earned, an amount equal to that portion of any Bonus earned but unpaid during the fiscal year of such termination (prorated in accordance with Section 4.2), plus (v) vested, outstanding equity grants under the Stock Plan, in accordance with the terms thereof and any applicable award agreements.</w:t>
      </w:r>
    </w:p>
    <w:p>
      <w:pPr>
        <w:spacing w:after="0" w:line="211" w:lineRule="exact"/>
        <w:rPr>
          <w:sz w:val="20"/>
          <w:szCs w:val="20"/>
          <w:color w:val="auto"/>
        </w:rPr>
      </w:pPr>
    </w:p>
    <w:p>
      <w:pPr>
        <w:jc w:val="both"/>
        <w:ind w:left="380"/>
        <w:spacing w:after="0" w:line="257"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By the Executive for Good Reason</w:t>
      </w:r>
      <w:r>
        <w:rPr>
          <w:rFonts w:ascii="Times New Roman" w:cs="Times New Roman" w:eastAsia="Times New Roman" w:hAnsi="Times New Roman"/>
          <w:sz w:val="20"/>
          <w:szCs w:val="20"/>
          <w:color w:val="auto"/>
        </w:rPr>
        <w:t>. The Executive may terminate his/her employment hereunder for Good Reason, provided that (a) the Executive provides written notice to the Company, setting forth in reasonable detail the nature of the condition giving rise to Good Reason, within ninety (90) days after the initial existence of such condition, (b) the condition remains uncured by the Company for a period of thirty (30) days following such notice and (c) the Executive terminates his/her employment, if at all, not later than thirty (30) days after the expiration of such cure period. The following shall constitute “Good Reason” for termination by the Executive:</w:t>
      </w:r>
    </w:p>
    <w:p>
      <w:pPr>
        <w:spacing w:after="0" w:line="3" w:lineRule="exact"/>
        <w:rPr>
          <w:sz w:val="20"/>
          <w:szCs w:val="20"/>
          <w:color w:val="auto"/>
        </w:rPr>
      </w:pPr>
    </w:p>
    <w:p>
      <w:pPr>
        <w:jc w:val="both"/>
        <w:ind w:left="380" w:firstLine="5"/>
        <w:spacing w:after="0" w:line="235" w:lineRule="auto"/>
        <w:tabs>
          <w:tab w:leader="none" w:pos="65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nature and scope of the Executive’s responsibilities, duties, authority or title, however, a change in reporting structure shall not constitute a material diminution of authority; (ii) material failure of the Company to provide the Executive the Base Salary and benefits in accordance with</w:t>
      </w:r>
    </w:p>
    <w:p>
      <w:pPr>
        <w:spacing w:after="0" w:line="1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7" w:right="339" w:bottom="1440" w:gutter="0" w:footer="0" w:header="0"/>
        </w:sectPr>
      </w:pPr>
    </w:p>
    <w:bookmarkStart w:id="124" w:name="page125"/>
    <w:bookmarkEnd w:id="124"/>
    <w:p>
      <w:pPr>
        <w:jc w:val="both"/>
        <w:ind w:left="690"/>
        <w:spacing w:after="0" w:line="239" w:lineRule="auto"/>
        <w:rPr>
          <w:sz w:val="20"/>
          <w:szCs w:val="20"/>
          <w:color w:val="auto"/>
        </w:rPr>
      </w:pPr>
      <w:r>
        <w:rPr>
          <w:rFonts w:ascii="Times New Roman" w:cs="Times New Roman" w:eastAsia="Times New Roman" w:hAnsi="Times New Roman"/>
          <w:sz w:val="22"/>
          <w:szCs w:val="22"/>
          <w:color w:val="auto"/>
        </w:rPr>
        <w:t>the terms of Section 4 hereof; or (iii) relocation of the Executive’s office to a location outside a fifty (50)-mile radius of the Company’s current headquarters in Ann Arbor, Michigan. In the event of termination in accordance with this Section 5.5, then the Company shall pay the Executive the amounts specified in Section 5.4.</w:t>
      </w:r>
    </w:p>
    <w:p>
      <w:pPr>
        <w:spacing w:after="0" w:line="206" w:lineRule="exact"/>
        <w:rPr>
          <w:sz w:val="20"/>
          <w:szCs w:val="20"/>
          <w:color w:val="auto"/>
        </w:rPr>
      </w:pPr>
    </w:p>
    <w:p>
      <w:pPr>
        <w:jc w:val="both"/>
        <w:ind w:left="690"/>
        <w:spacing w:after="0" w:line="258"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By the Executive Other Than for Good Reason</w:t>
      </w:r>
      <w:r>
        <w:rPr>
          <w:rFonts w:ascii="Times New Roman" w:cs="Times New Roman" w:eastAsia="Times New Roman" w:hAnsi="Times New Roman"/>
          <w:sz w:val="20"/>
          <w:szCs w:val="20"/>
          <w:color w:val="auto"/>
        </w:rPr>
        <w:t>. The Executive may terminate employment hereunder at any time upon ninety (90) days’ written notice to the Company. In the event of termination of the Executive’s employment pursuant to this Section 5.6, the CEO or the Board may elect to waive the period of notice or any portion thereof. The Company will pay the Executive the Base Salary for the notice period, except to the extent that the notice period is waived by the Board. Upon the giving of notice of termination of the Executive’s employment hereunder pursuant to this Section 5.6, the Company and its Affiliates shall have no further obligation or liability to the Executive, other than (i) payment to the Executive of the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 earned but has not been paid. The payments made under subsections (i) and (iii) hereof shall be made promptly following termination and in all events within thirty (30) days thereof (or at such earlier time as may be required by applicable law).</w:t>
      </w:r>
    </w:p>
    <w:p>
      <w:pPr>
        <w:spacing w:after="0" w:line="189" w:lineRule="exact"/>
        <w:rPr>
          <w:sz w:val="20"/>
          <w:szCs w:val="20"/>
          <w:color w:val="auto"/>
        </w:rPr>
      </w:pPr>
    </w:p>
    <w:p>
      <w:pPr>
        <w:jc w:val="both"/>
        <w:ind w:left="690" w:right="20"/>
        <w:spacing w:after="0" w:line="258"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Post-Agreement Employment</w:t>
      </w:r>
      <w:r>
        <w:rPr>
          <w:rFonts w:ascii="Times New Roman" w:cs="Times New Roman" w:eastAsia="Times New Roman" w:hAnsi="Times New Roman"/>
          <w:sz w:val="22"/>
          <w:szCs w:val="22"/>
          <w:color w:val="auto"/>
        </w:rPr>
        <w:t>. In the event the Executive remains in the employ of the Company or any of its Affiliates following termination of this Agreement, then such employment shall be at will.</w:t>
      </w:r>
    </w:p>
    <w:p>
      <w:pPr>
        <w:spacing w:after="0" w:line="184"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Delayed Payments for Specified Employees</w:t>
      </w:r>
      <w:r>
        <w:rPr>
          <w:rFonts w:ascii="Times New Roman" w:cs="Times New Roman" w:eastAsia="Times New Roman" w:hAnsi="Times New Roman"/>
          <w:sz w:val="22"/>
          <w:szCs w:val="22"/>
          <w:color w:val="auto"/>
        </w:rPr>
        <w:t>. Notwithstanding the foregoing provisions of this Section 5, if the Executive is a “specified employee” as defined in Section 409A, determined in accordance with the methodology established by the Company as in effect on the Executive’s termination, amounts payable hereunder on account of the Executive’s termination that would constitute nonqualified deferred compensation for purposes of Section 409A and that would, but for this Section 5.8, be payable within the six (6) month period commencing with the Executive’s termination shall instead be accumulated and paid, with interest at the applicable federal rate determined under Code Section 7872(f)(2)(A), in a lump sum at the conclusion of such six (6)-month period.</w:t>
      </w:r>
    </w:p>
    <w:p>
      <w:pPr>
        <w:spacing w:after="0" w:line="211" w:lineRule="exact"/>
        <w:rPr>
          <w:sz w:val="20"/>
          <w:szCs w:val="20"/>
          <w:color w:val="auto"/>
        </w:rPr>
      </w:pPr>
    </w:p>
    <w:p>
      <w:pPr>
        <w:ind w:left="690" w:right="20" w:hanging="690"/>
        <w:spacing w:after="0" w:line="258" w:lineRule="auto"/>
        <w:tabs>
          <w:tab w:leader="none" w:pos="42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w:t>
      </w:r>
      <w:r>
        <w:rPr>
          <w:rFonts w:ascii="Times New Roman" w:cs="Times New Roman" w:eastAsia="Times New Roman" w:hAnsi="Times New Roman"/>
          <w:sz w:val="22"/>
          <w:szCs w:val="22"/>
          <w:color w:val="auto"/>
        </w:rPr>
        <w:t>. The provisions of this Section 6 shall apply in the event of any termination of the Executive’s employment pursuant to Section 5 of this Agreement.</w:t>
      </w:r>
    </w:p>
    <w:p>
      <w:pPr>
        <w:spacing w:after="0" w:line="184" w:lineRule="exact"/>
        <w:rPr>
          <w:sz w:val="20"/>
          <w:szCs w:val="20"/>
          <w:color w:val="auto"/>
        </w:rPr>
      </w:pPr>
    </w:p>
    <w:p>
      <w:pPr>
        <w:jc w:val="both"/>
        <w:ind w:left="690"/>
        <w:spacing w:after="0" w:line="23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the Stock Plan or any other equity plan or award agreements thereunder or</w:t>
      </w:r>
    </w:p>
    <w:p>
      <w:pPr>
        <w:spacing w:after="0" w:line="139" w:lineRule="exact"/>
        <w:rPr>
          <w:sz w:val="20"/>
          <w:szCs w:val="20"/>
          <w:color w:val="auto"/>
        </w:rPr>
      </w:pPr>
    </w:p>
    <w:p>
      <w:pPr>
        <w:ind w:left="469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25" w:name="page126"/>
    <w:bookmarkEnd w:id="125"/>
    <w:p>
      <w:pPr>
        <w:ind w:left="743"/>
        <w:spacing w:after="0"/>
        <w:rPr>
          <w:sz w:val="20"/>
          <w:szCs w:val="20"/>
          <w:color w:val="auto"/>
        </w:rPr>
      </w:pPr>
      <w:r>
        <w:rPr>
          <w:rFonts w:ascii="Times New Roman" w:cs="Times New Roman" w:eastAsia="Times New Roman" w:hAnsi="Times New Roman"/>
          <w:sz w:val="22"/>
          <w:szCs w:val="22"/>
          <w:color w:val="auto"/>
        </w:rPr>
        <w:t>any other agreements to the extent said rights or obligations therein survive termination of employment.</w:t>
      </w:r>
    </w:p>
    <w:p>
      <w:pPr>
        <w:spacing w:after="0" w:line="232" w:lineRule="exact"/>
        <w:rPr>
          <w:sz w:val="20"/>
          <w:szCs w:val="20"/>
          <w:color w:val="auto"/>
        </w:rPr>
      </w:pPr>
    </w:p>
    <w:p>
      <w:pPr>
        <w:jc w:val="both"/>
        <w:ind w:left="743"/>
        <w:spacing w:after="0" w:line="23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of Benefits</w:t>
      </w:r>
      <w:r>
        <w:rPr>
          <w:rFonts w:ascii="Times New Roman" w:cs="Times New Roman" w:eastAsia="Times New Roman" w:hAnsi="Times New Roman"/>
          <w:sz w:val="22"/>
          <w:szCs w:val="22"/>
          <w:color w:val="auto"/>
        </w:rPr>
        <w:t>. If the Executive’s employment is terminated by the Company without Cause, or if the Executive terminates employment with the Company for Good Reason, and provided that Executive elects continuation of health coverage pursuant to Section 601 through 608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pay the Executive or pay directly to the COBRA administrator, at the election of the Company, an amount equal to the monthly COBRA premiums for the Severance Term; provided, however, that such payments will cease upon the Executive’s entitlement to other health insurance without charge. Except for medical insurance coverage continued pursuant to Section 6.2 hereof, all other benefits shall terminate pursuant to the terms of the applicable benefit plans based on the date of termination of the Executive’s employment without regard to any continuation of Base Salary or other payments to the Executive following termination of employment. Notwithstanding the foregoing, in the event that the Company’s payment or reimbursement under this Section 6.2 would subject the Executive or the Company to any tax or penalty under the Patient Protection and Affordable Care Act (as amended from time to time, the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or Section 105(h) of the Internal Revenue Code of 1986, as amended (“</w:t>
      </w:r>
      <w:r>
        <w:rPr>
          <w:rFonts w:ascii="Times New Roman" w:cs="Times New Roman" w:eastAsia="Times New Roman" w:hAnsi="Times New Roman"/>
          <w:sz w:val="22"/>
          <w:szCs w:val="22"/>
          <w:u w:val="single" w:color="auto"/>
          <w:color w:val="auto"/>
        </w:rPr>
        <w:t>Section 105(h)</w:t>
      </w:r>
      <w:r>
        <w:rPr>
          <w:rFonts w:ascii="Times New Roman" w:cs="Times New Roman" w:eastAsia="Times New Roman" w:hAnsi="Times New Roman"/>
          <w:sz w:val="22"/>
          <w:szCs w:val="22"/>
          <w:color w:val="auto"/>
        </w:rPr>
        <w:t>”), or applicable regulations or guidance issued under the ACA or Section 105(h), the Executive and the Company agree to work together in good faith, consistent with the requirements for compliance with or exemption from Section 409A, to restructure such benefit.</w:t>
      </w:r>
    </w:p>
    <w:p>
      <w:pPr>
        <w:spacing w:after="0" w:line="213"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Survival of Certain Provisions; Release of Claims</w:t>
      </w:r>
      <w:r>
        <w:rPr>
          <w:rFonts w:ascii="Times New Roman" w:cs="Times New Roman" w:eastAsia="Times New Roman" w:hAnsi="Times New Roman"/>
          <w:sz w:val="22"/>
          <w:szCs w:val="22"/>
          <w:color w:val="auto"/>
        </w:rPr>
        <w:t>. Provisions of this Agreement shall survive any termination of employment if so provided herein or if necessary or desirable fully to accomplish the purpose of other surviving provisions, including, without limitation, the obligations of the Executive under Sections 7 and 8 hereof. The obligation of the Company to make payments to or on behalf of the Executive under Section 5.2, 5.4, 5.5 or 6.2 hereof (other than any Base Salary that is earned but unpaid through the date of termination) is expressly conditioned upon (a) the Executive’s continued full performance of his/her obligations under Sections 7 and 8 hereof and (b) the Executive’s execution of a timely and effective general release of claims in a form provided by the Company at the time of termination, which general release of claims must become effective, if at all, within sixty (60) days following termination of the Executive’s employment. The Executive recognizes that, except as expressly provided in Section 5.2, 5.4, 5.5 or 6.2, no compensation or benefits are earned after termination of employment.</w:t>
      </w:r>
    </w:p>
    <w:p>
      <w:pPr>
        <w:spacing w:after="0" w:line="211" w:lineRule="exact"/>
        <w:rPr>
          <w:sz w:val="20"/>
          <w:szCs w:val="20"/>
          <w:color w:val="auto"/>
        </w:rPr>
      </w:pPr>
    </w:p>
    <w:p>
      <w:pPr>
        <w:ind w:left="423" w:hanging="423"/>
        <w:spacing w:after="0"/>
        <w:tabs>
          <w:tab w:leader="none" w:pos="42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Intellectual Property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743"/>
        <w:spacing w:after="0" w:line="23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Executive acknowledges that the Company and its Affiliates continually develop Confidential Information (as that term is defined in Section 11.2, below); that the Executive has developed and will continue to develop Confidential Information for the Company and its Affiliates and that the Executive has learned and will continue to learn of Confidential Information during the course of his/her employment. The Executive will comply with the policies and procedures</w:t>
      </w:r>
    </w:p>
    <w:p>
      <w:pPr>
        <w:spacing w:after="0" w:line="140"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1" w:right="339" w:bottom="1440" w:gutter="0" w:footer="0" w:header="0"/>
        </w:sectPr>
      </w:pPr>
    </w:p>
    <w:bookmarkStart w:id="126" w:name="page127"/>
    <w:bookmarkEnd w:id="126"/>
    <w:p>
      <w:pPr>
        <w:jc w:val="both"/>
        <w:ind w:left="743"/>
        <w:spacing w:after="0" w:line="232" w:lineRule="auto"/>
        <w:rPr>
          <w:sz w:val="20"/>
          <w:szCs w:val="20"/>
          <w:color w:val="auto"/>
        </w:rPr>
      </w:pPr>
      <w:r>
        <w:rPr>
          <w:rFonts w:ascii="Times New Roman" w:cs="Times New Roman" w:eastAsia="Times New Roman" w:hAnsi="Times New Roman"/>
          <w:sz w:val="22"/>
          <w:szCs w:val="22"/>
          <w:color w:val="auto"/>
        </w:rPr>
        <w:t xml:space="preserve">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or any of its Affiliates. The Executive understands that this restriction shall continue to apply after employment terminates, regardless of the reason for such termination. For the avoidance of doubt, (a) nothing contained in this Agreement limits, restricts or in any other way affects the Executive’s communicating with any governmental agency or entity, or communicating with any official or staff person of a governmental agency or entity, concerning matters relevant to such governmental agency or entity and (b) the Executive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this immunity from liability, the Executive may be held liable if he/she unlawfully accesses trade secrets by unauthorized means.</w:t>
      </w:r>
    </w:p>
    <w:p>
      <w:pPr>
        <w:spacing w:after="0" w:line="217" w:lineRule="exact"/>
        <w:rPr>
          <w:sz w:val="20"/>
          <w:szCs w:val="20"/>
          <w:color w:val="auto"/>
        </w:rPr>
      </w:pPr>
    </w:p>
    <w:p>
      <w:pPr>
        <w:jc w:val="both"/>
        <w:ind w:left="743"/>
        <w:spacing w:after="0" w:line="26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Return of Documents</w:t>
      </w:r>
      <w:r>
        <w:rPr>
          <w:rFonts w:ascii="Times New Roman" w:cs="Times New Roman" w:eastAsia="Times New Roman" w:hAnsi="Times New Roman"/>
          <w:sz w:val="20"/>
          <w:szCs w:val="20"/>
          <w:color w:val="auto"/>
        </w:rPr>
        <w:t>. All documents, records, tapes and other media of every kind and description relating to the business, present or otherwise, of the Company or any of its Affiliates and any copies, in whole or in part, thereof (the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the CEO or the Board’s other designee may specify, all Documents then in the Executive’s possession or control.</w:t>
      </w:r>
    </w:p>
    <w:p>
      <w:pPr>
        <w:spacing w:after="0" w:line="181"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Assignment of Rights to Intellectual Property</w:t>
      </w:r>
      <w:r>
        <w:rPr>
          <w:rFonts w:ascii="Times New Roman" w:cs="Times New Roman" w:eastAsia="Times New Roman" w:hAnsi="Times New Roman"/>
          <w:sz w:val="22"/>
          <w:szCs w:val="22"/>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(or as otherwise directed by the Company) and to permit the Company and its Affiliates to enforce any patents, copyrights or other proprietary rights to the Intellectual Property. The Executive will not charge the Company or any of its Affiliates for time spent in complying with these obligations. All copyrightable works that the Executive creates during his/her employment with the Company shall be considered “work made for hire” and will, upon creation, be owned exclusively by the Company.</w:t>
      </w:r>
    </w:p>
    <w:p>
      <w:pPr>
        <w:spacing w:after="0" w:line="211" w:lineRule="exact"/>
        <w:rPr>
          <w:sz w:val="20"/>
          <w:szCs w:val="20"/>
          <w:color w:val="auto"/>
        </w:rPr>
      </w:pPr>
    </w:p>
    <w:p>
      <w:pPr>
        <w:ind w:left="423" w:hanging="423"/>
        <w:spacing w:after="0"/>
        <w:tabs>
          <w:tab w:leader="none" w:pos="42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Activities</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1" w:right="339" w:bottom="1440" w:gutter="0" w:footer="0" w:header="0"/>
        </w:sectPr>
      </w:pPr>
    </w:p>
    <w:bookmarkStart w:id="127" w:name="page128"/>
    <w:bookmarkEnd w:id="127"/>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Agreement Not to Compete With the Company</w:t>
      </w:r>
      <w:r>
        <w:rPr>
          <w:rFonts w:ascii="Times New Roman" w:cs="Times New Roman" w:eastAsia="Times New Roman" w:hAnsi="Times New Roman"/>
          <w:sz w:val="22"/>
          <w:szCs w:val="22"/>
          <w:color w:val="auto"/>
        </w:rPr>
        <w:t>. During the Executive’s employment hereunder and for a period of twenty four (24) months following the date of termination thereof (the “</w:t>
      </w:r>
      <w:r>
        <w:rPr>
          <w:rFonts w:ascii="Times New Roman" w:cs="Times New Roman" w:eastAsia="Times New Roman" w:hAnsi="Times New Roman"/>
          <w:sz w:val="22"/>
          <w:szCs w:val="22"/>
          <w:u w:val="single" w:color="auto"/>
          <w:color w:val="auto"/>
        </w:rPr>
        <w:t>Non-Competition Period</w:t>
      </w:r>
      <w:r>
        <w:rPr>
          <w:rFonts w:ascii="Times New Roman" w:cs="Times New Roman" w:eastAsia="Times New Roman" w:hAnsi="Times New Roman"/>
          <w:sz w:val="22"/>
          <w:szCs w:val="22"/>
          <w:color w:val="auto"/>
        </w:rPr>
        <w:t>”),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 (i) 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five percent (5%) of any class of equity security of any publicly traded corporation shall not, of itself, constitute a violation of this Section 8.1.</w:t>
      </w:r>
    </w:p>
    <w:p>
      <w:pPr>
        <w:spacing w:after="0" w:line="206"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Agreement Not to Solicit Employees or Customers of the Company</w:t>
      </w:r>
      <w:r>
        <w:rPr>
          <w:rFonts w:ascii="Times New Roman" w:cs="Times New Roman" w:eastAsia="Times New Roman" w:hAnsi="Times New Roman"/>
          <w:sz w:val="22"/>
          <w:szCs w:val="22"/>
          <w:color w:val="auto"/>
        </w:rPr>
        <w:t>. During employment and during the Non-Competition Period the Executive will not, directly or indirectly, (i) recruit or hire or otherwise seek to induce any employees of the Company or any of the Company’s Affiliates to terminate his/her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211"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Agreement Not to Disparage</w:t>
      </w:r>
      <w:r>
        <w:rPr>
          <w:rFonts w:ascii="Times New Roman" w:cs="Times New Roman" w:eastAsia="Times New Roman" w:hAnsi="Times New Roman"/>
          <w:sz w:val="22"/>
          <w:szCs w:val="22"/>
          <w:color w:val="auto"/>
        </w:rPr>
        <w:t>. The Executive agrees that, during employment and at all times thereafter, he/she will not disparage or criticize the Company, its Affiliates, their business, their management or their products or services, and he/she will not otherwise do or say anything that could disrupt the good morale of employees of the Company or any of its Affiliates or harm the interests or reputation of the Company or any of its Affiliates, but may provide truthful, non-Confidential Information in response to any statement made by the Executive Leadership of the Company with respect to the Executive that he reasonably believes to be disparaging.</w:t>
      </w:r>
    </w:p>
    <w:p>
      <w:pPr>
        <w:spacing w:after="0" w:line="3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28" w:name="page129"/>
    <w:bookmarkEnd w:id="128"/>
    <w:p>
      <w:pPr>
        <w:ind w:left="690" w:hanging="690"/>
        <w:spacing w:after="0" w:line="257" w:lineRule="auto"/>
        <w:tabs>
          <w:tab w:leader="none" w:pos="45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he/she has carefully read and considered all the terms and conditions of this Agreement, including without limitation the restraints imposed upon his/her pursuant to Sections 7 and 8 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without having to post bond.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200" w:lineRule="exact"/>
        <w:rPr>
          <w:rFonts w:ascii="Times New Roman" w:cs="Times New Roman" w:eastAsia="Times New Roman" w:hAnsi="Times New Roman"/>
          <w:sz w:val="20"/>
          <w:szCs w:val="20"/>
          <w:color w:val="auto"/>
        </w:rPr>
      </w:pPr>
    </w:p>
    <w:p>
      <w:pPr>
        <w:spacing w:after="0" w:line="242" w:lineRule="exact"/>
        <w:rPr>
          <w:rFonts w:ascii="Times New Roman" w:cs="Times New Roman" w:eastAsia="Times New Roman" w:hAnsi="Times New Roman"/>
          <w:sz w:val="20"/>
          <w:szCs w:val="20"/>
          <w:color w:val="auto"/>
        </w:rPr>
      </w:pPr>
    </w:p>
    <w:p>
      <w:pPr>
        <w:ind w:left="690" w:hanging="690"/>
        <w:spacing w:after="0" w:line="236" w:lineRule="auto"/>
        <w:tabs>
          <w:tab w:leader="none" w:pos="4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Agreements</w:t>
      </w:r>
      <w:r>
        <w:rPr>
          <w:rFonts w:ascii="Times New Roman" w:cs="Times New Roman" w:eastAsia="Times New Roman" w:hAnsi="Times New Roman"/>
          <w:sz w:val="22"/>
          <w:szCs w:val="22"/>
          <w:color w:val="auto"/>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spacing w:after="0" w:line="206" w:lineRule="exact"/>
        <w:rPr>
          <w:rFonts w:ascii="Times New Roman" w:cs="Times New Roman" w:eastAsia="Times New Roman" w:hAnsi="Times New Roman"/>
          <w:sz w:val="22"/>
          <w:szCs w:val="22"/>
          <w:color w:val="auto"/>
        </w:rPr>
      </w:pPr>
    </w:p>
    <w:p>
      <w:pPr>
        <w:ind w:left="690" w:hanging="690"/>
        <w:spacing w:after="0" w:line="244" w:lineRule="auto"/>
        <w:tabs>
          <w:tab w:leader="none" w:pos="4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Words or phrases which are initially capitalized or are within quotation marks shall have the meanings provided in this Section 11 or as specifically defined elsewhere in this Agreement. For purposes of this Agreement, the following definitions apply:</w:t>
      </w:r>
    </w:p>
    <w:p>
      <w:pPr>
        <w:spacing w:after="0" w:line="199" w:lineRule="exact"/>
        <w:rPr>
          <w:sz w:val="20"/>
          <w:szCs w:val="20"/>
          <w:color w:val="auto"/>
        </w:rPr>
      </w:pPr>
    </w:p>
    <w:p>
      <w:pPr>
        <w:jc w:val="both"/>
        <w:ind w:left="690"/>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shall mean Domino’s Pizza, Inc., Domino’s, Inc. and all other persons and entities controlling, controlled by or under common control with the Company, where control may be by management authority or equity interest.</w:t>
      </w:r>
    </w:p>
    <w:p>
      <w:pPr>
        <w:spacing w:after="0" w:line="199"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of the Company and its Affiliates that is not generally known by the public.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of the Company and its Affiliates, and (iv) the people and organizations with whom the Company or any of its Affiliates have business relationships and those relationships. Confidential Information also includes information that the Company or any of its Affiliates have received belonging to others with any understanding, express or implied, that it would not be disclosed.</w:t>
      </w:r>
    </w:p>
    <w:p>
      <w:pPr>
        <w:spacing w:after="0" w:line="140" w:lineRule="exact"/>
        <w:rPr>
          <w:sz w:val="20"/>
          <w:szCs w:val="20"/>
          <w:color w:val="auto"/>
        </w:rPr>
      </w:pPr>
    </w:p>
    <w:p>
      <w:pPr>
        <w:ind w:left="463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91" w:right="339" w:bottom="1440" w:gutter="0" w:footer="0" w:header="0"/>
        </w:sectPr>
      </w:pPr>
    </w:p>
    <w:bookmarkStart w:id="129" w:name="page130"/>
    <w:bookmarkEnd w:id="129"/>
    <w:p>
      <w:pPr>
        <w:jc w:val="both"/>
        <w:ind w:left="690"/>
        <w:spacing w:after="0" w:line="244"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federal Employee Retirement Income Security Act of 1974, as amended, or any successor statute, and the rules and regulations thereunder, and, in the case of any referenced section thereof, any successor section thereto, collectively and as from time to time amended and in effect.</w:t>
      </w:r>
    </w:p>
    <w:p>
      <w:pPr>
        <w:spacing w:after="0" w:line="199" w:lineRule="exact"/>
        <w:rPr>
          <w:sz w:val="20"/>
          <w:szCs w:val="20"/>
          <w:color w:val="auto"/>
        </w:rPr>
      </w:pPr>
    </w:p>
    <w:p>
      <w:pPr>
        <w:jc w:val="both"/>
        <w:ind w:left="690"/>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211" w:lineRule="exact"/>
        <w:rPr>
          <w:sz w:val="20"/>
          <w:szCs w:val="20"/>
          <w:color w:val="auto"/>
        </w:rPr>
      </w:pPr>
    </w:p>
    <w:p>
      <w:pPr>
        <w:jc w:val="both"/>
        <w:ind w:left="690"/>
        <w:spacing w:after="0" w:line="307"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corporation, an association, a partnership, a limited liability company, an estate, a trust and any other entity or organization, other than the Company or any of its Affiliates.</w:t>
      </w:r>
    </w:p>
    <w:p>
      <w:pPr>
        <w:spacing w:after="0" w:line="140" w:lineRule="exact"/>
        <w:rPr>
          <w:sz w:val="20"/>
          <w:szCs w:val="20"/>
          <w:color w:val="auto"/>
        </w:rPr>
      </w:pPr>
    </w:p>
    <w:p>
      <w:pPr>
        <w:ind w:left="690" w:hanging="690"/>
        <w:spacing w:after="0" w:line="237" w:lineRule="auto"/>
        <w:tabs>
          <w:tab w:leader="none" w:pos="4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Withholding/Other Tax Matters</w:t>
      </w:r>
      <w:r>
        <w:rPr>
          <w:rFonts w:ascii="Times New Roman" w:cs="Times New Roman" w:eastAsia="Times New Roman" w:hAnsi="Times New Roman"/>
          <w:sz w:val="22"/>
          <w:szCs w:val="22"/>
          <w:color w:val="auto"/>
        </w:rPr>
        <w:t>. All payments made by the Company under this Agreement shall be reduced by any tax or other amounts required to be withheld by the Company under applicable law. This Agreement shall be construed consistent with the intent that all payment and benefits hereunder comply with the requirements of, or the requirements for exemption from, Section 409A. Notwithstanding the foregoing, the Company shall not be liable to the Executive for any failure to comply with any such requirements.</w:t>
      </w:r>
    </w:p>
    <w:p>
      <w:pPr>
        <w:spacing w:after="0" w:line="207" w:lineRule="exact"/>
        <w:rPr>
          <w:rFonts w:ascii="Times New Roman" w:cs="Times New Roman" w:eastAsia="Times New Roman" w:hAnsi="Times New Roman"/>
          <w:sz w:val="22"/>
          <w:szCs w:val="22"/>
          <w:color w:val="auto"/>
        </w:rPr>
      </w:pPr>
    </w:p>
    <w:p>
      <w:pPr>
        <w:ind w:left="430" w:hanging="430"/>
        <w:spacing w:after="0"/>
        <w:tabs>
          <w:tab w:leader="none" w:pos="43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690" w:hanging="264"/>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359" w:lineRule="exact"/>
        <w:rPr>
          <w:sz w:val="20"/>
          <w:szCs w:val="20"/>
          <w:color w:val="auto"/>
        </w:rPr>
      </w:pPr>
    </w:p>
    <w:p>
      <w:pPr>
        <w:ind w:left="463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477520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33" w:right="339" w:bottom="1440" w:gutter="0" w:footer="0" w:header="0"/>
        </w:sectPr>
      </w:pPr>
    </w:p>
    <w:bookmarkStart w:id="130" w:name="page131"/>
    <w:bookmarkEnd w:id="130"/>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206"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206"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 in writing and shall be effective when delivered in person or deposited in the United States mail, postage prepaid, registered or certified, and addressed (i) in the case of the Executive, to: Art D’Elia, at his/her most recent address on file with the Company, and (ii) in the case of the Company, to the attention of CEO, at 30 Frank Lloyd Wright Drive, Ann Arbor, Michigan 48106, or to such other address as either party may specify by notice to the other actually received.</w:t>
      </w:r>
    </w:p>
    <w:p>
      <w:pPr>
        <w:spacing w:after="0" w:line="206"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20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together shall constitute one and the same instrument.</w:t>
      </w:r>
    </w:p>
    <w:p>
      <w:pPr>
        <w:spacing w:after="0" w:line="184"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spacing w:after="0" w:line="199"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of the Company and the Executive evidenced by the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 as a defense or otherwise, in any such claim or action, any claim that it or he/she is not subject personally to the jurisdiction of the above-named courts,</w:t>
      </w:r>
    </w:p>
    <w:p>
      <w:pPr>
        <w:spacing w:after="0" w:line="1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31" w:name="page132"/>
    <w:bookmarkEnd w:id="131"/>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immediately follows.]</w:t>
      </w:r>
    </w:p>
    <w:p>
      <w:pPr>
        <w:spacing w:after="0" w:line="3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1" w:right="339" w:bottom="1440" w:gutter="0" w:footer="0" w:header="0"/>
        </w:sectPr>
      </w:pPr>
    </w:p>
    <w:bookmarkStart w:id="132" w:name="page133"/>
    <w:bookmarkEnd w:id="13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executed by the Company, by its duly authorized representative, and by the Executive, as of the date first above written.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THE COMPANY:</w:t>
            </w:r>
          </w:p>
        </w:tc>
        <w:tc>
          <w:tcPr>
            <w:tcW w:w="5560" w:type="dxa"/>
            <w:vAlign w:val="bottom"/>
            <w:gridSpan w:val="3"/>
          </w:tcPr>
          <w:p>
            <w:pPr>
              <w:ind w:left="480"/>
              <w:spacing w:after="0"/>
              <w:rPr>
                <w:sz w:val="20"/>
                <w:szCs w:val="20"/>
                <w:color w:val="auto"/>
              </w:rPr>
            </w:pPr>
            <w:r>
              <w:rPr>
                <w:rFonts w:ascii="Times New Roman" w:cs="Times New Roman" w:eastAsia="Times New Roman" w:hAnsi="Times New Roman"/>
                <w:sz w:val="22"/>
                <w:szCs w:val="22"/>
                <w:b w:val="1"/>
                <w:bCs w:val="1"/>
                <w:color w:val="auto"/>
              </w:rPr>
              <w:t>DOMINO’S PIZZA LLC</w:t>
            </w:r>
          </w:p>
        </w:tc>
      </w:tr>
      <w:tr>
        <w:trPr>
          <w:trHeight w:val="918"/>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July 30, 2020</w:t>
            </w:r>
          </w:p>
        </w:tc>
        <w:tc>
          <w:tcPr>
            <w:tcW w:w="556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7"/>
              </w:rPr>
              <w:t>By:_____/s/ Richard Allison____________________</w:t>
            </w:r>
          </w:p>
        </w:tc>
      </w:tr>
      <w:tr>
        <w:trPr>
          <w:trHeight w:val="260"/>
        </w:trPr>
        <w:tc>
          <w:tcPr>
            <w:tcW w:w="2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w w:val="98"/>
              </w:rPr>
              <w:t>Name:   Richard</w:t>
            </w:r>
          </w:p>
        </w:tc>
        <w:tc>
          <w:tcPr>
            <w:tcW w:w="2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Allison</w:t>
            </w:r>
          </w:p>
        </w:tc>
      </w:tr>
    </w:tbl>
    <w:p>
      <w:pPr>
        <w:ind w:left="440"/>
        <w:spacing w:after="0"/>
        <w:tabs>
          <w:tab w:leader="none" w:pos="1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July 30, 2020</w:t>
            </w:r>
          </w:p>
        </w:tc>
        <w:tc>
          <w:tcPr>
            <w:tcW w:w="850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______/s/ Art D’Elia__________________________</w:t>
            </w:r>
          </w:p>
        </w:tc>
      </w:tr>
      <w:tr>
        <w:trPr>
          <w:trHeight w:val="276"/>
        </w:trPr>
        <w:tc>
          <w:tcPr>
            <w:tcW w:w="6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80" w:type="dxa"/>
            <w:vAlign w:val="bottom"/>
            <w:tcBorders>
              <w:top w:val="single" w:sz="8" w:color="auto"/>
            </w:tcBorders>
          </w:tcPr>
          <w:p>
            <w:pPr>
              <w:jc w:val="right"/>
              <w:ind w:right="1692"/>
              <w:spacing w:after="0"/>
              <w:rPr>
                <w:sz w:val="20"/>
                <w:szCs w:val="20"/>
                <w:color w:val="auto"/>
              </w:rPr>
            </w:pPr>
            <w:r>
              <w:rPr>
                <w:rFonts w:ascii="Times New Roman" w:cs="Times New Roman" w:eastAsia="Times New Roman" w:hAnsi="Times New Roman"/>
                <w:sz w:val="22"/>
                <w:szCs w:val="22"/>
                <w:color w:val="auto"/>
              </w:rPr>
              <w:t>Name:   Art D’Elia</w:t>
            </w:r>
          </w:p>
        </w:tc>
        <w:tc>
          <w:tcPr>
            <w:tcW w:w="3160" w:type="dxa"/>
            <w:vAlign w:val="bottom"/>
          </w:tcPr>
          <w:p>
            <w:pPr>
              <w:spacing w:after="0"/>
              <w:rPr>
                <w:sz w:val="23"/>
                <w:szCs w:val="23"/>
                <w:color w:val="auto"/>
              </w:rPr>
            </w:pPr>
          </w:p>
        </w:tc>
      </w:tr>
      <w:tr>
        <w:trPr>
          <w:trHeight w:val="633"/>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340" w:type="dxa"/>
            <w:vAlign w:val="bottom"/>
            <w:gridSpan w:val="2"/>
          </w:tcPr>
          <w:p>
            <w:pPr>
              <w:jc w:val="right"/>
              <w:ind w:right="2172"/>
              <w:spacing w:after="0"/>
              <w:rPr>
                <w:sz w:val="20"/>
                <w:szCs w:val="20"/>
                <w:color w:val="auto"/>
              </w:rPr>
            </w:pPr>
            <w:r>
              <w:rPr>
                <w:rFonts w:ascii="Times New Roman" w:cs="Times New Roman" w:eastAsia="Times New Roman" w:hAnsi="Times New Roman"/>
                <w:sz w:val="22"/>
                <w:szCs w:val="22"/>
                <w:color w:val="auto"/>
              </w:rPr>
              <w:t>-15-</w:t>
            </w:r>
          </w:p>
        </w:tc>
        <w:tc>
          <w:tcPr>
            <w:tcW w:w="3160" w:type="dxa"/>
            <w:vAlign w:val="bottom"/>
          </w:tcPr>
          <w:p>
            <w:pPr>
              <w:spacing w:after="0"/>
              <w:rPr>
                <w:sz w:val="24"/>
                <w:szCs w:val="24"/>
                <w:color w:val="auto"/>
              </w:rPr>
            </w:pPr>
          </w:p>
        </w:tc>
      </w:tr>
      <w:tr>
        <w:trPr>
          <w:trHeight w:val="750"/>
        </w:trPr>
        <w:tc>
          <w:tcPr>
            <w:tcW w:w="6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10.78</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2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SECOND AMENDMENT TO CLASS A-1 NOTE PURCHASE AGREEMENT</w:t>
      </w:r>
    </w:p>
    <w:p>
      <w:pPr>
        <w:spacing w:after="0" w:line="20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This Second Amendment to the Class A-1 Note Purchase Agreement, dated as of September 19, 2023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by and between DOMINO’S PIZZA MASTER ISSUER LLC, DOMINO’S SPV CANADIAN HOLDING COMPANY INC., DOMINO’S PIZZA DISTRIBUTION LLC, and DOMINO’S IP HOLDER LLC, each as a co-issuer (collectively, the “</w:t>
      </w:r>
      <w:r>
        <w:rPr>
          <w:rFonts w:ascii="Times New Roman" w:cs="Times New Roman" w:eastAsia="Times New Roman" w:hAnsi="Times New Roman"/>
          <w:sz w:val="20"/>
          <w:szCs w:val="20"/>
          <w:u w:val="single" w:color="auto"/>
          <w:color w:val="auto"/>
        </w:rPr>
        <w:t>Co-Issuers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Co-Issuer</w:t>
      </w:r>
      <w:r>
        <w:rPr>
          <w:rFonts w:ascii="Times New Roman" w:cs="Times New Roman" w:eastAsia="Times New Roman" w:hAnsi="Times New Roman"/>
          <w:sz w:val="20"/>
          <w:szCs w:val="20"/>
          <w:color w:val="auto"/>
        </w:rPr>
        <w:t>”), DOMINO’S PIZZA FRANCHISING LLC, DOMINO’S PIZZA INTERNATIONAL FRANCHISING INC., DOMINO’S PIZZA CANADIAN DISTRIBUTION ULC, DOMINO’S RE LLC, DOMINO’S EQ LLC, and DOMINO’S SPV GUARANTOR LLC, each as a guarantor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DOMINO’S PIZZA LLC, as Manager (the “</w:t>
      </w:r>
      <w:r>
        <w:rPr>
          <w:rFonts w:ascii="Times New Roman" w:cs="Times New Roman" w:eastAsia="Times New Roman" w:hAnsi="Times New Roman"/>
          <w:sz w:val="20"/>
          <w:szCs w:val="20"/>
          <w:u w:val="single" w:color="auto"/>
          <w:color w:val="auto"/>
        </w:rPr>
        <w:t>Manager</w:t>
      </w:r>
      <w:r>
        <w:rPr>
          <w:rFonts w:ascii="Times New Roman" w:cs="Times New Roman" w:eastAsia="Times New Roman" w:hAnsi="Times New Roman"/>
          <w:sz w:val="20"/>
          <w:szCs w:val="20"/>
          <w:color w:val="auto"/>
        </w:rPr>
        <w:t>”) and COÖPERATIEVE RABOBANK U.A., NEW YORK BRANCH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acknowledged and agreed to by the Committed Note Purchasers party hereto.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WHEREAS, the parties hereto are parties to a Class A-1 Note Purchase Agreement (as amended, restated, amended and restated, supplemented or otherwise modified prior to the date hereof, the “</w:t>
      </w:r>
      <w:r>
        <w:rPr>
          <w:rFonts w:ascii="Times New Roman" w:cs="Times New Roman" w:eastAsia="Times New Roman" w:hAnsi="Times New Roman"/>
          <w:sz w:val="22"/>
          <w:szCs w:val="22"/>
          <w:u w:val="single" w:color="auto"/>
          <w:color w:val="auto"/>
        </w:rPr>
        <w:t>Existing Class A-1 NPA</w:t>
      </w:r>
      <w:r>
        <w:rPr>
          <w:rFonts w:ascii="Times New Roman" w:cs="Times New Roman" w:eastAsia="Times New Roman" w:hAnsi="Times New Roman"/>
          <w:sz w:val="22"/>
          <w:szCs w:val="22"/>
          <w:color w:val="auto"/>
        </w:rPr>
        <w:t>” and the Existing Class A-1 NPA, as amended by this Amendment, the “</w:t>
      </w:r>
      <w:r>
        <w:rPr>
          <w:rFonts w:ascii="Times New Roman" w:cs="Times New Roman" w:eastAsia="Times New Roman" w:hAnsi="Times New Roman"/>
          <w:sz w:val="22"/>
          <w:szCs w:val="22"/>
          <w:u w:val="single" w:color="auto"/>
          <w:color w:val="auto"/>
        </w:rPr>
        <w:t>Amended Class A-1 NPA</w:t>
      </w:r>
      <w:r>
        <w:rPr>
          <w:rFonts w:ascii="Times New Roman" w:cs="Times New Roman" w:eastAsia="Times New Roman" w:hAnsi="Times New Roman"/>
          <w:sz w:val="22"/>
          <w:szCs w:val="22"/>
          <w:color w:val="auto"/>
        </w:rPr>
        <w:t>”), dated as of April 16, 2021, by and among the Co-Issuers, the Guarantors, the Manager, the Conduit Investors thereto, the Committed Note Purchasers thereto, the Funding Agents thereto and the Administrative Agent;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hereto desire to amend the Existing Class A-1 NPA as set forth in this Amendment to correct the calculation of interest with respect to Advances that bear interest at a rate based on Term SOFR; 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each Co-Issuer has authorized the execution and delivery of this Amendment.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contained and intending to be legally bound, the parties to this Amendment hereby agree as follows: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Amendments to the Existing Class A-1 NPA</w:t>
      </w:r>
      <w:r>
        <w:rPr>
          <w:rFonts w:ascii="Times New Roman" w:cs="Times New Roman" w:eastAsia="Times New Roman" w:hAnsi="Times New Roman"/>
          <w:sz w:val="22"/>
          <w:szCs w:val="22"/>
          <w:color w:val="auto"/>
        </w:rPr>
        <w:t>. With effect from June 30, 2023, the Existing Class A-1 NPA is hereby amended as follows:</w:t>
      </w:r>
    </w:p>
    <w:p>
      <w:pPr>
        <w:spacing w:after="0" w:line="157" w:lineRule="exact"/>
        <w:rPr>
          <w:sz w:val="20"/>
          <w:szCs w:val="20"/>
          <w:color w:val="auto"/>
        </w:rPr>
      </w:pPr>
    </w:p>
    <w:p>
      <w:pPr>
        <w:ind w:firstLine="757"/>
        <w:spacing w:after="0" w:line="258"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of the Existing Class A-1 NPA is hereby amended by inserting the following definition in the appropriate alphabetical order: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means a rate per annum equal to the sum of (a) Adjusted Term SOFR and (b) 1.50%.”</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(b)Section 3.01 of the Existing Class A-1 NPA is hereby amended by deleting each reference to “Adjusted Term SOFR” and replacing it with “the Term SOFR Rate.”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1.2</w:t>
      </w:r>
      <w:r>
        <w:rPr>
          <w:rFonts w:ascii="Times New Roman" w:cs="Times New Roman" w:eastAsia="Times New Roman" w:hAnsi="Times New Roman"/>
          <w:sz w:val="20"/>
          <w:szCs w:val="20"/>
          <w:u w:val="single" w:color="auto"/>
          <w:color w:val="auto"/>
        </w:rPr>
        <w:t>Effect on Class A-1 NPA</w:t>
      </w:r>
      <w:r>
        <w:rPr>
          <w:rFonts w:ascii="Times New Roman" w:cs="Times New Roman" w:eastAsia="Times New Roman" w:hAnsi="Times New Roman"/>
          <w:sz w:val="20"/>
          <w:szCs w:val="20"/>
          <w:color w:val="auto"/>
        </w:rPr>
        <w:t>. Upon the date hereof but with effect from June 30, 2023, (i) the Existing Class A-1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NPA shall be amended in accordance herewith and (ii) the parties shall be bound by the Amended Class A-1 NPA as so amended.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expressly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34" w:name="page135"/>
    <w:bookmarkEnd w:id="134"/>
    <w:p>
      <w:pPr>
        <w:jc w:val="both"/>
        <w:spacing w:after="0" w:line="244" w:lineRule="auto"/>
        <w:rPr>
          <w:sz w:val="20"/>
          <w:szCs w:val="20"/>
          <w:color w:val="auto"/>
        </w:rPr>
      </w:pPr>
      <w:r>
        <w:rPr>
          <w:rFonts w:ascii="Times New Roman" w:cs="Times New Roman" w:eastAsia="Times New Roman" w:hAnsi="Times New Roman"/>
          <w:sz w:val="22"/>
          <w:szCs w:val="22"/>
          <w:color w:val="auto"/>
        </w:rPr>
        <w:t>forth or contemplated in this Amendment, the terms and conditions of the Existing Class A-1 NPA shall remain in place and shall not be altered, amended, waived or changed in any manner whatsoever, except by any further amendment made in accordance with the terms of the Amended Class A-1 NPA.</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and not otherwise defined herein have the meanings set forth or incorporated by reference in the Amended Class A-1 NPA.</w:t>
      </w:r>
    </w:p>
    <w:p>
      <w:pPr>
        <w:spacing w:after="0" w:line="15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Co-Issuers, the Manager and the Guarantors hereby represents and warrants that: (a) this Amendment constitutes a legal, valid and binding obligation of such Person, enforceable against it in accordance with its terms, except as limited by debtor relief laws and equitable principles; (b) upon the date hereof (both before and after giving effect to this Amendment), no Event of Default or Default shall exist; (c) the representations and warranties set forth in the Existing Class A-1 NPA and the other Related Documents are true and correct (i) if not qualified as to materiality or Material Adverse Effect, in all material respects and (ii) if qualified as to materiality or Material Adverse Effect, in all respects as of the date originally made and as of the date hereof (unless stated to relate solely to an earlier date, in which case such representations and warranties were true and correct in all material respects as of such earlier date); and (d) the execution, delivery and performance by each Co-Issuer, the Manager and the Guarantors of this Amendment is within its limited liability company or corporate powers, have been duly authorized by all necessary actions, and do not and will not contravene (i) the organizational documents of each Co-Issuer, the Manager or the Guarantors or (ii) any law or regulation or any contractual restriction binding on or affecting their respective assets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-29845</wp:posOffset>
            </wp:positionV>
            <wp:extent cx="342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22"/>
          <w:szCs w:val="22"/>
          <w:u w:val="single" w:color="auto"/>
          <w:color w:val="auto"/>
        </w:rPr>
        <w:t>Reaffirmation of Guarantees and Security Interests</w:t>
      </w:r>
      <w:r>
        <w:rPr>
          <w:rFonts w:ascii="Times New Roman" w:cs="Times New Roman" w:eastAsia="Times New Roman" w:hAnsi="Times New Roman"/>
          <w:sz w:val="22"/>
          <w:szCs w:val="22"/>
          <w:color w:val="auto"/>
        </w:rPr>
        <w:t>. Each Co-Issuer and the Guarantors hereby acknowledges its receipt of a copy of this Amendment and its review of the terms and conditions hereof and consents to the terms and conditions of this Amendment and the transactions contemplated thereby. Each Co-Issuer and the Guarantors hereby (a) affirms and confirms, as applicable, its guarantees, pledges, grants and other undertakings under the Amended Class A-1 NPA and (b) agrees that (i) the Amended Class A-1 NPA shall continue to be in full force and effect and (ii) all guarantees, pledges, grants and other undertakings thereunder shall continue to be in full force and effect and shall accrue to the benefit of the applicable secured party or parties thereunder.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1.6</w:t>
      </w:r>
      <w:r>
        <w:rPr>
          <w:rFonts w:ascii="Times New Roman" w:cs="Times New Roman" w:eastAsia="Times New Roman" w:hAnsi="Times New Roman"/>
          <w:sz w:val="22"/>
          <w:szCs w:val="22"/>
          <w:u w:val="single" w:color="auto"/>
          <w:color w:val="auto"/>
        </w:rPr>
        <w:t>Miscellaneous</w:t>
      </w:r>
    </w:p>
    <w:p>
      <w:pPr>
        <w:spacing w:after="0" w:line="205" w:lineRule="exact"/>
        <w:rPr>
          <w:sz w:val="20"/>
          <w:szCs w:val="20"/>
          <w:color w:val="auto"/>
        </w:rPr>
      </w:pPr>
    </w:p>
    <w:p>
      <w:pPr>
        <w:jc w:val="both"/>
        <w:ind w:firstLine="1505"/>
        <w:spacing w:after="0" w:line="266" w:lineRule="auto"/>
        <w:tabs>
          <w:tab w:leader="none" w:pos="203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and Interpretation of Existing Documents</w:t>
      </w:r>
      <w:r>
        <w:rPr>
          <w:rFonts w:ascii="Times New Roman" w:cs="Times New Roman" w:eastAsia="Times New Roman" w:hAnsi="Times New Roman"/>
          <w:sz w:val="20"/>
          <w:szCs w:val="20"/>
          <w:color w:val="auto"/>
        </w:rPr>
        <w:t>. Except as expressly provided in this Amendment, all of the terms, provisions, covenants, agreements, representations and warranties and conditions of the Existing Class A-1 NPA and the other Related Documents shall be and remain in full force and effect as written, unmodified hereby and are hereby ratified by each Co-Issuer, the Manager and the Guarantors. In the event of any conflict between the terms, provisions, covenants, representations and warranties and conditions of this Amendment and the Existing Class A-1 NPA, this Amendment shall control.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5" w:name="page136"/>
    <w:bookmarkEnd w:id="135"/>
    <w:p>
      <w:pPr>
        <w:jc w:val="both"/>
        <w:ind w:firstLine="1505"/>
        <w:spacing w:after="0" w:line="244"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Co-Issuer, the Manager and the Guarantors each agrees to execute such other documents, instruments and agreements and take such further actions reasonably requested by the Administrative Agent to effectuate the provisions of this Amendment.</w:t>
      </w:r>
    </w:p>
    <w:p>
      <w:pPr>
        <w:spacing w:after="0" w:line="172"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Amendment that is invalid, illegal or unenforceable in any jurisdiction shall, as to that jurisdiction, be ineffective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laws of the jurisdiction that governs the Existing Class A-1 NPA in accordance with the terms thereof.</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AFTER REVIEWING THIS PROVISION SPECIFICALLY WITH ITS RESPECTIVE COUNSEL, EACH OF THE PARTIES HERETO HEREBY KNOWINGLY, VOLUNTARILY AND INTENTIONALLY WAIVES ANY AND ALL RIGHTS THEY MAY HAVE TO A TRIAL BY JURY IN RESPECT OF ANY LITIGATION BASED ON, OR ARISING OUT OF, UNDER, OR IN CONNECTION WITH, THIS AMENDMENT, THE OTHER AMENDED DOCUMENTS OR ANY COURSE OF CONDUCT, COURSE OF DEALING, STATEMENTS (WHETHER ORAL OR WRITTEN) OR ACTIONS OF PARTIES HERETO. THIS PROVISION IS A MATERIAL INDUCEMENT FOR THE COMMITTED NOTE PURCHASERS TO EXTEND CREDIT TO EACH CO-ISSUER.</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the Existing Class A-1 NPA (as amended hereby) and the other Related Documents embody the entire agreement and understanding between the parties and supersede all prior agreements and understandings relating to the subject matter hereof. Any exhibits or annexes attached hereto are hereby incorporated herein by reference and made a part hereof.</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Beneficiaries.</w:t>
      </w:r>
      <w:r>
        <w:rPr>
          <w:rFonts w:ascii="Times New Roman" w:cs="Times New Roman" w:eastAsia="Times New Roman" w:hAnsi="Times New Roman"/>
          <w:sz w:val="22"/>
          <w:szCs w:val="22"/>
          <w:color w:val="auto"/>
        </w:rPr>
        <w:t xml:space="preserve"> This Amendment shall be binding upon and inure to the benefit of the parties to the Existing Class A-1 NPA and each other applicable Related Document and their respective heirs, executors, administrators, successors, legal representatives and assigns, and no other party shall derive any rights or benefits herefrom.</w:t>
      </w:r>
    </w:p>
    <w:p>
      <w:pPr>
        <w:spacing w:after="0" w:line="172"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Amendment shall be construed without regard to any presumption or other rule requiring construction against the party drafting this Amendment.</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relating to this Amendment shall be delivered in the manner and subject to the provisions set forth in the Existing Class A-1 NPA.</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(by electronic mail, facsimile or otherwise) in any number of counterparts, all of which when so executed shall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deemed to be an original and all of which taken together shall constitute one and the same agreement.</w:t>
      </w:r>
    </w:p>
    <w:p>
      <w:pPr>
        <w:spacing w:after="0" w:line="205" w:lineRule="exact"/>
        <w:rPr>
          <w:sz w:val="20"/>
          <w:szCs w:val="20"/>
          <w:color w:val="auto"/>
        </w:rPr>
      </w:pPr>
    </w:p>
    <w:p>
      <w:pPr>
        <w:jc w:val="both"/>
        <w:ind w:firstLine="1505"/>
        <w:spacing w:after="0" w:line="234" w:lineRule="auto"/>
        <w:tabs>
          <w:tab w:leader="none" w:pos="203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Signatures and Transmission</w:t>
      </w:r>
      <w:r>
        <w:rPr>
          <w:rFonts w:ascii="Times New Roman" w:cs="Times New Roman" w:eastAsia="Times New Roman" w:hAnsi="Times New Roman"/>
          <w:sz w:val="22"/>
          <w:szCs w:val="22"/>
          <w:color w:val="auto"/>
        </w:rPr>
        <w:t>. For purposes of this Amendment,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Any requirement in the Indenture that a document is to be signed or authenticated by “manual signature” or similar language shall not be deemed to prohibit signature to be by facsimile or electronic signature and shall not be deemed to prohibit delivery thereof by Electronic Transmission. The recipient of the Electronic Transmission will be required to complete a one-time registration process.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7" w:name="page138"/>
    <w:bookmarkEnd w:id="137"/>
    <w:p>
      <w:pPr>
        <w:ind w:firstLine="432"/>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its respective duly authorized officer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MASTER ISSUER LLC,</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a Co-Issuer</w:t>
      </w:r>
    </w:p>
    <w:p>
      <w:pPr>
        <w:spacing w:after="0" w:line="200" w:lineRule="exact"/>
        <w:rPr>
          <w:sz w:val="20"/>
          <w:szCs w:val="20"/>
          <w:color w:val="auto"/>
        </w:rPr>
      </w:pPr>
    </w:p>
    <w:p>
      <w:pPr>
        <w:spacing w:after="0" w:line="251"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14458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27">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Jessica Parrish</w:t>
      </w:r>
    </w:p>
    <w:p>
      <w:pPr>
        <w:ind w:left="524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SPV CANADIAN HOLDING COMPANY INC.,</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a Co-Issuer</w:t>
      </w:r>
    </w:p>
    <w:p>
      <w:pPr>
        <w:spacing w:after="0" w:line="200" w:lineRule="exact"/>
        <w:rPr>
          <w:sz w:val="20"/>
          <w:szCs w:val="20"/>
          <w:color w:val="auto"/>
        </w:rPr>
      </w:pPr>
    </w:p>
    <w:p>
      <w:pPr>
        <w:spacing w:after="0" w:line="251"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17202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8">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Jessica Parrish</w:t>
      </w:r>
    </w:p>
    <w:p>
      <w:pPr>
        <w:ind w:left="524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DISTRIBUTION LLC,</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a Co-Issuer</w:t>
      </w:r>
    </w:p>
    <w:p>
      <w:pPr>
        <w:spacing w:after="0" w:line="200" w:lineRule="exact"/>
        <w:rPr>
          <w:sz w:val="20"/>
          <w:szCs w:val="20"/>
          <w:color w:val="auto"/>
        </w:rPr>
      </w:pPr>
    </w:p>
    <w:p>
      <w:pPr>
        <w:spacing w:after="0" w:line="251"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14458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9">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Jessica Parrish</w:t>
      </w:r>
    </w:p>
    <w:p>
      <w:pPr>
        <w:ind w:left="524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IP HOLDER LLC,</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a Co-Issuer</w:t>
      </w:r>
    </w:p>
    <w:p>
      <w:pPr>
        <w:spacing w:after="0" w:line="208"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14458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0">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Jessica Parrish</w:t>
      </w:r>
    </w:p>
    <w:p>
      <w:pPr>
        <w:ind w:left="524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Domino’s Second Amendment to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8" w:name="page139"/>
    <w:bookmarkEnd w:id="138"/>
    <w:p>
      <w:pPr>
        <w:ind w:left="4120"/>
        <w:spacing w:after="0"/>
        <w:rPr>
          <w:sz w:val="20"/>
          <w:szCs w:val="20"/>
          <w:color w:val="auto"/>
        </w:rPr>
      </w:pPr>
      <w:r>
        <w:rPr>
          <w:rFonts w:ascii="Times New Roman" w:cs="Times New Roman" w:eastAsia="Times New Roman" w:hAnsi="Times New Roman"/>
          <w:sz w:val="22"/>
          <w:szCs w:val="22"/>
          <w:color w:val="auto"/>
        </w:rPr>
        <w:t>DOMINO’S PIZZA FRANCHISING LLC</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2">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DOMINO’S PIZZA INTERNATIONAL FRANCHISING INC.</w:t>
      </w:r>
    </w:p>
    <w:p>
      <w:pPr>
        <w:spacing w:after="0" w:line="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3">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right="520"/>
        <w:spacing w:after="0" w:line="258" w:lineRule="auto"/>
        <w:rPr>
          <w:sz w:val="20"/>
          <w:szCs w:val="20"/>
          <w:color w:val="auto"/>
        </w:rPr>
      </w:pPr>
      <w:r>
        <w:rPr>
          <w:rFonts w:ascii="Times New Roman" w:cs="Times New Roman" w:eastAsia="Times New Roman" w:hAnsi="Times New Roman"/>
          <w:sz w:val="22"/>
          <w:szCs w:val="22"/>
          <w:color w:val="auto"/>
        </w:rPr>
        <w:t>DOMINO’S PIZZA CANADIAN DISTRIBUTION ULC as Guarantor</w:t>
      </w:r>
    </w:p>
    <w:p>
      <w:pPr>
        <w:spacing w:after="0" w:line="200" w:lineRule="exact"/>
        <w:rPr>
          <w:sz w:val="20"/>
          <w:szCs w:val="20"/>
          <w:color w:val="auto"/>
        </w:rPr>
      </w:pPr>
    </w:p>
    <w:p>
      <w:pPr>
        <w:spacing w:after="0" w:line="389"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4">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DOMINO’S RE LLC</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35">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Domino’s Second Amendment to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485140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0"/>
          </w:cols>
          <w:pgMar w:left="1440" w:top="1407" w:right="819" w:bottom="1440" w:gutter="0" w:footer="0" w:header="0"/>
        </w:sectPr>
      </w:pPr>
    </w:p>
    <w:bookmarkStart w:id="139" w:name="page140"/>
    <w:bookmarkEnd w:id="139"/>
    <w:p>
      <w:pPr>
        <w:ind w:left="4120"/>
        <w:spacing w:after="0"/>
        <w:rPr>
          <w:sz w:val="20"/>
          <w:szCs w:val="20"/>
          <w:color w:val="auto"/>
        </w:rPr>
      </w:pPr>
      <w:r>
        <w:rPr>
          <w:rFonts w:ascii="Times New Roman" w:cs="Times New Roman" w:eastAsia="Times New Roman" w:hAnsi="Times New Roman"/>
          <w:sz w:val="22"/>
          <w:szCs w:val="22"/>
          <w:color w:val="auto"/>
        </w:rPr>
        <w:t>DOMINO’S EQ LLC</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37">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DOMINO’S SPV GUARANTOR LLC</w:t>
      </w:r>
    </w:p>
    <w:p>
      <w:pPr>
        <w:spacing w:after="0" w:line="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38">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Manager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tabs>
          <w:tab w:leader="none" w:pos="4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-13970</wp:posOffset>
            </wp:positionV>
            <wp:extent cx="14458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9">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Name: Jessica Parrish</w:t>
      </w:r>
    </w:p>
    <w:p>
      <w:pPr>
        <w:ind w:left="4120"/>
        <w:spacing w:after="0"/>
        <w:rPr>
          <w:sz w:val="20"/>
          <w:szCs w:val="20"/>
          <w:color w:val="auto"/>
        </w:rPr>
      </w:pPr>
      <w:r>
        <w:rPr>
          <w:rFonts w:ascii="Times New Roman" w:cs="Times New Roman" w:eastAsia="Times New Roman" w:hAnsi="Times New Roman"/>
          <w:sz w:val="22"/>
          <w:szCs w:val="22"/>
          <w:color w:val="auto"/>
        </w:rPr>
        <w:t>Title: VP,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Domino’s Second Amendment to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492760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140" w:name="page141"/>
    <w:bookmarkEnd w:id="140"/>
    <w:p>
      <w:pPr>
        <w:ind w:left="5240"/>
        <w:spacing w:after="0" w:line="258" w:lineRule="auto"/>
        <w:rPr>
          <w:sz w:val="20"/>
          <w:szCs w:val="20"/>
          <w:color w:val="auto"/>
        </w:rPr>
      </w:pPr>
      <w:r>
        <w:rPr>
          <w:rFonts w:ascii="Times New Roman" w:cs="Times New Roman" w:eastAsia="Times New Roman" w:hAnsi="Times New Roman"/>
          <w:sz w:val="22"/>
          <w:szCs w:val="22"/>
          <w:color w:val="auto"/>
        </w:rPr>
        <w:t>COÖPERATIEVE RABOBANK U.A., NEW YORK BRANCH, as Administrative Agent</w:t>
      </w:r>
    </w:p>
    <w:p>
      <w:pPr>
        <w:spacing w:after="0" w:line="200" w:lineRule="exact"/>
        <w:rPr>
          <w:sz w:val="20"/>
          <w:szCs w:val="20"/>
          <w:color w:val="auto"/>
        </w:rPr>
      </w:pPr>
    </w:p>
    <w:p>
      <w:pPr>
        <w:spacing w:after="0" w:line="204" w:lineRule="exact"/>
        <w:rPr>
          <w:sz w:val="20"/>
          <w:szCs w:val="20"/>
          <w:color w:val="auto"/>
        </w:rPr>
      </w:pPr>
    </w:p>
    <w:tbl>
      <w:tblPr>
        <w:tblLayout w:type="fixed"/>
        <w:tblInd w:w="52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0" w:type="dxa"/>
            <w:vAlign w:val="bottom"/>
          </w:tcPr>
          <w:p>
            <w:pPr>
              <w:spacing w:after="0"/>
              <w:rPr>
                <w:sz w:val="22"/>
                <w:szCs w:val="22"/>
                <w:color w:val="auto"/>
              </w:rPr>
            </w:pPr>
          </w:p>
        </w:tc>
        <w:tc>
          <w:tcPr>
            <w:tcW w:w="2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/s/ Jinyang Wang</w:t>
            </w:r>
          </w:p>
        </w:tc>
      </w:tr>
      <w:tr>
        <w:trPr>
          <w:trHeight w:val="236"/>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 Jinyang Wang</w:t>
            </w:r>
          </w:p>
        </w:tc>
      </w:tr>
      <w:tr>
        <w:trPr>
          <w:trHeight w:val="282"/>
        </w:trPr>
        <w:tc>
          <w:tcPr>
            <w:tcW w:w="3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Title: Executive Director</w:t>
            </w:r>
          </w:p>
        </w:tc>
      </w:tr>
      <w:tr>
        <w:trPr>
          <w:trHeight w:val="837"/>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0" w:type="dxa"/>
            <w:vAlign w:val="bottom"/>
          </w:tcPr>
          <w:p>
            <w:pPr>
              <w:spacing w:after="0"/>
              <w:rPr>
                <w:sz w:val="24"/>
                <w:szCs w:val="24"/>
                <w:color w:val="auto"/>
              </w:rPr>
            </w:pPr>
          </w:p>
        </w:tc>
        <w:tc>
          <w:tcPr>
            <w:tcW w:w="2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/s/ Erin M. Scott</w:t>
            </w:r>
          </w:p>
        </w:tc>
      </w:tr>
      <w:tr>
        <w:trPr>
          <w:trHeight w:val="236"/>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 Erin M. Scott</w:t>
            </w:r>
          </w:p>
        </w:tc>
      </w:tr>
      <w:tr>
        <w:trPr>
          <w:trHeight w:val="267"/>
        </w:trPr>
        <w:tc>
          <w:tcPr>
            <w:tcW w:w="380" w:type="dxa"/>
            <w:vAlign w:val="bottom"/>
          </w:tcPr>
          <w:p>
            <w:pPr>
              <w:spacing w:after="0"/>
              <w:rPr>
                <w:sz w:val="23"/>
                <w:szCs w:val="23"/>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Title: Executive Director</w:t>
            </w:r>
          </w:p>
        </w:tc>
      </w:tr>
    </w:tbl>
    <w:p>
      <w:pPr>
        <w:spacing w:after="0"/>
        <w:rPr>
          <w:sz w:val="20"/>
          <w:szCs w:val="20"/>
          <w:color w:val="auto"/>
        </w:rPr>
      </w:pPr>
      <w:r>
        <w:rPr>
          <w:rFonts w:ascii="Times New Roman" w:cs="Times New Roman" w:eastAsia="Times New Roman" w:hAnsi="Times New Roman"/>
          <w:sz w:val="22"/>
          <w:szCs w:val="22"/>
          <w:color w:val="auto"/>
        </w:rPr>
        <w:t>Acknowledged and Agreed to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80"/>
        <w:spacing w:after="0" w:line="258" w:lineRule="auto"/>
        <w:rPr>
          <w:sz w:val="20"/>
          <w:szCs w:val="20"/>
          <w:color w:val="auto"/>
        </w:rPr>
      </w:pPr>
      <w:r>
        <w:rPr>
          <w:rFonts w:ascii="Times New Roman" w:cs="Times New Roman" w:eastAsia="Times New Roman" w:hAnsi="Times New Roman"/>
          <w:sz w:val="22"/>
          <w:szCs w:val="22"/>
          <w:color w:val="auto"/>
        </w:rPr>
        <w:t>COÖPERATIEVE RABOBANK U.A., NEW YORK BRANCH, as Committed Note Purchaser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Jinyang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-13970</wp:posOffset>
            </wp:positionV>
            <wp:extent cx="11722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1">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Jinyang Wang</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Erin M.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-13970</wp:posOffset>
            </wp:positionV>
            <wp:extent cx="11722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2">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Erin M. Scott</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8" w:lineRule="exact"/>
        <w:rPr>
          <w:sz w:val="20"/>
          <w:szCs w:val="20"/>
          <w:color w:val="auto"/>
        </w:rPr>
      </w:pPr>
    </w:p>
    <w:p>
      <w:pPr>
        <w:ind w:right="5480"/>
        <w:spacing w:after="0" w:line="258" w:lineRule="auto"/>
        <w:rPr>
          <w:sz w:val="20"/>
          <w:szCs w:val="20"/>
          <w:color w:val="auto"/>
        </w:rPr>
      </w:pPr>
      <w:r>
        <w:rPr>
          <w:rFonts w:ascii="Times New Roman" w:cs="Times New Roman" w:eastAsia="Times New Roman" w:hAnsi="Times New Roman"/>
          <w:sz w:val="22"/>
          <w:szCs w:val="22"/>
          <w:color w:val="auto"/>
        </w:rPr>
        <w:t>COÖPERATIEVE RABOBANK U.A., NEW YORK BRANCH, as related Funding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Jinyang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-13970</wp:posOffset>
            </wp:positionV>
            <wp:extent cx="11722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3">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Jinyang Wang</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Erin M.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-13970</wp:posOffset>
            </wp:positionV>
            <wp:extent cx="11722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4">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Erin M. Scott</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Domino’s Second Amendment to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7" w:right="4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10.93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2024 Director Compensation Summary</w:t>
      </w:r>
    </w:p>
    <w:p>
      <w:pPr>
        <w:spacing w:after="0" w:line="23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following table sets forth the current compensation received by directors of Domino’s Pizza, Inc. (excluding the Company’s Chief Executive Officer) for service on the Board of Directors, Audit Committee, Compensation Committee, Nominating &amp; Corporate Governance Committee and Inclusion &amp; Diversity Committee: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Retainer</w:t>
            </w:r>
          </w:p>
        </w:tc>
        <w:tc>
          <w:tcPr>
            <w:tcW w:w="30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32"/>
        </w:trPr>
        <w:tc>
          <w:tcPr>
            <w:tcW w:w="66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413"/>
        </w:trPr>
        <w:tc>
          <w:tcPr>
            <w:tcW w:w="6640" w:type="dxa"/>
            <w:vAlign w:val="bottom"/>
          </w:tcPr>
          <w:p>
            <w:pPr>
              <w:ind w:left="20"/>
              <w:spacing w:after="0"/>
              <w:rPr>
                <w:sz w:val="20"/>
                <w:szCs w:val="20"/>
                <w:color w:val="auto"/>
              </w:rPr>
            </w:pPr>
            <w:r>
              <w:rPr>
                <w:rFonts w:ascii="Arial" w:cs="Arial" w:eastAsia="Arial" w:hAnsi="Arial"/>
                <w:sz w:val="18"/>
                <w:szCs w:val="18"/>
                <w:color w:val="auto"/>
              </w:rPr>
              <w:t>Presiding Director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9"/>
        </w:trPr>
        <w:tc>
          <w:tcPr>
            <w:tcW w:w="664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3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39"/>
        </w:trPr>
        <w:tc>
          <w:tcPr>
            <w:tcW w:w="6640" w:type="dxa"/>
            <w:vAlign w:val="bottom"/>
          </w:tcPr>
          <w:p>
            <w:pPr>
              <w:ind w:left="26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09"/>
        </w:trPr>
        <w:tc>
          <w:tcPr>
            <w:tcW w:w="6640" w:type="dxa"/>
            <w:vAlign w:val="bottom"/>
          </w:tcPr>
          <w:p>
            <w:pPr>
              <w:ind w:left="20"/>
              <w:spacing w:after="0"/>
              <w:rPr>
                <w:sz w:val="20"/>
                <w:szCs w:val="20"/>
                <w:color w:val="auto"/>
              </w:rPr>
            </w:pPr>
            <w:r>
              <w:rPr>
                <w:rFonts w:ascii="Arial" w:cs="Arial" w:eastAsia="Arial" w:hAnsi="Arial"/>
                <w:sz w:val="18"/>
                <w:szCs w:val="18"/>
                <w:color w:val="auto"/>
              </w:rPr>
              <w:t>Compensation Committee</w:t>
            </w:r>
          </w:p>
        </w:tc>
        <w:tc>
          <w:tcPr>
            <w:tcW w:w="3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9"/>
        </w:trPr>
        <w:tc>
          <w:tcPr>
            <w:tcW w:w="6640" w:type="dxa"/>
            <w:vAlign w:val="bottom"/>
          </w:tcPr>
          <w:p>
            <w:pPr>
              <w:ind w:left="26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409"/>
        </w:trPr>
        <w:tc>
          <w:tcPr>
            <w:tcW w:w="6640" w:type="dxa"/>
            <w:vAlign w:val="bottom"/>
          </w:tcPr>
          <w:p>
            <w:pPr>
              <w:ind w:left="20"/>
              <w:spacing w:after="0"/>
              <w:rPr>
                <w:sz w:val="20"/>
                <w:szCs w:val="20"/>
                <w:color w:val="auto"/>
              </w:rPr>
            </w:pPr>
            <w:r>
              <w:rPr>
                <w:rFonts w:ascii="Arial" w:cs="Arial" w:eastAsia="Arial" w:hAnsi="Arial"/>
                <w:sz w:val="18"/>
                <w:szCs w:val="18"/>
                <w:color w:val="auto"/>
              </w:rPr>
              <w:t>Inclusion &amp; Diversity Committee</w:t>
            </w:r>
          </w:p>
        </w:tc>
        <w:tc>
          <w:tcPr>
            <w:tcW w:w="3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9"/>
        </w:trPr>
        <w:tc>
          <w:tcPr>
            <w:tcW w:w="6640" w:type="dxa"/>
            <w:vAlign w:val="bottom"/>
          </w:tcPr>
          <w:p>
            <w:pPr>
              <w:ind w:left="26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409"/>
        </w:trPr>
        <w:tc>
          <w:tcPr>
            <w:tcW w:w="6640" w:type="dxa"/>
            <w:vAlign w:val="bottom"/>
          </w:tcPr>
          <w:p>
            <w:pPr>
              <w:ind w:left="20"/>
              <w:spacing w:after="0"/>
              <w:rPr>
                <w:sz w:val="20"/>
                <w:szCs w:val="20"/>
                <w:color w:val="auto"/>
              </w:rPr>
            </w:pPr>
            <w:r>
              <w:rPr>
                <w:rFonts w:ascii="Arial" w:cs="Arial" w:eastAsia="Arial" w:hAnsi="Arial"/>
                <w:sz w:val="18"/>
                <w:szCs w:val="18"/>
                <w:color w:val="auto"/>
              </w:rPr>
              <w:t>Nominating &amp; Corporate Governance Committee</w:t>
            </w:r>
          </w:p>
        </w:tc>
        <w:tc>
          <w:tcPr>
            <w:tcW w:w="3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Chairperson</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9"/>
        </w:trPr>
        <w:tc>
          <w:tcPr>
            <w:tcW w:w="6640" w:type="dxa"/>
            <w:vAlign w:val="bottom"/>
          </w:tcPr>
          <w:p>
            <w:pPr>
              <w:ind w:left="260"/>
              <w:spacing w:after="0"/>
              <w:rPr>
                <w:sz w:val="20"/>
                <w:szCs w:val="20"/>
                <w:color w:val="auto"/>
              </w:rPr>
            </w:pPr>
            <w:r>
              <w:rPr>
                <w:rFonts w:ascii="Arial" w:cs="Arial" w:eastAsia="Arial" w:hAnsi="Arial"/>
                <w:sz w:val="18"/>
                <w:szCs w:val="18"/>
                <w:color w:val="auto"/>
              </w:rPr>
              <w:t>Member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Equity Award</w:t>
            </w:r>
          </w:p>
        </w:tc>
        <w:tc>
          <w:tcPr>
            <w:tcW w:w="3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190"/>
        </w:trPr>
        <w:tc>
          <w:tcPr>
            <w:tcW w:w="6640" w:type="dxa"/>
            <w:vAlign w:val="bottom"/>
          </w:tcPr>
          <w:p>
            <w:pPr>
              <w:ind w:left="20"/>
              <w:spacing w:after="0" w:line="190" w:lineRule="exact"/>
              <w:rPr>
                <w:sz w:val="20"/>
                <w:szCs w:val="20"/>
                <w:color w:val="auto"/>
              </w:rPr>
            </w:pPr>
            <w:r>
              <w:rPr>
                <w:rFonts w:ascii="Arial" w:cs="Arial" w:eastAsia="Arial" w:hAnsi="Arial"/>
                <w:sz w:val="18"/>
                <w:szCs w:val="18"/>
                <w:color w:val="auto"/>
              </w:rPr>
              <w:t>Target grant date fair value</w:t>
            </w:r>
          </w:p>
        </w:tc>
        <w:tc>
          <w:tcPr>
            <w:tcW w:w="3100" w:type="dxa"/>
            <w:vAlign w:val="bottom"/>
          </w:tcPr>
          <w:p>
            <w:pPr>
              <w:jc w:val="right"/>
              <w:ind w:right="190"/>
              <w:spacing w:after="0" w:line="190"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6"/>
                <w:szCs w:val="16"/>
                <w:color w:val="auto"/>
              </w:rPr>
            </w:pPr>
          </w:p>
        </w:tc>
      </w:tr>
      <w:tr>
        <w:trPr>
          <w:trHeight w:val="239"/>
        </w:trPr>
        <w:tc>
          <w:tcPr>
            <w:tcW w:w="6640" w:type="dxa"/>
            <w:vAlign w:val="bottom"/>
          </w:tcPr>
          <w:p>
            <w:pPr>
              <w:ind w:left="20"/>
              <w:spacing w:after="0"/>
              <w:rPr>
                <w:sz w:val="20"/>
                <w:szCs w:val="20"/>
                <w:color w:val="auto"/>
              </w:rPr>
            </w:pPr>
            <w:r>
              <w:rPr>
                <w:rFonts w:ascii="Arial" w:cs="Arial" w:eastAsia="Arial" w:hAnsi="Arial"/>
                <w:sz w:val="18"/>
                <w:szCs w:val="18"/>
                <w:color w:val="auto"/>
              </w:rPr>
              <w:t>Award vests on first anniversary of the grant date</w:t>
            </w:r>
          </w:p>
        </w:tc>
        <w:tc>
          <w:tcPr>
            <w:tcW w:w="3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8"/>
        </w:trPr>
        <w:tc>
          <w:tcPr>
            <w:tcW w:w="66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SIGNIFICANT SUBSIDIARIES OF DOMINO’S PIZZA,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National Advertising Fund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Progressive Food Solutions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GP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LP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Canadian Holding Company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NS Co.</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Nova Scotia</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Guarantor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Master Issuer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Distribution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EQ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Canadian Holding Company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Canadian Distribution ULC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Nova Scotia</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Franchising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RE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of Michigan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58"/>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IP Holder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1632"/>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3" w:name="page144"/>
    <w:bookmarkEnd w:id="143"/>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60"/>
        <w:spacing w:after="0" w:line="23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w:t>
      </w:r>
      <w:r>
        <w:rPr>
          <w:rFonts w:ascii="Georgia" w:cs="Georgia" w:eastAsia="Georgia" w:hAnsi="Georgia"/>
          <w:sz w:val="19"/>
          <w:szCs w:val="19"/>
          <w:color w:val="auto"/>
        </w:rPr>
        <w:t>Nos. 333-118486, 333-121830, 333-121923, 333-161971, 333-161972, and 333-174542</w:t>
      </w:r>
      <w:r>
        <w:rPr>
          <w:rFonts w:ascii="Georgia" w:cs="Georgia" w:eastAsia="Georgia" w:hAnsi="Georgia"/>
          <w:sz w:val="17"/>
          <w:szCs w:val="17"/>
          <w:color w:val="auto"/>
        </w:rPr>
        <w:t>) of Domino’s Pizza, Inc. of our report dated February 26, 2024 relating to the financial</w:t>
      </w:r>
      <w:r>
        <w:rPr>
          <w:rFonts w:ascii="Georgia" w:cs="Georgia" w:eastAsia="Georgia" w:hAnsi="Georgia"/>
          <w:sz w:val="19"/>
          <w:szCs w:val="19"/>
          <w:color w:val="auto"/>
        </w:rPr>
        <w:t xml:space="preserve"> </w:t>
      </w:r>
      <w:r>
        <w:rPr>
          <w:rFonts w:ascii="Georgia" w:cs="Georgia" w:eastAsia="Georgia" w:hAnsi="Georgia"/>
          <w:sz w:val="17"/>
          <w:szCs w:val="17"/>
          <w:color w:val="auto"/>
        </w:rPr>
        <w:t>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Detroit, Michigan</w:t>
      </w:r>
    </w:p>
    <w:p>
      <w:pPr>
        <w:spacing w:after="0" w:line="238" w:lineRule="auto"/>
        <w:rPr>
          <w:sz w:val="20"/>
          <w:szCs w:val="20"/>
          <w:color w:val="auto"/>
        </w:rPr>
      </w:pPr>
      <w:r>
        <w:rPr>
          <w:rFonts w:ascii="Georgia" w:cs="Georgia" w:eastAsia="Georgia" w:hAnsi="Georgia"/>
          <w:sz w:val="18"/>
          <w:szCs w:val="18"/>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DOMINO’S PIZZA,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8"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right="20" w:hanging="372"/>
        <w:spacing w:after="0" w:line="239" w:lineRule="auto"/>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jc w:val="both"/>
        <w:ind w:left="760" w:hanging="378"/>
        <w:spacing w:after="0" w:line="239"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760" w:hanging="378"/>
        <w:spacing w:after="0" w:line="239"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760" w:hanging="378"/>
        <w:spacing w:after="0" w:line="239"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60" w:hanging="378"/>
        <w:spacing w:after="0" w:line="239"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60" w:hanging="378"/>
        <w:spacing w:after="0" w:line="239"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5" w:lineRule="auto"/>
        <w:tabs>
          <w:tab w:leader="none" w:pos="7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26, 2024</w:t>
            </w:r>
          </w:p>
        </w:tc>
        <w:tc>
          <w:tcPr>
            <w:tcW w:w="1000" w:type="dxa"/>
            <w:vAlign w:val="bottom"/>
          </w:tcPr>
          <w:p>
            <w:pPr>
              <w:spacing w:after="0"/>
              <w:rPr>
                <w:sz w:val="20"/>
                <w:szCs w:val="20"/>
                <w:color w:val="auto"/>
              </w:rPr>
            </w:pP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J. Weiner</w:t>
            </w: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J. Weiner</w:t>
            </w:r>
          </w:p>
        </w:tc>
      </w:tr>
      <w:tr>
        <w:trPr>
          <w:trHeight w:val="234"/>
        </w:trPr>
        <w:tc>
          <w:tcPr>
            <w:tcW w:w="3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38"/>
        </w:trPr>
        <w:tc>
          <w:tcPr>
            <w:tcW w:w="37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DOMINO’S PIZZA,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8"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right="2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jc w:val="both"/>
        <w:ind w:left="760" w:hanging="378"/>
        <w:spacing w:after="0" w:line="239"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760" w:hanging="378"/>
        <w:spacing w:after="0" w:line="239"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760" w:hanging="378"/>
        <w:spacing w:after="0" w:line="239"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60" w:hanging="378"/>
        <w:spacing w:after="0" w:line="239"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60" w:hanging="378"/>
        <w:spacing w:after="0" w:line="239"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5" w:lineRule="auto"/>
        <w:tabs>
          <w:tab w:leader="none" w:pos="7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26, 2024</w:t>
            </w:r>
          </w:p>
        </w:tc>
        <w:tc>
          <w:tcPr>
            <w:tcW w:w="1120" w:type="dxa"/>
            <w:vAlign w:val="bottom"/>
          </w:tcPr>
          <w:p>
            <w:pPr>
              <w:spacing w:after="0"/>
              <w:rPr>
                <w:sz w:val="20"/>
                <w:szCs w:val="20"/>
                <w:color w:val="auto"/>
              </w:rPr>
            </w:pPr>
          </w:p>
        </w:tc>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Reddy</w:t>
            </w:r>
          </w:p>
        </w:tc>
      </w:tr>
      <w:tr>
        <w:trPr>
          <w:trHeight w:val="234"/>
        </w:trPr>
        <w:tc>
          <w:tcPr>
            <w:tcW w:w="3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38"/>
        </w:trPr>
        <w:tc>
          <w:tcPr>
            <w:tcW w:w="3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December 31, 2023, as filed with the Securities and Exchange Commission on the date hereof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49" w:lineRule="exact"/>
        <w:rPr>
          <w:sz w:val="20"/>
          <w:szCs w:val="20"/>
          <w:color w:val="auto"/>
        </w:rPr>
      </w:pPr>
    </w:p>
    <w:p>
      <w:pPr>
        <w:ind w:left="760" w:hanging="378"/>
        <w:spacing w:after="0" w:line="258"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Russell J. Weiner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-127635</wp:posOffset>
            </wp:positionV>
            <wp:extent cx="42729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55">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26035</wp:posOffset>
            </wp:positionV>
            <wp:extent cx="14300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5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December 31, 2023, as filed with the Securities and Exchange Commission on the date hereof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49" w:lineRule="exact"/>
        <w:rPr>
          <w:sz w:val="20"/>
          <w:szCs w:val="20"/>
          <w:color w:val="auto"/>
        </w:rPr>
      </w:pPr>
    </w:p>
    <w:p>
      <w:pPr>
        <w:ind w:left="760" w:hanging="378"/>
        <w:spacing w:after="0" w:line="258" w:lineRule="auto"/>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Sandeep Reddy</w:t>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-127635</wp:posOffset>
            </wp:positionV>
            <wp:extent cx="29883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58">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1140"/>
        <w:spacing w:after="0"/>
        <w:tabs>
          <w:tab w:leader="none" w:pos="1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26035</wp:posOffset>
            </wp:positionV>
            <wp:extent cx="136144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9">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w:t>
      </w:r>
    </w:p>
    <w:p>
      <w:pPr>
        <w:spacing w:after="0" w:line="20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1.</w:t>
      </w:r>
      <w:r>
        <w:rPr>
          <w:sz w:val="20"/>
          <w:szCs w:val="20"/>
          <w:color w:val="auto"/>
        </w:rPr>
        <w:tab/>
      </w:r>
      <w:r>
        <w:rPr>
          <w:rFonts w:ascii="Times New Roman" w:cs="Times New Roman" w:eastAsia="Times New Roman" w:hAnsi="Times New Roman"/>
          <w:sz w:val="20"/>
          <w:szCs w:val="20"/>
          <w:b w:val="1"/>
          <w:bCs w:val="1"/>
          <w:u w:val="single" w:color="auto"/>
          <w:color w:val="auto"/>
        </w:rPr>
        <w:t>Introduction</w:t>
      </w:r>
    </w:p>
    <w:p>
      <w:pPr>
        <w:spacing w:after="0" w:line="236"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In accordance with Section 10D of the Securities Exchange Act of 1934, as amended, and the regulations thereunder,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w:t>
      </w:r>
    </w:p>
    <w:p>
      <w:pPr>
        <w:spacing w:after="0" w:line="20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2.</w:t>
      </w:r>
      <w:r>
        <w:rPr>
          <w:sz w:val="20"/>
          <w:szCs w:val="20"/>
          <w:color w:val="auto"/>
        </w:rPr>
        <w:tab/>
      </w:r>
      <w:r>
        <w:rPr>
          <w:rFonts w:ascii="Times New Roman" w:cs="Times New Roman" w:eastAsia="Times New Roman" w:hAnsi="Times New Roman"/>
          <w:sz w:val="20"/>
          <w:szCs w:val="20"/>
          <w:b w:val="1"/>
          <w:bCs w:val="1"/>
          <w:u w:val="single" w:color="auto"/>
          <w:color w:val="auto"/>
        </w:rPr>
        <w:t>Administration</w:t>
      </w:r>
    </w:p>
    <w:p>
      <w:pPr>
        <w:spacing w:after="0" w:line="236"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Administration and enforcement of this Policy is delegated to the Compensation Committee of the Board (as constituted from time to time, and including any successor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Committee shall make all determinations under this Policy in its sole discretion. Determinations of the Committee under this Policy need not be uniform with respect to any or all Covered Executives and will be final and binding.</w:t>
      </w:r>
    </w:p>
    <w:p>
      <w:pPr>
        <w:spacing w:after="0" w:line="20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3.</w:t>
      </w:r>
      <w:r>
        <w:rPr>
          <w:sz w:val="20"/>
          <w:szCs w:val="20"/>
          <w:color w:val="auto"/>
        </w:rPr>
        <w:tab/>
      </w:r>
      <w:r>
        <w:rPr>
          <w:rFonts w:ascii="Times New Roman" w:cs="Times New Roman" w:eastAsia="Times New Roman" w:hAnsi="Times New Roman"/>
          <w:sz w:val="20"/>
          <w:szCs w:val="20"/>
          <w:b w:val="1"/>
          <w:bCs w:val="1"/>
          <w:u w:val="single" w:color="auto"/>
          <w:color w:val="auto"/>
        </w:rPr>
        <w:t>Effective Date</w:t>
      </w:r>
    </w:p>
    <w:p>
      <w:pPr>
        <w:spacing w:after="0" w:line="23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This Policy shall be effective as of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only to Covered Compensation (as defined below) that is received by Covered Executives on or after the Effective Date, except as otherwise agreed to by any Covered Executive.</w:t>
      </w:r>
    </w:p>
    <w:p>
      <w:pPr>
        <w:spacing w:after="0" w:line="19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4.</w:t>
      </w:r>
      <w:r>
        <w:rPr>
          <w:sz w:val="20"/>
          <w:szCs w:val="20"/>
          <w:color w:val="auto"/>
        </w:rPr>
        <w:tab/>
      </w:r>
      <w:r>
        <w:rPr>
          <w:rFonts w:ascii="Times New Roman" w:cs="Times New Roman" w:eastAsia="Times New Roman" w:hAnsi="Times New Roman"/>
          <w:sz w:val="20"/>
          <w:szCs w:val="20"/>
          <w:b w:val="1"/>
          <w:bCs w:val="1"/>
          <w:u w:val="single" w:color="auto"/>
          <w:color w:val="auto"/>
        </w:rPr>
        <w:t>Covered Executives</w:t>
      </w:r>
    </w:p>
    <w:p>
      <w:pPr>
        <w:spacing w:after="0" w:line="23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This Policy covers each current or former officer of the Company subject to Section 16 of the Securities Exchange Act of 1934, as amended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5.</w:t>
      </w:r>
      <w:r>
        <w:rPr>
          <w:sz w:val="20"/>
          <w:szCs w:val="20"/>
          <w:color w:val="auto"/>
        </w:rPr>
        <w:tab/>
      </w:r>
      <w:r>
        <w:rPr>
          <w:rFonts w:ascii="Times New Roman" w:cs="Times New Roman" w:eastAsia="Times New Roman" w:hAnsi="Times New Roman"/>
          <w:sz w:val="20"/>
          <w:szCs w:val="20"/>
          <w:b w:val="1"/>
          <w:bCs w:val="1"/>
          <w:u w:val="single" w:color="auto"/>
          <w:color w:val="auto"/>
        </w:rPr>
        <w:t>Covered Compensation</w:t>
      </w:r>
    </w:p>
    <w:p>
      <w:pPr>
        <w:spacing w:after="0" w:line="236"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This Policy applies to any cash-based and equity-based incentive compensation, bonuses, and awards that are received by a Covered Executive and that were based, wholly or in part, upon the attainment of any financial reporting measure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1472565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49" w:name="page150"/>
    <w:bookmarkEnd w:id="149"/>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6.</w:t>
      </w:r>
      <w:r>
        <w:rPr>
          <w:sz w:val="20"/>
          <w:szCs w:val="20"/>
          <w:color w:val="auto"/>
        </w:rPr>
        <w:tab/>
      </w:r>
      <w:r>
        <w:rPr>
          <w:rFonts w:ascii="Times New Roman" w:cs="Times New Roman" w:eastAsia="Times New Roman" w:hAnsi="Times New Roman"/>
          <w:sz w:val="20"/>
          <w:szCs w:val="20"/>
          <w:b w:val="1"/>
          <w:bCs w:val="1"/>
          <w:u w:val="single" w:color="auto"/>
          <w:color w:val="auto"/>
        </w:rPr>
        <w:t>Financial Restatements; Recoupment</w:t>
      </w:r>
    </w:p>
    <w:p>
      <w:pPr>
        <w:spacing w:after="0" w:line="236"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review the Covered Compensation received by a Covered Executive during the three-year period preceding the Required Financial Restatement Date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received by a Covered Executive (computed without regard to any taxes paid), if and to the extent:</w:t>
      </w:r>
    </w:p>
    <w:p>
      <w:pPr>
        <w:spacing w:after="0" w:line="203" w:lineRule="exact"/>
        <w:rPr>
          <w:sz w:val="20"/>
          <w:szCs w:val="20"/>
          <w:color w:val="auto"/>
        </w:rPr>
      </w:pPr>
    </w:p>
    <w:p>
      <w:pPr>
        <w:ind w:left="1140" w:hanging="383"/>
        <w:spacing w:after="0" w:line="258" w:lineRule="auto"/>
        <w:tabs>
          <w:tab w:leader="none" w:pos="11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was calculated based upon the achievement of certain financial results that were subsequently the subject of a Restatement; and</w:t>
      </w:r>
    </w:p>
    <w:p>
      <w:pPr>
        <w:spacing w:after="0" w:line="184"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22"/>
          <w:szCs w:val="22"/>
          <w:u w:val="single" w:color="auto"/>
          <w:color w:val="auto"/>
        </w:rPr>
        <w:t>Erroneously-Awarded Compensation</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For purposes of this Policy, the “</w:t>
      </w:r>
      <w:r>
        <w:rPr>
          <w:rFonts w:ascii="Times New Roman" w:cs="Times New Roman" w:eastAsia="Times New Roman" w:hAnsi="Times New Roman"/>
          <w:sz w:val="22"/>
          <w:szCs w:val="22"/>
          <w:u w:val="single" w:color="auto"/>
          <w:color w:val="auto"/>
        </w:rPr>
        <w:t>Required Financial Restatement Date</w:t>
      </w:r>
      <w:r>
        <w:rPr>
          <w:rFonts w:ascii="Times New Roman" w:cs="Times New Roman" w:eastAsia="Times New Roman" w:hAnsi="Times New Roman"/>
          <w:sz w:val="22"/>
          <w:szCs w:val="22"/>
          <w:color w:val="auto"/>
        </w:rPr>
        <w:t>” is the earlier to occur of:</w:t>
      </w:r>
    </w:p>
    <w:p>
      <w:pPr>
        <w:spacing w:after="0" w:line="232" w:lineRule="exact"/>
        <w:rPr>
          <w:sz w:val="20"/>
          <w:szCs w:val="20"/>
          <w:color w:val="auto"/>
        </w:rPr>
      </w:pPr>
    </w:p>
    <w:p>
      <w:pPr>
        <w:jc w:val="both"/>
        <w:ind w:left="1140" w:hanging="383"/>
        <w:spacing w:after="0" w:line="244" w:lineRule="auto"/>
        <w:tabs>
          <w:tab w:leader="none" w:pos="11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9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 Restatement.</w:t>
      </w:r>
    </w:p>
    <w:p>
      <w:pPr>
        <w:spacing w:after="0" w:line="23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0" w:name="page151"/>
    <w:bookmarkEnd w:id="150"/>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7.</w:t>
      </w:r>
      <w:r>
        <w:rPr>
          <w:sz w:val="20"/>
          <w:szCs w:val="20"/>
          <w:color w:val="auto"/>
        </w:rPr>
        <w:tab/>
      </w:r>
      <w:r>
        <w:rPr>
          <w:rFonts w:ascii="Times New Roman" w:cs="Times New Roman" w:eastAsia="Times New Roman" w:hAnsi="Times New Roman"/>
          <w:sz w:val="20"/>
          <w:szCs w:val="20"/>
          <w:b w:val="1"/>
          <w:bCs w:val="1"/>
          <w:u w:val="single" w:color="auto"/>
          <w:color w:val="auto"/>
        </w:rPr>
        <w:t>Method of Recoupment</w:t>
      </w:r>
    </w:p>
    <w:p>
      <w:pPr>
        <w:spacing w:after="0" w:line="23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22"/>
          <w:szCs w:val="22"/>
          <w:color w:val="auto"/>
        </w:rPr>
        <w:t>The Committee will determine, in its sole discretion, the method for recouping Erroneously-Awarded Compensation, which may include, without limitation:</w:t>
      </w:r>
    </w:p>
    <w:p>
      <w:pPr>
        <w:spacing w:after="0" w:line="184" w:lineRule="exact"/>
        <w:rPr>
          <w:sz w:val="20"/>
          <w:szCs w:val="20"/>
          <w:color w:val="auto"/>
        </w:rPr>
      </w:pPr>
    </w:p>
    <w:p>
      <w:pPr>
        <w:ind w:left="1140" w:hanging="383"/>
        <w:spacing w:after="0"/>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32"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 (and/or equity-based) awards;</w:t>
      </w:r>
    </w:p>
    <w:p>
      <w:pPr>
        <w:spacing w:after="0" w:line="232"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or withholding from unpaid compensation or other set-off to the extent permitted by applicable law; and/or</w:t>
      </w:r>
    </w:p>
    <w:p>
      <w:pPr>
        <w:spacing w:after="0" w:line="255" w:lineRule="exact"/>
        <w:rPr>
          <w:rFonts w:ascii="Times New Roman" w:cs="Times New Roman" w:eastAsia="Times New Roman" w:hAnsi="Times New Roman"/>
          <w:sz w:val="20"/>
          <w:szCs w:val="20"/>
          <w:color w:val="auto"/>
        </w:rPr>
      </w:pPr>
    </w:p>
    <w:p>
      <w:pPr>
        <w:ind w:left="1140" w:right="20" w:hanging="383"/>
        <w:spacing w:after="0" w:line="258" w:lineRule="auto"/>
        <w:tabs>
          <w:tab w:leader="none" w:pos="11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future salary increases, cash-based or equity-based incentive compensation, bonuses, awards or severance.</w:t>
      </w:r>
    </w:p>
    <w:p>
      <w:pPr>
        <w:spacing w:after="0" w:line="18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u w:val="single" w:color="auto"/>
          <w:color w:val="auto"/>
        </w:rPr>
        <w:t>8.</w:t>
      </w:r>
      <w:r>
        <w:rPr>
          <w:sz w:val="20"/>
          <w:szCs w:val="20"/>
          <w:color w:val="auto"/>
        </w:rPr>
        <w:tab/>
      </w:r>
      <w:r>
        <w:rPr>
          <w:rFonts w:ascii="Times New Roman" w:cs="Times New Roman" w:eastAsia="Times New Roman" w:hAnsi="Times New Roman"/>
          <w:sz w:val="20"/>
          <w:szCs w:val="20"/>
          <w:b w:val="1"/>
          <w:bCs w:val="1"/>
          <w:u w:val="single" w:color="auto"/>
          <w:color w:val="auto"/>
        </w:rPr>
        <w:t>Impracticability Exceptions</w:t>
      </w: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Committee shall not seek recoupment of any Erroneously-Awarded Compensation to the extent it determines that:</w:t>
      </w:r>
    </w:p>
    <w:p>
      <w:pPr>
        <w:spacing w:after="0" w:line="232" w:lineRule="exact"/>
        <w:rPr>
          <w:sz w:val="20"/>
          <w:szCs w:val="20"/>
          <w:color w:val="auto"/>
        </w:rPr>
      </w:pPr>
    </w:p>
    <w:p>
      <w:pPr>
        <w:ind w:left="1140" w:hanging="383"/>
        <w:spacing w:after="0" w:line="258" w:lineRule="auto"/>
        <w:tabs>
          <w:tab w:leader="none" w:pos="11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Erroneously-Awarded Compensation to be recovered;</w:t>
      </w:r>
    </w:p>
    <w:p>
      <w:pPr>
        <w:spacing w:after="0" w:line="184"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and/or</w:t>
      </w:r>
    </w:p>
    <w:p>
      <w:pPr>
        <w:spacing w:after="0" w:line="232"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9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7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10. Severability</w:t>
      </w:r>
    </w:p>
    <w:p>
      <w:pPr>
        <w:spacing w:after="0" w:line="236"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1" w:name="page152"/>
    <w:bookmarkEnd w:id="151"/>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11. Amendments</w:t>
      </w:r>
    </w:p>
    <w:p>
      <w:pPr>
        <w:spacing w:after="0" w:line="23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u w:val="single" w:color="auto"/>
          <w:color w:val="auto"/>
        </w:rPr>
        <w:t>12. No Impairment of Other Remedies</w:t>
      </w:r>
    </w:p>
    <w:p>
      <w:pPr>
        <w:spacing w:after="0" w:line="236"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“Separate Recoupment Policy” and collectively, the “Separate Recoupment Policies”),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upperLetter"/>
      <w:start w:val="24"/>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lowerRoman"/>
      <w:start w:val="3"/>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5"/>
    </w:lvl>
  </w:abstractNum>
  <w:abstractNum w:abstractNumId="21">
    <w:nsid w:val="684A481A"/>
    <w:multiLevelType w:val="hybridMultilevel"/>
    <w:lvl w:ilvl="0">
      <w:lvlJc w:val="left"/>
      <w:lvlText w:val="(%1)"/>
      <w:numFmt w:val="decimal"/>
      <w:start w:val="2"/>
    </w:lvl>
  </w:abstractNum>
  <w:abstractNum w:abstractNumId="22">
    <w:nsid w:val="579478FE"/>
    <w:multiLevelType w:val="hybridMultilevel"/>
    <w:lvl w:ilvl="0">
      <w:lvlJc w:val="left"/>
      <w:lvlText w:val="(%1)"/>
      <w:numFmt w:val="decimal"/>
      <w:start w:val="3"/>
    </w:lvl>
  </w:abstractNum>
  <w:abstractNum w:abstractNumId="23">
    <w:nsid w:val="749ABB43"/>
    <w:multiLevelType w:val="hybridMultilevel"/>
    <w:lvl w:ilvl="0">
      <w:lvlJc w:val="left"/>
      <w:lvlText w:val="(%1)"/>
      <w:numFmt w:val="decimal"/>
      <w:start w:val="4"/>
    </w:lvl>
  </w:abstractNum>
  <w:abstractNum w:abstractNumId="24">
    <w:nsid w:val="3DC240FB"/>
    <w:multiLevelType w:val="hybridMultilevel"/>
    <w:lvl w:ilvl="0">
      <w:lvlJc w:val="left"/>
      <w:lvlText w:val="(%1)"/>
      <w:numFmt w:val="decimal"/>
      <w:start w:val="5"/>
    </w:lvl>
  </w:abstractNum>
  <w:abstractNum w:abstractNumId="25">
    <w:nsid w:val="1BA026FA"/>
    <w:multiLevelType w:val="hybridMultilevel"/>
    <w:lvl w:ilvl="0">
      <w:lvlJc w:val="left"/>
      <w:lvlText w:val="(%1)"/>
      <w:numFmt w:val="decimal"/>
      <w:start w:val="6"/>
    </w:lvl>
  </w:abstractNum>
  <w:abstractNum w:abstractNumId="26">
    <w:nsid w:val="79A1DEAA"/>
    <w:multiLevelType w:val="hybridMultilevel"/>
    <w:lvl w:ilvl="0">
      <w:lvlJc w:val="left"/>
      <w:lvlText w:val="(%1)"/>
      <w:numFmt w:val="decimal"/>
      <w:start w:val="7"/>
    </w:lvl>
  </w:abstractNum>
  <w:abstractNum w:abstractNumId="27">
    <w:nsid w:val="75C6C33A"/>
    <w:multiLevelType w:val="hybridMultilevel"/>
    <w:lvl w:ilvl="0">
      <w:lvlJc w:val="left"/>
      <w:lvlText w:val="(%1)"/>
      <w:numFmt w:val="decimal"/>
      <w:start w:val="8"/>
    </w:lvl>
  </w:abstractNum>
  <w:abstractNum w:abstractNumId="28">
    <w:nsid w:val="12E685FB"/>
    <w:multiLevelType w:val="hybridMultilevel"/>
    <w:lvl w:ilvl="0">
      <w:lvlJc w:val="left"/>
      <w:lvlText w:val="(%1)"/>
      <w:numFmt w:val="decimal"/>
      <w:start w:val="9"/>
    </w:lvl>
  </w:abstractNum>
  <w:abstractNum w:abstractNumId="29">
    <w:nsid w:val="70C6A529"/>
    <w:multiLevelType w:val="hybridMultilevel"/>
    <w:lvl w:ilvl="0">
      <w:lvlJc w:val="left"/>
      <w:lvlText w:val="(%1)"/>
      <w:numFmt w:val="decimal"/>
      <w:start w:val="1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2"/>
    </w:lvl>
  </w:abstractNum>
  <w:abstractNum w:abstractNumId="32">
    <w:nsid w:val="4F4EF005"/>
    <w:multiLevelType w:val="hybridMultilevel"/>
    <w:lvl w:ilvl="0">
      <w:lvlJc w:val="left"/>
      <w:lvlText w:val="%1."/>
      <w:numFmt w:val="decimal"/>
      <w:start w:val="3"/>
    </w:lvl>
  </w:abstractNum>
  <w:abstractNum w:abstractNumId="33">
    <w:nsid w:val="23F9C13C"/>
    <w:multiLevelType w:val="hybridMultilevel"/>
    <w:lvl w:ilvl="0">
      <w:lvlJc w:val="left"/>
      <w:lvlText w:val="*"/>
      <w:numFmt w:val="bullet"/>
      <w:start w:val="1"/>
    </w:lvl>
    <w:lvl w:ilvl="1">
      <w:lvlJc w:val="left"/>
      <w:lvlText w:val="%2"/>
      <w:numFmt w:val="decimal"/>
      <w:start w:val="104"/>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2"/>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lvl w:ilvl="1">
      <w:lvlJc w:val="left"/>
      <w:lvlText w:val="%2."/>
      <w:numFmt w:val="decimal"/>
      <w:start w:val="1"/>
    </w:lvl>
  </w:abstractNum>
  <w:abstractNum w:abstractNumId="39">
    <w:nsid w:val="235BA861"/>
    <w:multiLevelType w:val="hybridMultilevel"/>
    <w:lvl w:ilvl="0">
      <w:lvlJc w:val="left"/>
      <w:lvlText w:val="%1."/>
      <w:numFmt w:val="decimal"/>
      <w:start w:val="3"/>
    </w:lvl>
    <w:lvl w:ilvl="1">
      <w:lvlJc w:val="left"/>
      <w:lvlText w:val="%2"/>
      <w:numFmt w:val="decimal"/>
      <w:start w:val="1"/>
    </w:lvl>
  </w:abstractNum>
  <w:abstractNum w:abstractNumId="40">
    <w:nsid w:val="47398C89"/>
    <w:multiLevelType w:val="hybridMultilevel"/>
    <w:lvl w:ilvl="0">
      <w:lvlJc w:val="left"/>
      <w:lvlText w:val="%1."/>
      <w:numFmt w:val="decimal"/>
      <w:start w:val="4"/>
    </w:lvl>
  </w:abstractNum>
  <w:abstractNum w:abstractNumId="41">
    <w:nsid w:val="354FE9F9"/>
    <w:multiLevelType w:val="hybridMultilevel"/>
    <w:lvl w:ilvl="0">
      <w:lvlJc w:val="left"/>
      <w:lvlText w:val="(%1)"/>
      <w:numFmt w:val="lowerRoman"/>
      <w:start w:val="2"/>
    </w:lvl>
  </w:abstractNum>
  <w:abstractNum w:abstractNumId="42">
    <w:nsid w:val="15B5AF5C"/>
    <w:multiLevelType w:val="hybridMultilevel"/>
    <w:lvl w:ilvl="0">
      <w:lvlJc w:val="left"/>
      <w:lvlText w:val="%1."/>
      <w:numFmt w:val="decimal"/>
      <w:start w:val="5"/>
    </w:lvl>
  </w:abstractNum>
  <w:abstractNum w:abstractNumId="43">
    <w:nsid w:val="741226BB"/>
    <w:multiLevelType w:val="hybridMultilevel"/>
    <w:lvl w:ilvl="0">
      <w:lvlJc w:val="left"/>
      <w:lvlText w:val="(%1)"/>
      <w:numFmt w:val="decimal"/>
      <w:start w:val="6"/>
    </w:lvl>
  </w:abstractNum>
  <w:abstractNum w:abstractNumId="44">
    <w:nsid w:val="D34B6A8"/>
    <w:multiLevelType w:val="hybridMultilevel"/>
    <w:lvl w:ilvl="0">
      <w:lvlJc w:val="left"/>
      <w:lvlText w:val="(%1)"/>
      <w:numFmt w:val="lowerRoman"/>
      <w:start w:val="1"/>
    </w:lvl>
  </w:abstractNum>
  <w:abstractNum w:abstractNumId="45">
    <w:nsid w:val="10233C99"/>
    <w:multiLevelType w:val="hybridMultilevel"/>
    <w:lvl w:ilvl="0">
      <w:lvlJc w:val="left"/>
      <w:lvlText w:val="%1."/>
      <w:numFmt w:val="decimal"/>
      <w:start w:val="6"/>
    </w:lvl>
  </w:abstractNum>
  <w:abstractNum w:abstractNumId="46">
    <w:nsid w:val="3F6AB60F"/>
    <w:multiLevelType w:val="hybridMultilevel"/>
    <w:lvl w:ilvl="0">
      <w:lvlJc w:val="left"/>
      <w:lvlText w:val="%1."/>
      <w:numFmt w:val="decimal"/>
      <w:start w:val="7"/>
    </w:lvl>
  </w:abstractNum>
  <w:abstractNum w:abstractNumId="47">
    <w:nsid w:val="61574095"/>
    <w:multiLevelType w:val="hybridMultilevel"/>
    <w:lvl w:ilvl="0">
      <w:lvlJc w:val="left"/>
      <w:lvlText w:val="%1."/>
      <w:numFmt w:val="decimal"/>
      <w:start w:val="8"/>
    </w:lvl>
  </w:abstractNum>
  <w:abstractNum w:abstractNumId="48">
    <w:nsid w:val="7E0C57B1"/>
    <w:multiLevelType w:val="hybridMultilevel"/>
    <w:lvl w:ilvl="0">
      <w:lvlJc w:val="left"/>
      <w:lvlText w:val="%1."/>
      <w:numFmt w:val="decimal"/>
      <w:start w:val="9"/>
    </w:lvl>
  </w:abstractNum>
  <w:abstractNum w:abstractNumId="49">
    <w:nsid w:val="77AE35EB"/>
    <w:multiLevelType w:val="hybridMultilevel"/>
    <w:lvl w:ilvl="0">
      <w:lvlJc w:val="left"/>
      <w:lvlText w:val="%1."/>
      <w:numFmt w:val="decimal"/>
      <w:start w:val="12"/>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lvl w:ilvl="1">
      <w:lvlJc w:val="left"/>
      <w:lvlText w:val="%2."/>
      <w:numFmt w:val="decimal"/>
      <w:start w:val="1"/>
    </w:lvl>
  </w:abstractNum>
  <w:abstractNum w:abstractNumId="52">
    <w:nsid w:val="5FF87E05"/>
    <w:multiLevelType w:val="hybridMultilevel"/>
    <w:lvl w:ilvl="0">
      <w:lvlJc w:val="left"/>
      <w:lvlText w:val="%1."/>
      <w:numFmt w:val="decimal"/>
      <w:start w:val="3"/>
    </w:lvl>
    <w:lvl w:ilvl="1">
      <w:lvlJc w:val="left"/>
      <w:lvlText w:val="%2"/>
      <w:numFmt w:val="decimal"/>
      <w:start w:val="1"/>
    </w:lvl>
  </w:abstractNum>
  <w:abstractNum w:abstractNumId="53">
    <w:nsid w:val="2F305DEF"/>
    <w:multiLevelType w:val="hybridMultilevel"/>
    <w:lvl w:ilvl="0">
      <w:lvlJc w:val="left"/>
      <w:lvlText w:val="%1."/>
      <w:numFmt w:val="decimal"/>
      <w:start w:val="4"/>
    </w:lvl>
  </w:abstractNum>
  <w:abstractNum w:abstractNumId="54">
    <w:nsid w:val="25A70BF7"/>
    <w:multiLevelType w:val="hybridMultilevel"/>
    <w:lvl w:ilvl="0">
      <w:lvlJc w:val="left"/>
      <w:lvlText w:val="(%1)"/>
      <w:numFmt w:val="lowerRoman"/>
      <w:start w:val="2"/>
    </w:lvl>
  </w:abstractNum>
  <w:abstractNum w:abstractNumId="55">
    <w:nsid w:val="1DBABF00"/>
    <w:multiLevelType w:val="hybridMultilevel"/>
    <w:lvl w:ilvl="0">
      <w:lvlJc w:val="left"/>
      <w:lvlText w:val="%1."/>
      <w:numFmt w:val="decimal"/>
      <w:start w:val="5"/>
    </w:lvl>
  </w:abstractNum>
  <w:abstractNum w:abstractNumId="56">
    <w:nsid w:val="4AD084E9"/>
    <w:multiLevelType w:val="hybridMultilevel"/>
    <w:lvl w:ilvl="0">
      <w:lvlJc w:val="left"/>
      <w:lvlText w:val="(%1)"/>
      <w:numFmt w:val="decimal"/>
      <w:start w:val="6"/>
    </w:lvl>
  </w:abstractNum>
  <w:abstractNum w:abstractNumId="57">
    <w:nsid w:val="1F48EAA1"/>
    <w:multiLevelType w:val="hybridMultilevel"/>
    <w:lvl w:ilvl="0">
      <w:lvlJc w:val="left"/>
      <w:lvlText w:val="(%1)"/>
      <w:numFmt w:val="lowerRoman"/>
      <w:start w:val="1"/>
    </w:lvl>
  </w:abstractNum>
  <w:abstractNum w:abstractNumId="58">
    <w:nsid w:val="1381823A"/>
    <w:multiLevelType w:val="hybridMultilevel"/>
    <w:lvl w:ilvl="0">
      <w:lvlJc w:val="left"/>
      <w:lvlText w:val="%1."/>
      <w:numFmt w:val="decimal"/>
      <w:start w:val="6"/>
    </w:lvl>
  </w:abstractNum>
  <w:abstractNum w:abstractNumId="59">
    <w:nsid w:val="5DB70AE5"/>
    <w:multiLevelType w:val="hybridMultilevel"/>
    <w:lvl w:ilvl="0">
      <w:lvlJc w:val="left"/>
      <w:lvlText w:val="%1."/>
      <w:numFmt w:val="decimal"/>
      <w:start w:val="7"/>
    </w:lvl>
  </w:abstractNum>
  <w:abstractNum w:abstractNumId="60">
    <w:nsid w:val="100F8FCA"/>
    <w:multiLevelType w:val="hybridMultilevel"/>
    <w:lvl w:ilvl="0">
      <w:lvlJc w:val="left"/>
      <w:lvlText w:val="%1."/>
      <w:numFmt w:val="decimal"/>
      <w:start w:val="8"/>
    </w:lvl>
  </w:abstractNum>
  <w:abstractNum w:abstractNumId="61">
    <w:nsid w:val="6590700B"/>
    <w:multiLevelType w:val="hybridMultilevel"/>
    <w:lvl w:ilvl="0">
      <w:lvlJc w:val="left"/>
      <w:lvlText w:val="%1."/>
      <w:numFmt w:val="decimal"/>
      <w:start w:val="9"/>
    </w:lvl>
  </w:abstractNum>
  <w:abstractNum w:abstractNumId="62">
    <w:nsid w:val="15014ACB"/>
    <w:multiLevelType w:val="hybridMultilevel"/>
    <w:lvl w:ilvl="0">
      <w:lvlJc w:val="left"/>
      <w:lvlText w:val="%1."/>
      <w:numFmt w:val="decimal"/>
      <w:start w:val="12"/>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2"/>
    </w:lvl>
  </w:abstractNum>
  <w:abstractNum w:abstractNumId="66">
    <w:nsid w:val="6B94764"/>
    <w:multiLevelType w:val="hybridMultilevel"/>
    <w:lvl w:ilvl="0">
      <w:lvlJc w:val="left"/>
      <w:lvlText w:val="(%1)"/>
      <w:numFmt w:val="lowerLetter"/>
      <w:start w:val="11"/>
    </w:lvl>
  </w:abstractNum>
  <w:abstractNum w:abstractNumId="67">
    <w:nsid w:val="42C296BD"/>
    <w:multiLevelType w:val="hybridMultilevel"/>
    <w:lvl w:ilvl="0">
      <w:lvlJc w:val="left"/>
      <w:lvlText w:val="%1."/>
      <w:numFmt w:val="decimal"/>
      <w:start w:val="1"/>
    </w:lvl>
    <w:lvl w:ilvl="1">
      <w:lvlJc w:val="left"/>
      <w:lvlText w:val="%2)"/>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17" Type="http://schemas.openxmlformats.org/officeDocument/2006/relationships/image" Target="media/image343.png"/><Relationship Id="rId418" Type="http://schemas.openxmlformats.org/officeDocument/2006/relationships/image" Target="media/image344.png"/><Relationship Id="rId428" Type="http://schemas.openxmlformats.org/officeDocument/2006/relationships/image" Target="media/image345.png"/><Relationship Id="rId429" Type="http://schemas.openxmlformats.org/officeDocument/2006/relationships/image" Target="media/image346.png"/><Relationship Id="rId438" Type="http://schemas.openxmlformats.org/officeDocument/2006/relationships/image" Target="media/image347.png"/><Relationship Id="rId439" Type="http://schemas.openxmlformats.org/officeDocument/2006/relationships/image" Target="media/image348.png"/><Relationship Id="rId448" Type="http://schemas.openxmlformats.org/officeDocument/2006/relationships/image" Target="media/image349.png"/><Relationship Id="rId449" Type="http://schemas.openxmlformats.org/officeDocument/2006/relationships/image" Target="media/image350.png"/><Relationship Id="rId450" Type="http://schemas.openxmlformats.org/officeDocument/2006/relationships/image" Target="media/image351.png"/><Relationship Id="rId451" Type="http://schemas.openxmlformats.org/officeDocument/2006/relationships/image" Target="media/image352.png"/><Relationship Id="rId452" Type="http://schemas.openxmlformats.org/officeDocument/2006/relationships/image" Target="media/image353.png"/><Relationship Id="rId453" Type="http://schemas.openxmlformats.org/officeDocument/2006/relationships/image" Target="media/image354.png"/><Relationship Id="rId454" Type="http://schemas.openxmlformats.org/officeDocument/2006/relationships/image" Target="media/image355.png"/><Relationship Id="rId455" Type="http://schemas.openxmlformats.org/officeDocument/2006/relationships/image" Target="media/image356.png"/><Relationship Id="rId456" Type="http://schemas.openxmlformats.org/officeDocument/2006/relationships/image" Target="media/image357.png"/><Relationship Id="rId457" Type="http://schemas.openxmlformats.org/officeDocument/2006/relationships/image" Target="media/image358.png"/><Relationship Id="rId458" Type="http://schemas.openxmlformats.org/officeDocument/2006/relationships/image" Target="media/image359.png"/><Relationship Id="rId459" Type="http://schemas.openxmlformats.org/officeDocument/2006/relationships/image" Target="media/image360.png"/><Relationship Id="rId460" Type="http://schemas.openxmlformats.org/officeDocument/2006/relationships/image" Target="media/image361.png"/><Relationship Id="rId461" Type="http://schemas.openxmlformats.org/officeDocument/2006/relationships/image" Target="media/image362.png"/><Relationship Id="rId462" Type="http://schemas.openxmlformats.org/officeDocument/2006/relationships/image" Target="media/image363.png"/><Relationship Id="rId463" Type="http://schemas.openxmlformats.org/officeDocument/2006/relationships/image" Target="media/image364.png"/><Relationship Id="rId464" Type="http://schemas.openxmlformats.org/officeDocument/2006/relationships/image" Target="media/image365.png"/><Relationship Id="rId465" Type="http://schemas.openxmlformats.org/officeDocument/2006/relationships/image" Target="media/image366.png"/><Relationship Id="rId466" Type="http://schemas.openxmlformats.org/officeDocument/2006/relationships/image" Target="media/image367.png"/><Relationship Id="rId467" Type="http://schemas.openxmlformats.org/officeDocument/2006/relationships/image" Target="media/image368.png"/><Relationship Id="rId468" Type="http://schemas.openxmlformats.org/officeDocument/2006/relationships/image" Target="media/image369.png"/><Relationship Id="rId469" Type="http://schemas.openxmlformats.org/officeDocument/2006/relationships/image" Target="media/image370.png"/><Relationship Id="rId470" Type="http://schemas.openxmlformats.org/officeDocument/2006/relationships/image" Target="media/image371.png"/><Relationship Id="rId471" Type="http://schemas.openxmlformats.org/officeDocument/2006/relationships/image" Target="media/image372.png"/><Relationship Id="rId472" Type="http://schemas.openxmlformats.org/officeDocument/2006/relationships/image" Target="media/image373.png"/><Relationship Id="rId473" Type="http://schemas.openxmlformats.org/officeDocument/2006/relationships/image" Target="media/image374.png"/><Relationship Id="rId474" Type="http://schemas.openxmlformats.org/officeDocument/2006/relationships/image" Target="media/image375.png"/><Relationship Id="rId475" Type="http://schemas.openxmlformats.org/officeDocument/2006/relationships/image" Target="media/image376.png"/><Relationship Id="rId476" Type="http://schemas.openxmlformats.org/officeDocument/2006/relationships/image" Target="media/image377.png"/><Relationship Id="rId477" Type="http://schemas.openxmlformats.org/officeDocument/2006/relationships/image" Target="media/image378.png"/><Relationship Id="rId478" Type="http://schemas.openxmlformats.org/officeDocument/2006/relationships/image" Target="media/image379.png"/><Relationship Id="rId479" Type="http://schemas.openxmlformats.org/officeDocument/2006/relationships/image" Target="media/image380.png"/><Relationship Id="rId480" Type="http://schemas.openxmlformats.org/officeDocument/2006/relationships/image" Target="media/image381.png"/><Relationship Id="rId481" Type="http://schemas.openxmlformats.org/officeDocument/2006/relationships/image" Target="media/image382.png"/><Relationship Id="rId482" Type="http://schemas.openxmlformats.org/officeDocument/2006/relationships/image" Target="media/image383.png"/><Relationship Id="rId483" Type="http://schemas.openxmlformats.org/officeDocument/2006/relationships/image" Target="media/image384.png"/><Relationship Id="rId484" Type="http://schemas.openxmlformats.org/officeDocument/2006/relationships/image" Target="media/image385.png"/><Relationship Id="rId485" Type="http://schemas.openxmlformats.org/officeDocument/2006/relationships/image" Target="media/image386.png"/><Relationship Id="rId486" Type="http://schemas.openxmlformats.org/officeDocument/2006/relationships/image" Target="media/image387.png"/><Relationship Id="rId487" Type="http://schemas.openxmlformats.org/officeDocument/2006/relationships/image" Target="media/image388.png"/><Relationship Id="rId488" Type="http://schemas.openxmlformats.org/officeDocument/2006/relationships/image" Target="media/image389.png"/><Relationship Id="rId489" Type="http://schemas.openxmlformats.org/officeDocument/2006/relationships/image" Target="media/image390.png"/><Relationship Id="rId490" Type="http://schemas.openxmlformats.org/officeDocument/2006/relationships/image" Target="media/image391.png"/><Relationship Id="rId491" Type="http://schemas.openxmlformats.org/officeDocument/2006/relationships/image" Target="media/image392.png"/><Relationship Id="rId492" Type="http://schemas.openxmlformats.org/officeDocument/2006/relationships/image" Target="media/image393.png"/><Relationship Id="rId493" Type="http://schemas.openxmlformats.org/officeDocument/2006/relationships/image" Target="media/image394.png"/><Relationship Id="rId494" Type="http://schemas.openxmlformats.org/officeDocument/2006/relationships/image" Target="media/image395.png"/><Relationship Id="rId495" Type="http://schemas.openxmlformats.org/officeDocument/2006/relationships/image" Target="media/image396.png"/><Relationship Id="rId496" Type="http://schemas.openxmlformats.org/officeDocument/2006/relationships/image" Target="media/image397.png"/><Relationship Id="rId497" Type="http://schemas.openxmlformats.org/officeDocument/2006/relationships/image" Target="media/image398.png"/><Relationship Id="rId498" Type="http://schemas.openxmlformats.org/officeDocument/2006/relationships/image" Target="media/image399.png"/><Relationship Id="rId499" Type="http://schemas.openxmlformats.org/officeDocument/2006/relationships/image" Target="media/image400.png"/><Relationship Id="rId500" Type="http://schemas.openxmlformats.org/officeDocument/2006/relationships/image" Target="media/image401.png"/><Relationship Id="rId501" Type="http://schemas.openxmlformats.org/officeDocument/2006/relationships/image" Target="media/image402.png"/><Relationship Id="rId502" Type="http://schemas.openxmlformats.org/officeDocument/2006/relationships/image" Target="media/image403.png"/><Relationship Id="rId503" Type="http://schemas.openxmlformats.org/officeDocument/2006/relationships/image" Target="media/image404.png"/><Relationship Id="rId504" Type="http://schemas.openxmlformats.org/officeDocument/2006/relationships/image" Target="media/image405.png"/><Relationship Id="rId505" Type="http://schemas.openxmlformats.org/officeDocument/2006/relationships/image" Target="media/image406.png"/><Relationship Id="rId506" Type="http://schemas.openxmlformats.org/officeDocument/2006/relationships/image" Target="media/image407.png"/><Relationship Id="rId507" Type="http://schemas.openxmlformats.org/officeDocument/2006/relationships/image" Target="media/image408.png"/><Relationship Id="rId508" Type="http://schemas.openxmlformats.org/officeDocument/2006/relationships/image" Target="media/image409.png"/><Relationship Id="rId509" Type="http://schemas.openxmlformats.org/officeDocument/2006/relationships/image" Target="media/image410.png"/><Relationship Id="rId510" Type="http://schemas.openxmlformats.org/officeDocument/2006/relationships/image" Target="media/image411.png"/><Relationship Id="rId511" Type="http://schemas.openxmlformats.org/officeDocument/2006/relationships/image" Target="media/image412.png"/><Relationship Id="rId512" Type="http://schemas.openxmlformats.org/officeDocument/2006/relationships/image" Target="media/image413.png"/><Relationship Id="rId513" Type="http://schemas.openxmlformats.org/officeDocument/2006/relationships/image" Target="media/image414.png"/><Relationship Id="rId514" Type="http://schemas.openxmlformats.org/officeDocument/2006/relationships/image" Target="media/image415.png"/><Relationship Id="rId515" Type="http://schemas.openxmlformats.org/officeDocument/2006/relationships/image" Target="media/image416.png"/><Relationship Id="rId516" Type="http://schemas.openxmlformats.org/officeDocument/2006/relationships/image" Target="media/image417.png"/><Relationship Id="rId517" Type="http://schemas.openxmlformats.org/officeDocument/2006/relationships/image" Target="media/image418.png"/><Relationship Id="rId518" Type="http://schemas.openxmlformats.org/officeDocument/2006/relationships/image" Target="media/image419.png"/><Relationship Id="rId519" Type="http://schemas.openxmlformats.org/officeDocument/2006/relationships/image" Target="media/image420.png"/><Relationship Id="rId520" Type="http://schemas.openxmlformats.org/officeDocument/2006/relationships/image" Target="media/image421.png"/><Relationship Id="rId521" Type="http://schemas.openxmlformats.org/officeDocument/2006/relationships/image" Target="media/image422.png"/><Relationship Id="rId522" Type="http://schemas.openxmlformats.org/officeDocument/2006/relationships/image" Target="media/image423.png"/><Relationship Id="rId523" Type="http://schemas.openxmlformats.org/officeDocument/2006/relationships/image" Target="media/image424.png"/><Relationship Id="rId524" Type="http://schemas.openxmlformats.org/officeDocument/2006/relationships/image" Target="media/image425.png"/><Relationship Id="rId525" Type="http://schemas.openxmlformats.org/officeDocument/2006/relationships/image" Target="media/image426.png"/><Relationship Id="rId526" Type="http://schemas.openxmlformats.org/officeDocument/2006/relationships/image" Target="media/image427.png"/><Relationship Id="rId527" Type="http://schemas.openxmlformats.org/officeDocument/2006/relationships/image" Target="media/image428.png"/><Relationship Id="rId528" Type="http://schemas.openxmlformats.org/officeDocument/2006/relationships/image" Target="media/image429.png"/><Relationship Id="rId529" Type="http://schemas.openxmlformats.org/officeDocument/2006/relationships/image" Target="media/image430.png"/><Relationship Id="rId530" Type="http://schemas.openxmlformats.org/officeDocument/2006/relationships/image" Target="media/image431.png"/><Relationship Id="rId531" Type="http://schemas.openxmlformats.org/officeDocument/2006/relationships/image" Target="media/image432.png"/><Relationship Id="rId532" Type="http://schemas.openxmlformats.org/officeDocument/2006/relationships/image" Target="media/image433.png"/><Relationship Id="rId533" Type="http://schemas.openxmlformats.org/officeDocument/2006/relationships/image" Target="media/image434.png"/><Relationship Id="rId534" Type="http://schemas.openxmlformats.org/officeDocument/2006/relationships/image" Target="media/image435.png"/><Relationship Id="rId535" Type="http://schemas.openxmlformats.org/officeDocument/2006/relationships/image" Target="media/image436.png"/><Relationship Id="rId536" Type="http://schemas.openxmlformats.org/officeDocument/2006/relationships/image" Target="media/image437.png"/><Relationship Id="rId537" Type="http://schemas.openxmlformats.org/officeDocument/2006/relationships/image" Target="media/image438.png"/><Relationship Id="rId538" Type="http://schemas.openxmlformats.org/officeDocument/2006/relationships/image" Target="media/image439.png"/><Relationship Id="rId539" Type="http://schemas.openxmlformats.org/officeDocument/2006/relationships/image" Target="media/image440.png"/><Relationship Id="rId540" Type="http://schemas.openxmlformats.org/officeDocument/2006/relationships/image" Target="media/image441.png"/><Relationship Id="rId541" Type="http://schemas.openxmlformats.org/officeDocument/2006/relationships/image" Target="media/image442.png"/><Relationship Id="rId542" Type="http://schemas.openxmlformats.org/officeDocument/2006/relationships/image" Target="media/image443.png"/><Relationship Id="rId543" Type="http://schemas.openxmlformats.org/officeDocument/2006/relationships/image" Target="media/image444.png"/><Relationship Id="rId544" Type="http://schemas.openxmlformats.org/officeDocument/2006/relationships/image" Target="media/image445.png"/><Relationship Id="rId545" Type="http://schemas.openxmlformats.org/officeDocument/2006/relationships/image" Target="media/image446.png"/><Relationship Id="rId546" Type="http://schemas.openxmlformats.org/officeDocument/2006/relationships/image" Target="media/image447.png"/><Relationship Id="rId547" Type="http://schemas.openxmlformats.org/officeDocument/2006/relationships/image" Target="media/image448.png"/><Relationship Id="rId548" Type="http://schemas.openxmlformats.org/officeDocument/2006/relationships/image" Target="media/image449.png"/><Relationship Id="rId549" Type="http://schemas.openxmlformats.org/officeDocument/2006/relationships/image" Target="media/image450.png"/><Relationship Id="rId550" Type="http://schemas.openxmlformats.org/officeDocument/2006/relationships/image" Target="media/image451.png"/><Relationship Id="rId551" Type="http://schemas.openxmlformats.org/officeDocument/2006/relationships/image" Target="media/image452.png"/><Relationship Id="rId552" Type="http://schemas.openxmlformats.org/officeDocument/2006/relationships/image" Target="media/image453.png"/><Relationship Id="rId553" Type="http://schemas.openxmlformats.org/officeDocument/2006/relationships/image" Target="media/image454.png"/><Relationship Id="rId554" Type="http://schemas.openxmlformats.org/officeDocument/2006/relationships/image" Target="media/image455.png"/><Relationship Id="rId555" Type="http://schemas.openxmlformats.org/officeDocument/2006/relationships/image" Target="media/image456.png"/><Relationship Id="rId556" Type="http://schemas.openxmlformats.org/officeDocument/2006/relationships/image" Target="media/image457.png"/><Relationship Id="rId557" Type="http://schemas.openxmlformats.org/officeDocument/2006/relationships/image" Target="media/image458.png"/><Relationship Id="rId558" Type="http://schemas.openxmlformats.org/officeDocument/2006/relationships/image" Target="media/image459.png"/><Relationship Id="rId559" Type="http://schemas.openxmlformats.org/officeDocument/2006/relationships/image" Target="media/image460.png"/><Relationship Id="rId560" Type="http://schemas.openxmlformats.org/officeDocument/2006/relationships/image" Target="media/image461.png"/><Relationship Id="rId561" Type="http://schemas.openxmlformats.org/officeDocument/2006/relationships/image" Target="media/image462.png"/><Relationship Id="rId562" Type="http://schemas.openxmlformats.org/officeDocument/2006/relationships/image" Target="media/image463.png"/><Relationship Id="rId563" Type="http://schemas.openxmlformats.org/officeDocument/2006/relationships/image" Target="media/image464.png"/><Relationship Id="rId564" Type="http://schemas.openxmlformats.org/officeDocument/2006/relationships/image" Target="media/image465.png"/><Relationship Id="rId344" Type="http://schemas.openxmlformats.org/officeDocument/2006/relationships/hyperlink" Target="https://www.sec.gov/Archives/edgar/data/1286681/000119312504091718/dex31.htm" TargetMode="External"/><Relationship Id="rId345" Type="http://schemas.openxmlformats.org/officeDocument/2006/relationships/hyperlink" Target="https://www.sec.gov/Archives/edgar/data/1286681/000156459015005457/dpz-ex32_20150614137.htm" TargetMode="External"/><Relationship Id="rId346" Type="http://schemas.openxmlformats.org/officeDocument/2006/relationships/hyperlink" Target="https://www.sec.gov/Archives/edgar/data/1286681/000119312523255001/d424830dex31.htm" TargetMode="External"/><Relationship Id="rId347" Type="http://schemas.openxmlformats.org/officeDocument/2006/relationships/hyperlink" Target="https://www.sec.gov/Archives/edgar/data/1079458/0000927016-99-001033.txt" TargetMode="External"/><Relationship Id="rId348" Type="http://schemas.openxmlformats.org/officeDocument/2006/relationships/hyperlink" Target="https://www.sec.gov/Archives/edgar/data/1286681/000119312513081957/d466015dex102.htm" TargetMode="External"/><Relationship Id="rId349" Type="http://schemas.openxmlformats.org/officeDocument/2006/relationships/hyperlink" Target="https://www.sec.gov/Archives/edgar/data/1286681/000119312517060262/d350071dex103.htm" TargetMode="External"/><Relationship Id="rId350" Type="http://schemas.openxmlformats.org/officeDocument/2006/relationships/hyperlink" Target="https://www.sec.gov/Archives/edgar/data/1286681/000119312517060262/d350071dex104.htm" TargetMode="External"/><Relationship Id="rId351" Type="http://schemas.openxmlformats.org/officeDocument/2006/relationships/hyperlink" Target="https://www.sec.gov/Archives/edgar/data/1286681/000119312517060262/d350071dex105.htm" TargetMode="External"/><Relationship Id="rId352" Type="http://schemas.openxmlformats.org/officeDocument/2006/relationships/hyperlink" Target="https://www.sec.gov/Archives/edgar/data/1286681/000119312517060262/d350071dex106.htm" TargetMode="External"/><Relationship Id="rId353" Type="http://schemas.openxmlformats.org/officeDocument/2006/relationships/hyperlink" Target="https://www.sec.gov/Archives/edgar/data/1286681/000119312517060262/d350071dex107.htm" TargetMode="External"/><Relationship Id="rId354" Type="http://schemas.openxmlformats.org/officeDocument/2006/relationships/hyperlink" Target="https://www.sec.gov/Archives/edgar/data/1286681/000119312518049576/d531906dex108.htm" TargetMode="External"/><Relationship Id="rId357" Type="http://schemas.openxmlformats.org/officeDocument/2006/relationships/hyperlink" Target="https://www.sec.gov/Archives/edgar/data/1286681/000119312518299738/d632190dex101.htm" TargetMode="External"/><Relationship Id="rId358" Type="http://schemas.openxmlformats.org/officeDocument/2006/relationships/hyperlink" Target="https://www.sec.gov/Archives/edgar/data/1286681/000119312518299738/d632190dex102.htm" TargetMode="External"/><Relationship Id="rId359" Type="http://schemas.openxmlformats.org/officeDocument/2006/relationships/hyperlink" Target="https://www.sec.gov/Archives/edgar/data/1286681/000119312519194379/d774471dex101.htm" TargetMode="External"/><Relationship Id="rId360" Type="http://schemas.openxmlformats.org/officeDocument/2006/relationships/hyperlink" Target="https://www.sec.gov/Archives/edgar/data/1286681/000119312519194379/d774471dex102.htm" TargetMode="External"/><Relationship Id="rId361" Type="http://schemas.openxmlformats.org/officeDocument/2006/relationships/hyperlink" Target="https://www.sec.gov/Archives/edgar/data/1286681/000095017022002426/dpz-ex10_13.htm" TargetMode="External"/><Relationship Id="rId362" Type="http://schemas.openxmlformats.org/officeDocument/2006/relationships/hyperlink" Target="https://www.sec.gov/Archives/edgar/data/1286681/000095017022002426/dpz-ex10_14.htm" TargetMode="External"/><Relationship Id="rId363" Type="http://schemas.openxmlformats.org/officeDocument/2006/relationships/hyperlink" Target="https://www.sec.gov/Archives/edgar/data/1286681/000095017023003938/dpz-ex10_18.htm" TargetMode="External"/><Relationship Id="rId364" Type="http://schemas.openxmlformats.org/officeDocument/2006/relationships/hyperlink" Target="https://www.sec.gov/Archives/edgar/data/1286681/000119312509093037/dex101.htm" TargetMode="External"/><Relationship Id="rId365" Type="http://schemas.openxmlformats.org/officeDocument/2006/relationships/hyperlink" Target="https://www.sec.gov/Archives/edgar/data/1286681/000119312513081957/d466015dex108.htm" TargetMode="External"/><Relationship Id="rId366" Type="http://schemas.openxmlformats.org/officeDocument/2006/relationships/hyperlink" Target="https://www.sec.gov/Archives/edgar/data/1286681/000119312513081957/d466015dex109.htm" TargetMode="External"/><Relationship Id="rId367" Type="http://schemas.openxmlformats.org/officeDocument/2006/relationships/hyperlink" Target="https://www.sec.gov/Archives/edgar/data/1286681/000119312509093037/dex103.htm" TargetMode="External"/><Relationship Id="rId368" Type="http://schemas.openxmlformats.org/officeDocument/2006/relationships/hyperlink" Target="https://www.sec.gov/Archives/edgar/data/1286681/000119312509093037/dex105.htm" TargetMode="External"/><Relationship Id="rId369" Type="http://schemas.openxmlformats.org/officeDocument/2006/relationships/hyperlink" Target="https://www.sec.gov/Archives/edgar/data/1286681/000119312513081957/d466015dex1012.htm" TargetMode="External"/><Relationship Id="rId370" Type="http://schemas.openxmlformats.org/officeDocument/2006/relationships/hyperlink" Target="https://www.sec.gov/Archives/edgar/data/1286681/000119312513081957/d466015dex1013.htm" TargetMode="External"/><Relationship Id="rId371" Type="http://schemas.openxmlformats.org/officeDocument/2006/relationships/hyperlink" Target="https://www.sec.gov/Archives/edgar/data/1286681/000119312513081957/d466015dex1014.htm" TargetMode="External"/><Relationship Id="rId372" Type="http://schemas.openxmlformats.org/officeDocument/2006/relationships/hyperlink" Target="https://www.sec.gov/Archives/edgar/data/1286681/000119312513081957/d466015dex1015.htm" TargetMode="External"/><Relationship Id="rId373" Type="http://schemas.openxmlformats.org/officeDocument/2006/relationships/hyperlink" Target="https://www.sec.gov/Archives/edgar/data/1286681/000119312510045334/dex1019.htm" TargetMode="External"/><Relationship Id="rId374" Type="http://schemas.openxmlformats.org/officeDocument/2006/relationships/hyperlink" Target="https://www.sec.gov/Archives/edgar/data/1286681/000119312511050979/dex1020.htm" TargetMode="External"/><Relationship Id="rId375" Type="http://schemas.openxmlformats.org/officeDocument/2006/relationships/hyperlink" Target="https://www.sec.gov/Archives/edgar/data/1286681/000095017023015004/dpz-ex10_1.htm" TargetMode="External"/><Relationship Id="rId376" Type="http://schemas.openxmlformats.org/officeDocument/2006/relationships/hyperlink" Target="https://www.sec.gov/Archives/edgar/data/1286681/000119312504102056/dex1032.htm" TargetMode="External"/><Relationship Id="rId377" Type="http://schemas.openxmlformats.org/officeDocument/2006/relationships/hyperlink" Target="https://www.sec.gov/Archives/edgar/data/1286681/000119312518008592/d505807dex104.htm" TargetMode="External"/><Relationship Id="rId378" Type="http://schemas.openxmlformats.org/officeDocument/2006/relationships/hyperlink" Target="https://www.sec.gov/Archives/edgar/data/1286681/000119312521221398/d164949dex101.htm" TargetMode="External"/><Relationship Id="rId381" Type="http://schemas.openxmlformats.org/officeDocument/2006/relationships/hyperlink" Target="https://www.sec.gov/Archives/edgar/data/1286681/000119312521221398/d164949dex102.htm" TargetMode="External"/><Relationship Id="rId382" Type="http://schemas.openxmlformats.org/officeDocument/2006/relationships/hyperlink" Target="https://www.sec.gov/Archives/edgar/data/1286681/000119312521221398/d164949dex103.htm" TargetMode="External"/><Relationship Id="rId383" Type="http://schemas.openxmlformats.org/officeDocument/2006/relationships/hyperlink" Target="https://www.sec.gov/Archives/edgar/data/1286681/000095017021002121/dpz-ex10_1.htm" TargetMode="External"/><Relationship Id="rId384" Type="http://schemas.openxmlformats.org/officeDocument/2006/relationships/hyperlink" Target="https://www.sec.gov/Archives/edgar/data/1286681/000095017022006436/dpz-ex10_6.htm" TargetMode="External"/><Relationship Id="rId385" Type="http://schemas.openxmlformats.org/officeDocument/2006/relationships/hyperlink" Target="https://www.sec.gov/Archives/edgar/data/1286681/000095017022012843/dpz-ex10_1.htm" TargetMode="External"/><Relationship Id="rId386" Type="http://schemas.openxmlformats.org/officeDocument/2006/relationships/hyperlink" Target="https://www.sec.gov/Archives/edgar/data/1286681/000095017022012843/dpz-ex10_2.htm" TargetMode="External"/><Relationship Id="rId387" Type="http://schemas.openxmlformats.org/officeDocument/2006/relationships/hyperlink" Target="https://www.sec.gov/Archives/edgar/data/1286681/000095017023015004/dpz-ex10_2.htm" TargetMode="External"/><Relationship Id="rId388" Type="http://schemas.openxmlformats.org/officeDocument/2006/relationships/hyperlink" Target="https://www.sec.gov/Archives/edgar/data/1286681/000095017023015004/dpz-ex10_3.htm" TargetMode="External"/><Relationship Id="rId389" Type="http://schemas.openxmlformats.org/officeDocument/2006/relationships/hyperlink" Target="https://www.sec.gov/Archives/edgar/data/1286681/000095017023015004/dpz-ex10_4.htm" TargetMode="External"/><Relationship Id="rId390" Type="http://schemas.openxmlformats.org/officeDocument/2006/relationships/hyperlink" Target="https://www.sec.gov/Archives/edgar/data/1286681/000095017023015004/dpz-ex10_5.htm" TargetMode="External"/><Relationship Id="rId391" Type="http://schemas.openxmlformats.org/officeDocument/2006/relationships/hyperlink" Target="https://www.sec.gov/Archives/edgar/data/1286681/000095017023015004/dpz-ex10_6.htm" TargetMode="External"/><Relationship Id="rId392" Type="http://schemas.openxmlformats.org/officeDocument/2006/relationships/hyperlink" Target="https://www.sec.gov/Archives/edgar/data/1286681/000095017023015004/dpz-ex10_7.htm" TargetMode="External"/><Relationship Id="rId393" Type="http://schemas.openxmlformats.org/officeDocument/2006/relationships/hyperlink" Target="https://www.sec.gov/Archives/edgar/data/1286681/000119312522059952/d291533dex101.htm" TargetMode="External"/><Relationship Id="rId394" Type="http://schemas.openxmlformats.org/officeDocument/2006/relationships/hyperlink" Target="https://www.sec.gov/Archives/edgar/data/1286681/000119312522059952/d291533dex102.htm" TargetMode="External"/><Relationship Id="rId395" Type="http://schemas.openxmlformats.org/officeDocument/2006/relationships/hyperlink" Target="https://www.sec.gov/Archives/edgar/data/1286681/000119312522059952/d291533dex103.htm" TargetMode="External"/><Relationship Id="rId396" Type="http://schemas.openxmlformats.org/officeDocument/2006/relationships/hyperlink" Target="https://www.sec.gov/Archives/edgar/data/1286681/000119312511127320/dex101.htm" TargetMode="External"/><Relationship Id="rId397" Type="http://schemas.openxmlformats.org/officeDocument/2006/relationships/hyperlink" Target="https://www.sec.gov/Archives/edgar/data/1286681/000119312518008592/d505807dex101.htm" TargetMode="External"/><Relationship Id="rId398" Type="http://schemas.openxmlformats.org/officeDocument/2006/relationships/hyperlink" Target="https://www.sec.gov/Archives/edgar/data/1286681/000119312518008592/d505807dex103.htm" TargetMode="External"/><Relationship Id="rId399" Type="http://schemas.openxmlformats.org/officeDocument/2006/relationships/hyperlink" Target="https://www.sec.gov/Archives/edgar/data/1286681/000095017022006436/dpz-ex10_5.htm" TargetMode="External"/><Relationship Id="rId400" Type="http://schemas.openxmlformats.org/officeDocument/2006/relationships/hyperlink" Target="https://www.sec.gov/Archives/edgar/data/1286681/000119312518220984/d513733dex101.htm" TargetMode="External"/><Relationship Id="rId403" Type="http://schemas.openxmlformats.org/officeDocument/2006/relationships/hyperlink" Target="https://www.sec.gov/Archives/edgar/data/1286681/000119312519046191/d696297dex1039.htm" TargetMode="External"/><Relationship Id="rId404" Type="http://schemas.openxmlformats.org/officeDocument/2006/relationships/hyperlink" Target="https://www.sec.gov/Archives/edgar/data/1286681/000119312520115907/d914156dex101.htm" TargetMode="External"/><Relationship Id="rId405" Type="http://schemas.openxmlformats.org/officeDocument/2006/relationships/hyperlink" Target="https://www.sec.gov/Archives/edgar/data/1286681/000119312522065165/d312023dex101.htm" TargetMode="External"/><Relationship Id="rId406" Type="http://schemas.openxmlformats.org/officeDocument/2006/relationships/hyperlink" Target="https://www.sec.gov/Archives/edgar/data/1286681/000095017022012843/dpz-ex10_3.htm" TargetMode="External"/><Relationship Id="rId407" Type="http://schemas.openxmlformats.org/officeDocument/2006/relationships/hyperlink" Target="https://www.sec.gov/Archives/edgar/data/1286681/000119312512120642/d318279dex41.htm" TargetMode="External"/><Relationship Id="rId408" Type="http://schemas.openxmlformats.org/officeDocument/2006/relationships/hyperlink" Target="https://www.sec.gov/Archives/edgar/data/1286681/000119312515350900/d51248dex41.htm" TargetMode="External"/><Relationship Id="rId409" Type="http://schemas.openxmlformats.org/officeDocument/2006/relationships/hyperlink" Target="https://www.sec.gov/Archives/edgar/data/1286681/000119312515350900/d51248dex42.htm" TargetMode="External"/><Relationship Id="rId410" Type="http://schemas.openxmlformats.org/officeDocument/2006/relationships/hyperlink" Target="https://www.sec.gov/Archives/edgar/data/1286681/000119312515350900/d51248dex43.htm" TargetMode="External"/><Relationship Id="rId411" Type="http://schemas.openxmlformats.org/officeDocument/2006/relationships/hyperlink" Target="https://www.sec.gov/Archives/edgar/data/1286681/000119312517234418/d428320dex41.htm" TargetMode="External"/><Relationship Id="rId412" Type="http://schemas.openxmlformats.org/officeDocument/2006/relationships/hyperlink" Target="https://www.sec.gov/Archives/edgar/data/1286681/000119312520042675/d796357dex1049.htm" TargetMode="External"/><Relationship Id="rId413" Type="http://schemas.openxmlformats.org/officeDocument/2006/relationships/hyperlink" Target="https://www.sec.gov/Archives/edgar/data/1286681/000119312521121940/d174181dex41.htm" TargetMode="External"/><Relationship Id="rId414" Type="http://schemas.openxmlformats.org/officeDocument/2006/relationships/hyperlink" Target="https://www.sec.gov/Archives/edgar/data/1286681/000095017022002426/dpz-ex10_62.htm" TargetMode="External"/><Relationship Id="rId415" Type="http://schemas.openxmlformats.org/officeDocument/2006/relationships/hyperlink" Target="https://www.sec.gov/Archives/edgar/data/1286681/000119312515350900/d51248dex44.htm" TargetMode="External"/><Relationship Id="rId416" Type="http://schemas.openxmlformats.org/officeDocument/2006/relationships/hyperlink" Target="https://www.sec.gov/Archives/edgar/data/1286681/000119312517234418/d428320dex42.htm" TargetMode="External"/><Relationship Id="rId419" Type="http://schemas.openxmlformats.org/officeDocument/2006/relationships/hyperlink" Target="https://www.sec.gov/Archives/edgar/data/1286681/000119312518131454/d538225dex41.htm" TargetMode="External"/><Relationship Id="rId420" Type="http://schemas.openxmlformats.org/officeDocument/2006/relationships/hyperlink" Target="https://www.sec.gov/Archives/edgar/data/1286681/000119312519295552/d806337dex41.htm" TargetMode="External"/><Relationship Id="rId421" Type="http://schemas.openxmlformats.org/officeDocument/2006/relationships/hyperlink" Target="https://www.sec.gov/Archives/edgar/data/1286681/000119312521121940/d174181dex42.htm" TargetMode="External"/><Relationship Id="rId422" Type="http://schemas.openxmlformats.org/officeDocument/2006/relationships/hyperlink" Target="https://www.sec.gov/Archives/edgar/data/1286681/000119312522246362/d394498dex41.htm" TargetMode="External"/><Relationship Id="rId423" Type="http://schemas.openxmlformats.org/officeDocument/2006/relationships/hyperlink" Target="https://www.sec.gov/Archives/edgar/data/1286681/000119312515350900/d51248dex101.htm" TargetMode="External"/><Relationship Id="rId424" Type="http://schemas.openxmlformats.org/officeDocument/2006/relationships/hyperlink" Target="https://www.sec.gov/Archives/edgar/data/1286681/000119312517202942/d382329dex101.htm" TargetMode="External"/><Relationship Id="rId425" Type="http://schemas.openxmlformats.org/officeDocument/2006/relationships/hyperlink" Target="https://www.sec.gov/Archives/edgar/data/1286681/000119312518131454/d538225dex11.htm" TargetMode="External"/><Relationship Id="rId426" Type="http://schemas.openxmlformats.org/officeDocument/2006/relationships/hyperlink" Target="https://www.sec.gov/Archives/edgar/data/1286681/000119312519286123/d829654dex991.htm" TargetMode="External"/><Relationship Id="rId427" Type="http://schemas.openxmlformats.org/officeDocument/2006/relationships/hyperlink" Target="https://www.sec.gov/Archives/edgar/data/1286681/000119312521110986/d148163dex991.htm" TargetMode="External"/><Relationship Id="rId430" Type="http://schemas.openxmlformats.org/officeDocument/2006/relationships/hyperlink" Target="https://www.sec.gov/Archives/edgar/data/1286681/000119312521121940/d174181dex101.htm" TargetMode="External"/><Relationship Id="rId431" Type="http://schemas.openxmlformats.org/officeDocument/2006/relationships/hyperlink" Target="https://www.sec.gov/Archives/edgar/data/1286681/000095017023033925/dpz-ex10_1.htm" TargetMode="External"/><Relationship Id="rId432" Type="http://schemas.openxmlformats.org/officeDocument/2006/relationships/hyperlink" Target="https://www.sec.gov/Archives/edgar/data/1286681/000119312522246362/d394498dex101.htm" TargetMode="External"/><Relationship Id="rId433" Type="http://schemas.openxmlformats.org/officeDocument/2006/relationships/hyperlink" Target="https://www.sec.gov/Archives/edgar/data/1286681/000119312512120642/d318279dex102.htm" TargetMode="External"/><Relationship Id="rId434" Type="http://schemas.openxmlformats.org/officeDocument/2006/relationships/hyperlink" Target="https://www.sec.gov/Archives/edgar/data/1286681/000119312512120642/d318279dex103.htm" TargetMode="External"/><Relationship Id="rId435" Type="http://schemas.openxmlformats.org/officeDocument/2006/relationships/hyperlink" Target="https://www.sec.gov/Archives/edgar/data/1286681/000119312515350900/d51248dex103.htm" TargetMode="External"/><Relationship Id="rId436" Type="http://schemas.openxmlformats.org/officeDocument/2006/relationships/hyperlink" Target="https://www.sec.gov/Archives/edgar/data/1286681/000119312517234418/d428320dex101.htm" TargetMode="External"/><Relationship Id="rId437" Type="http://schemas.openxmlformats.org/officeDocument/2006/relationships/hyperlink" Target="https://www.sec.gov/Archives/edgar/data/1286681/000119312521121940/d174181dex102.htm" TargetMode="External"/><Relationship Id="rId440" Type="http://schemas.openxmlformats.org/officeDocument/2006/relationships/hyperlink" Target="https://www.sec.gov/Archives/edgar/data/1286681/000095017022002426/dpz-ex10_79.htm" TargetMode="External"/><Relationship Id="rId441" Type="http://schemas.openxmlformats.org/officeDocument/2006/relationships/hyperlink" Target="https://www.sec.gov/Archives/edgar/data/1286681/000119312522246362/d394498dex102.htm" TargetMode="External"/><Relationship Id="rId442" Type="http://schemas.openxmlformats.org/officeDocument/2006/relationships/hyperlink" Target="https://www.sec.gov/Archives/edgar/data/1286681/000119312515350900/d51248dex104.htm" TargetMode="External"/><Relationship Id="rId443" Type="http://schemas.openxmlformats.org/officeDocument/2006/relationships/hyperlink" Target="https://www.sec.gov/Archives/edgar/data/1286681/000119312515350900/d51248dex105.htm" TargetMode="External"/><Relationship Id="rId444" Type="http://schemas.openxmlformats.org/officeDocument/2006/relationships/hyperlink" Target="https://www.sec.gov/Archives/edgar/data/1286681/000119312521121940/d174181dex103.htm" TargetMode="External"/><Relationship Id="rId445" Type="http://schemas.openxmlformats.org/officeDocument/2006/relationships/hyperlink" Target="https://www.sec.gov/Archives/edgar/data/1286681/000119312521146642/d166747dex101.htm" TargetMode="External"/><Relationship Id="rId446" Type="http://schemas.openxmlformats.org/officeDocument/2006/relationships/hyperlink" Target="https://www.sec.gov/Archives/edgar/data/1286681/000119312517373784/d513737dex101.htm" TargetMode="External"/><Relationship Id="rId447" Type="http://schemas.openxmlformats.org/officeDocument/2006/relationships/hyperlink" Target="https://www.sec.gov/Archives/edgar/data/1286681/0001193125090038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2024-02-26T05:42:32Z</dcterms:created>
  <dcterms:modified xsi:type="dcterms:W3CDTF">2024-02-26T05:42:32Z</dcterms:modified>
</cp:coreProperties>
</file>