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203835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640" w:right="1600" w:hanging="3632"/>
        <w:spacing w:after="0" w:line="438" w:lineRule="auto"/>
        <w:tabs>
          <w:tab w:leader="none" w:pos="4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12, 2021</w:t>
      </w:r>
    </w:p>
    <w:p>
      <w:pPr>
        <w:spacing w:after="0" w:line="29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58"/>
        </w:trPr>
        <w:tc>
          <w:tcPr>
            <w:tcW w:w="3340" w:type="dxa"/>
            <w:vAlign w:val="bottom"/>
            <w:gridSpan w:val="3"/>
          </w:tcPr>
          <w:p>
            <w:pPr>
              <w:ind w:left="580"/>
              <w:spacing w:after="0"/>
              <w:rPr>
                <w:sz w:val="20"/>
                <w:szCs w:val="20"/>
                <w:color w:val="auto"/>
              </w:rPr>
            </w:pPr>
            <w:r>
              <w:rPr>
                <w:rFonts w:ascii="Arial" w:cs="Arial" w:eastAsia="Arial" w:hAnsi="Arial"/>
                <w:sz w:val="18"/>
                <w:szCs w:val="18"/>
                <w:b w:val="1"/>
                <w:bCs w:val="1"/>
                <w:color w:val="auto"/>
                <w:w w:val="89"/>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Domino’s Pizza, Inc.</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6" w:lineRule="exact"/>
        <w:rPr>
          <w:sz w:val="24"/>
          <w:szCs w:val="24"/>
          <w:color w:val="auto"/>
        </w:rPr>
      </w:pPr>
    </w:p>
    <w:tbl>
      <w:tblPr>
        <w:tblLayout w:type="fixed"/>
        <w:tblInd w:w="1540" w:type="dxa"/>
        <w:tblCellMar>
          <w:top w:w="0" w:type="dxa"/>
          <w:left w:w="0" w:type="dxa"/>
          <w:bottom w:w="0" w:type="dxa"/>
          <w:right w:w="0" w:type="dxa"/>
        </w:tblCellMar>
      </w:tblPr>
      <w:tr>
        <w:trPr>
          <w:trHeight w:val="247"/>
        </w:trPr>
        <w:tc>
          <w:tcPr>
            <w:tcW w:w="2960" w:type="dxa"/>
            <w:vAlign w:val="bottom"/>
          </w:tcPr>
          <w:p>
            <w:pPr>
              <w:jc w:val="center"/>
              <w:ind w:right="43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38-2511577</w:t>
            </w:r>
          </w:p>
        </w:tc>
      </w:tr>
      <w:tr>
        <w:trPr>
          <w:trHeight w:val="175"/>
        </w:trPr>
        <w:tc>
          <w:tcPr>
            <w:tcW w:w="6080" w:type="dxa"/>
            <w:vAlign w:val="bottom"/>
            <w:gridSpan w:val="3"/>
          </w:tcPr>
          <w:p>
            <w:pPr>
              <w:jc w:val="center"/>
              <w:ind w:right="3620"/>
              <w:spacing w:after="0"/>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gridSpan w:val="3"/>
          </w:tcPr>
          <w:p>
            <w:pPr>
              <w:jc w:val="center"/>
              <w:ind w:right="364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608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95"/>
              </w:rPr>
              <w:t>30 Frank Lloyd Wright Drive</w:t>
            </w:r>
          </w:p>
        </w:tc>
        <w:tc>
          <w:tcPr>
            <w:tcW w:w="1440" w:type="dxa"/>
            <w:vAlign w:val="bottom"/>
          </w:tcPr>
          <w:p>
            <w:pPr>
              <w:spacing w:after="0"/>
              <w:rPr>
                <w:sz w:val="21"/>
                <w:szCs w:val="21"/>
                <w:color w:val="auto"/>
              </w:rPr>
            </w:pPr>
          </w:p>
        </w:tc>
      </w:tr>
      <w:tr>
        <w:trPr>
          <w:trHeight w:val="248"/>
        </w:trPr>
        <w:tc>
          <w:tcPr>
            <w:tcW w:w="608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94"/>
              </w:rPr>
              <w:t>Ann Arbor, Michigan</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48105</w:t>
            </w:r>
          </w:p>
        </w:tc>
      </w:tr>
      <w:tr>
        <w:trPr>
          <w:trHeight w:val="190"/>
        </w:trPr>
        <w:tc>
          <w:tcPr>
            <w:tcW w:w="6080" w:type="dxa"/>
            <w:vAlign w:val="bottom"/>
            <w:gridSpan w:val="3"/>
          </w:tcPr>
          <w:p>
            <w:pPr>
              <w:jc w:val="center"/>
              <w:ind w:right="36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40"/>
        </w:trPr>
        <w:tc>
          <w:tcPr>
            <w:tcW w:w="5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(734) 930-3030</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6080" w:type="dxa"/>
            <w:vAlign w:val="bottom"/>
            <w:gridSpan w:val="3"/>
          </w:tcPr>
          <w:p>
            <w:pPr>
              <w:jc w:val="center"/>
              <w:ind w:left="19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161925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27"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Title of Each Class</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90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85"/>
        </w:trPr>
        <w:tc>
          <w:tcPr>
            <w:tcW w:w="428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right="240" w:firstLine="255"/>
        <w:spacing w:after="0" w:line="237"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40" w:firstLine="255"/>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firstLine="255"/>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01" w:lineRule="exact"/>
        <w:rPr>
          <w:sz w:val="24"/>
          <w:szCs w:val="24"/>
          <w:color w:val="auto"/>
        </w:rPr>
      </w:pPr>
    </w:p>
    <w:p>
      <w:pPr>
        <w:jc w:val="both"/>
        <w:ind w:right="200" w:firstLine="255"/>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260" w:right="148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7, 2021, Domino’s Pizza, Inc. had 36,386,777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7" w:right="3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Domino’s Pizza,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3"/>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5540" w:type="dxa"/>
            <w:vAlign w:val="bottom"/>
            <w:gridSpan w:val="7"/>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w:t>
              </w:r>
            </w:hyperlink>
          </w:p>
        </w:tc>
        <w:tc>
          <w:tcPr>
            <w:tcW w:w="6420" w:type="dxa"/>
            <w:vAlign w:val="bottom"/>
            <w:gridSpan w:val="13"/>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20" w:type="dxa"/>
            <w:vAlign w:val="bottom"/>
            <w:tcBorders>
              <w:bottom w:val="single" w:sz="8" w:color="0000EE"/>
            </w:tcBorders>
            <w:gridSpan w:val="1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Balance Sheets (Unaudited) – As of September 12, 2021 and January 3, 2021</w:t>
              </w:r>
            </w:hyperlink>
          </w:p>
        </w:tc>
        <w:tc>
          <w:tcPr>
            <w:tcW w:w="520" w:type="dxa"/>
            <w:vAlign w:val="bottom"/>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3</w:t>
            </w:r>
          </w:p>
        </w:tc>
      </w:tr>
      <w:tr>
        <w:trPr>
          <w:trHeight w:val="37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Income (Unaudited) – Fiscal quarters and three fiscal quarters ended</w:t>
              </w:r>
            </w:hyperlink>
          </w:p>
        </w:tc>
        <w:tc>
          <w:tcPr>
            <w:tcW w:w="1220" w:type="dxa"/>
            <w:vAlign w:val="bottom"/>
            <w:tcBorders>
              <w:bottom w:val="single" w:sz="8" w:color="0000EE"/>
            </w:tcBorders>
            <w:gridSpan w:val="3"/>
          </w:tcPr>
          <w:p>
            <w:pPr>
              <w:ind w:left="14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September 12,</w:t>
              </w:r>
            </w:hyperlink>
          </w:p>
        </w:tc>
        <w:tc>
          <w:tcPr>
            <w:tcW w:w="1040" w:type="dxa"/>
            <w:vAlign w:val="bottom"/>
            <w:gridSpan w:val="2"/>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bottom w:val="single" w:sz="8" w:color="0000EE"/>
            </w:tcBorders>
            <w:gridSpan w:val="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2021 and September 6, 2020</w:t>
              </w:r>
            </w:hyperlink>
          </w:p>
        </w:tc>
        <w:tc>
          <w:tcPr>
            <w:tcW w:w="5640" w:type="dxa"/>
            <w:vAlign w:val="bottom"/>
            <w:gridSpan w:val="9"/>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4</w:t>
            </w:r>
          </w:p>
        </w:tc>
      </w:tr>
      <w:tr>
        <w:trPr>
          <w:trHeight w:val="37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tcBorders>
              <w:bottom w:val="single" w:sz="8" w:color="0000EE"/>
            </w:tcBorders>
            <w:gridSpan w:val="2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(Unaudited) – Fiscal quarters and three fiscal quarters ended</w:t>
              </w:r>
            </w:hyperlink>
          </w:p>
        </w:tc>
        <w:tc>
          <w:tcPr>
            <w:tcW w:w="1180" w:type="dxa"/>
            <w:vAlign w:val="bottom"/>
            <w:gridSpan w:val="3"/>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September 12, 2021 and September 6, 2020</w:t>
              </w:r>
            </w:hyperlink>
          </w:p>
        </w:tc>
        <w:tc>
          <w:tcPr>
            <w:tcW w:w="4560" w:type="dxa"/>
            <w:vAlign w:val="bottom"/>
            <w:gridSpan w:val="6"/>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560" w:type="dxa"/>
            <w:vAlign w:val="bottom"/>
            <w:tcBorders>
              <w:bottom w:val="single" w:sz="8" w:color="0000EE"/>
            </w:tcBorders>
            <w:gridSpan w:val="2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(Unaudited) –Three fiscal quarters ended September 12, 2021 and</w:t>
              </w:r>
            </w:hyperlink>
          </w:p>
        </w:tc>
        <w:tc>
          <w:tcPr>
            <w:tcW w:w="1640" w:type="dxa"/>
            <w:vAlign w:val="bottom"/>
            <w:gridSpan w:val="4"/>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September 6, 2020</w:t>
              </w:r>
            </w:hyperlink>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Condensed Consolidated Financial Statements (Unaudited)</w:t>
              </w:r>
            </w:hyperlink>
          </w:p>
        </w:tc>
        <w:tc>
          <w:tcPr>
            <w:tcW w:w="3020" w:type="dxa"/>
            <w:vAlign w:val="bottom"/>
            <w:gridSpan w:val="3"/>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7940" w:type="dxa"/>
            <w:vAlign w:val="bottom"/>
            <w:gridSpan w:val="20"/>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16</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480" w:type="dxa"/>
            <w:vAlign w:val="bottom"/>
            <w:gridSpan w:val="2"/>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Controls and Procedures</w:t>
              </w:r>
            </w:hyperlink>
          </w:p>
        </w:tc>
        <w:tc>
          <w:tcPr>
            <w:tcW w:w="6160" w:type="dxa"/>
            <w:vAlign w:val="bottom"/>
            <w:gridSpan w:val="11"/>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w:t>
            </w:r>
          </w:p>
        </w:tc>
        <w:tc>
          <w:tcPr>
            <w:tcW w:w="7940" w:type="dxa"/>
            <w:vAlign w:val="bottom"/>
            <w:gridSpan w:val="20"/>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OTHER INFORMATION</w:t>
              </w:r>
            </w:hyperlink>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5920" w:type="dxa"/>
            <w:vAlign w:val="bottom"/>
            <w:gridSpan w:val="10"/>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28</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6600" w:type="dxa"/>
            <w:vAlign w:val="bottom"/>
            <w:gridSpan w:val="14"/>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28</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Unregistered Sales of Equity Securities and Use of Proceeds</w:t>
              </w:r>
            </w:hyperlink>
          </w:p>
        </w:tc>
        <w:tc>
          <w:tcPr>
            <w:tcW w:w="3580" w:type="dxa"/>
            <w:vAlign w:val="bottom"/>
            <w:gridSpan w:val="5"/>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28</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2"/>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Defaults Upon Senior Securities</w:t>
              </w:r>
            </w:hyperlink>
          </w:p>
        </w:tc>
        <w:tc>
          <w:tcPr>
            <w:tcW w:w="5600" w:type="dxa"/>
            <w:vAlign w:val="bottom"/>
            <w:gridSpan w:val="8"/>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28</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Mine Safety Disclosures</w:t>
              </w:r>
            </w:hyperlink>
          </w:p>
        </w:tc>
        <w:tc>
          <w:tcPr>
            <w:tcW w:w="6160" w:type="dxa"/>
            <w:vAlign w:val="bottom"/>
            <w:gridSpan w:val="11"/>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28</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794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Other Information</w:t>
              </w:r>
            </w:hyperlink>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28</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6620" w:type="dxa"/>
            <w:vAlign w:val="bottom"/>
            <w:gridSpan w:val="15"/>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Arial" w:cs="Arial" w:eastAsia="Arial" w:hAnsi="Arial"/>
                <w:sz w:val="18"/>
                <w:szCs w:val="18"/>
                <w:b w:val="1"/>
                <w:bCs w:val="1"/>
                <w:color w:val="0000FF"/>
                <w:w w:val="96"/>
              </w:rPr>
            </w:pPr>
            <w:hyperlink w:anchor="page30">
              <w:r>
                <w:rPr>
                  <w:rFonts w:ascii="Arial" w:cs="Arial" w:eastAsia="Arial" w:hAnsi="Arial"/>
                  <w:sz w:val="18"/>
                  <w:szCs w:val="18"/>
                  <w:b w:val="1"/>
                  <w:bCs w:val="1"/>
                  <w:color w:val="0000FF"/>
                  <w:w w:val="96"/>
                </w:rPr>
                <w:t>SIGNATURES</w:t>
              </w:r>
            </w:hyperlink>
          </w:p>
        </w:tc>
        <w:tc>
          <w:tcPr>
            <w:tcW w:w="7800" w:type="dxa"/>
            <w:vAlign w:val="bottom"/>
            <w:gridSpan w:val="19"/>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color w:val="auto"/>
              </w:rPr>
              <w:t>30</w:t>
            </w: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gridSpan w:val="17"/>
          </w:tcPr>
          <w:p>
            <w:pPr>
              <w:ind w:left="454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40"/>
        <w:spacing w:after="0" w:line="200" w:lineRule="auto"/>
        <w:rPr>
          <w:sz w:val="20"/>
          <w:szCs w:val="20"/>
          <w:color w:val="auto"/>
        </w:rPr>
      </w:pPr>
      <w:r>
        <w:rPr>
          <w:rFonts w:ascii="Arial" w:cs="Arial" w:eastAsia="Arial" w:hAnsi="Arial"/>
          <w:sz w:val="18"/>
          <w:szCs w:val="18"/>
          <w:b w:val="1"/>
          <w:bCs w:val="1"/>
          <w:color w:val="auto"/>
        </w:rPr>
        <w:t>Domino’s Pizza, Inc. and Subsidiaries</w:t>
      </w:r>
    </w:p>
    <w:p>
      <w:pPr>
        <w:jc w:val="center"/>
        <w:ind w:right="40"/>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12, 2021</w:t>
            </w:r>
          </w:p>
        </w:tc>
        <w:tc>
          <w:tcPr>
            <w:tcW w:w="240" w:type="dxa"/>
            <w:vAlign w:val="bottom"/>
          </w:tcPr>
          <w:p>
            <w:pPr>
              <w:spacing w:after="0"/>
              <w:rPr>
                <w:sz w:val="16"/>
                <w:szCs w:val="16"/>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January 3, 2021 (1)</w:t>
            </w:r>
          </w:p>
        </w:tc>
      </w:tr>
      <w:tr>
        <w:trPr>
          <w:trHeight w:val="250"/>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295,352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168,821</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206,274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217,453</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238,906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244,560</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64,563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66,683</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24,169</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Advertising fund assets, restricted</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186,807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147,698</w:t>
            </w:r>
          </w:p>
        </w:tc>
        <w:tc>
          <w:tcPr>
            <w:tcW w:w="100" w:type="dxa"/>
            <w:vAlign w:val="bottom"/>
          </w:tcPr>
          <w:p>
            <w:pPr>
              <w:spacing w:after="0"/>
              <w:rPr>
                <w:sz w:val="21"/>
                <w:szCs w:val="21"/>
                <w:color w:val="auto"/>
              </w:rPr>
            </w:pPr>
          </w:p>
        </w:tc>
      </w:tr>
      <w:tr>
        <w:trPr>
          <w:trHeight w:val="250"/>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1,025,996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869,384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Land and buildings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88,063</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Leasehold and other improvements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189,499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186,456</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309,811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292,456</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13,014</w:t>
            </w:r>
          </w:p>
        </w:tc>
        <w:tc>
          <w:tcPr>
            <w:tcW w:w="100" w:type="dxa"/>
            <w:vAlign w:val="bottom"/>
          </w:tcPr>
          <w:p>
            <w:pPr>
              <w:spacing w:after="0"/>
              <w:rPr>
                <w:sz w:val="21"/>
                <w:szCs w:val="21"/>
                <w:color w:val="auto"/>
              </w:rPr>
            </w:pPr>
          </w:p>
        </w:tc>
      </w:tr>
      <w:tr>
        <w:trPr>
          <w:trHeight w:val="257"/>
        </w:trPr>
        <w:tc>
          <w:tcPr>
            <w:tcW w:w="7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604,710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579,989</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(311,335 )</w:t>
            </w:r>
          </w:p>
        </w:tc>
        <w:tc>
          <w:tcPr>
            <w:tcW w:w="240" w:type="dxa"/>
            <w:vAlign w:val="bottom"/>
          </w:tcPr>
          <w:p>
            <w:pPr>
              <w:spacing w:after="0"/>
              <w:rPr>
                <w:sz w:val="21"/>
                <w:szCs w:val="21"/>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(282,625 )</w:t>
            </w:r>
          </w:p>
        </w:tc>
      </w:tr>
      <w:tr>
        <w:trPr>
          <w:trHeight w:val="250"/>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293,375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218,172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228,268</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15,034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Capitalized software, net</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81,306</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33,881</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r>
      <w:tr>
        <w:trPr>
          <w:trHeight w:val="250"/>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444,985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1,764,356</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1,567,168</w:t>
            </w:r>
          </w:p>
        </w:tc>
        <w:tc>
          <w:tcPr>
            <w:tcW w:w="100" w:type="dxa"/>
            <w:vAlign w:val="bottom"/>
          </w:tcPr>
          <w:p>
            <w:pPr>
              <w:spacing w:after="0"/>
              <w:rPr>
                <w:sz w:val="21"/>
                <w:szCs w:val="2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and stockholders' deficit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111,780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94,499</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35,861</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27,900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Advertising fund liabilities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178,539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141,175</w:t>
            </w:r>
          </w:p>
        </w:tc>
        <w:tc>
          <w:tcPr>
            <w:tcW w:w="100" w:type="dxa"/>
            <w:vAlign w:val="bottom"/>
          </w:tcPr>
          <w:p>
            <w:pPr>
              <w:spacing w:after="0"/>
              <w:rPr>
                <w:sz w:val="21"/>
                <w:szCs w:val="21"/>
                <w:color w:val="auto"/>
              </w:rPr>
            </w:pPr>
          </w:p>
        </w:tc>
      </w:tr>
      <w:tr>
        <w:trPr>
          <w:trHeight w:val="257"/>
        </w:trPr>
        <w:tc>
          <w:tcPr>
            <w:tcW w:w="7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151,130</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596,354</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470,819</w:t>
            </w:r>
          </w:p>
        </w:tc>
        <w:tc>
          <w:tcPr>
            <w:tcW w:w="100" w:type="dxa"/>
            <w:vAlign w:val="bottom"/>
          </w:tcPr>
          <w:p>
            <w:pPr>
              <w:spacing w:after="0"/>
              <w:rPr>
                <w:sz w:val="21"/>
                <w:szCs w:val="21"/>
                <w:color w:val="auto"/>
              </w:rPr>
            </w:pPr>
          </w:p>
        </w:tc>
      </w:tr>
      <w:tr>
        <w:trPr>
          <w:trHeight w:val="257"/>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5,014,705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4,116,018</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193,024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202,268</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40,218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35,244</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1"/>
                <w:szCs w:val="21"/>
                <w:color w:val="auto"/>
              </w:rPr>
            </w:pPr>
          </w:p>
        </w:tc>
      </w:tr>
      <w:tr>
        <w:trPr>
          <w:trHeight w:val="250"/>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5,295,515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4,396,754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22"/>
                <w:szCs w:val="22"/>
                <w:color w:val="auto"/>
              </w:rPr>
            </w:pP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21"/>
                <w:szCs w:val="21"/>
                <w:color w:val="auto"/>
              </w:rPr>
            </w:pPr>
          </w:p>
        </w:tc>
      </w:tr>
      <w:tr>
        <w:trPr>
          <w:trHeight w:val="26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deficit</w:t>
            </w:r>
          </w:p>
        </w:tc>
        <w:tc>
          <w:tcPr>
            <w:tcW w:w="18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(4,125,582 )</w:t>
            </w:r>
          </w:p>
        </w:tc>
        <w:tc>
          <w:tcPr>
            <w:tcW w:w="24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(3,303,492 )</w:t>
            </w:r>
          </w:p>
        </w:tc>
      </w:tr>
      <w:tr>
        <w:trPr>
          <w:trHeight w:val="250"/>
        </w:trPr>
        <w:tc>
          <w:tcPr>
            <w:tcW w:w="72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(2,412 )</w:t>
            </w:r>
          </w:p>
        </w:tc>
        <w:tc>
          <w:tcPr>
            <w:tcW w:w="240" w:type="dxa"/>
            <w:vAlign w:val="bottom"/>
          </w:tcPr>
          <w:p>
            <w:pPr>
              <w:spacing w:after="0"/>
              <w:rPr>
                <w:sz w:val="21"/>
                <w:szCs w:val="21"/>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(2,424 )</w:t>
            </w:r>
          </w:p>
        </w:tc>
      </w:tr>
      <w:tr>
        <w:trPr>
          <w:trHeight w:val="20"/>
        </w:trPr>
        <w:tc>
          <w:tcPr>
            <w:tcW w:w="7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(4,127,513 )</w:t>
            </w:r>
          </w:p>
        </w:tc>
        <w:tc>
          <w:tcPr>
            <w:tcW w:w="2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(3,300,405 )</w:t>
            </w:r>
          </w:p>
        </w:tc>
      </w:tr>
      <w:tr>
        <w:trPr>
          <w:trHeight w:val="250"/>
        </w:trPr>
        <w:tc>
          <w:tcPr>
            <w:tcW w:w="7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1,764,356</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1,567,168</w:t>
            </w:r>
          </w:p>
        </w:tc>
        <w:tc>
          <w:tcPr>
            <w:tcW w:w="100" w:type="dxa"/>
            <w:vAlign w:val="bottom"/>
            <w:tcBorders>
              <w:top w:val="single" w:sz="8" w:color="CFF0FC"/>
            </w:tcBorders>
          </w:tcPr>
          <w:p>
            <w:pPr>
              <w:spacing w:after="0"/>
              <w:rPr>
                <w:sz w:val="21"/>
                <w:szCs w:val="2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-6828790</wp:posOffset>
            </wp:positionV>
            <wp:extent cx="180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-6828790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-5499735</wp:posOffset>
            </wp:positionV>
            <wp:extent cx="180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-5499735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-4179570</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-4179570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-2516505</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-1188085</wp:posOffset>
            </wp:positionV>
            <wp:extent cx="180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-1188085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-193675</wp:posOffset>
            </wp:positionV>
            <wp:extent cx="1803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56" w:lineRule="exact"/>
        <w:rPr>
          <w:sz w:val="20"/>
          <w:szCs w:val="20"/>
          <w:color w:val="auto"/>
        </w:rPr>
      </w:pPr>
    </w:p>
    <w:p>
      <w:pPr>
        <w:ind w:right="200" w:firstLine="8"/>
        <w:spacing w:after="0" w:line="29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January 3, 2021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711" w:gutter="0" w:footer="0" w:header="0"/>
        </w:sectPr>
      </w:pPr>
    </w:p>
    <w:bookmarkStart w:id="3" w:name="page4"/>
    <w:bookmarkEnd w:id="3"/>
    <w:p>
      <w:pPr>
        <w:ind w:left="418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Fiscal Quarter Ended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Fiscal Quarters Ended</w:t>
            </w:r>
          </w:p>
        </w:tc>
        <w:tc>
          <w:tcPr>
            <w:tcW w:w="100" w:type="dxa"/>
            <w:vAlign w:val="bottom"/>
          </w:tcPr>
          <w:p>
            <w:pPr>
              <w:spacing w:after="0"/>
              <w:rPr>
                <w:sz w:val="16"/>
                <w:szCs w:val="16"/>
                <w:color w:val="auto"/>
              </w:rPr>
            </w:pPr>
          </w:p>
        </w:tc>
      </w:tr>
      <w:tr>
        <w:trPr>
          <w:trHeight w:val="190"/>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September 12,</w:t>
            </w:r>
          </w:p>
        </w:tc>
        <w:tc>
          <w:tcPr>
            <w:tcW w:w="140" w:type="dxa"/>
            <w:vAlign w:val="bottom"/>
          </w:tcPr>
          <w:p>
            <w:pPr>
              <w:spacing w:after="0"/>
              <w:rPr>
                <w:sz w:val="16"/>
                <w:szCs w:val="16"/>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September 6,</w:t>
            </w:r>
          </w:p>
        </w:tc>
        <w:tc>
          <w:tcPr>
            <w:tcW w:w="12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September 12,</w:t>
            </w:r>
          </w:p>
        </w:tc>
        <w:tc>
          <w:tcPr>
            <w:tcW w:w="14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6,</w:t>
            </w:r>
          </w:p>
        </w:tc>
      </w:tr>
      <w:tr>
        <w:trPr>
          <w:trHeight w:val="215"/>
        </w:trPr>
        <w:tc>
          <w:tcPr>
            <w:tcW w:w="5660" w:type="dxa"/>
            <w:vAlign w:val="bottom"/>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U.S. Company-owned stores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108,416</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113,254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337,749</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329,820</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franchise royalties and fees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121,624</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118,054</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372,946</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335,898</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Supply chain</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588,819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573,661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1,760,119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1,625,502</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International franchise royalties and fees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70,553</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54,602</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207,068</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160,202</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U.S. franchise advertising</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108,578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108,148</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336,278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309,422</w:t>
            </w:r>
          </w:p>
        </w:tc>
        <w:tc>
          <w:tcPr>
            <w:tcW w:w="100" w:type="dxa"/>
            <w:vAlign w:val="bottom"/>
          </w:tcPr>
          <w:p>
            <w:pPr>
              <w:spacing w:after="0"/>
              <w:rPr>
                <w:sz w:val="21"/>
                <w:szCs w:val="2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997,990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967,719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3,014,160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2,760,844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Company-owned stores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86,932</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90,788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260,693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258,007</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Supply chain</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525,858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514,950</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1,571,426</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1,443,608</w:t>
            </w:r>
          </w:p>
        </w:tc>
        <w:tc>
          <w:tcPr>
            <w:tcW w:w="100" w:type="dxa"/>
            <w:vAlign w:val="bottom"/>
          </w:tcPr>
          <w:p>
            <w:pPr>
              <w:spacing w:after="0"/>
              <w:rPr>
                <w:sz w:val="21"/>
                <w:szCs w:val="2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 of sales</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612,790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605,738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1,832,119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1,701,615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385,200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361,981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1,182,041</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1,059,229</w:t>
            </w:r>
          </w:p>
        </w:tc>
        <w:tc>
          <w:tcPr>
            <w:tcW w:w="100" w:type="dxa"/>
            <w:vAlign w:val="bottom"/>
          </w:tcPr>
          <w:p>
            <w:pPr>
              <w:spacing w:after="0"/>
              <w:rPr>
                <w:sz w:val="21"/>
                <w:szCs w:val="21"/>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96,342</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91,652</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288,043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268,209</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U.S. franchise advertising</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108,578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108,148</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336,278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309,422</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180,280</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162,181</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557,720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481,598</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(45,523 )</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(38,605 )</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(130,822 )</w:t>
            </w:r>
          </w:p>
        </w:tc>
        <w:tc>
          <w:tcPr>
            <w:tcW w:w="1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(117,802 )</w:t>
            </w: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134,805</w:t>
            </w:r>
          </w:p>
        </w:tc>
        <w:tc>
          <w:tcPr>
            <w:tcW w:w="2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123,773</w:t>
            </w: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429,536</w:t>
            </w: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365,565</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14,403</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Pr>
          <w:p>
            <w:pPr>
              <w:spacing w:after="0"/>
              <w:rPr>
                <w:sz w:val="21"/>
                <w:szCs w:val="21"/>
                <w:color w:val="auto"/>
              </w:rPr>
            </w:pPr>
          </w:p>
        </w:tc>
      </w:tr>
      <w:tr>
        <w:trPr>
          <w:trHeight w:val="29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120,402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99,129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354,782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 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22"/>
                <w:szCs w:val="22"/>
                <w:color w:val="auto"/>
              </w:rPr>
            </w:pPr>
          </w:p>
        </w:tc>
      </w:tr>
      <w:tr>
        <w:trPr>
          <w:trHeight w:val="243"/>
        </w:trPr>
        <w:tc>
          <w:tcPr>
            <w:tcW w:w="5660" w:type="dxa"/>
            <w:vAlign w:val="bottom"/>
          </w:tcPr>
          <w:p>
            <w:pPr>
              <w:ind w:left="200"/>
              <w:spacing w:after="0"/>
              <w:rPr>
                <w:sz w:val="20"/>
                <w:szCs w:val="20"/>
                <w:color w:val="auto"/>
              </w:rPr>
            </w:pPr>
            <w:r>
              <w:rPr>
                <w:rFonts w:ascii="Arial" w:cs="Arial" w:eastAsia="Arial" w:hAnsi="Arial"/>
                <w:sz w:val="18"/>
                <w:szCs w:val="18"/>
                <w:color w:val="auto"/>
              </w:rPr>
              <w:t>Common stock - diluted</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-2842260</wp:posOffset>
            </wp:positionV>
            <wp:extent cx="1714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-2842260</wp:posOffset>
            </wp:positionV>
            <wp:extent cx="1543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-2842260</wp:posOffset>
            </wp:positionV>
            <wp:extent cx="1543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-2173605</wp:posOffset>
            </wp:positionV>
            <wp:extent cx="1714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-2173605</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-2173605</wp:posOffset>
            </wp:positionV>
            <wp:extent cx="1543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-505460</wp:posOffset>
            </wp:positionV>
            <wp:extent cx="171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-488315</wp:posOffset>
            </wp:positionV>
            <wp:extent cx="1714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-505460</wp:posOffset>
            </wp:positionV>
            <wp:extent cx="1543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-488315</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-505460</wp:posOffset>
            </wp:positionV>
            <wp:extent cx="154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-488315</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Fiscal Quarter Ended</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Fiscal Quarters Ended</w:t>
            </w:r>
          </w:p>
        </w:tc>
        <w:tc>
          <w:tcPr>
            <w:tcW w:w="100" w:type="dxa"/>
            <w:vAlign w:val="bottom"/>
          </w:tcPr>
          <w:p>
            <w:pPr>
              <w:spacing w:after="0"/>
              <w:rPr>
                <w:sz w:val="16"/>
                <w:szCs w:val="16"/>
                <w:color w:val="auto"/>
              </w:rPr>
            </w:pPr>
          </w:p>
        </w:tc>
      </w:t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12,</w:t>
            </w:r>
          </w:p>
        </w:tc>
        <w:tc>
          <w:tcPr>
            <w:tcW w:w="140" w:type="dxa"/>
            <w:vAlign w:val="bottom"/>
          </w:tcPr>
          <w:p>
            <w:pPr>
              <w:spacing w:after="0"/>
              <w:rPr>
                <w:sz w:val="16"/>
                <w:szCs w:val="16"/>
                <w:color w:val="auto"/>
              </w:rPr>
            </w:pPr>
          </w:p>
        </w:tc>
        <w:tc>
          <w:tcPr>
            <w:tcW w:w="1020" w:type="dxa"/>
            <w:vAlign w:val="bottom"/>
          </w:tcPr>
          <w:p>
            <w:pPr>
              <w:jc w:val="right"/>
              <w:ind w:right="97"/>
              <w:spacing w:after="0"/>
              <w:rPr>
                <w:sz w:val="20"/>
                <w:szCs w:val="20"/>
                <w:color w:val="auto"/>
              </w:rPr>
            </w:pPr>
            <w:r>
              <w:rPr>
                <w:rFonts w:ascii="Arial" w:cs="Arial" w:eastAsia="Arial" w:hAnsi="Arial"/>
                <w:sz w:val="14"/>
                <w:szCs w:val="14"/>
                <w:b w:val="1"/>
                <w:bCs w:val="1"/>
                <w:color w:val="auto"/>
                <w:w w:val="93"/>
              </w:rPr>
              <w:t>September 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September 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September 6,</w:t>
            </w:r>
          </w:p>
        </w:tc>
        <w:tc>
          <w:tcPr>
            <w:tcW w:w="100" w:type="dxa"/>
            <w:vAlign w:val="bottom"/>
          </w:tcPr>
          <w:p>
            <w:pPr>
              <w:spacing w:after="0"/>
              <w:rPr>
                <w:sz w:val="16"/>
                <w:szCs w:val="16"/>
                <w:color w:val="auto"/>
              </w:rPr>
            </w:pPr>
          </w:p>
        </w:tc>
      </w:tr>
      <w:tr>
        <w:trPr>
          <w:trHeight w:val="214"/>
        </w:trPr>
        <w:tc>
          <w:tcPr>
            <w:tcW w:w="55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0"/>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120,402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354,782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339,399</w:t>
            </w:r>
          </w:p>
        </w:tc>
        <w:tc>
          <w:tcPr>
            <w:tcW w:w="100" w:type="dxa"/>
            <w:vAlign w:val="bottom"/>
            <w:shd w:val="clear" w:color="auto" w:fill="CFF0FC"/>
          </w:tcPr>
          <w:p>
            <w:pPr>
              <w:spacing w:after="0"/>
              <w:rPr>
                <w:sz w:val="21"/>
                <w:szCs w:val="21"/>
                <w:color w:val="auto"/>
              </w:rPr>
            </w:pPr>
          </w:p>
        </w:tc>
      </w:tr>
      <w:tr>
        <w:trPr>
          <w:trHeight w:val="250"/>
        </w:trPr>
        <w:tc>
          <w:tcPr>
            <w:tcW w:w="550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(404 )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r>
      <w:tr>
        <w:trPr>
          <w:trHeight w:val="29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119,998</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100,242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354,794</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-25400</wp:posOffset>
            </wp:positionV>
            <wp:extent cx="1714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1714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15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1460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460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Fiscal Quarters Ended</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12,</w:t>
            </w:r>
          </w:p>
        </w:tc>
        <w:tc>
          <w:tcPr>
            <w:tcW w:w="240" w:type="dxa"/>
            <w:vAlign w:val="bottom"/>
          </w:tcPr>
          <w:p>
            <w:pPr>
              <w:spacing w:after="0"/>
              <w:rPr>
                <w:sz w:val="17"/>
                <w:szCs w:val="17"/>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6,</w:t>
            </w:r>
          </w:p>
        </w:tc>
        <w:tc>
          <w:tcPr>
            <w:tcW w:w="0" w:type="dxa"/>
            <w:vAlign w:val="bottom"/>
          </w:tcPr>
          <w:p>
            <w:pPr>
              <w:spacing w:after="0"/>
              <w:rPr>
                <w:sz w:val="1"/>
                <w:szCs w:val="1"/>
                <w:color w:val="auto"/>
              </w:rPr>
            </w:pPr>
          </w:p>
        </w:tc>
      </w:tr>
      <w:tr>
        <w:trPr>
          <w:trHeight w:val="214"/>
        </w:trPr>
        <w:tc>
          <w:tcPr>
            <w:tcW w:w="7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354,782</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339,399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50,219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44,116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sale/disposal of 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5,770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4,831</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380"/>
              <w:spacing w:after="0"/>
              <w:rPr>
                <w:sz w:val="20"/>
                <w:szCs w:val="20"/>
                <w:color w:val="auto"/>
              </w:rPr>
            </w:pPr>
            <w:r>
              <w:rPr>
                <w:rFonts w:ascii="Arial" w:cs="Arial" w:eastAsia="Arial" w:hAnsi="Arial"/>
                <w:sz w:val="18"/>
                <w:szCs w:val="18"/>
                <w:color w:val="auto"/>
              </w:rPr>
              <w:t>Non-cash equity-based compensation expense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19,453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Excess tax benefits from equity-based compensation</w:t>
            </w:r>
          </w:p>
        </w:tc>
        <w:tc>
          <w:tcPr>
            <w:tcW w:w="24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(18,258 )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(56,862 )</w:t>
            </w:r>
          </w:p>
        </w:tc>
        <w:tc>
          <w:tcPr>
            <w:tcW w:w="0" w:type="dxa"/>
            <w:vAlign w:val="bottom"/>
          </w:tcPr>
          <w:p>
            <w:pPr>
              <w:spacing w:after="0"/>
              <w:rPr>
                <w:sz w:val="1"/>
                <w:szCs w:val="1"/>
                <w:color w:val="auto"/>
              </w:rPr>
            </w:pPr>
          </w:p>
        </w:tc>
      </w:tr>
      <w:tr>
        <w:trPr>
          <w:trHeight w:val="250"/>
        </w:trPr>
        <w:tc>
          <w:tcPr>
            <w:tcW w:w="7620" w:type="dxa"/>
            <w:vAlign w:val="bottom"/>
          </w:tcPr>
          <w:p>
            <w:pPr>
              <w:ind w:left="380"/>
              <w:spacing w:after="0"/>
              <w:rPr>
                <w:sz w:val="20"/>
                <w:szCs w:val="20"/>
                <w:color w:val="auto"/>
              </w:rPr>
            </w:pPr>
            <w:r>
              <w:rPr>
                <w:rFonts w:ascii="Arial" w:cs="Arial" w:eastAsia="Arial" w:hAnsi="Arial"/>
                <w:sz w:val="18"/>
                <w:szCs w:val="18"/>
                <w:color w:val="auto"/>
              </w:rPr>
              <w:t>Provision for losses on accounts and notes receivable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Unrealized gain on investments</w:t>
            </w:r>
          </w:p>
        </w:tc>
        <w:tc>
          <w:tcPr>
            <w:tcW w:w="24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20,212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(14,146 )</w:t>
            </w:r>
          </w:p>
        </w:tc>
        <w:tc>
          <w:tcPr>
            <w:tcW w:w="0" w:type="dxa"/>
            <w:vAlign w:val="bottom"/>
          </w:tcPr>
          <w:p>
            <w:pPr>
              <w:spacing w:after="0"/>
              <w:rPr>
                <w:sz w:val="1"/>
                <w:szCs w:val="1"/>
                <w:color w:val="auto"/>
              </w:rPr>
            </w:pPr>
          </w:p>
        </w:tc>
      </w:tr>
      <w:tr>
        <w:trPr>
          <w:trHeight w:val="257"/>
        </w:trPr>
        <w:tc>
          <w:tcPr>
            <w:tcW w:w="7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Changes in advertising fund assets and liabilities, restricted</w:t>
            </w: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49,067</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484,601</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(50,652 )</w:t>
            </w: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(51,163 )</w:t>
            </w: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investments</w:t>
            </w:r>
          </w:p>
        </w:tc>
        <w:tc>
          <w:tcPr>
            <w:tcW w:w="24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(40,000 )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(40,000 )</w:t>
            </w:r>
          </w:p>
        </w:tc>
        <w:tc>
          <w:tcPr>
            <w:tcW w:w="0" w:type="dxa"/>
            <w:vAlign w:val="bottom"/>
          </w:tcPr>
          <w:p>
            <w:pPr>
              <w:spacing w:after="0"/>
              <w:rPr>
                <w:sz w:val="1"/>
                <w:szCs w:val="1"/>
                <w:color w:val="auto"/>
              </w:rPr>
            </w:pPr>
          </w:p>
        </w:tc>
      </w:tr>
      <w:tr>
        <w:trPr>
          <w:trHeight w:val="250"/>
        </w:trPr>
        <w:tc>
          <w:tcPr>
            <w:tcW w:w="762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(90,346 )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(91,069 )</w:t>
            </w:r>
          </w:p>
        </w:tc>
        <w:tc>
          <w:tcPr>
            <w:tcW w:w="0" w:type="dxa"/>
            <w:vAlign w:val="bottom"/>
          </w:tcPr>
          <w:p>
            <w:pPr>
              <w:spacing w:after="0"/>
              <w:rPr>
                <w:sz w:val="1"/>
                <w:szCs w:val="1"/>
                <w:color w:val="auto"/>
              </w:rPr>
            </w:pPr>
          </w:p>
        </w:tc>
      </w:tr>
      <w:tr>
        <w:trPr>
          <w:trHeight w:val="250"/>
        </w:trPr>
        <w:tc>
          <w:tcPr>
            <w:tcW w:w="7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1,850,000</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00"/>
              <w:spacing w:after="0"/>
              <w:rPr>
                <w:sz w:val="20"/>
                <w:szCs w:val="20"/>
                <w:color w:val="auto"/>
              </w:rPr>
            </w:pPr>
            <w:r>
              <w:rPr>
                <w:rFonts w:ascii="Arial" w:cs="Arial" w:eastAsia="Arial" w:hAnsi="Arial"/>
                <w:sz w:val="18"/>
                <w:szCs w:val="18"/>
                <w:color w:val="auto"/>
              </w:rPr>
              <w:t>Repayments of long-term debt and finance lease obligations</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(896,193 )</w:t>
            </w: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(190,843 )</w:t>
            </w: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15,948</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00"/>
              <w:spacing w:after="0"/>
              <w:rPr>
                <w:sz w:val="20"/>
                <w:szCs w:val="20"/>
                <w:color w:val="auto"/>
              </w:rPr>
            </w:pPr>
            <w:r>
              <w:rPr>
                <w:rFonts w:ascii="Arial" w:cs="Arial" w:eastAsia="Arial" w:hAnsi="Arial"/>
                <w:sz w:val="18"/>
                <w:szCs w:val="18"/>
                <w:color w:val="auto"/>
              </w:rPr>
              <w:t>Purchases of common stock</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(1,104,687 )</w:t>
            </w: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(79,590 )</w:t>
            </w: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payments for restricted stock upon vesting</w:t>
            </w:r>
          </w:p>
        </w:tc>
        <w:tc>
          <w:tcPr>
            <w:tcW w:w="24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(6,817 )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(6,584 )</w:t>
            </w:r>
          </w:p>
        </w:tc>
        <w:tc>
          <w:tcPr>
            <w:tcW w:w="0" w:type="dxa"/>
            <w:vAlign w:val="bottom"/>
          </w:tcPr>
          <w:p>
            <w:pPr>
              <w:spacing w:after="0"/>
              <w:rPr>
                <w:sz w:val="1"/>
                <w:szCs w:val="1"/>
                <w:color w:val="auto"/>
              </w:rPr>
            </w:pPr>
          </w:p>
        </w:tc>
      </w:tr>
      <w:tr>
        <w:trPr>
          <w:trHeight w:val="250"/>
        </w:trPr>
        <w:tc>
          <w:tcPr>
            <w:tcW w:w="7620" w:type="dxa"/>
            <w:vAlign w:val="bottom"/>
          </w:tcPr>
          <w:p>
            <w:pPr>
              <w:ind w:left="200"/>
              <w:spacing w:after="0"/>
              <w:rPr>
                <w:sz w:val="20"/>
                <w:szCs w:val="20"/>
                <w:color w:val="auto"/>
              </w:rPr>
            </w:pPr>
            <w:r>
              <w:rPr>
                <w:rFonts w:ascii="Arial" w:cs="Arial" w:eastAsia="Arial" w:hAnsi="Arial"/>
                <w:sz w:val="18"/>
                <w:szCs w:val="18"/>
                <w:color w:val="auto"/>
              </w:rPr>
              <w:t>Payments of common stock dividends and equivalents</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(71,218 )</w:t>
            </w: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(61,093 )</w:t>
            </w: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financing costs</w:t>
            </w:r>
          </w:p>
        </w:tc>
        <w:tc>
          <w:tcPr>
            <w:tcW w:w="24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(14,938 )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2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(244 )</w:t>
            </w:r>
          </w:p>
        </w:tc>
        <w:tc>
          <w:tcPr>
            <w:tcW w:w="24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(228,149 )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(153,584 )</w:t>
            </w:r>
          </w:p>
        </w:tc>
        <w:tc>
          <w:tcPr>
            <w:tcW w:w="0" w:type="dxa"/>
            <w:vAlign w:val="bottom"/>
          </w:tcPr>
          <w:p>
            <w:pPr>
              <w:spacing w:after="0"/>
              <w:rPr>
                <w:sz w:val="1"/>
                <w:szCs w:val="1"/>
                <w:color w:val="auto"/>
              </w:rPr>
            </w:pPr>
          </w:p>
        </w:tc>
      </w:tr>
      <w:tr>
        <w:trPr>
          <w:trHeight w:val="250"/>
        </w:trPr>
        <w:tc>
          <w:tcPr>
            <w:tcW w:w="7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24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166,164</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168,821</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Restricted cash and cash equivalents, beginning of period</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217,453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209,269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included in advertising fund assets, restricted,</w:t>
            </w:r>
          </w:p>
        </w:tc>
        <w:tc>
          <w:tcPr>
            <w:tcW w:w="240" w:type="dxa"/>
            <w:vAlign w:val="bottom"/>
            <w:shd w:val="clear" w:color="auto" w:fill="CFF0FC"/>
          </w:tcPr>
          <w:p>
            <w:pPr>
              <w:spacing w:after="0"/>
              <w:rPr>
                <w:sz w:val="21"/>
                <w:szCs w:val="21"/>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115,872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84,040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restricted cash and cash equivalents and cash and</w:t>
            </w:r>
          </w:p>
        </w:tc>
        <w:tc>
          <w:tcPr>
            <w:tcW w:w="24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502,146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483,924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60"/>
              <w:spacing w:after="0" w:line="203" w:lineRule="exact"/>
              <w:rPr>
                <w:sz w:val="20"/>
                <w:szCs w:val="20"/>
                <w:color w:val="auto"/>
              </w:rPr>
            </w:pPr>
            <w:r>
              <w:rPr>
                <w:rFonts w:ascii="Arial" w:cs="Arial" w:eastAsia="Arial" w:hAnsi="Arial"/>
                <w:sz w:val="18"/>
                <w:szCs w:val="18"/>
                <w:color w:val="auto"/>
              </w:rPr>
              <w:t>cash equivalents included in advertising fund assets, restricted, beginning of period</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295,352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cash equivalents, end of period</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206,274</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160,330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included in advertising fund assets, restricted,</w:t>
            </w:r>
          </w:p>
        </w:tc>
        <w:tc>
          <w:tcPr>
            <w:tcW w:w="240" w:type="dxa"/>
            <w:vAlign w:val="bottom"/>
          </w:tcPr>
          <w:p>
            <w:pPr>
              <w:spacing w:after="0"/>
              <w:rPr>
                <w:sz w:val="21"/>
                <w:szCs w:val="2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166,684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118,864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restricted cash and cash equivalents and cash and</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668,310</w:t>
            </w:r>
          </w:p>
        </w:tc>
        <w:tc>
          <w:tcPr>
            <w:tcW w:w="300" w:type="dxa"/>
            <w:vAlign w:val="bottom"/>
            <w:shd w:val="clear" w:color="auto" w:fill="CFF0FC"/>
          </w:tcPr>
          <w:p>
            <w:pPr>
              <w:spacing w:after="0"/>
              <w:rPr>
                <w:sz w:val="20"/>
                <w:szCs w:val="20"/>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609,913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cash equivalents included in advertising fund assets, restricted, end of period</w:t>
            </w: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3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-5225415</wp:posOffset>
            </wp:positionV>
            <wp:extent cx="18859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-5225415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-4222750</wp:posOffset>
            </wp:positionV>
            <wp:extent cx="18859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-4222750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-2576830</wp:posOffset>
            </wp:positionV>
            <wp:extent cx="18859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-2236470</wp:posOffset>
            </wp:positionV>
            <wp:extent cx="1885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-2219325</wp:posOffset>
            </wp:positionV>
            <wp:extent cx="1885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-1419225</wp:posOffset>
            </wp:positionV>
            <wp:extent cx="18859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-1419225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885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885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12,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 and Updates to Significant Accounting Policies</w:t>
      </w:r>
    </w:p>
    <w:p>
      <w:pPr>
        <w:spacing w:after="0" w:line="131" w:lineRule="exact"/>
        <w:rPr>
          <w:sz w:val="20"/>
          <w:szCs w:val="20"/>
          <w:color w:val="auto"/>
        </w:rPr>
      </w:pPr>
    </w:p>
    <w:p>
      <w:pPr>
        <w:ind w:firstLine="255"/>
        <w:spacing w:after="0" w:line="31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3, 2021 included in the Company’s 2020 Annual Report on Form 10-K, filed with the Securities and Exchange Commission on February 25, 2021 (the “2020 Form 10-K”).</w:t>
      </w:r>
    </w:p>
    <w:p>
      <w:pPr>
        <w:spacing w:after="0" w:line="52" w:lineRule="exact"/>
        <w:rPr>
          <w:sz w:val="20"/>
          <w:szCs w:val="20"/>
          <w:color w:val="auto"/>
        </w:rPr>
      </w:pPr>
    </w:p>
    <w:p>
      <w:pPr>
        <w:ind w:firstLine="255"/>
        <w:spacing w:after="0" w:line="279"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ended September 12, 2021 are not necessarily indicative of the results that may be expected for the fiscal year ending January 2,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2. Segment Information</w:t>
      </w:r>
    </w:p>
    <w:p>
      <w:pPr>
        <w:spacing w:after="0" w:line="252" w:lineRule="exact"/>
        <w:rPr>
          <w:sz w:val="20"/>
          <w:szCs w:val="20"/>
          <w:color w:val="auto"/>
        </w:rPr>
      </w:pPr>
    </w:p>
    <w:p>
      <w:pPr>
        <w:ind w:right="160" w:firstLine="255"/>
        <w:spacing w:after="0" w:line="271" w:lineRule="auto"/>
        <w:rPr>
          <w:sz w:val="20"/>
          <w:szCs w:val="20"/>
          <w:color w:val="auto"/>
        </w:rPr>
      </w:pPr>
      <w:r>
        <w:rPr>
          <w:rFonts w:ascii="Arial" w:cs="Arial" w:eastAsia="Arial" w:hAnsi="Arial"/>
          <w:sz w:val="18"/>
          <w:szCs w:val="18"/>
          <w:color w:val="auto"/>
        </w:rPr>
        <w:t>The following tables summarize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Fiscal Quarters Ended September 12, 2021 and September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23495</wp:posOffset>
            </wp:positionV>
            <wp:extent cx="4586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8660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Supply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Intersegment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Stores</w:t>
            </w:r>
          </w:p>
        </w:tc>
        <w:tc>
          <w:tcPr>
            <w:tcW w:w="12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Chain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Franchise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r>
      <w:tr>
        <w:trPr>
          <w:trHeight w:val="256"/>
        </w:trPr>
        <w:tc>
          <w:tcPr>
            <w:tcW w:w="3880" w:type="dxa"/>
            <w:vAlign w:val="bottom"/>
            <w:shd w:val="clear" w:color="auto" w:fill="CFF0FC"/>
          </w:tcPr>
          <w:p>
            <w:pPr>
              <w:jc w:val="center"/>
              <w:ind w:right="3050"/>
              <w:spacing w:after="0"/>
              <w:rPr>
                <w:sz w:val="20"/>
                <w:szCs w:val="20"/>
                <w:color w:val="auto"/>
              </w:rPr>
            </w:pPr>
            <w:r>
              <w:rPr>
                <w:rFonts w:ascii="Arial" w:cs="Arial" w:eastAsia="Arial" w:hAnsi="Arial"/>
                <w:sz w:val="18"/>
                <w:szCs w:val="18"/>
                <w:color w:val="auto"/>
                <w:w w:val="86"/>
              </w:rPr>
              <w:t>Revenues</w:t>
            </w:r>
          </w:p>
        </w:tc>
        <w:tc>
          <w:tcPr>
            <w:tcW w:w="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8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880" w:type="dxa"/>
            <w:vAlign w:val="bottom"/>
          </w:tcPr>
          <w:p>
            <w:pPr>
              <w:jc w:val="center"/>
              <w:ind w:right="3030"/>
              <w:spacing w:after="0"/>
              <w:rPr>
                <w:sz w:val="20"/>
                <w:szCs w:val="20"/>
                <w:color w:val="auto"/>
              </w:rPr>
            </w:pPr>
            <w:r>
              <w:rPr>
                <w:rFonts w:ascii="Arial" w:cs="Arial" w:eastAsia="Arial" w:hAnsi="Arial"/>
                <w:sz w:val="18"/>
                <w:szCs w:val="18"/>
                <w:color w:val="auto"/>
                <w:w w:val="89"/>
              </w:rPr>
              <w:t>2021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180"/>
              <w:spacing w:after="0"/>
              <w:rPr>
                <w:sz w:val="20"/>
                <w:szCs w:val="20"/>
                <w:color w:val="auto"/>
              </w:rPr>
            </w:pPr>
            <w:r>
              <w:rPr>
                <w:rFonts w:ascii="Arial" w:cs="Arial" w:eastAsia="Arial" w:hAnsi="Arial"/>
                <w:sz w:val="18"/>
                <w:szCs w:val="18"/>
                <w:color w:val="auto"/>
                <w:w w:val="89"/>
              </w:rPr>
              <w:t>338,618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619,840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70,553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(31,021 )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997,990</w:t>
            </w:r>
          </w:p>
        </w:tc>
        <w:tc>
          <w:tcPr>
            <w:tcW w:w="100" w:type="dxa"/>
            <w:vAlign w:val="bottom"/>
          </w:tcPr>
          <w:p>
            <w:pPr>
              <w:spacing w:after="0"/>
              <w:rPr>
                <w:sz w:val="21"/>
                <w:szCs w:val="21"/>
                <w:color w:val="auto"/>
              </w:rPr>
            </w:pPr>
          </w:p>
        </w:tc>
      </w:tr>
      <w:tr>
        <w:trPr>
          <w:trHeight w:val="263"/>
        </w:trPr>
        <w:tc>
          <w:tcPr>
            <w:tcW w:w="3880" w:type="dxa"/>
            <w:vAlign w:val="bottom"/>
            <w:shd w:val="clear" w:color="auto" w:fill="CFF0FC"/>
          </w:tcPr>
          <w:p>
            <w:pPr>
              <w:jc w:val="center"/>
              <w:ind w:right="3030"/>
              <w:spacing w:after="0"/>
              <w:rPr>
                <w:sz w:val="20"/>
                <w:szCs w:val="20"/>
                <w:color w:val="auto"/>
              </w:rPr>
            </w:pPr>
            <w:r>
              <w:rPr>
                <w:rFonts w:ascii="Arial" w:cs="Arial" w:eastAsia="Arial" w:hAnsi="Arial"/>
                <w:sz w:val="18"/>
                <w:szCs w:val="18"/>
                <w:color w:val="auto"/>
                <w:w w:val="89"/>
              </w:rPr>
              <w:t>2020</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339,456</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605,481</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54,602</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(31,820 )</w:t>
            </w:r>
          </w:p>
        </w:tc>
        <w:tc>
          <w:tcPr>
            <w:tcW w:w="1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967,719</w:t>
            </w:r>
          </w:p>
        </w:tc>
        <w:tc>
          <w:tcPr>
            <w:tcW w:w="100" w:type="dxa"/>
            <w:vAlign w:val="bottom"/>
            <w:shd w:val="clear" w:color="auto" w:fill="CFF0FC"/>
          </w:tcPr>
          <w:p>
            <w:pPr>
              <w:spacing w:after="0"/>
              <w:rPr>
                <w:sz w:val="22"/>
                <w:szCs w:val="22"/>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80" w:type="dxa"/>
            <w:vAlign w:val="bottom"/>
            <w:shd w:val="clear" w:color="auto" w:fill="CFF0FC"/>
          </w:tcPr>
          <w:p>
            <w:pPr>
              <w:jc w:val="center"/>
              <w:ind w:right="3030"/>
              <w:spacing w:after="0"/>
              <w:rPr>
                <w:sz w:val="20"/>
                <w:szCs w:val="20"/>
                <w:color w:val="auto"/>
              </w:rPr>
            </w:pPr>
            <w:r>
              <w:rPr>
                <w:rFonts w:ascii="Arial" w:cs="Arial" w:eastAsia="Arial" w:hAnsi="Arial"/>
                <w:sz w:val="18"/>
                <w:szCs w:val="18"/>
                <w:color w:val="auto"/>
                <w:w w:val="89"/>
              </w:rPr>
              <w:t>2021</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101,968</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53,579</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57,311</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(10,010 )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202,848</w:t>
            </w:r>
          </w:p>
        </w:tc>
        <w:tc>
          <w:tcPr>
            <w:tcW w:w="100" w:type="dxa"/>
            <w:vAlign w:val="bottom"/>
            <w:shd w:val="clear" w:color="auto" w:fill="CFF0FC"/>
          </w:tcPr>
          <w:p>
            <w:pPr>
              <w:spacing w:after="0"/>
              <w:rPr>
                <w:sz w:val="22"/>
                <w:szCs w:val="22"/>
                <w:color w:val="auto"/>
              </w:rPr>
            </w:pPr>
          </w:p>
        </w:tc>
      </w:tr>
      <w:tr>
        <w:trPr>
          <w:trHeight w:val="243"/>
        </w:trPr>
        <w:tc>
          <w:tcPr>
            <w:tcW w:w="3880" w:type="dxa"/>
            <w:vAlign w:val="bottom"/>
          </w:tcPr>
          <w:p>
            <w:pPr>
              <w:jc w:val="center"/>
              <w:ind w:right="3030"/>
              <w:spacing w:after="0"/>
              <w:rPr>
                <w:sz w:val="20"/>
                <w:szCs w:val="20"/>
                <w:color w:val="auto"/>
              </w:rPr>
            </w:pPr>
            <w:r>
              <w:rPr>
                <w:rFonts w:ascii="Arial" w:cs="Arial" w:eastAsia="Arial" w:hAnsi="Arial"/>
                <w:sz w:val="18"/>
                <w:szCs w:val="18"/>
                <w:color w:val="auto"/>
                <w:w w:val="89"/>
              </w:rPr>
              <w:t>2020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89"/>
              </w:rPr>
              <w:t>101,513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51,114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44,461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(13,689 )</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183,399</w:t>
            </w:r>
          </w:p>
        </w:tc>
        <w:tc>
          <w:tcPr>
            <w:tcW w:w="100" w:type="dxa"/>
            <w:vAlign w:val="bottom"/>
          </w:tcPr>
          <w:p>
            <w:pPr>
              <w:spacing w:after="0"/>
              <w:rPr>
                <w:sz w:val="21"/>
                <w:szCs w:val="21"/>
                <w:color w:val="auto"/>
              </w:rPr>
            </w:pPr>
          </w:p>
        </w:tc>
      </w:tr>
      <w:tr>
        <w:trPr>
          <w:trHeight w:val="440"/>
        </w:trPr>
        <w:tc>
          <w:tcPr>
            <w:tcW w:w="3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3"/>
          </w:tcPr>
          <w:p>
            <w:pPr>
              <w:jc w:val="right"/>
              <w:ind w:right="360"/>
              <w:spacing w:after="0"/>
              <w:rPr>
                <w:sz w:val="20"/>
                <w:szCs w:val="20"/>
                <w:color w:val="auto"/>
              </w:rPr>
            </w:pPr>
            <w:r>
              <w:rPr>
                <w:rFonts w:ascii="Arial" w:cs="Arial" w:eastAsia="Arial" w:hAnsi="Arial"/>
                <w:sz w:val="14"/>
                <w:szCs w:val="14"/>
                <w:b w:val="1"/>
                <w:bCs w:val="1"/>
                <w:color w:val="auto"/>
                <w:w w:val="93"/>
              </w:rPr>
              <w:t>Three Fiscal Quarters Ended September 12, 2021 and September 6, 2020</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3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Supply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Intersegment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Stores</w:t>
            </w:r>
          </w:p>
        </w:tc>
        <w:tc>
          <w:tcPr>
            <w:tcW w:w="12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Chain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Franchise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r>
      <w:tr>
        <w:trPr>
          <w:trHeight w:val="256"/>
        </w:trPr>
        <w:tc>
          <w:tcPr>
            <w:tcW w:w="3880" w:type="dxa"/>
            <w:vAlign w:val="bottom"/>
            <w:shd w:val="clear" w:color="auto" w:fill="CFF0FC"/>
          </w:tcPr>
          <w:p>
            <w:pPr>
              <w:jc w:val="center"/>
              <w:ind w:right="3050"/>
              <w:spacing w:after="0"/>
              <w:rPr>
                <w:sz w:val="20"/>
                <w:szCs w:val="20"/>
                <w:color w:val="auto"/>
              </w:rPr>
            </w:pPr>
            <w:r>
              <w:rPr>
                <w:rFonts w:ascii="Arial" w:cs="Arial" w:eastAsia="Arial" w:hAnsi="Arial"/>
                <w:sz w:val="18"/>
                <w:szCs w:val="18"/>
                <w:color w:val="auto"/>
                <w:w w:val="86"/>
              </w:rPr>
              <w:t>Revenues</w:t>
            </w:r>
          </w:p>
        </w:tc>
        <w:tc>
          <w:tcPr>
            <w:tcW w:w="40" w:type="dxa"/>
            <w:vAlign w:val="bottom"/>
            <w:tcBorders>
              <w:top w:val="single" w:sz="8" w:color="auto"/>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8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880" w:type="dxa"/>
            <w:vAlign w:val="bottom"/>
          </w:tcPr>
          <w:p>
            <w:pPr>
              <w:jc w:val="center"/>
              <w:ind w:right="3030"/>
              <w:spacing w:after="0"/>
              <w:rPr>
                <w:sz w:val="20"/>
                <w:szCs w:val="20"/>
                <w:color w:val="auto"/>
              </w:rPr>
            </w:pPr>
            <w:r>
              <w:rPr>
                <w:rFonts w:ascii="Arial" w:cs="Arial" w:eastAsia="Arial" w:hAnsi="Arial"/>
                <w:sz w:val="18"/>
                <w:szCs w:val="18"/>
                <w:color w:val="auto"/>
                <w:w w:val="89"/>
              </w:rPr>
              <w:t>2021</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1,046,973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1,854,609</w:t>
            </w:r>
          </w:p>
        </w:tc>
        <w:tc>
          <w:tcPr>
            <w:tcW w:w="2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207,068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(94,490 )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3,014,160</w:t>
            </w:r>
          </w:p>
        </w:tc>
        <w:tc>
          <w:tcPr>
            <w:tcW w:w="100" w:type="dxa"/>
            <w:vAlign w:val="bottom"/>
          </w:tcPr>
          <w:p>
            <w:pPr>
              <w:spacing w:after="0"/>
              <w:rPr>
                <w:sz w:val="21"/>
                <w:szCs w:val="21"/>
                <w:color w:val="auto"/>
              </w:rPr>
            </w:pPr>
          </w:p>
        </w:tc>
      </w:tr>
      <w:tr>
        <w:trPr>
          <w:trHeight w:val="263"/>
        </w:trPr>
        <w:tc>
          <w:tcPr>
            <w:tcW w:w="3880" w:type="dxa"/>
            <w:vAlign w:val="bottom"/>
            <w:shd w:val="clear" w:color="auto" w:fill="CFF0FC"/>
          </w:tcPr>
          <w:p>
            <w:pPr>
              <w:jc w:val="center"/>
              <w:ind w:right="3030"/>
              <w:spacing w:after="0"/>
              <w:rPr>
                <w:sz w:val="20"/>
                <w:szCs w:val="20"/>
                <w:color w:val="auto"/>
              </w:rPr>
            </w:pPr>
            <w:r>
              <w:rPr>
                <w:rFonts w:ascii="Arial" w:cs="Arial" w:eastAsia="Arial" w:hAnsi="Arial"/>
                <w:sz w:val="18"/>
                <w:szCs w:val="18"/>
                <w:color w:val="auto"/>
                <w:w w:val="89"/>
              </w:rPr>
              <w:t>2020</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975,140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1,717,225</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160,202</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(91,723 )</w:t>
            </w:r>
          </w:p>
        </w:tc>
        <w:tc>
          <w:tcPr>
            <w:tcW w:w="1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2,760,844</w:t>
            </w:r>
          </w:p>
        </w:tc>
        <w:tc>
          <w:tcPr>
            <w:tcW w:w="100" w:type="dxa"/>
            <w:vAlign w:val="bottom"/>
            <w:shd w:val="clear" w:color="auto" w:fill="CFF0FC"/>
          </w:tcPr>
          <w:p>
            <w:pPr>
              <w:spacing w:after="0"/>
              <w:rPr>
                <w:sz w:val="22"/>
                <w:szCs w:val="22"/>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80" w:type="dxa"/>
            <w:vAlign w:val="bottom"/>
            <w:shd w:val="clear" w:color="auto" w:fill="CFF0FC"/>
          </w:tcPr>
          <w:p>
            <w:pPr>
              <w:jc w:val="center"/>
              <w:ind w:right="3030"/>
              <w:spacing w:after="0"/>
              <w:rPr>
                <w:sz w:val="20"/>
                <w:szCs w:val="20"/>
                <w:color w:val="auto"/>
              </w:rPr>
            </w:pPr>
            <w:r>
              <w:rPr>
                <w:rFonts w:ascii="Arial" w:cs="Arial" w:eastAsia="Arial" w:hAnsi="Arial"/>
                <w:sz w:val="18"/>
                <w:szCs w:val="18"/>
                <w:color w:val="auto"/>
                <w:w w:val="89"/>
              </w:rPr>
              <w:t>2021</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321,252</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164,723</w:t>
            </w:r>
          </w:p>
        </w:tc>
        <w:tc>
          <w:tcPr>
            <w:tcW w:w="20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168,145</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(25,726 )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628,394</w:t>
            </w:r>
          </w:p>
        </w:tc>
        <w:tc>
          <w:tcPr>
            <w:tcW w:w="100" w:type="dxa"/>
            <w:vAlign w:val="bottom"/>
            <w:shd w:val="clear" w:color="auto" w:fill="CFF0FC"/>
          </w:tcPr>
          <w:p>
            <w:pPr>
              <w:spacing w:after="0"/>
              <w:rPr>
                <w:sz w:val="22"/>
                <w:szCs w:val="22"/>
                <w:color w:val="auto"/>
              </w:rPr>
            </w:pPr>
          </w:p>
        </w:tc>
      </w:tr>
      <w:tr>
        <w:trPr>
          <w:trHeight w:val="243"/>
        </w:trPr>
        <w:tc>
          <w:tcPr>
            <w:tcW w:w="3880" w:type="dxa"/>
            <w:vAlign w:val="bottom"/>
          </w:tcPr>
          <w:p>
            <w:pPr>
              <w:jc w:val="center"/>
              <w:ind w:right="3030"/>
              <w:spacing w:after="0"/>
              <w:rPr>
                <w:sz w:val="20"/>
                <w:szCs w:val="20"/>
                <w:color w:val="auto"/>
              </w:rPr>
            </w:pPr>
            <w:r>
              <w:rPr>
                <w:rFonts w:ascii="Arial" w:cs="Arial" w:eastAsia="Arial" w:hAnsi="Arial"/>
                <w:sz w:val="18"/>
                <w:szCs w:val="18"/>
                <w:color w:val="auto"/>
                <w:w w:val="89"/>
              </w:rPr>
              <w:t>2020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292,724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159,455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124,375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(34,376 )</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542,178</w:t>
            </w:r>
          </w:p>
        </w:tc>
        <w:tc>
          <w:tcPr>
            <w:tcW w:w="100" w:type="dxa"/>
            <w:vAlign w:val="bottom"/>
          </w:tcPr>
          <w:p>
            <w:pPr>
              <w:spacing w:after="0"/>
              <w:rPr>
                <w:sz w:val="21"/>
                <w:szCs w:val="2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Fiscal Quarter Ended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Fiscal Quarters Ended</w:t>
            </w:r>
          </w:p>
        </w:tc>
        <w:tc>
          <w:tcPr>
            <w:tcW w:w="100" w:type="dxa"/>
            <w:vAlign w:val="bottom"/>
          </w:tcPr>
          <w:p>
            <w:pPr>
              <w:spacing w:after="0"/>
              <w:rPr>
                <w:sz w:val="16"/>
                <w:szCs w:val="16"/>
                <w:color w:val="auto"/>
              </w:rPr>
            </w:pPr>
          </w:p>
        </w:tc>
      </w:tr>
      <w:tr>
        <w:trPr>
          <w:trHeight w:val="190"/>
        </w:trPr>
        <w:tc>
          <w:tcPr>
            <w:tcW w:w="4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September 12,</w:t>
            </w:r>
          </w:p>
        </w:tc>
        <w:tc>
          <w:tcPr>
            <w:tcW w:w="140" w:type="dxa"/>
            <w:vAlign w:val="bottom"/>
          </w:tcPr>
          <w:p>
            <w:pPr>
              <w:spacing w:after="0"/>
              <w:rPr>
                <w:sz w:val="16"/>
                <w:szCs w:val="16"/>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September 6,</w:t>
            </w:r>
          </w:p>
        </w:tc>
        <w:tc>
          <w:tcPr>
            <w:tcW w:w="12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September 12,</w:t>
            </w:r>
          </w:p>
        </w:tc>
        <w:tc>
          <w:tcPr>
            <w:tcW w:w="14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6,</w:t>
            </w:r>
          </w:p>
        </w:tc>
      </w:tr>
      <w:tr>
        <w:trPr>
          <w:trHeight w:val="209"/>
        </w:trPr>
        <w:tc>
          <w:tcPr>
            <w:tcW w:w="4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Segment Income</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202,848</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183,399</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628,394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542,178</w:t>
            </w:r>
          </w:p>
        </w:tc>
        <w:tc>
          <w:tcPr>
            <w:tcW w:w="100" w:type="dxa"/>
            <w:vAlign w:val="bottom"/>
            <w:shd w:val="clear" w:color="auto" w:fill="CFF0FC"/>
          </w:tcPr>
          <w:p>
            <w:pPr>
              <w:spacing w:after="0"/>
              <w:rPr>
                <w:sz w:val="22"/>
                <w:szCs w:val="22"/>
                <w:color w:val="auto"/>
              </w:rPr>
            </w:pPr>
          </w:p>
        </w:tc>
      </w:tr>
      <w:tr>
        <w:trPr>
          <w:trHeight w:val="250"/>
        </w:trPr>
        <w:tc>
          <w:tcPr>
            <w:tcW w:w="4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(16,578 )</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(15,327 )</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(50,219 )</w:t>
            </w:r>
          </w:p>
        </w:tc>
        <w:tc>
          <w:tcPr>
            <w:tcW w:w="1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(44,116 )</w:t>
            </w:r>
          </w:p>
        </w:tc>
      </w:tr>
      <w:tr>
        <w:trPr>
          <w:trHeight w:val="26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sale/disposal of assets</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(37 )</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(986 )</w:t>
            </w: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(493 )</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(1,530 )</w:t>
            </w:r>
          </w:p>
        </w:tc>
      </w:tr>
      <w:tr>
        <w:trPr>
          <w:trHeight w:val="250"/>
        </w:trPr>
        <w:tc>
          <w:tcPr>
            <w:tcW w:w="446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(5,953 )</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(4,905 )</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(19,453 )</w:t>
            </w:r>
          </w:p>
        </w:tc>
        <w:tc>
          <w:tcPr>
            <w:tcW w:w="1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(14,934 )</w:t>
            </w:r>
          </w:p>
        </w:tc>
      </w:tr>
      <w:tr>
        <w:trPr>
          <w:trHeight w:val="257"/>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Recapitalization-related expenses</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(509 )</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from operations</w:t>
            </w:r>
          </w:p>
        </w:tc>
        <w:tc>
          <w:tcPr>
            <w:tcW w:w="120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180,280</w:t>
            </w:r>
          </w:p>
        </w:tc>
        <w:tc>
          <w:tcPr>
            <w:tcW w:w="2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162,181</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557,720</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481,598</w:t>
            </w:r>
          </w:p>
        </w:tc>
        <w:tc>
          <w:tcPr>
            <w:tcW w:w="100" w:type="dxa"/>
            <w:vAlign w:val="bottom"/>
            <w:tcBorders>
              <w:top w:val="single" w:sz="8" w:color="CFF0FC"/>
            </w:tcBorders>
          </w:tcPr>
          <w:p>
            <w:pPr>
              <w:spacing w:after="0"/>
              <w:rPr>
                <w:sz w:val="21"/>
                <w:szCs w:val="21"/>
                <w:color w:val="auto"/>
              </w:rPr>
            </w:pPr>
          </w:p>
        </w:tc>
      </w:tr>
      <w:tr>
        <w:trPr>
          <w:trHeight w:val="26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r>
      <w:tr>
        <w:trPr>
          <w:trHeight w:val="257"/>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(45,523 )</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(38,605 )</w:t>
            </w: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(130,822 )</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(117,802 )</w:t>
            </w:r>
          </w:p>
        </w:tc>
      </w:tr>
      <w:tr>
        <w:trPr>
          <w:trHeight w:val="250"/>
        </w:trPr>
        <w:tc>
          <w:tcPr>
            <w:tcW w:w="44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134,805</w:t>
            </w:r>
          </w:p>
        </w:tc>
        <w:tc>
          <w:tcPr>
            <w:tcW w:w="26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123,773</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429,536</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365,565</w:t>
            </w:r>
          </w:p>
        </w:tc>
        <w:tc>
          <w:tcPr>
            <w:tcW w:w="100" w:type="dxa"/>
            <w:vAlign w:val="bottom"/>
            <w:tcBorders>
              <w:top w:val="single" w:sz="8" w:color="CFF0FC"/>
            </w:tcBorders>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-1230630</wp:posOffset>
            </wp:positionV>
            <wp:extent cx="17145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-1230630</wp:posOffset>
            </wp:positionV>
            <wp:extent cx="1543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-1230630</wp:posOffset>
            </wp:positionV>
            <wp:extent cx="1543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-1230630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-570865</wp:posOffset>
            </wp:positionV>
            <wp:extent cx="17145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-570865</wp:posOffset>
            </wp:positionV>
            <wp:extent cx="1543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-570865</wp:posOffset>
            </wp:positionV>
            <wp:extent cx="15430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3. Earnings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Fiscal Quarter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Three Fiscal Quarters Ended</w:t>
            </w:r>
          </w:p>
        </w:tc>
        <w:tc>
          <w:tcPr>
            <w:tcW w:w="80" w:type="dxa"/>
            <w:vAlign w:val="bottom"/>
          </w:tcPr>
          <w:p>
            <w:pPr>
              <w:spacing w:after="0"/>
              <w:rPr>
                <w:sz w:val="16"/>
                <w:szCs w:val="16"/>
                <w:color w:val="auto"/>
              </w:rPr>
            </w:pPr>
          </w:p>
        </w:tc>
      </w:tr>
      <w:tr>
        <w:trPr>
          <w:trHeight w:val="190"/>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17"/>
              <w:spacing w:after="0"/>
              <w:rPr>
                <w:sz w:val="20"/>
                <w:szCs w:val="20"/>
                <w:color w:val="auto"/>
              </w:rPr>
            </w:pPr>
            <w:r>
              <w:rPr>
                <w:rFonts w:ascii="Arial" w:cs="Arial" w:eastAsia="Arial" w:hAnsi="Arial"/>
                <w:sz w:val="14"/>
                <w:szCs w:val="14"/>
                <w:b w:val="1"/>
                <w:bCs w:val="1"/>
                <w:color w:val="auto"/>
                <w:w w:val="93"/>
              </w:rPr>
              <w:t>September 12,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September 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September 12,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September 6,</w:t>
            </w:r>
          </w:p>
        </w:tc>
        <w:tc>
          <w:tcPr>
            <w:tcW w:w="80" w:type="dxa"/>
            <w:vAlign w:val="bottom"/>
          </w:tcPr>
          <w:p>
            <w:pPr>
              <w:spacing w:after="0"/>
              <w:rPr>
                <w:sz w:val="16"/>
                <w:szCs w:val="16"/>
                <w:color w:val="auto"/>
              </w:rPr>
            </w:pPr>
          </w:p>
        </w:tc>
      </w:tr>
      <w:tr>
        <w:trPr>
          <w:trHeight w:val="208"/>
        </w:trPr>
        <w:tc>
          <w:tcPr>
            <w:tcW w:w="5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9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available to common stockholders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120,402</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354,782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339,399</w:t>
            </w:r>
          </w:p>
        </w:tc>
        <w:tc>
          <w:tcPr>
            <w:tcW w:w="80" w:type="dxa"/>
            <w:vAlign w:val="bottom"/>
            <w:shd w:val="clear" w:color="auto" w:fill="CFF0FC"/>
          </w:tcPr>
          <w:p>
            <w:pPr>
              <w:spacing w:after="0"/>
              <w:rPr>
                <w:sz w:val="24"/>
                <w:szCs w:val="24"/>
                <w:color w:val="auto"/>
              </w:rPr>
            </w:pPr>
          </w:p>
        </w:tc>
      </w:tr>
      <w:tr>
        <w:trPr>
          <w:trHeight w:val="237"/>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Basic weighted average number of shares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36,627,660</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39,246,231</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37,639,418</w:t>
            </w: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38,990,149</w:t>
            </w:r>
          </w:p>
        </w:tc>
        <w:tc>
          <w:tcPr>
            <w:tcW w:w="80" w:type="dxa"/>
            <w:vAlign w:val="bottom"/>
            <w:tcBorders>
              <w:top w:val="single" w:sz="8" w:color="CFF0FC"/>
            </w:tcBorders>
          </w:tcPr>
          <w:p>
            <w:pPr>
              <w:spacing w:after="0"/>
              <w:rPr>
                <w:sz w:val="20"/>
                <w:szCs w:val="20"/>
                <w:color w:val="auto"/>
              </w:rPr>
            </w:pPr>
          </w:p>
        </w:tc>
      </w:tr>
      <w:tr>
        <w:trPr>
          <w:trHeight w:val="26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 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FF0FC"/>
          </w:tcPr>
          <w:p>
            <w:pPr>
              <w:spacing w:after="0"/>
              <w:rPr>
                <w:sz w:val="22"/>
                <w:szCs w:val="22"/>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Diluted weighted average number of shares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37,130,209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39,791,805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38,144,509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39,724,289</w:t>
            </w:r>
          </w:p>
        </w:tc>
        <w:tc>
          <w:tcPr>
            <w:tcW w:w="80" w:type="dxa"/>
            <w:vAlign w:val="bottom"/>
          </w:tcPr>
          <w:p>
            <w:pPr>
              <w:spacing w:after="0"/>
              <w:rPr>
                <w:sz w:val="21"/>
                <w:szCs w:val="21"/>
                <w:color w:val="auto"/>
              </w:rPr>
            </w:pPr>
          </w:p>
        </w:tc>
      </w:tr>
      <w:tr>
        <w:trPr>
          <w:trHeight w:val="26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-676275</wp:posOffset>
            </wp:positionV>
            <wp:extent cx="154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-659130</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-676275</wp:posOffset>
            </wp:positionV>
            <wp:extent cx="1460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-659130</wp:posOffset>
            </wp:positionV>
            <wp:extent cx="146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-676275</wp:posOffset>
            </wp:positionV>
            <wp:extent cx="128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-659130</wp:posOffset>
            </wp:positionV>
            <wp:extent cx="128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-676275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-659130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right="20" w:firstLine="255"/>
        <w:spacing w:after="0" w:line="292" w:lineRule="auto"/>
        <w:rPr>
          <w:sz w:val="20"/>
          <w:szCs w:val="20"/>
          <w:color w:val="auto"/>
        </w:rPr>
      </w:pPr>
      <w:r>
        <w:rPr>
          <w:rFonts w:ascii="Arial" w:cs="Arial" w:eastAsia="Arial" w:hAnsi="Arial"/>
          <w:sz w:val="17"/>
          <w:szCs w:val="17"/>
          <w:color w:val="auto"/>
        </w:rPr>
        <w:t>The denominators used in calculating diluted earnings per share for the third quarter and three fiscal quarters of 2021 did not include 625 and 80,103 options to purchase common stock, respectively, as the effect of including these options would have been anti-dilutive. The denominator used in calculating diluted earnings per share for the three fiscal quarters of 2021 did not include 5,641 restricted stock units, as the effect of including these units would have been anti-dilutive. The denominators used in calculating diluted earnings per share for the third quarter and three fiscal quarters of 2021 each did not include 62,131 restricted performance shares, as the performance targets for these awards had not yet been met.</w:t>
      </w:r>
    </w:p>
    <w:p>
      <w:pPr>
        <w:spacing w:after="0" w:line="188" w:lineRule="exact"/>
        <w:rPr>
          <w:sz w:val="20"/>
          <w:szCs w:val="20"/>
          <w:color w:val="auto"/>
        </w:rPr>
      </w:pPr>
    </w:p>
    <w:p>
      <w:pPr>
        <w:ind w:right="40" w:firstLine="255"/>
        <w:spacing w:after="0" w:line="275" w:lineRule="auto"/>
        <w:rPr>
          <w:sz w:val="20"/>
          <w:szCs w:val="20"/>
          <w:color w:val="auto"/>
        </w:rPr>
      </w:pPr>
      <w:r>
        <w:rPr>
          <w:rFonts w:ascii="Arial" w:cs="Arial" w:eastAsia="Arial" w:hAnsi="Arial"/>
          <w:sz w:val="18"/>
          <w:szCs w:val="18"/>
          <w:color w:val="auto"/>
        </w:rPr>
        <w:t>The denominators used in calculating diluted earnings per share for the third quarter and three fiscal quarters of 2020 did not include 52,390 and 53,130 options to purchase common stock, respectively, as the effect of including these options would have been anti-dilutive. The denominators used in calculating diluted earnings per share for the third quarter and three fiscal quarters of 2020 each did not include 118,518 restricted performance shares, as the performance targets for these awards had not yet been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4. Stockholders’ Deficit</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changes in stockholders’ deficit for the third quarter of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r>
      <w:tr>
        <w:trPr>
          <w:trHeight w:val="203"/>
        </w:trPr>
        <w:tc>
          <w:tcPr>
            <w:tcW w:w="4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r>
      <w:tr>
        <w:trPr>
          <w:trHeight w:val="214"/>
        </w:trPr>
        <w:tc>
          <w:tcPr>
            <w:tcW w:w="476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r>
      <w:tr>
        <w:trPr>
          <w:trHeight w:val="190"/>
        </w:trPr>
        <w:tc>
          <w:tcPr>
            <w:tcW w:w="4760" w:type="dxa"/>
            <w:vAlign w:val="bottom"/>
          </w:tcPr>
          <w:p>
            <w:pPr>
              <w:spacing w:after="0"/>
              <w:rPr>
                <w:sz w:val="16"/>
                <w:szCs w:val="16"/>
                <w:color w:val="auto"/>
              </w:rPr>
            </w:pP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r>
      <w:tr>
        <w:trPr>
          <w:trHeight w:val="256"/>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20, 2021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36,853,571</w:t>
            </w:r>
          </w:p>
        </w:tc>
        <w:tc>
          <w:tcPr>
            <w:tcW w:w="28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7,771</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(4,146,702 )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(2,008 )</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120,402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18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($0.94 per share)</w:t>
            </w:r>
          </w:p>
        </w:tc>
        <w:tc>
          <w:tcPr>
            <w:tcW w:w="14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(34,400 )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180" w:type="dxa"/>
            <w:vAlign w:val="bottom"/>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(11,918 )</w:t>
            </w: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(5,730 )</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(391,007 )</w:t>
            </w:r>
          </w:p>
        </w:tc>
        <w:tc>
          <w:tcPr>
            <w:tcW w:w="1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(14,801 )</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(64,882 )</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113,903</w:t>
            </w:r>
          </w:p>
        </w:tc>
        <w:tc>
          <w:tcPr>
            <w:tcW w:w="28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6,922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(404 )</w:t>
            </w:r>
          </w:p>
        </w:tc>
      </w:tr>
      <w:tr>
        <w:trPr>
          <w:trHeight w:val="20"/>
        </w:trPr>
        <w:tc>
          <w:tcPr>
            <w:tcW w:w="4760" w:type="dxa"/>
            <w:vAlign w:val="bottom"/>
            <w:tcBorders>
              <w:right w:val="single" w:sz="8" w:color="CFF0FC"/>
            </w:tcBorders>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Balance at September 12, 2021</w:t>
            </w:r>
          </w:p>
        </w:tc>
        <w:tc>
          <w:tcPr>
            <w:tcW w:w="1180" w:type="dxa"/>
            <w:vAlign w:val="bottom"/>
          </w:tcPr>
          <w:p>
            <w:pPr>
              <w:jc w:val="right"/>
              <w:spacing w:after="0"/>
              <w:rPr>
                <w:sz w:val="20"/>
                <w:szCs w:val="20"/>
                <w:color w:val="auto"/>
              </w:rPr>
            </w:pPr>
            <w:r>
              <w:rPr>
                <w:rFonts w:ascii="Arial" w:cs="Arial" w:eastAsia="Arial" w:hAnsi="Arial"/>
                <w:sz w:val="18"/>
                <w:szCs w:val="18"/>
                <w:color w:val="auto"/>
              </w:rPr>
              <w:t>36,565,487</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(4,125,582 )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(2,412 )</w:t>
            </w:r>
          </w:p>
        </w:tc>
      </w:tr>
      <w:tr>
        <w:trPr>
          <w:trHeight w:val="20"/>
        </w:trPr>
        <w:tc>
          <w:tcPr>
            <w:tcW w:w="4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8600" w:type="dxa"/>
            <w:vAlign w:val="bottom"/>
            <w:gridSpan w:val="9"/>
          </w:tcPr>
          <w:p>
            <w:pPr>
              <w:ind w:left="260"/>
              <w:spacing w:after="0"/>
              <w:rPr>
                <w:sz w:val="20"/>
                <w:szCs w:val="20"/>
                <w:color w:val="auto"/>
              </w:rPr>
            </w:pPr>
            <w:r>
              <w:rPr>
                <w:rFonts w:ascii="Arial" w:cs="Arial" w:eastAsia="Arial" w:hAnsi="Arial"/>
                <w:sz w:val="18"/>
                <w:szCs w:val="18"/>
                <w:color w:val="auto"/>
              </w:rPr>
              <w:t>The following table summarizes changes in stockholders’ deficit for the three fiscal quarters of 2021.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4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r>
      <w:tr>
        <w:trPr>
          <w:trHeight w:val="203"/>
        </w:trPr>
        <w:tc>
          <w:tcPr>
            <w:tcW w:w="4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r>
      <w:tr>
        <w:trPr>
          <w:trHeight w:val="215"/>
        </w:trPr>
        <w:tc>
          <w:tcPr>
            <w:tcW w:w="476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r>
      <w:tr>
        <w:trPr>
          <w:trHeight w:val="190"/>
        </w:trPr>
        <w:tc>
          <w:tcPr>
            <w:tcW w:w="4760" w:type="dxa"/>
            <w:vAlign w:val="bottom"/>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r>
      <w:tr>
        <w:trPr>
          <w:trHeight w:val="249"/>
        </w:trPr>
        <w:tc>
          <w:tcPr>
            <w:tcW w:w="4760" w:type="dxa"/>
            <w:vAlign w:val="bottom"/>
          </w:tcPr>
          <w:p>
            <w:pPr>
              <w:ind w:left="20"/>
              <w:spacing w:after="0"/>
              <w:rPr>
                <w:sz w:val="20"/>
                <w:szCs w:val="20"/>
                <w:color w:val="auto"/>
              </w:rPr>
            </w:pPr>
            <w:r>
              <w:rPr>
                <w:rFonts w:ascii="Arial" w:cs="Arial" w:eastAsia="Arial" w:hAnsi="Arial"/>
                <w:sz w:val="18"/>
                <w:szCs w:val="18"/>
                <w:color w:val="auto"/>
              </w:rPr>
              <w:t>Balance at January 3, 2021</w:t>
            </w:r>
          </w:p>
        </w:tc>
        <w:tc>
          <w:tcPr>
            <w:tcW w:w="1180" w:type="dxa"/>
            <w:vAlign w:val="bottom"/>
          </w:tcPr>
          <w:p>
            <w:pPr>
              <w:jc w:val="right"/>
              <w:spacing w:after="0"/>
              <w:rPr>
                <w:sz w:val="20"/>
                <w:szCs w:val="20"/>
                <w:color w:val="auto"/>
              </w:rPr>
            </w:pPr>
            <w:r>
              <w:rPr>
                <w:rFonts w:ascii="Arial" w:cs="Arial" w:eastAsia="Arial" w:hAnsi="Arial"/>
                <w:sz w:val="18"/>
                <w:szCs w:val="18"/>
                <w:color w:val="auto"/>
              </w:rPr>
              <w:t>38,868,350</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5,122</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(3,303,492 )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(2,424 )</w:t>
            </w:r>
          </w:p>
        </w:tc>
      </w:tr>
      <w:tr>
        <w:trPr>
          <w:trHeight w:val="263"/>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354,782</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4760" w:type="dxa"/>
            <w:vAlign w:val="bottom"/>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($2.82 per share)</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(105,555 )</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4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(980 )</w:t>
            </w: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(14,819 )</w:t>
            </w:r>
          </w:p>
        </w:tc>
        <w:tc>
          <w:tcPr>
            <w:tcW w:w="1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(6,817 )</w:t>
            </w: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Purchases of common stock</w:t>
            </w:r>
          </w:p>
        </w:tc>
        <w:tc>
          <w:tcPr>
            <w:tcW w:w="14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(2,469,473 )</w:t>
            </w: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(33,345 )</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(1,071,317 )</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182,409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15,946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6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(244 )</w:t>
            </w: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Balance at September 12, 2021</w:t>
            </w:r>
          </w:p>
        </w:tc>
        <w:tc>
          <w:tcPr>
            <w:tcW w:w="1180" w:type="dxa"/>
            <w:vAlign w:val="bottom"/>
          </w:tcPr>
          <w:p>
            <w:pPr>
              <w:jc w:val="right"/>
              <w:spacing w:after="0"/>
              <w:rPr>
                <w:sz w:val="20"/>
                <w:szCs w:val="20"/>
                <w:color w:val="auto"/>
              </w:rPr>
            </w:pPr>
            <w:r>
              <w:rPr>
                <w:rFonts w:ascii="Arial" w:cs="Arial" w:eastAsia="Arial" w:hAnsi="Arial"/>
                <w:sz w:val="18"/>
                <w:szCs w:val="18"/>
                <w:color w:val="auto"/>
              </w:rPr>
              <w:t>36,565,487</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(4,125,582 )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(2,412 )</w:t>
            </w:r>
          </w:p>
        </w:tc>
      </w:tr>
      <w:tr>
        <w:trPr>
          <w:trHeight w:val="20"/>
        </w:trPr>
        <w:tc>
          <w:tcPr>
            <w:tcW w:w="4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4760" w:type="dxa"/>
            <w:vAlign w:val="bottom"/>
          </w:tcPr>
          <w:p>
            <w:pPr>
              <w:spacing w:after="0"/>
              <w:rPr>
                <w:sz w:val="24"/>
                <w:szCs w:val="24"/>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7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-3382645</wp:posOffset>
            </wp:positionV>
            <wp:extent cx="1631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-3382645</wp:posOffset>
            </wp:positionV>
            <wp:extent cx="16319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-3382645</wp:posOffset>
            </wp:positionV>
            <wp:extent cx="1543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-3382645</wp:posOffset>
            </wp:positionV>
            <wp:extent cx="1454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-3382645</wp:posOffset>
            </wp:positionV>
            <wp:extent cx="5969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-561975</wp:posOffset>
            </wp:positionV>
            <wp:extent cx="16256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-561975</wp:posOffset>
            </wp:positionV>
            <wp:extent cx="16319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-561975</wp:posOffset>
            </wp:positionV>
            <wp:extent cx="16319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-561975</wp:posOffset>
            </wp:positionV>
            <wp:extent cx="1454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-561975</wp:posOffset>
            </wp:positionV>
            <wp:extent cx="5969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ind w:right="100" w:firstLine="255"/>
        <w:spacing w:after="0" w:line="293" w:lineRule="auto"/>
        <w:rPr>
          <w:sz w:val="20"/>
          <w:szCs w:val="20"/>
          <w:color w:val="auto"/>
        </w:rPr>
      </w:pPr>
      <w:r>
        <w:rPr>
          <w:rFonts w:ascii="Arial" w:cs="Arial" w:eastAsia="Arial" w:hAnsi="Arial"/>
          <w:sz w:val="18"/>
          <w:szCs w:val="18"/>
          <w:color w:val="auto"/>
        </w:rPr>
        <w:t>On April 30, 2021, the Company entered into a $1.0 billion accelerated share repurchase agreement (the “ASR Agreement”) with a counterparty. Refer to Note 5 for additional information related to this transaction.</w:t>
      </w:r>
    </w:p>
    <w:p>
      <w:pPr>
        <w:spacing w:after="0" w:line="183" w:lineRule="exact"/>
        <w:rPr>
          <w:sz w:val="20"/>
          <w:szCs w:val="20"/>
          <w:color w:val="auto"/>
        </w:rPr>
      </w:pPr>
    </w:p>
    <w:p>
      <w:pPr>
        <w:ind w:right="200" w:firstLine="255"/>
        <w:spacing w:after="0" w:line="286" w:lineRule="auto"/>
        <w:rPr>
          <w:sz w:val="20"/>
          <w:szCs w:val="20"/>
          <w:color w:val="auto"/>
        </w:rPr>
      </w:pPr>
      <w:r>
        <w:rPr>
          <w:rFonts w:ascii="Arial" w:cs="Arial" w:eastAsia="Arial" w:hAnsi="Arial"/>
          <w:sz w:val="17"/>
          <w:szCs w:val="17"/>
          <w:color w:val="auto"/>
        </w:rPr>
        <w:t>On July 20, 2021, the Company’s Board of Directors authorized a new share repurchase program to repurchase up to $1.0 billion of the Company’s common stock. This repurchase program replaced the Company’s previously approved $1.0 billion share repurchase program, which was fully utilized in connection with the ASR Agreement. During the third quarter of 2021, the Company repurchased and retired 391,007 shares of its common stock, including 238,190 shares received at settlement of the ASR Agreement and 152,817 shares of its common stock under this Board of Directors-approved share repurchase program for a total of approximately $79.7 million. During the three fiscal quarters of 2021, the Company repurchased and retired 2,469,473 shares of its common stock, including the 2,250,786 shares of common stock repurchased under the ASR Agreement and 218,687 shares of common stock repurchased under the Company's Board of Directors-approved share repurchase program for a total of approximately $1.1 billion. As of September 12, 2021, the end of the third quarter, the Company had a total remaining authorized amount for share repurchases of approximately $920.3 million. Subsequent to the end of the third quarter and through October 12, 2021, the Company repurchased and retired an additional 205,145 shares of common stock for a total of approximately $100.1 million.</w:t>
      </w:r>
    </w:p>
    <w:p>
      <w:pPr>
        <w:spacing w:after="0" w:line="236" w:lineRule="exact"/>
        <w:rPr>
          <w:sz w:val="20"/>
          <w:szCs w:val="20"/>
          <w:color w:val="auto"/>
        </w:rPr>
      </w:pPr>
    </w:p>
    <w:p>
      <w:pPr>
        <w:ind w:right="120" w:firstLine="255"/>
        <w:spacing w:after="0" w:line="293" w:lineRule="auto"/>
        <w:rPr>
          <w:sz w:val="20"/>
          <w:szCs w:val="20"/>
          <w:color w:val="auto"/>
        </w:rPr>
      </w:pPr>
      <w:r>
        <w:rPr>
          <w:rFonts w:ascii="Arial" w:cs="Arial" w:eastAsia="Arial" w:hAnsi="Arial"/>
          <w:sz w:val="18"/>
          <w:szCs w:val="18"/>
          <w:color w:val="auto"/>
        </w:rPr>
        <w:t>Subsequent to the end of the third quarter, on October 12, 2021, the Company’s Board of Directors declared a $0.94 per share quarterly dividend on its outstanding common stock for shareholders of record as of December 15, 2021, to be paid on December 30, 2021.</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changes in stockholders’ deficit for the third quarter of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r>
      <w:tr>
        <w:trPr>
          <w:trHeight w:val="203"/>
        </w:trPr>
        <w:tc>
          <w:tcPr>
            <w:tcW w:w="4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r>
      <w:tr>
        <w:trPr>
          <w:trHeight w:val="215"/>
        </w:trPr>
        <w:tc>
          <w:tcPr>
            <w:tcW w:w="474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r>
      <w:tr>
        <w:trPr>
          <w:trHeight w:val="190"/>
        </w:trPr>
        <w:tc>
          <w:tcPr>
            <w:tcW w:w="4740" w:type="dxa"/>
            <w:vAlign w:val="bottom"/>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14,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39,347,213</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(3,311,015 )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(4,535 )</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99,129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($0.78 per share)</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(30,741 )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200" w:type="dxa"/>
            <w:vAlign w:val="bottom"/>
          </w:tcPr>
          <w:p>
            <w:pPr>
              <w:jc w:val="right"/>
              <w:spacing w:after="0"/>
              <w:rPr>
                <w:sz w:val="20"/>
                <w:szCs w:val="20"/>
                <w:color w:val="auto"/>
              </w:rPr>
            </w:pPr>
            <w:r>
              <w:rPr>
                <w:rFonts w:ascii="Arial" w:cs="Arial" w:eastAsia="Arial" w:hAnsi="Arial"/>
                <w:sz w:val="18"/>
                <w:szCs w:val="18"/>
                <w:color w:val="auto"/>
              </w:rPr>
              <w:t>32,676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(12,195 )</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(4,757 )</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24,781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r>
      <w:tr>
        <w:trPr>
          <w:trHeight w:val="27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6,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39,392,475</w:t>
            </w: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34,124</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(3,242,627 )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(3,422 )</w:t>
            </w: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1625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162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1543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154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1631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63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454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454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changes in stockholders’ deficit for the three fiscal quarters of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r>
      <w:tr>
        <w:trPr>
          <w:trHeight w:val="203"/>
        </w:trPr>
        <w:tc>
          <w:tcPr>
            <w:tcW w:w="4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r>
      <w:tr>
        <w:trPr>
          <w:trHeight w:val="215"/>
        </w:trPr>
        <w:tc>
          <w:tcPr>
            <w:tcW w:w="4620" w:type="dxa"/>
            <w:vAlign w:val="bottom"/>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r>
      <w:tr>
        <w:trPr>
          <w:trHeight w:val="190"/>
        </w:trPr>
        <w:tc>
          <w:tcPr>
            <w:tcW w:w="4620" w:type="dxa"/>
            <w:vAlign w:val="bottom"/>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29, 2019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38,934,009</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(3,412,649 )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(3,742 )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339,399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($2.34 per share)</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(91,880 )</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200" w:type="dxa"/>
            <w:vAlign w:val="bottom"/>
          </w:tcPr>
          <w:p>
            <w:pPr>
              <w:jc w:val="right"/>
              <w:spacing w:after="0"/>
              <w:rPr>
                <w:sz w:val="20"/>
                <w:szCs w:val="20"/>
                <w:color w:val="auto"/>
              </w:rPr>
            </w:pPr>
            <w:r>
              <w:rPr>
                <w:rFonts w:ascii="Arial" w:cs="Arial" w:eastAsia="Arial" w:hAnsi="Arial"/>
                <w:sz w:val="18"/>
                <w:szCs w:val="18"/>
                <w:color w:val="auto"/>
              </w:rPr>
              <w:t>38,389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(18,215 )</w:t>
            </w:r>
          </w:p>
        </w:tc>
        <w:tc>
          <w:tcPr>
            <w:tcW w:w="2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(6,584 )</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(271,064 )</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(988 )</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(78,599 )</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709,356</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26,519</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Adoption of credit losses standard</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r>
      <w:tr>
        <w:trPr>
          <w:trHeight w:val="29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6,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39,392,475</w:t>
            </w: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34,124</w:t>
            </w:r>
          </w:p>
        </w:tc>
        <w:tc>
          <w:tcPr>
            <w:tcW w:w="2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(3,242,627 )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(3,422 )</w:t>
            </w:r>
          </w:p>
        </w:tc>
      </w:tr>
      <w:tr>
        <w:trPr>
          <w:trHeight w:val="446"/>
        </w:trPr>
        <w:tc>
          <w:tcPr>
            <w:tcW w:w="46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-402590</wp:posOffset>
            </wp:positionV>
            <wp:extent cx="163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-385445</wp:posOffset>
            </wp:positionV>
            <wp:extent cx="1631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-402590</wp:posOffset>
            </wp:positionV>
            <wp:extent cx="171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-385445</wp:posOffset>
            </wp:positionV>
            <wp:extent cx="1714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-402590</wp:posOffset>
            </wp:positionV>
            <wp:extent cx="1460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-385445</wp:posOffset>
            </wp:positionV>
            <wp:extent cx="1460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-402590</wp:posOffset>
            </wp:positionV>
            <wp:extent cx="146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-385445</wp:posOffset>
            </wp:positionV>
            <wp:extent cx="146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-402590</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-385445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5. Recapitalization</w:t>
      </w:r>
    </w:p>
    <w:p>
      <w:pPr>
        <w:spacing w:after="0" w:line="252" w:lineRule="exact"/>
        <w:rPr>
          <w:sz w:val="20"/>
          <w:szCs w:val="20"/>
          <w:color w:val="auto"/>
        </w:rPr>
      </w:pPr>
    </w:p>
    <w:p>
      <w:pPr>
        <w:ind w:right="80" w:firstLine="255"/>
        <w:spacing w:after="0" w:line="288" w:lineRule="auto"/>
        <w:rPr>
          <w:sz w:val="20"/>
          <w:szCs w:val="20"/>
          <w:color w:val="auto"/>
        </w:rPr>
      </w:pPr>
      <w:r>
        <w:rPr>
          <w:rFonts w:ascii="Arial" w:cs="Arial" w:eastAsia="Arial" w:hAnsi="Arial"/>
          <w:sz w:val="17"/>
          <w:szCs w:val="17"/>
          <w:color w:val="auto"/>
        </w:rPr>
        <w:t>On April 16, 2021 (the “closing date”), the Company completed a recapitalization transaction (the “2021 Recapitalization”) in which certain of the Company’s subsidiaries issued new notes pursuant to an asset-backed securitization. The new notes consist of $850.0 million Series 2021-1 2.662% Fixed Rate Senior Secured Notes, Class A-2-I with an anticipated term of 7.5 years (the “2021 A-2-I Fixed Rate Notes”) and $1.0 billion Series 2021-1 3.151% Fixed Rate Senior Secured Notes, Class A-2-II with an anticipated term of 10 years (collectively with the 2021 A-2-I Fixed Rate Notes, the “2021 Notes”) in an offering exempt from registration under the Securities Act of 1933, as amended. As of September 12, 2021, the 2021 Notes had scheduled principal payments of $4.6 million in 2021, $18.5 million in each of 2022 through 2027, $804.8 million in 2028, $10.0 million in each of 2029 and 2030 and $905.0 million in 2031. Gross proceeds from the issuance of the 2021 Notes were $1.85 billion.</w:t>
      </w:r>
    </w:p>
    <w:p>
      <w:pPr>
        <w:spacing w:after="0" w:line="194" w:lineRule="exact"/>
        <w:rPr>
          <w:sz w:val="20"/>
          <w:szCs w:val="20"/>
          <w:color w:val="auto"/>
        </w:rPr>
      </w:pPr>
    </w:p>
    <w:p>
      <w:pPr>
        <w:ind w:right="120" w:firstLine="255"/>
        <w:spacing w:after="0" w:line="275" w:lineRule="auto"/>
        <w:rPr>
          <w:sz w:val="20"/>
          <w:szCs w:val="20"/>
          <w:color w:val="auto"/>
        </w:rPr>
      </w:pPr>
      <w:r>
        <w:rPr>
          <w:rFonts w:ascii="Arial" w:cs="Arial" w:eastAsia="Arial" w:hAnsi="Arial"/>
          <w:sz w:val="18"/>
          <w:szCs w:val="18"/>
          <w:color w:val="auto"/>
        </w:rPr>
        <w:t>Concurrently, certain of the Company’s subsidiaries also issued a new variable funding note facility which allows for advances of up to $200.0 million of Series 2021-1 Variable Funding Senior Secured Notes, Class A-1 Notes and certain other credit instruments, including letters of credit (the “2021 Variable Funding Notes”). The 2021 Variable Funding Notes were undrawn on the closing date. In connection with the issuance of the 2021 Variable Funding Notes, the Company’s previous $200.0 million variable funding note facility was canceled.</w:t>
      </w:r>
    </w:p>
    <w:p>
      <w:pPr>
        <w:spacing w:after="0" w:line="199" w:lineRule="exact"/>
        <w:rPr>
          <w:sz w:val="20"/>
          <w:szCs w:val="20"/>
          <w:color w:val="auto"/>
        </w:rPr>
      </w:pPr>
    </w:p>
    <w:p>
      <w:pPr>
        <w:ind w:firstLine="255"/>
        <w:spacing w:after="0" w:line="290" w:lineRule="auto"/>
        <w:rPr>
          <w:sz w:val="20"/>
          <w:szCs w:val="20"/>
          <w:color w:val="auto"/>
        </w:rPr>
      </w:pPr>
      <w:r>
        <w:rPr>
          <w:rFonts w:ascii="Arial" w:cs="Arial" w:eastAsia="Arial" w:hAnsi="Arial"/>
          <w:sz w:val="17"/>
          <w:szCs w:val="17"/>
          <w:color w:val="auto"/>
        </w:rPr>
        <w:t>A portion of proceeds from the 2021 Recapitalization was used to repay the remaining $291.0 million in outstanding principal under the Company’s 2017 five-year floating rate notes and $582.0 million in outstanding principal under the Company’s 2017 five-year fixed rate notes, prefund a portion of the interest payable on the 2021 Notes and pay transaction fees and expenses. In connection with the repayment of the 2017 five-year floating rate notes and 2017 five-year fixed rate notes, the Company expensed approximately $2.0 million for the remaining unamortized debt issuance costs associated with these notes. Additionally, in connection with the 2021 Recapitalization, the Company capitalized $14.9 million of debt issuance costs, which are being amortized into interest expense over the 7.5 and 10-year expected terms of the 2021 Notes.</w:t>
      </w:r>
    </w:p>
    <w:p>
      <w:pPr>
        <w:spacing w:after="0" w:line="189" w:lineRule="exact"/>
        <w:rPr>
          <w:sz w:val="20"/>
          <w:szCs w:val="20"/>
          <w:color w:val="auto"/>
        </w:rPr>
      </w:pPr>
    </w:p>
    <w:p>
      <w:pPr>
        <w:ind w:firstLine="255"/>
        <w:spacing w:after="0" w:line="272" w:lineRule="auto"/>
        <w:rPr>
          <w:sz w:val="20"/>
          <w:szCs w:val="20"/>
          <w:color w:val="auto"/>
        </w:rPr>
      </w:pPr>
      <w:r>
        <w:rPr>
          <w:rFonts w:ascii="Arial" w:cs="Arial" w:eastAsia="Arial" w:hAnsi="Arial"/>
          <w:sz w:val="18"/>
          <w:szCs w:val="18"/>
          <w:color w:val="auto"/>
        </w:rPr>
        <w:t>As of the fourth quarter of 2020, the Company had a leverage ratio of less than 5.0x, and accordingly, did not make the previously scheduled debt amortization payment for its then-outstanding notes beginning in the first quarter of 2021. Accordingly, all principal amounts of the Company’s outstanding notes were classified as long-term debt in the condensed consolidated balance sheet as of January 3, 2021. Subsequent to the closing of the 2021 Recapitalization, the Company had a leverage ratio of greater than 5.0x and, accordingly, the Company resumed making the scheduled amortization payments on its notes in the second quarter of 2021.</w:t>
      </w:r>
    </w:p>
    <w:p>
      <w:pPr>
        <w:spacing w:after="0" w:line="204" w:lineRule="exact"/>
        <w:rPr>
          <w:sz w:val="20"/>
          <w:szCs w:val="20"/>
          <w:color w:val="auto"/>
        </w:rPr>
      </w:pPr>
    </w:p>
    <w:p>
      <w:pPr>
        <w:ind w:right="340" w:firstLine="255"/>
        <w:spacing w:after="0" w:line="296" w:lineRule="auto"/>
        <w:rPr>
          <w:sz w:val="20"/>
          <w:szCs w:val="20"/>
          <w:color w:val="auto"/>
        </w:rPr>
      </w:pPr>
      <w:r>
        <w:rPr>
          <w:rFonts w:ascii="Arial" w:cs="Arial" w:eastAsia="Arial" w:hAnsi="Arial"/>
          <w:sz w:val="17"/>
          <w:szCs w:val="17"/>
          <w:color w:val="auto"/>
        </w:rPr>
        <w:t>On April 30, 2021, the Company entered into the $1.0 billion ASR Agreement. Pursuant to the terms of the ASR Agreement, on May 3, 2021, the Company used a portion of the proceeds from the 2021 Recapitalization to pay the counterparty $1.0 billion in cash and received and retired 2,012,596 shares of its common stock. Final settlement of the ASR Agreement occurred on July 21, 2021. In connection with the ASR Agreement, the Company received and retired a total of 2,250,786 shares of its common stock at an average price of $444.29.</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6. Fair Value Measurements</w:t>
      </w:r>
    </w:p>
    <w:p>
      <w:pPr>
        <w:spacing w:after="0" w:line="131" w:lineRule="exact"/>
        <w:rPr>
          <w:sz w:val="20"/>
          <w:szCs w:val="20"/>
          <w:color w:val="auto"/>
        </w:rPr>
      </w:pPr>
    </w:p>
    <w:p>
      <w:pPr>
        <w:ind w:right="60" w:firstLine="255"/>
        <w:spacing w:after="0" w:line="279"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Fair Value of Cash Equivalents and Investments</w:t>
      </w:r>
    </w:p>
    <w:p>
      <w:pPr>
        <w:spacing w:after="0" w:line="239" w:lineRule="exact"/>
        <w:rPr>
          <w:sz w:val="20"/>
          <w:szCs w:val="20"/>
          <w:color w:val="auto"/>
        </w:rPr>
      </w:pPr>
    </w:p>
    <w:p>
      <w:pPr>
        <w:jc w:val="both"/>
        <w:ind w:right="220" w:firstLine="255"/>
        <w:spacing w:after="0" w:line="303" w:lineRule="auto"/>
        <w:rPr>
          <w:sz w:val="20"/>
          <w:szCs w:val="20"/>
          <w:color w:val="auto"/>
        </w:rPr>
      </w:pPr>
      <w:r>
        <w:rPr>
          <w:rFonts w:ascii="Arial" w:cs="Arial" w:eastAsia="Arial" w:hAnsi="Arial"/>
          <w:sz w:val="17"/>
          <w:szCs w:val="17"/>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carrying amounts and fair values of certain assets at September 12, 2021 and January 3,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At September 12, 2021</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4"/>
              </w:rPr>
              <w:t>Fair Value Estimated Using</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6"/>
                <w:szCs w:val="16"/>
                <w:color w:val="auto"/>
              </w:rPr>
            </w:pPr>
          </w:p>
        </w:tc>
        <w:tc>
          <w:tcPr>
            <w:tcW w:w="112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Level 1</w:t>
            </w:r>
          </w:p>
        </w:tc>
        <w:tc>
          <w:tcPr>
            <w:tcW w:w="240" w:type="dxa"/>
            <w:vAlign w:val="bottom"/>
          </w:tcPr>
          <w:p>
            <w:pPr>
              <w:spacing w:after="0"/>
              <w:rPr>
                <w:sz w:val="16"/>
                <w:szCs w:val="16"/>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r>
      <w:tr>
        <w:trPr>
          <w:trHeight w:val="209"/>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Inputs</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8"/>
                <w:szCs w:val="18"/>
                <w:color w:val="auto"/>
              </w:rPr>
            </w:pPr>
          </w:p>
        </w:tc>
      </w:tr>
      <w:tr>
        <w:trPr>
          <w:trHeight w:val="25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247,009</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247,009</w:t>
            </w:r>
          </w:p>
        </w:tc>
        <w:tc>
          <w:tcPr>
            <w:tcW w:w="128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131,725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131,725</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marketable securities</w:t>
            </w: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15,103</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15,103</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Advertising fund cash equivalents, restricted</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151,763</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151,763</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82,500</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shd w:val="clear" w:color="auto" w:fill="CFF0FC"/>
          </w:tcPr>
          <w:p>
            <w:pPr>
              <w:spacing w:after="0"/>
              <w:rPr>
                <w:sz w:val="22"/>
                <w:szCs w:val="22"/>
                <w:color w:val="auto"/>
              </w:rPr>
            </w:pPr>
          </w:p>
        </w:tc>
      </w:tr>
      <w:tr>
        <w:trPr>
          <w:trHeight w:val="426"/>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At January 3, 2021</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4"/>
              </w:rPr>
              <w:t>Fair Value Estimated Using</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6"/>
                <w:szCs w:val="16"/>
                <w:color w:val="auto"/>
              </w:rPr>
            </w:pPr>
          </w:p>
        </w:tc>
        <w:tc>
          <w:tcPr>
            <w:tcW w:w="112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Level 1</w:t>
            </w:r>
          </w:p>
        </w:tc>
        <w:tc>
          <w:tcPr>
            <w:tcW w:w="240" w:type="dxa"/>
            <w:vAlign w:val="bottom"/>
          </w:tcPr>
          <w:p>
            <w:pPr>
              <w:spacing w:after="0"/>
              <w:rPr>
                <w:sz w:val="16"/>
                <w:szCs w:val="16"/>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r>
      <w:tr>
        <w:trPr>
          <w:trHeight w:val="208"/>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Inputs</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8"/>
                <w:szCs w:val="18"/>
                <w:color w:val="auto"/>
              </w:rPr>
            </w:pPr>
          </w:p>
        </w:tc>
      </w:tr>
      <w:tr>
        <w:trPr>
          <w:trHeight w:val="25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151,502</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151,502</w:t>
            </w:r>
          </w:p>
        </w:tc>
        <w:tc>
          <w:tcPr>
            <w:tcW w:w="128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126,595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126,595</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marketable securities</w:t>
            </w: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Advertising fund cash equivalents, restricted</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104,197</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104,197</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20" w:firstLine="255"/>
        <w:spacing w:after="0" w:line="271" w:lineRule="auto"/>
        <w:rPr>
          <w:sz w:val="20"/>
          <w:szCs w:val="20"/>
          <w:color w:val="auto"/>
        </w:rPr>
      </w:pPr>
      <w:r>
        <w:rPr>
          <w:rFonts w:ascii="Arial" w:cs="Arial" w:eastAsia="Arial" w:hAnsi="Arial"/>
          <w:sz w:val="18"/>
          <w:szCs w:val="18"/>
          <w:color w:val="auto"/>
        </w:rPr>
        <w:t>During the second quarter of 2020, a subsidiary of the Company acquired a non-controlling interest in Dash Brands Ltd., a privately-held business company limited by shares incorporated with limited liability under the laws of the British Virgin Islands (“Dash Brands”), for $40.0 million. Through its subsidiaries, Dash Brands serves as the Company’s master franchisee in China that owns and operates Domino’s Pizza stores in that market. The Company’s investment in Dash Brands’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204" w:lineRule="exact"/>
        <w:rPr>
          <w:sz w:val="20"/>
          <w:szCs w:val="20"/>
          <w:color w:val="auto"/>
        </w:rPr>
      </w:pPr>
    </w:p>
    <w:p>
      <w:pPr>
        <w:ind w:right="160" w:firstLine="255"/>
        <w:spacing w:after="0" w:line="272" w:lineRule="auto"/>
        <w:rPr>
          <w:sz w:val="20"/>
          <w:szCs w:val="20"/>
          <w:color w:val="auto"/>
        </w:rPr>
      </w:pPr>
      <w:r>
        <w:rPr>
          <w:rFonts w:ascii="Arial" w:cs="Arial" w:eastAsia="Arial" w:hAnsi="Arial"/>
          <w:sz w:val="18"/>
          <w:szCs w:val="18"/>
          <w:color w:val="auto"/>
        </w:rPr>
        <w:t>In the first quarter of 2021, the Company invested an additional $40.0 million in Dash Brands based on Dash Brands’ achievement of certain pre-established performance conditions. In the first quarter of 2021, the Company recorded a positive adjustment of $2.5 million to the original carrying amount of $40.0 million resulting from the observable change in price from the valuation of the additional investment. This amount was recorded in other income in the Company’s condensed consolidated statements of income. The Company did not record any adjustments to the carrying amount of $82.5 million in the second or third quarter of 2021.</w:t>
      </w:r>
    </w:p>
    <w:p>
      <w:pPr>
        <w:spacing w:after="0" w:line="191" w:lineRule="exact"/>
        <w:rPr>
          <w:sz w:val="20"/>
          <w:szCs w:val="20"/>
          <w:color w:val="auto"/>
        </w:rPr>
      </w:pPr>
    </w:p>
    <w:p>
      <w:pPr>
        <w:ind w:right="300" w:firstLine="255"/>
        <w:spacing w:after="0" w:line="293" w:lineRule="auto"/>
        <w:rPr>
          <w:sz w:val="20"/>
          <w:szCs w:val="20"/>
          <w:color w:val="auto"/>
        </w:rPr>
      </w:pPr>
      <w:r>
        <w:rPr>
          <w:rFonts w:ascii="Arial" w:cs="Arial" w:eastAsia="Arial" w:hAnsi="Arial"/>
          <w:sz w:val="18"/>
          <w:szCs w:val="18"/>
          <w:color w:val="auto"/>
        </w:rPr>
        <w:t>The following table summarizes the reconciliation of the carrying amount of the Company’s investment in Dash Brands from the opening balance at January 3, 2021 to the closing balance at September 12,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Fiscal Quarters of 2021</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7"/>
              </w:rPr>
              <w:t>Carrying Amount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Carrying Amount</w:t>
            </w:r>
          </w:p>
        </w:tc>
        <w:tc>
          <w:tcPr>
            <w:tcW w:w="100" w:type="dxa"/>
            <w:vAlign w:val="bottom"/>
          </w:tcPr>
          <w:p>
            <w:pPr>
              <w:spacing w:after="0"/>
              <w:rPr>
                <w:sz w:val="17"/>
                <w:szCs w:val="17"/>
                <w:color w:val="auto"/>
              </w:rPr>
            </w:pPr>
          </w:p>
        </w:tc>
      </w:tr>
      <w:tr>
        <w:trPr>
          <w:trHeight w:val="191"/>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January 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6"/>
                <w:szCs w:val="16"/>
                <w:color w:val="auto"/>
              </w:rPr>
            </w:pPr>
          </w:p>
        </w:tc>
        <w:tc>
          <w:tcPr>
            <w:tcW w:w="126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September 12,</w:t>
            </w:r>
          </w:p>
        </w:tc>
        <w:tc>
          <w:tcPr>
            <w:tcW w:w="100" w:type="dxa"/>
            <w:vAlign w:val="bottom"/>
          </w:tcPr>
          <w:p>
            <w:pPr>
              <w:spacing w:after="0"/>
              <w:rPr>
                <w:sz w:val="16"/>
                <w:szCs w:val="16"/>
                <w:color w:val="auto"/>
              </w:rPr>
            </w:pPr>
          </w:p>
        </w:tc>
      </w:tr>
      <w:tr>
        <w:trPr>
          <w:trHeight w:val="208"/>
        </w:trPr>
        <w:tc>
          <w:tcPr>
            <w:tcW w:w="4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Purchases</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8"/>
                <w:szCs w:val="18"/>
                <w:color w:val="auto"/>
              </w:rPr>
            </w:pPr>
          </w:p>
        </w:tc>
      </w:tr>
      <w:tr>
        <w:trPr>
          <w:trHeight w:val="25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shd w:val="clear" w:color="auto" w:fill="CFF0FC"/>
          </w:tcPr>
          <w:p>
            <w:pPr>
              <w:spacing w:after="0"/>
              <w:rPr>
                <w:sz w:val="22"/>
                <w:szCs w:val="22"/>
                <w:color w:val="auto"/>
              </w:rPr>
            </w:pPr>
          </w:p>
        </w:tc>
      </w:tr>
      <w:tr>
        <w:trPr>
          <w:trHeight w:val="45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0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ind w:left="380"/>
        <w:spacing w:after="0"/>
        <w:rPr>
          <w:sz w:val="20"/>
          <w:szCs w:val="20"/>
          <w:color w:val="auto"/>
        </w:rPr>
      </w:pPr>
      <w:r>
        <w:rPr>
          <w:rFonts w:ascii="Arial" w:cs="Arial" w:eastAsia="Arial" w:hAnsi="Arial"/>
          <w:sz w:val="18"/>
          <w:szCs w:val="18"/>
          <w:u w:val="single" w:color="auto"/>
          <w:color w:val="auto"/>
        </w:rPr>
        <w:t>Fair Value of Debt</w:t>
      </w:r>
    </w:p>
    <w:p>
      <w:pPr>
        <w:spacing w:after="0" w:line="158" w:lineRule="exact"/>
        <w:rPr>
          <w:sz w:val="20"/>
          <w:szCs w:val="20"/>
          <w:color w:val="auto"/>
        </w:rPr>
      </w:pPr>
    </w:p>
    <w:p>
      <w:pPr>
        <w:ind w:firstLine="255"/>
        <w:spacing w:after="0" w:line="270" w:lineRule="auto"/>
        <w:rPr>
          <w:sz w:val="20"/>
          <w:szCs w:val="20"/>
          <w:color w:val="auto"/>
        </w:rPr>
      </w:pPr>
      <w:r>
        <w:rPr>
          <w:rFonts w:ascii="Arial" w:cs="Arial" w:eastAsia="Arial" w:hAnsi="Arial"/>
          <w:sz w:val="18"/>
          <w:szCs w:val="18"/>
          <w:color w:val="auto"/>
        </w:rPr>
        <w:t>The estimated fair values of the Company’s fixed and floating rate notes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79" w:lineRule="exact"/>
        <w:rPr>
          <w:sz w:val="20"/>
          <w:szCs w:val="20"/>
          <w:color w:val="auto"/>
        </w:rPr>
      </w:pPr>
    </w:p>
    <w:p>
      <w:pPr>
        <w:ind w:right="300" w:firstLine="281"/>
        <w:spacing w:after="0" w:line="246" w:lineRule="auto"/>
        <w:rPr>
          <w:sz w:val="20"/>
          <w:szCs w:val="20"/>
          <w:color w:val="auto"/>
        </w:rPr>
      </w:pPr>
      <w:r>
        <w:rPr>
          <w:rFonts w:ascii="Arial" w:cs="Arial" w:eastAsia="Arial" w:hAnsi="Arial"/>
          <w:sz w:val="18"/>
          <w:szCs w:val="18"/>
          <w:color w:val="auto"/>
        </w:rPr>
        <w:t>Management estimated the approximate fair values of the 2015 fixed rate notes, the 2017 fixed and floating rate notes, the 2018 fixed rate notes, the 2019 fixed rate notes and the 2021 fixed rate notes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September 12, 2021</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January 3, 2021</w:t>
            </w:r>
          </w:p>
        </w:tc>
        <w:tc>
          <w:tcPr>
            <w:tcW w:w="10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Principal Amount</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Principal Amount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r>
      <w:tr>
        <w:trPr>
          <w:trHeight w:val="256"/>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2015</w:t>
            </w:r>
          </w:p>
        </w:tc>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Ten-Year Fixed Rate Notes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762,000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794,766</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766,000</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809,662</w:t>
            </w:r>
          </w:p>
        </w:tc>
        <w:tc>
          <w:tcPr>
            <w:tcW w:w="100" w:type="dxa"/>
            <w:vAlign w:val="bottom"/>
            <w:shd w:val="clear" w:color="auto" w:fill="CFF0FC"/>
          </w:tcPr>
          <w:p>
            <w:pPr>
              <w:spacing w:after="0"/>
              <w:rPr>
                <w:sz w:val="22"/>
                <w:szCs w:val="22"/>
                <w:color w:val="auto"/>
              </w:rPr>
            </w:pPr>
          </w:p>
        </w:tc>
      </w:tr>
      <w:tr>
        <w:trPr>
          <w:trHeight w:val="25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2017</w:t>
            </w:r>
          </w:p>
        </w:tc>
        <w:tc>
          <w:tcPr>
            <w:tcW w:w="4380" w:type="dxa"/>
            <w:vAlign w:val="bottom"/>
          </w:tcPr>
          <w:p>
            <w:pPr>
              <w:ind w:left="20"/>
              <w:spacing w:after="0"/>
              <w:rPr>
                <w:sz w:val="20"/>
                <w:szCs w:val="20"/>
                <w:color w:val="auto"/>
              </w:rPr>
            </w:pPr>
            <w:r>
              <w:rPr>
                <w:rFonts w:ascii="Arial" w:cs="Arial" w:eastAsia="Arial" w:hAnsi="Arial"/>
                <w:sz w:val="18"/>
                <w:szCs w:val="18"/>
                <w:color w:val="auto"/>
              </w:rPr>
              <w:t>Five-Year Fixed Rate Notes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582,000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582,582</w:t>
            </w:r>
          </w:p>
        </w:tc>
        <w:tc>
          <w:tcPr>
            <w:tcW w:w="100" w:type="dxa"/>
            <w:vAlign w:val="bottom"/>
          </w:tcPr>
          <w:p>
            <w:pPr>
              <w:spacing w:after="0"/>
              <w:rPr>
                <w:sz w:val="21"/>
                <w:szCs w:val="21"/>
                <w:color w:val="auto"/>
              </w:rPr>
            </w:pPr>
          </w:p>
        </w:tc>
      </w:tr>
      <w:tr>
        <w:trPr>
          <w:trHeight w:val="263"/>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2017</w:t>
            </w:r>
          </w:p>
        </w:tc>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Ten-Year Fixed Rate Notes</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965,000</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1,028,690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970,000</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1,035,960</w:t>
            </w:r>
          </w:p>
        </w:tc>
        <w:tc>
          <w:tcPr>
            <w:tcW w:w="100" w:type="dxa"/>
            <w:vAlign w:val="bottom"/>
            <w:shd w:val="clear" w:color="auto" w:fill="CFF0FC"/>
          </w:tcPr>
          <w:p>
            <w:pPr>
              <w:spacing w:after="0"/>
              <w:rPr>
                <w:sz w:val="22"/>
                <w:szCs w:val="22"/>
                <w:color w:val="auto"/>
              </w:rPr>
            </w:pPr>
          </w:p>
        </w:tc>
      </w:tr>
      <w:tr>
        <w:trPr>
          <w:trHeight w:val="25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2017</w:t>
            </w:r>
          </w:p>
        </w:tc>
        <w:tc>
          <w:tcPr>
            <w:tcW w:w="4380" w:type="dxa"/>
            <w:vAlign w:val="bottom"/>
          </w:tcPr>
          <w:p>
            <w:pPr>
              <w:ind w:left="20"/>
              <w:spacing w:after="0"/>
              <w:rPr>
                <w:sz w:val="20"/>
                <w:szCs w:val="20"/>
                <w:color w:val="auto"/>
              </w:rPr>
            </w:pPr>
            <w:r>
              <w:rPr>
                <w:rFonts w:ascii="Arial" w:cs="Arial" w:eastAsia="Arial" w:hAnsi="Arial"/>
                <w:sz w:val="18"/>
                <w:szCs w:val="18"/>
                <w:color w:val="auto"/>
              </w:rPr>
              <w:t>Five-Year Floating Rate Notes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291,000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291,000</w:t>
            </w:r>
          </w:p>
        </w:tc>
        <w:tc>
          <w:tcPr>
            <w:tcW w:w="100" w:type="dxa"/>
            <w:vAlign w:val="bottom"/>
          </w:tcPr>
          <w:p>
            <w:pPr>
              <w:spacing w:after="0"/>
              <w:rPr>
                <w:sz w:val="21"/>
                <w:szCs w:val="21"/>
                <w:color w:val="auto"/>
              </w:rPr>
            </w:pPr>
          </w:p>
        </w:tc>
      </w:tr>
      <w:tr>
        <w:trPr>
          <w:trHeight w:val="263"/>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2018</w:t>
            </w:r>
          </w:p>
        </w:tc>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7.5-Year Fixed Rate Notes</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413,313</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429,018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415,438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437,456</w:t>
            </w:r>
          </w:p>
        </w:tc>
        <w:tc>
          <w:tcPr>
            <w:tcW w:w="100" w:type="dxa"/>
            <w:vAlign w:val="bottom"/>
            <w:shd w:val="clear" w:color="auto" w:fill="CFF0FC"/>
          </w:tcPr>
          <w:p>
            <w:pPr>
              <w:spacing w:after="0"/>
              <w:rPr>
                <w:sz w:val="22"/>
                <w:szCs w:val="22"/>
                <w:color w:val="auto"/>
              </w:rPr>
            </w:pPr>
          </w:p>
        </w:tc>
      </w:tr>
      <w:tr>
        <w:trPr>
          <w:trHeight w:val="25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4380" w:type="dxa"/>
            <w:vAlign w:val="bottom"/>
          </w:tcPr>
          <w:p>
            <w:pPr>
              <w:ind w:left="20"/>
              <w:spacing w:after="0"/>
              <w:rPr>
                <w:sz w:val="20"/>
                <w:szCs w:val="20"/>
                <w:color w:val="auto"/>
              </w:rPr>
            </w:pPr>
            <w:r>
              <w:rPr>
                <w:rFonts w:ascii="Arial" w:cs="Arial" w:eastAsia="Arial" w:hAnsi="Arial"/>
                <w:sz w:val="18"/>
                <w:szCs w:val="18"/>
                <w:color w:val="auto"/>
              </w:rPr>
              <w:t>9.25-Year Fixed Rate Notes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389,000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420,898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391,000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422,280</w:t>
            </w:r>
          </w:p>
        </w:tc>
        <w:tc>
          <w:tcPr>
            <w:tcW w:w="100" w:type="dxa"/>
            <w:vAlign w:val="bottom"/>
          </w:tcPr>
          <w:p>
            <w:pPr>
              <w:spacing w:after="0"/>
              <w:rPr>
                <w:sz w:val="21"/>
                <w:szCs w:val="21"/>
                <w:color w:val="auto"/>
              </w:rPr>
            </w:pPr>
          </w:p>
        </w:tc>
      </w:tr>
      <w:tr>
        <w:trPr>
          <w:trHeight w:val="263"/>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2019</w:t>
            </w:r>
          </w:p>
        </w:tc>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Ten-Year Fixed Rate Notes</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664,875</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715,406</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668,250</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712,355</w:t>
            </w:r>
          </w:p>
        </w:tc>
        <w:tc>
          <w:tcPr>
            <w:tcW w:w="100" w:type="dxa"/>
            <w:vAlign w:val="bottom"/>
            <w:shd w:val="clear" w:color="auto" w:fill="CFF0FC"/>
          </w:tcPr>
          <w:p>
            <w:pPr>
              <w:spacing w:after="0"/>
              <w:rPr>
                <w:sz w:val="22"/>
                <w:szCs w:val="22"/>
                <w:color w:val="auto"/>
              </w:rPr>
            </w:pPr>
          </w:p>
        </w:tc>
      </w:tr>
      <w:tr>
        <w:trPr>
          <w:trHeight w:val="25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c>
          <w:tcPr>
            <w:tcW w:w="4380" w:type="dxa"/>
            <w:vAlign w:val="bottom"/>
          </w:tcPr>
          <w:p>
            <w:pPr>
              <w:ind w:left="20"/>
              <w:spacing w:after="0"/>
              <w:rPr>
                <w:sz w:val="20"/>
                <w:szCs w:val="20"/>
                <w:color w:val="auto"/>
              </w:rPr>
            </w:pPr>
            <w:r>
              <w:rPr>
                <w:rFonts w:ascii="Arial" w:cs="Arial" w:eastAsia="Arial" w:hAnsi="Arial"/>
                <w:sz w:val="18"/>
                <w:szCs w:val="18"/>
                <w:color w:val="auto"/>
              </w:rPr>
              <w:t>7.5-Year Fixed Rate Notes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847,875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880,094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2021</w:t>
            </w:r>
          </w:p>
        </w:tc>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Ten-Year Fixed Rate Notes</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997,500</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1,053,360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have any outstanding borrowings under its variable funding notes at September 12, 2021 or January 3, 2021.</w:t>
      </w:r>
    </w:p>
    <w:p>
      <w:pPr>
        <w:spacing w:after="0" w:line="293" w:lineRule="exact"/>
        <w:rPr>
          <w:sz w:val="20"/>
          <w:szCs w:val="20"/>
          <w:color w:val="auto"/>
        </w:rPr>
      </w:pPr>
    </w:p>
    <w:p>
      <w:pPr>
        <w:jc w:val="right"/>
        <w:ind w:left="300" w:right="9540" w:hanging="292"/>
        <w:spacing w:after="0" w:line="507" w:lineRule="auto"/>
        <w:tabs>
          <w:tab w:leader="none" w:pos="192"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Revenue Disclosures </w:t>
      </w:r>
      <w:r>
        <w:rPr>
          <w:rFonts w:ascii="Arial" w:cs="Arial" w:eastAsia="Arial" w:hAnsi="Arial"/>
          <w:sz w:val="15"/>
          <w:szCs w:val="15"/>
          <w:u w:val="single" w:color="auto"/>
          <w:color w:val="auto"/>
        </w:rPr>
        <w:t>Contract Liabilities</w:t>
      </w:r>
    </w:p>
    <w:p>
      <w:pPr>
        <w:ind w:left="300" w:right="240" w:firstLine="282"/>
        <w:spacing w:after="0" w:line="275" w:lineRule="auto"/>
        <w:rPr>
          <w:sz w:val="20"/>
          <w:szCs w:val="20"/>
          <w:color w:val="auto"/>
        </w:rPr>
      </w:pPr>
      <w:r>
        <w:rPr>
          <w:rFonts w:ascii="Arial" w:cs="Arial" w:eastAsia="Arial" w:hAnsi="Arial"/>
          <w:sz w:val="18"/>
          <w:szCs w:val="18"/>
          <w:color w:val="auto"/>
        </w:rPr>
        <w:t>Contract liabilities primarily consist of deferred franchise fees and deferred development fees. Deferred franchise fees and deferred development fees of $4.8 million and $4.1 million were included in current other accrued liabilities as of September 12, 2021 and January 3, 2021, respectively. Deferred franchise fees and deferred development fees of $15.1 million and $15.0 million were included in long-term other accrued liabilities as of September 12, 2021 and January 3, 2021, respectively.</w:t>
      </w:r>
    </w:p>
    <w:p>
      <w:pPr>
        <w:spacing w:after="0" w:line="199" w:lineRule="exact"/>
        <w:rPr>
          <w:sz w:val="20"/>
          <w:szCs w:val="20"/>
          <w:color w:val="auto"/>
        </w:rPr>
      </w:pPr>
    </w:p>
    <w:p>
      <w:pPr>
        <w:ind w:left="300" w:right="120" w:firstLine="282"/>
        <w:spacing w:after="0" w:line="293" w:lineRule="auto"/>
        <w:rPr>
          <w:sz w:val="20"/>
          <w:szCs w:val="20"/>
          <w:color w:val="auto"/>
        </w:rPr>
      </w:pPr>
      <w:r>
        <w:rPr>
          <w:rFonts w:ascii="Arial" w:cs="Arial" w:eastAsia="Arial" w:hAnsi="Arial"/>
          <w:sz w:val="18"/>
          <w:szCs w:val="18"/>
          <w:color w:val="auto"/>
        </w:rPr>
        <w:t>Changes in deferred franchise fees and deferred development fees for the three fiscal quarters of 2021 and the three fiscal quarters of 2020 were as follows: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Fiscal Quarters Ended</w:t>
            </w:r>
          </w:p>
        </w:tc>
        <w:tc>
          <w:tcPr>
            <w:tcW w:w="120" w:type="dxa"/>
            <w:vAlign w:val="bottom"/>
          </w:tcPr>
          <w:p>
            <w:pPr>
              <w:spacing w:after="0"/>
              <w:rPr>
                <w:sz w:val="16"/>
                <w:szCs w:val="16"/>
                <w:color w:val="auto"/>
              </w:rPr>
            </w:pPr>
          </w:p>
        </w:tc>
      </w:tr>
      <w:tr>
        <w:trPr>
          <w:trHeight w:val="190"/>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12,</w:t>
            </w:r>
          </w:p>
        </w:tc>
        <w:tc>
          <w:tcPr>
            <w:tcW w:w="22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6,</w:t>
            </w:r>
          </w:p>
        </w:tc>
      </w:tr>
      <w:tr>
        <w:trPr>
          <w:trHeight w:val="209"/>
        </w:trPr>
        <w:tc>
          <w:tcPr>
            <w:tcW w:w="6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r>
      <w:tr>
        <w:trPr>
          <w:trHeight w:val="25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Deferred franchise fees and deferred development fees at beginning of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20,463</w:t>
            </w:r>
          </w:p>
        </w:tc>
        <w:tc>
          <w:tcPr>
            <w:tcW w:w="120" w:type="dxa"/>
            <w:vAlign w:val="bottom"/>
            <w:shd w:val="clear" w:color="auto" w:fill="CFF0FC"/>
          </w:tcPr>
          <w:p>
            <w:pPr>
              <w:spacing w:after="0"/>
              <w:rPr>
                <w:sz w:val="22"/>
                <w:szCs w:val="22"/>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2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(3,944 )</w:t>
            </w:r>
          </w:p>
        </w:tc>
        <w:tc>
          <w:tcPr>
            <w:tcW w:w="2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(4,302 )</w:t>
            </w:r>
          </w:p>
        </w:tc>
      </w:tr>
      <w:tr>
        <w:trPr>
          <w:trHeight w:val="257"/>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deferrals due to cash received and other</w:t>
            </w:r>
          </w:p>
        </w:tc>
        <w:tc>
          <w:tcPr>
            <w:tcW w:w="2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19,930</w:t>
            </w:r>
          </w:p>
        </w:tc>
        <w:tc>
          <w:tcPr>
            <w:tcW w:w="26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-193675</wp:posOffset>
            </wp:positionV>
            <wp:extent cx="16256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Advertising Fund Assets</w:t>
      </w:r>
    </w:p>
    <w:p>
      <w:pPr>
        <w:spacing w:after="0" w:line="158" w:lineRule="exact"/>
        <w:rPr>
          <w:sz w:val="20"/>
          <w:szCs w:val="20"/>
          <w:color w:val="auto"/>
        </w:rPr>
      </w:pPr>
    </w:p>
    <w:p>
      <w:pPr>
        <w:ind w:left="300" w:right="260" w:firstLine="287"/>
        <w:spacing w:after="0" w:line="303" w:lineRule="auto"/>
        <w:rPr>
          <w:sz w:val="20"/>
          <w:szCs w:val="20"/>
          <w:color w:val="auto"/>
        </w:rPr>
      </w:pPr>
      <w:r>
        <w:rPr>
          <w:rFonts w:ascii="Arial" w:cs="Arial" w:eastAsia="Arial" w:hAnsi="Arial"/>
          <w:sz w:val="17"/>
          <w:szCs w:val="17"/>
          <w:color w:val="auto"/>
        </w:rPr>
        <w:t>As of September 12, 2021, advertising fund assets, restricted of $186.8 million consisted of $166.7 million of cash and cash equivalents, $18.7 million of accounts receivable and $1.4 million of prepaid expenses. As of September 12, 2021, advertising fund cash and cash equivalents included $8.3 million of cash contributed from U.S. Company-owned stores that had not yet been expended.</w:t>
      </w:r>
    </w:p>
    <w:p>
      <w:pPr>
        <w:spacing w:after="0" w:line="83" w:lineRule="exact"/>
        <w:rPr>
          <w:sz w:val="20"/>
          <w:szCs w:val="20"/>
          <w:color w:val="auto"/>
        </w:rPr>
      </w:pPr>
    </w:p>
    <w:p>
      <w:pPr>
        <w:ind w:left="300" w:right="20" w:firstLine="284"/>
        <w:spacing w:after="0" w:line="266" w:lineRule="auto"/>
        <w:rPr>
          <w:sz w:val="20"/>
          <w:szCs w:val="20"/>
          <w:color w:val="auto"/>
        </w:rPr>
      </w:pPr>
      <w:r>
        <w:rPr>
          <w:rFonts w:ascii="Arial" w:cs="Arial" w:eastAsia="Arial" w:hAnsi="Arial"/>
          <w:sz w:val="18"/>
          <w:szCs w:val="18"/>
          <w:color w:val="auto"/>
        </w:rPr>
        <w:t>As of January 3, 2021, advertising fund assets, restricted of $147.7 million consisted of $115.9 million of cash and cash equivalents, $27.0 million of accounts receivable and $4.8 million of prepaid expenses. As of January 3, 2021, advertising fund cash and cash equivalents included $6.5 million of cash contributed from U.S. Company-owned stores that had not yet been expended.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8. Leases</w:t>
      </w:r>
    </w:p>
    <w:p>
      <w:pPr>
        <w:spacing w:after="0" w:line="131" w:lineRule="exact"/>
        <w:rPr>
          <w:sz w:val="20"/>
          <w:szCs w:val="20"/>
          <w:color w:val="auto"/>
        </w:rPr>
      </w:pPr>
    </w:p>
    <w:p>
      <w:pPr>
        <w:ind w:right="600" w:firstLine="284"/>
        <w:spacing w:after="0" w:line="293" w:lineRule="auto"/>
        <w:rPr>
          <w:sz w:val="20"/>
          <w:szCs w:val="20"/>
          <w:color w:val="auto"/>
        </w:rPr>
      </w:pPr>
      <w:r>
        <w:rPr>
          <w:rFonts w:ascii="Arial" w:cs="Arial" w:eastAsia="Arial" w:hAnsi="Arial"/>
          <w:sz w:val="18"/>
          <w:szCs w:val="18"/>
          <w:color w:val="auto"/>
        </w:rPr>
        <w:t>The Company leases certain retail store and supply chain center locations, supply chain vehicles, equipment and its corporate headquarters with expiration dates through 2041.</w:t>
      </w:r>
    </w:p>
    <w:p>
      <w:pPr>
        <w:spacing w:after="0" w:line="62" w:lineRule="exact"/>
        <w:rPr>
          <w:sz w:val="20"/>
          <w:szCs w:val="20"/>
          <w:color w:val="auto"/>
        </w:rPr>
      </w:pPr>
    </w:p>
    <w:p>
      <w:pPr>
        <w:ind w:right="120" w:firstLine="281"/>
        <w:spacing w:after="0" w:line="293" w:lineRule="auto"/>
        <w:rPr>
          <w:sz w:val="20"/>
          <w:szCs w:val="20"/>
          <w:color w:val="auto"/>
        </w:rPr>
      </w:pPr>
      <w:r>
        <w:rPr>
          <w:rFonts w:ascii="Arial" w:cs="Arial" w:eastAsia="Arial" w:hAnsi="Arial"/>
          <w:sz w:val="18"/>
          <w:szCs w:val="18"/>
          <w:color w:val="auto"/>
        </w:rPr>
        <w:t>The components of operating and finance lease cost for the third quarter and three fiscal quarters of 2021 and the third quarter and three fiscal quarters of 2020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Fiscal Quarter Ended</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Fiscal Quarters Ended</w:t>
            </w:r>
          </w:p>
        </w:tc>
        <w:tc>
          <w:tcPr>
            <w:tcW w:w="60" w:type="dxa"/>
            <w:vAlign w:val="bottom"/>
          </w:tcPr>
          <w:p>
            <w:pPr>
              <w:spacing w:after="0"/>
              <w:rPr>
                <w:sz w:val="16"/>
                <w:szCs w:val="16"/>
                <w:color w:val="auto"/>
              </w:rPr>
            </w:pPr>
          </w:p>
        </w:tc>
      </w:tr>
      <w:tr>
        <w:trPr>
          <w:trHeight w:val="190"/>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September 12,</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76"/>
              <w:spacing w:after="0"/>
              <w:rPr>
                <w:sz w:val="20"/>
                <w:szCs w:val="20"/>
                <w:color w:val="auto"/>
              </w:rPr>
            </w:pPr>
            <w:r>
              <w:rPr>
                <w:rFonts w:ascii="Arial" w:cs="Arial" w:eastAsia="Arial" w:hAnsi="Arial"/>
                <w:sz w:val="14"/>
                <w:szCs w:val="14"/>
                <w:b w:val="1"/>
                <w:bCs w:val="1"/>
                <w:color w:val="auto"/>
              </w:rPr>
              <w:t>September 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18"/>
              <w:spacing w:after="0"/>
              <w:rPr>
                <w:sz w:val="20"/>
                <w:szCs w:val="20"/>
                <w:color w:val="auto"/>
              </w:rPr>
            </w:pPr>
            <w:r>
              <w:rPr>
                <w:rFonts w:ascii="Arial" w:cs="Arial" w:eastAsia="Arial" w:hAnsi="Arial"/>
                <w:sz w:val="14"/>
                <w:szCs w:val="14"/>
                <w:b w:val="1"/>
                <w:bCs w:val="1"/>
                <w:color w:val="auto"/>
                <w:w w:val="98"/>
              </w:rPr>
              <w:t>September 12,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rPr>
              <w:t>September 6,</w:t>
            </w:r>
          </w:p>
        </w:tc>
        <w:tc>
          <w:tcPr>
            <w:tcW w:w="60" w:type="dxa"/>
            <w:vAlign w:val="bottom"/>
          </w:tcPr>
          <w:p>
            <w:pPr>
              <w:spacing w:after="0"/>
              <w:rPr>
                <w:sz w:val="16"/>
                <w:szCs w:val="16"/>
                <w:color w:val="auto"/>
              </w:rPr>
            </w:pPr>
          </w:p>
        </w:tc>
      </w:tr>
      <w:tr>
        <w:trPr>
          <w:trHeight w:val="209"/>
        </w:trPr>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5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10,451</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31,201</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30,099</w:t>
            </w:r>
          </w:p>
        </w:tc>
        <w:tc>
          <w:tcPr>
            <w:tcW w:w="60" w:type="dxa"/>
            <w:vAlign w:val="bottom"/>
            <w:shd w:val="clear" w:color="auto" w:fill="CFF0FC"/>
          </w:tcPr>
          <w:p>
            <w:pPr>
              <w:spacing w:after="0"/>
              <w:rPr>
                <w:sz w:val="22"/>
                <w:szCs w:val="22"/>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assets</w:t>
            </w:r>
          </w:p>
        </w:tc>
        <w:tc>
          <w:tcPr>
            <w:tcW w:w="2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60" w:type="dxa"/>
            <w:vAlign w:val="bottom"/>
            <w:shd w:val="clear" w:color="auto" w:fill="CFF0FC"/>
          </w:tcPr>
          <w:p>
            <w:pPr>
              <w:spacing w:after="0"/>
              <w:rPr>
                <w:sz w:val="22"/>
                <w:szCs w:val="22"/>
                <w:color w:val="auto"/>
              </w:rPr>
            </w:pPr>
          </w:p>
        </w:tc>
      </w:tr>
      <w:tr>
        <w:trPr>
          <w:trHeight w:val="250"/>
        </w:trPr>
        <w:tc>
          <w:tcPr>
            <w:tcW w:w="444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60" w:type="dxa"/>
            <w:vAlign w:val="bottom"/>
          </w:tcPr>
          <w:p>
            <w:pPr>
              <w:spacing w:after="0"/>
              <w:rPr>
                <w:sz w:val="21"/>
                <w:szCs w:val="21"/>
                <w:color w:val="auto"/>
              </w:rPr>
            </w:pPr>
          </w:p>
        </w:tc>
      </w:tr>
      <w:tr>
        <w:trPr>
          <w:trHeight w:val="290"/>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finance lease cost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2057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2057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1885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1885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1885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885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right="100" w:firstLine="281"/>
        <w:spacing w:after="0" w:line="271" w:lineRule="auto"/>
        <w:rPr>
          <w:sz w:val="20"/>
          <w:szCs w:val="20"/>
          <w:color w:val="auto"/>
        </w:rPr>
      </w:pPr>
      <w:r>
        <w:rPr>
          <w:rFonts w:ascii="Arial" w:cs="Arial" w:eastAsia="Arial" w:hAnsi="Arial"/>
          <w:sz w:val="18"/>
          <w:szCs w:val="18"/>
          <w:color w:val="auto"/>
        </w:rPr>
        <w:t>Rent expense totaled $18.3 million and $54.4 million in the third quarter and three fiscal quarters of 2021, respectively. Rent expense totaled $17.4 million and $50.0 million in the third quarter and three fiscal quarters of 2020,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Variable rent expense and rent expense for short-term leases were immaterial for the third quarter and three fiscal quarters of 2021 and 2020, respectively.</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Supplemental balance sheet information related to the Company’s finance leases as of September 12, 2021 and January 3, 2021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12,</w:t>
            </w:r>
          </w:p>
        </w:tc>
        <w:tc>
          <w:tcPr>
            <w:tcW w:w="28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January 3,</w:t>
            </w:r>
          </w:p>
        </w:tc>
      </w:tr>
      <w:tr>
        <w:trPr>
          <w:trHeight w:val="209"/>
        </w:trPr>
        <w:tc>
          <w:tcPr>
            <w:tcW w:w="7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buildings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74,085</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68,084</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(12,991 )</w:t>
            </w:r>
          </w:p>
        </w:tc>
        <w:tc>
          <w:tcPr>
            <w:tcW w:w="28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(10,049 )</w:t>
            </w:r>
          </w:p>
        </w:tc>
      </w:tr>
      <w:tr>
        <w:trPr>
          <w:trHeight w:val="290"/>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assets,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61,094</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4"/>
        </w:trPr>
        <w:tc>
          <w:tcPr>
            <w:tcW w:w="7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61,180</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57,700</w:t>
            </w:r>
          </w:p>
        </w:tc>
        <w:tc>
          <w:tcPr>
            <w:tcW w:w="100" w:type="dxa"/>
            <w:vAlign w:val="bottom"/>
          </w:tcPr>
          <w:p>
            <w:pPr>
              <w:spacing w:after="0"/>
              <w:rPr>
                <w:sz w:val="21"/>
                <w:szCs w:val="21"/>
                <w:color w:val="auto"/>
              </w:rPr>
            </w:pPr>
          </w:p>
        </w:tc>
      </w:tr>
      <w:tr>
        <w:trPr>
          <w:trHeight w:val="290"/>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principal payable on finance leases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64,526</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-710565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-693420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-710565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-693420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ind w:right="440" w:firstLine="281"/>
        <w:spacing w:after="0" w:line="293" w:lineRule="auto"/>
        <w:rPr>
          <w:sz w:val="20"/>
          <w:szCs w:val="20"/>
          <w:color w:val="auto"/>
        </w:rPr>
      </w:pPr>
      <w:r>
        <w:rPr>
          <w:rFonts w:ascii="Arial" w:cs="Arial" w:eastAsia="Arial" w:hAnsi="Arial"/>
          <w:sz w:val="18"/>
          <w:szCs w:val="18"/>
          <w:color w:val="auto"/>
        </w:rPr>
        <w:t>As of September 12, 2021 and January 3, 2021, the weighted average remaining lease term and weighted average discount rate for the Company’s operating and finance leases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4"/>
                <w:szCs w:val="14"/>
                <w:b w:val="1"/>
                <w:bCs w:val="1"/>
                <w:color w:val="auto"/>
              </w:rPr>
              <w:t>September 12, 2021</w:t>
            </w:r>
          </w:p>
        </w:tc>
        <w:tc>
          <w:tcPr>
            <w:tcW w:w="120" w:type="dxa"/>
            <w:vAlign w:val="bottom"/>
          </w:tcPr>
          <w:p>
            <w:pPr>
              <w:spacing w:after="0"/>
              <w:rPr>
                <w:sz w:val="16"/>
                <w:szCs w:val="16"/>
                <w:color w:val="auto"/>
              </w:rPr>
            </w:pPr>
          </w:p>
        </w:tc>
        <w:tc>
          <w:tcPr>
            <w:tcW w:w="17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January 3, 2021</w:t>
            </w:r>
          </w:p>
        </w:tc>
        <w:tc>
          <w:tcPr>
            <w:tcW w:w="800" w:type="dxa"/>
            <w:vAlign w:val="bottom"/>
            <w:tcBorders>
              <w:bottom w:val="single" w:sz="8" w:color="auto"/>
            </w:tcBorders>
          </w:tcPr>
          <w:p>
            <w:pPr>
              <w:spacing w:after="0"/>
              <w:rPr>
                <w:sz w:val="16"/>
                <w:szCs w:val="16"/>
                <w:color w:val="auto"/>
              </w:rPr>
            </w:pPr>
          </w:p>
        </w:tc>
      </w:tr>
      <w:tr>
        <w:trPr>
          <w:trHeight w:val="244"/>
        </w:trPr>
        <w:tc>
          <w:tcPr>
            <w:tcW w:w="5440" w:type="dxa"/>
            <w:vAlign w:val="bottom"/>
          </w:tcPr>
          <w:p>
            <w:pPr>
              <w:spacing w:after="0"/>
              <w:rPr>
                <w:sz w:val="21"/>
                <w:szCs w:val="21"/>
                <w:color w:val="auto"/>
              </w:rPr>
            </w:pPr>
          </w:p>
        </w:tc>
        <w:tc>
          <w:tcPr>
            <w:tcW w:w="1500" w:type="dxa"/>
            <w:vAlign w:val="bottom"/>
          </w:tcPr>
          <w:p>
            <w:pPr>
              <w:jc w:val="right"/>
              <w:ind w:right="341"/>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21"/>
                <w:szCs w:val="21"/>
                <w:color w:val="auto"/>
              </w:rPr>
            </w:pPr>
          </w:p>
        </w:tc>
        <w:tc>
          <w:tcPr>
            <w:tcW w:w="1500" w:type="dxa"/>
            <w:vAlign w:val="bottom"/>
          </w:tcPr>
          <w:p>
            <w:pPr>
              <w:jc w:val="right"/>
              <w:ind w:right="422"/>
              <w:spacing w:after="0"/>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21"/>
                <w:szCs w:val="21"/>
                <w:color w:val="auto"/>
              </w:rPr>
            </w:pP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rPr>
              <w:t>Operating</w:t>
            </w:r>
          </w:p>
        </w:tc>
        <w:tc>
          <w:tcPr>
            <w:tcW w:w="800" w:type="dxa"/>
            <w:vAlign w:val="bottom"/>
          </w:tcPr>
          <w:p>
            <w:pPr>
              <w:jc w:val="right"/>
              <w:ind w:right="219"/>
              <w:spacing w:after="0"/>
              <w:rPr>
                <w:sz w:val="20"/>
                <w:szCs w:val="20"/>
                <w:color w:val="auto"/>
              </w:rPr>
            </w:pPr>
            <w:r>
              <w:rPr>
                <w:rFonts w:ascii="Arial" w:cs="Arial" w:eastAsia="Arial" w:hAnsi="Arial"/>
                <w:sz w:val="14"/>
                <w:szCs w:val="14"/>
                <w:b w:val="1"/>
                <w:bCs w:val="1"/>
                <w:color w:val="auto"/>
                <w:w w:val="90"/>
              </w:rPr>
              <w:t>Finance</w:t>
            </w:r>
          </w:p>
        </w:tc>
      </w:tr>
      <w:tr>
        <w:trPr>
          <w:trHeight w:val="263"/>
        </w:trPr>
        <w:tc>
          <w:tcPr>
            <w:tcW w:w="5440" w:type="dxa"/>
            <w:vAlign w:val="bottom"/>
          </w:tcPr>
          <w:p>
            <w:pPr>
              <w:spacing w:after="0"/>
              <w:rPr>
                <w:sz w:val="22"/>
                <w:szCs w:val="22"/>
                <w:color w:val="auto"/>
              </w:rPr>
            </w:pP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2"/>
              </w:rPr>
              <w:t>Leases</w:t>
            </w:r>
          </w:p>
        </w:tc>
      </w:tr>
      <w:tr>
        <w:trPr>
          <w:trHeight w:val="25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12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years</w:t>
            </w:r>
          </w:p>
        </w:tc>
        <w:tc>
          <w:tcPr>
            <w:tcW w:w="12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7 years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years</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00" w:type="dxa"/>
            <w:vAlign w:val="bottom"/>
          </w:tcPr>
          <w:p>
            <w:pPr>
              <w:jc w:val="right"/>
              <w:spacing w:after="0"/>
              <w:rPr>
                <w:sz w:val="20"/>
                <w:szCs w:val="20"/>
                <w:color w:val="auto"/>
              </w:rPr>
            </w:pPr>
            <w:r>
              <w:rPr>
                <w:rFonts w:ascii="Arial" w:cs="Arial" w:eastAsia="Arial" w:hAnsi="Arial"/>
                <w:sz w:val="18"/>
                <w:szCs w:val="18"/>
                <w:color w:val="auto"/>
              </w:rPr>
              <w:t>3.7%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42" w:lineRule="exact"/>
        <w:rPr>
          <w:sz w:val="20"/>
          <w:szCs w:val="20"/>
          <w:color w:val="auto"/>
        </w:rPr>
      </w:pPr>
    </w:p>
    <w:p>
      <w:pPr>
        <w:jc w:val="both"/>
        <w:ind w:right="20" w:firstLine="281"/>
        <w:spacing w:after="0" w:line="293" w:lineRule="auto"/>
        <w:rPr>
          <w:sz w:val="20"/>
          <w:szCs w:val="20"/>
          <w:color w:val="auto"/>
        </w:rPr>
      </w:pPr>
      <w:r>
        <w:rPr>
          <w:rFonts w:ascii="Arial" w:cs="Arial" w:eastAsia="Arial" w:hAnsi="Arial"/>
          <w:sz w:val="18"/>
          <w:szCs w:val="18"/>
          <w:color w:val="auto"/>
        </w:rPr>
        <w:t>Supplemental cash flow information related to leases for the third quarter and three fiscal quarters of 2021 and the third quarter and three fiscal quarters of 2020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Fiscal Quarter Ended</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Fiscal Quarters Ended</w:t>
            </w:r>
          </w:p>
        </w:tc>
        <w:tc>
          <w:tcPr>
            <w:tcW w:w="60" w:type="dxa"/>
            <w:vAlign w:val="bottom"/>
          </w:tcPr>
          <w:p>
            <w:pPr>
              <w:spacing w:after="0"/>
              <w:rPr>
                <w:sz w:val="16"/>
                <w:szCs w:val="16"/>
                <w:color w:val="auto"/>
              </w:rPr>
            </w:pPr>
          </w:p>
        </w:tc>
      </w:tr>
      <w:tr>
        <w:trPr>
          <w:trHeight w:val="244"/>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September 12,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September 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4"/>
                <w:szCs w:val="14"/>
                <w:b w:val="1"/>
                <w:bCs w:val="1"/>
                <w:color w:val="auto"/>
                <w:w w:val="91"/>
              </w:rPr>
              <w:t>September 12,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September 6,</w:t>
            </w:r>
          </w:p>
        </w:tc>
        <w:tc>
          <w:tcPr>
            <w:tcW w:w="60" w:type="dxa"/>
            <w:vAlign w:val="bottom"/>
          </w:tcPr>
          <w:p>
            <w:pPr>
              <w:spacing w:after="0"/>
              <w:rPr>
                <w:sz w:val="21"/>
                <w:szCs w:val="21"/>
                <w:color w:val="auto"/>
              </w:rPr>
            </w:pPr>
          </w:p>
        </w:tc>
      </w:tr>
      <w:tr>
        <w:trPr>
          <w:trHeight w:val="262"/>
        </w:trPr>
        <w:tc>
          <w:tcPr>
            <w:tcW w:w="5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2"/>
                <w:szCs w:val="22"/>
                <w:color w:val="auto"/>
              </w:rPr>
            </w:pPr>
          </w:p>
        </w:tc>
      </w:tr>
      <w:tr>
        <w:trPr>
          <w:trHeight w:val="25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534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29,455</w:t>
            </w:r>
          </w:p>
        </w:tc>
        <w:tc>
          <w:tcPr>
            <w:tcW w:w="60" w:type="dxa"/>
            <w:vAlign w:val="bottom"/>
          </w:tcPr>
          <w:p>
            <w:pPr>
              <w:spacing w:after="0"/>
              <w:rPr>
                <w:sz w:val="21"/>
                <w:szCs w:val="21"/>
                <w:color w:val="auto"/>
              </w:rPr>
            </w:pPr>
          </w:p>
        </w:tc>
      </w:tr>
      <w:tr>
        <w:trPr>
          <w:trHeight w:val="263"/>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60" w:type="dxa"/>
            <w:vAlign w:val="bottom"/>
            <w:shd w:val="clear" w:color="auto" w:fill="CFF0FC"/>
          </w:tcPr>
          <w:p>
            <w:pPr>
              <w:spacing w:after="0"/>
              <w:rPr>
                <w:sz w:val="22"/>
                <w:szCs w:val="22"/>
                <w:color w:val="auto"/>
              </w:rPr>
            </w:pPr>
          </w:p>
        </w:tc>
      </w:tr>
      <w:tr>
        <w:trPr>
          <w:trHeight w:val="250"/>
        </w:trPr>
        <w:tc>
          <w:tcPr>
            <w:tcW w:w="534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21"/>
                <w:szCs w:val="21"/>
                <w:color w:val="auto"/>
              </w:rPr>
            </w:pPr>
          </w:p>
        </w:tc>
      </w:tr>
      <w:tr>
        <w:trPr>
          <w:trHeight w:val="26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534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19,138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26,297</w:t>
            </w:r>
          </w:p>
        </w:tc>
        <w:tc>
          <w:tcPr>
            <w:tcW w:w="60" w:type="dxa"/>
            <w:vAlign w:val="bottom"/>
          </w:tcPr>
          <w:p>
            <w:pPr>
              <w:spacing w:after="0"/>
              <w:rPr>
                <w:sz w:val="21"/>
                <w:szCs w:val="21"/>
                <w:color w:val="auto"/>
              </w:rPr>
            </w:pPr>
          </w:p>
        </w:tc>
      </w:tr>
      <w:tr>
        <w:trPr>
          <w:trHeight w:val="263"/>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20,463</w:t>
            </w:r>
          </w:p>
        </w:tc>
        <w:tc>
          <w:tcPr>
            <w:tcW w:w="60" w:type="dxa"/>
            <w:vAlign w:val="bottom"/>
            <w:shd w:val="clear" w:color="auto" w:fill="CFF0FC"/>
          </w:tcPr>
          <w:p>
            <w:pPr>
              <w:spacing w:after="0"/>
              <w:rPr>
                <w:sz w:val="22"/>
                <w:szCs w:val="22"/>
                <w:color w:val="auto"/>
              </w:rPr>
            </w:pPr>
          </w:p>
        </w:tc>
      </w:tr>
      <w:tr>
        <w:trPr>
          <w:trHeight w:val="459"/>
        </w:trPr>
        <w:tc>
          <w:tcPr>
            <w:tcW w:w="5340" w:type="dxa"/>
            <w:vAlign w:val="bottom"/>
          </w:tcPr>
          <w:p>
            <w:pPr>
              <w:spacing w:after="0"/>
              <w:rPr>
                <w:sz w:val="24"/>
                <w:szCs w:val="24"/>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3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ind w:left="300"/>
        <w:spacing w:after="0"/>
        <w:rPr>
          <w:sz w:val="20"/>
          <w:szCs w:val="20"/>
          <w:color w:val="auto"/>
        </w:rPr>
      </w:pPr>
      <w:r>
        <w:rPr>
          <w:rFonts w:ascii="Arial" w:cs="Arial" w:eastAsia="Arial" w:hAnsi="Arial"/>
          <w:sz w:val="18"/>
          <w:szCs w:val="18"/>
          <w:color w:val="auto"/>
        </w:rPr>
        <w:t>Maturities of lease liabilities as of September 12, 2021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Finance</w:t>
            </w:r>
          </w:p>
        </w:tc>
      </w:tr>
      <w:tr>
        <w:trPr>
          <w:trHeight w:val="209"/>
        </w:trPr>
        <w:tc>
          <w:tcPr>
            <w:tcW w:w="696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4"/>
                <w:szCs w:val="14"/>
                <w:b w:val="1"/>
                <w:bCs w:val="1"/>
                <w:color w:val="auto"/>
              </w:rPr>
              <w:t>Leases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Leases</w:t>
            </w:r>
          </w:p>
        </w:tc>
      </w:tr>
      <w:tr>
        <w:trPr>
          <w:trHeight w:val="256"/>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1300" w:type="dxa"/>
            <w:vAlign w:val="bottom"/>
            <w:tcBorders>
              <w:top w:val="single" w:sz="8" w:color="auto"/>
            </w:tcBorders>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16,203</w:t>
            </w:r>
          </w:p>
        </w:tc>
        <w:tc>
          <w:tcPr>
            <w:tcW w:w="320" w:type="dxa"/>
            <w:vAlign w:val="bottom"/>
            <w:shd w:val="clear" w:color="auto" w:fill="CFF0FC"/>
          </w:tcPr>
          <w:p>
            <w:pPr>
              <w:spacing w:after="0"/>
              <w:rPr>
                <w:sz w:val="22"/>
                <w:szCs w:val="22"/>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FF0FC"/>
          </w:tcPr>
          <w:p>
            <w:pPr>
              <w:spacing w:after="0"/>
              <w:rPr>
                <w:sz w:val="22"/>
                <w:szCs w:val="22"/>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2022</w:t>
            </w: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44,458</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1"/>
                <w:szCs w:val="21"/>
                <w:color w:val="auto"/>
              </w:rPr>
            </w:pPr>
          </w:p>
        </w:tc>
      </w:tr>
      <w:tr>
        <w:trPr>
          <w:trHeight w:val="263"/>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3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39,019</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00" w:type="dxa"/>
            <w:vAlign w:val="bottom"/>
            <w:shd w:val="clear" w:color="auto" w:fill="CFF0FC"/>
          </w:tcPr>
          <w:p>
            <w:pPr>
              <w:spacing w:after="0"/>
              <w:rPr>
                <w:sz w:val="22"/>
                <w:szCs w:val="22"/>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2024</w:t>
            </w: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37,769</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21"/>
                <w:szCs w:val="21"/>
                <w:color w:val="auto"/>
              </w:rPr>
            </w:pPr>
          </w:p>
        </w:tc>
      </w:tr>
      <w:tr>
        <w:trPr>
          <w:trHeight w:val="263"/>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3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31,375</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FF0FC"/>
          </w:tcPr>
          <w:p>
            <w:pPr>
              <w:spacing w:after="0"/>
              <w:rPr>
                <w:sz w:val="22"/>
                <w:szCs w:val="22"/>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92,261</w:t>
            </w: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74,509</w:t>
            </w:r>
          </w:p>
        </w:tc>
        <w:tc>
          <w:tcPr>
            <w:tcW w:w="100" w:type="dxa"/>
            <w:vAlign w:val="bottom"/>
          </w:tcPr>
          <w:p>
            <w:pPr>
              <w:spacing w:after="0"/>
              <w:rPr>
                <w:sz w:val="21"/>
                <w:szCs w:val="21"/>
                <w:color w:val="auto"/>
              </w:rPr>
            </w:pPr>
          </w:p>
        </w:tc>
      </w:tr>
      <w:tr>
        <w:trPr>
          <w:trHeight w:val="250"/>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minimum rental commitments</w:t>
            </w:r>
          </w:p>
        </w:tc>
        <w:tc>
          <w:tcPr>
            <w:tcW w:w="13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261,085</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Less – amounts representing interest</w:t>
            </w:r>
          </w:p>
        </w:tc>
        <w:tc>
          <w:tcPr>
            <w:tcW w:w="13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(30,968 )</w:t>
            </w:r>
          </w:p>
        </w:tc>
        <w:tc>
          <w:tcPr>
            <w:tcW w:w="42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(40,567 )</w:t>
            </w:r>
          </w:p>
        </w:tc>
      </w:tr>
      <w:tr>
        <w:trPr>
          <w:trHeight w:val="290"/>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300" w:type="dxa"/>
            <w:vAlign w:val="bottom"/>
            <w:tcBorders>
              <w:top w:val="single" w:sz="8" w:color="auto"/>
              <w:bottom w:val="single" w:sz="8" w:color="auto"/>
            </w:tcBorders>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230,117</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-365125</wp:posOffset>
            </wp:positionV>
            <wp:extent cx="21463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2146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2146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20" w:firstLine="284"/>
        <w:spacing w:after="0" w:line="279" w:lineRule="auto"/>
        <w:rPr>
          <w:sz w:val="20"/>
          <w:szCs w:val="20"/>
          <w:color w:val="auto"/>
        </w:rPr>
      </w:pPr>
      <w:r>
        <w:rPr>
          <w:rFonts w:ascii="Arial" w:cs="Arial" w:eastAsia="Arial" w:hAnsi="Arial"/>
          <w:sz w:val="18"/>
          <w:szCs w:val="18"/>
          <w:color w:val="auto"/>
        </w:rPr>
        <w:t>As of September 12, 2021, the Company has additional leases for one supply chain center and certain supply chain tractors and trailers that had not yet commenced with estimated future minimum rental commitments of approximately $66.6 million. These leases are expected to commence in 2021 and 2022 with lease terms of up to 16 years. These undiscounted amounts are not included in the table above.</w:t>
      </w:r>
    </w:p>
    <w:p>
      <w:pPr>
        <w:spacing w:after="0" w:line="75" w:lineRule="exact"/>
        <w:rPr>
          <w:sz w:val="20"/>
          <w:szCs w:val="20"/>
          <w:color w:val="auto"/>
        </w:rPr>
      </w:pPr>
    </w:p>
    <w:p>
      <w:pPr>
        <w:jc w:val="both"/>
        <w:ind w:right="280" w:firstLine="284"/>
        <w:spacing w:after="0" w:line="329" w:lineRule="auto"/>
        <w:rPr>
          <w:sz w:val="20"/>
          <w:szCs w:val="20"/>
          <w:color w:val="auto"/>
        </w:rPr>
      </w:pPr>
      <w:r>
        <w:rPr>
          <w:rFonts w:ascii="Arial" w:cs="Arial" w:eastAsia="Arial" w:hAnsi="Arial"/>
          <w:sz w:val="16"/>
          <w:szCs w:val="16"/>
          <w:color w:val="auto"/>
        </w:rPr>
        <w:t>The Company has guaranteed lease payments related to certain franchisees’ lease arrangements. The maximum amount of potential future payments under these guarantees was $10.3 million and $12.6 million as of September 12, 2021 and January 3, 2021, respectively. The Company does not believe these arrangements have or are likely to have a material effect on its results of operations, financial condition, revenues, expenses or liquidity.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9. Supplemental Disclosures of Cash Flow Information</w:t>
      </w:r>
    </w:p>
    <w:p>
      <w:pPr>
        <w:spacing w:after="0" w:line="252" w:lineRule="exact"/>
        <w:rPr>
          <w:sz w:val="20"/>
          <w:szCs w:val="20"/>
          <w:color w:val="auto"/>
        </w:rPr>
      </w:pPr>
    </w:p>
    <w:p>
      <w:pPr>
        <w:ind w:right="280" w:firstLine="255"/>
        <w:spacing w:after="0" w:line="295" w:lineRule="auto"/>
        <w:rPr>
          <w:sz w:val="20"/>
          <w:szCs w:val="20"/>
          <w:color w:val="auto"/>
        </w:rPr>
      </w:pPr>
      <w:r>
        <w:rPr>
          <w:rFonts w:ascii="Arial" w:cs="Arial" w:eastAsia="Arial" w:hAnsi="Arial"/>
          <w:sz w:val="18"/>
          <w:szCs w:val="18"/>
          <w:color w:val="auto"/>
        </w:rPr>
        <w:t>The Company had non-cash investing activities related to accruals for capital expenditures of $4.0 million at September 12, 2021 and $4.3 million at January 3, 2021. The Company also had less than $0.1 million of non-cash investing activities related to lease incentives in the three fiscal quarters of 2021.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10. Equity Incentive Plans</w:t>
      </w:r>
    </w:p>
    <w:p>
      <w:pPr>
        <w:spacing w:after="0" w:line="252" w:lineRule="exact"/>
        <w:rPr>
          <w:sz w:val="20"/>
          <w:szCs w:val="20"/>
          <w:color w:val="auto"/>
        </w:rPr>
      </w:pPr>
    </w:p>
    <w:p>
      <w:pPr>
        <w:ind w:right="20" w:firstLine="255"/>
        <w:spacing w:after="0" w:line="290" w:lineRule="auto"/>
        <w:rPr>
          <w:sz w:val="20"/>
          <w:szCs w:val="20"/>
          <w:color w:val="auto"/>
        </w:rPr>
      </w:pPr>
      <w:r>
        <w:rPr>
          <w:rFonts w:ascii="Arial" w:cs="Arial" w:eastAsia="Arial" w:hAnsi="Arial"/>
          <w:sz w:val="17"/>
          <w:szCs w:val="17"/>
          <w:color w:val="auto"/>
        </w:rPr>
        <w:t>The Company’s current equity incentive plan, named the Domino’s Pizza, Inc. 2004 Equity Incentive Plan (the “2004 Equity Incentive Plan”), benefits certain of the Company’s employees and members of the Company’s Board of Directors. In the three fiscal quarters of 2021, the Company granted non-qualified stock options, restricted stock awards, restricted stock units and performance-based restricted stock units to certain employees and members of its Board of Directors under the 2004 Equity Incentive Plan. As a result of the changes to the characteristics and types of awards granted to date in 2021 under the 2004 Equity Incentive Plan, the Company has included disclosure of the nature and terms of these awards granted in the three fiscal quarters of 2021, as well as the methods used to estimate their fair values below.</w:t>
      </w:r>
    </w:p>
    <w:p>
      <w:pPr>
        <w:spacing w:after="0" w:line="189" w:lineRule="exact"/>
        <w:rPr>
          <w:sz w:val="20"/>
          <w:szCs w:val="20"/>
          <w:color w:val="auto"/>
        </w:rPr>
      </w:pPr>
    </w:p>
    <w:p>
      <w:pPr>
        <w:ind w:right="80" w:firstLine="255"/>
        <w:spacing w:after="0" w:line="279" w:lineRule="auto"/>
        <w:rPr>
          <w:sz w:val="20"/>
          <w:szCs w:val="20"/>
          <w:color w:val="auto"/>
        </w:rPr>
      </w:pPr>
      <w:r>
        <w:rPr>
          <w:rFonts w:ascii="Arial" w:cs="Arial" w:eastAsia="Arial" w:hAnsi="Arial"/>
          <w:sz w:val="18"/>
          <w:szCs w:val="18"/>
          <w:color w:val="auto"/>
        </w:rPr>
        <w:t>The cost of all employee stock options, as well as other equity-based compensation arrangements, is reflected in the condensed consolidated statements of income based on the estimated fair value of the awards and is amortized over the requisite service period of each award. All non-cash compensation expense amounts are recorded in general and administrative expense.</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ind w:left="760" w:right="80" w:firstLine="255"/>
        <w:spacing w:after="0" w:line="287" w:lineRule="auto"/>
        <w:rPr>
          <w:sz w:val="20"/>
          <w:szCs w:val="20"/>
          <w:color w:val="auto"/>
        </w:rPr>
      </w:pPr>
      <w:r>
        <w:rPr>
          <w:rFonts w:ascii="Arial" w:cs="Arial" w:eastAsia="Arial" w:hAnsi="Arial"/>
          <w:sz w:val="17"/>
          <w:szCs w:val="17"/>
          <w:color w:val="auto"/>
        </w:rPr>
        <w:t>Stock options granted in fiscal 2021 were granted with an exercise price equal to the market price of the Company’s common stock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eligibility of holders that have achieved specified service and age requirements. Management estimated the fair value of each option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left="252"/>
        <w:spacing w:after="0"/>
        <w:rPr>
          <w:sz w:val="20"/>
          <w:szCs w:val="20"/>
          <w:color w:val="auto"/>
        </w:rPr>
      </w:pPr>
      <w:r>
        <w:rPr>
          <w:rFonts w:ascii="Arial" w:cs="Arial" w:eastAsia="Arial" w:hAnsi="Arial"/>
          <w:sz w:val="18"/>
          <w:szCs w:val="18"/>
          <w:u w:val="single" w:color="auto"/>
          <w:color w:val="auto"/>
        </w:rPr>
        <w:t>Other Equity-Based Compensation Arrangements</w:t>
      </w:r>
    </w:p>
    <w:p>
      <w:pPr>
        <w:spacing w:after="0" w:line="293" w:lineRule="exact"/>
        <w:rPr>
          <w:sz w:val="20"/>
          <w:szCs w:val="20"/>
          <w:color w:val="auto"/>
        </w:rPr>
      </w:pPr>
    </w:p>
    <w:p>
      <w:pPr>
        <w:ind w:left="752" w:right="200" w:firstLine="255"/>
        <w:spacing w:after="0" w:line="275" w:lineRule="auto"/>
        <w:rPr>
          <w:sz w:val="20"/>
          <w:szCs w:val="20"/>
          <w:color w:val="auto"/>
        </w:rPr>
      </w:pPr>
      <w:r>
        <w:rPr>
          <w:rFonts w:ascii="Arial" w:cs="Arial" w:eastAsia="Arial" w:hAnsi="Arial"/>
          <w:sz w:val="18"/>
          <w:szCs w:val="18"/>
          <w:color w:val="auto"/>
        </w:rPr>
        <w:t>Restricted stock awards granted to members of the Company’s Board of Directors in fiscal 2021 were granted with a fair value equal to the market price of the Company’s common stock on the grant date and vest one year from the date of grant, generally subject to the director’s continued service. These awards also contain provisions for accelerated vesting upon the retirement eligibility of holders that have achieved specified service and age requirements.</w:t>
      </w:r>
    </w:p>
    <w:p>
      <w:pPr>
        <w:spacing w:after="0" w:line="239" w:lineRule="exact"/>
        <w:rPr>
          <w:sz w:val="20"/>
          <w:szCs w:val="20"/>
          <w:color w:val="auto"/>
        </w:rPr>
      </w:pPr>
    </w:p>
    <w:p>
      <w:pPr>
        <w:ind w:left="752" w:right="100" w:firstLine="255"/>
        <w:spacing w:after="0" w:line="272" w:lineRule="auto"/>
        <w:rPr>
          <w:sz w:val="20"/>
          <w:szCs w:val="20"/>
          <w:color w:val="auto"/>
        </w:rPr>
      </w:pPr>
      <w:r>
        <w:rPr>
          <w:rFonts w:ascii="Arial" w:cs="Arial" w:eastAsia="Arial" w:hAnsi="Arial"/>
          <w:sz w:val="18"/>
          <w:szCs w:val="18"/>
          <w:color w:val="auto"/>
        </w:rPr>
        <w:t>Restricted stock units granted in fiscal 2021 were granted with a fair value equal to the market price of the Company’s common stock on the grant date. These restricted stock units are separated into two or three tranches and have time-based ratable vesting conditions with the last tranche of the award vesting three years from the grant date, generally subject to the holder’s continued employment. These awards generally also contain provisions for accelerated vesting upon the retirement eligibility of holders that have achieved specified service and age requirements.</w:t>
      </w:r>
    </w:p>
    <w:p>
      <w:pPr>
        <w:spacing w:after="0" w:line="245" w:lineRule="exact"/>
        <w:rPr>
          <w:sz w:val="20"/>
          <w:szCs w:val="20"/>
          <w:color w:val="auto"/>
        </w:rPr>
      </w:pPr>
    </w:p>
    <w:p>
      <w:pPr>
        <w:ind w:left="752" w:firstLine="255"/>
        <w:spacing w:after="0" w:line="304" w:lineRule="auto"/>
        <w:rPr>
          <w:sz w:val="20"/>
          <w:szCs w:val="20"/>
          <w:color w:val="auto"/>
        </w:rPr>
      </w:pPr>
      <w:r>
        <w:rPr>
          <w:rFonts w:ascii="Arial" w:cs="Arial" w:eastAsia="Arial" w:hAnsi="Arial"/>
          <w:sz w:val="16"/>
          <w:szCs w:val="16"/>
          <w:color w:val="auto"/>
        </w:rPr>
        <w:t>Performance-based restricted stock units granted in fiscal 2021 were granted with a fair value equal to the market price of the Company’s common stock on the grant date,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cumulative achievement as compared to the specified target performance conditions. The performance-based restricted stock units also include provisions for a potential modifier (upward or downward) based on the Company’s cumulative three-year common stock performance relative to that of a pre-established peer group. These awards also contain provisions for accelerated vesting of the time-based vesting condition upon the retirement eligibility of holders that have achieved specified service and age requirements.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w:t>
      </w:r>
    </w:p>
    <w:p>
      <w:pPr>
        <w:spacing w:after="0" w:line="227" w:lineRule="exact"/>
        <w:rPr>
          <w:sz w:val="20"/>
          <w:szCs w:val="20"/>
          <w:color w:val="auto"/>
        </w:rPr>
      </w:pPr>
    </w:p>
    <w:p>
      <w:pPr>
        <w:ind w:left="372" w:right="7960" w:hanging="372"/>
        <w:spacing w:after="0" w:line="500" w:lineRule="auto"/>
        <w:tabs>
          <w:tab w:leader="none" w:pos="261"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New Accounting Pronouncements </w:t>
      </w:r>
      <w:r>
        <w:rPr>
          <w:rFonts w:ascii="Arial" w:cs="Arial" w:eastAsia="Arial" w:hAnsi="Arial"/>
          <w:sz w:val="16"/>
          <w:szCs w:val="16"/>
          <w:u w:val="single" w:color="auto"/>
          <w:color w:val="auto"/>
        </w:rPr>
        <w:t>Recently Adopted Accounting Standard</w:t>
      </w:r>
    </w:p>
    <w:p>
      <w:pPr>
        <w:spacing w:after="0" w:line="30" w:lineRule="exact"/>
        <w:rPr>
          <w:sz w:val="20"/>
          <w:szCs w:val="20"/>
          <w:color w:val="auto"/>
        </w:rPr>
      </w:pPr>
    </w:p>
    <w:p>
      <w:pPr>
        <w:ind w:left="752"/>
        <w:spacing w:after="0"/>
        <w:rPr>
          <w:sz w:val="20"/>
          <w:szCs w:val="20"/>
          <w:color w:val="auto"/>
        </w:rPr>
      </w:pPr>
      <w:r>
        <w:rPr>
          <w:rFonts w:ascii="Arial" w:cs="Arial" w:eastAsia="Arial" w:hAnsi="Arial"/>
          <w:sz w:val="18"/>
          <w:szCs w:val="18"/>
          <w:i w:val="1"/>
          <w:iCs w:val="1"/>
          <w:color w:val="auto"/>
        </w:rPr>
        <w:t>Accounting Standards Update (“ASU”) 2019-12, Income Taxes – Simplifying the Accounting for Income Taxes (Topic 740)</w:t>
      </w:r>
    </w:p>
    <w:p>
      <w:pPr>
        <w:spacing w:after="0" w:line="252" w:lineRule="exact"/>
        <w:rPr>
          <w:sz w:val="20"/>
          <w:szCs w:val="20"/>
          <w:color w:val="auto"/>
        </w:rPr>
      </w:pPr>
    </w:p>
    <w:p>
      <w:pPr>
        <w:jc w:val="both"/>
        <w:ind w:left="752" w:right="160" w:firstLine="255"/>
        <w:spacing w:after="0" w:line="296"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 740):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 (“ASU 2019-12”)</w:t>
      </w:r>
      <w:r>
        <w:rPr>
          <w:rFonts w:ascii="Arial" w:cs="Arial" w:eastAsia="Arial" w:hAnsi="Arial"/>
          <w:sz w:val="17"/>
          <w:szCs w:val="17"/>
          <w:color w:val="auto"/>
        </w:rPr>
        <w:t>, which simplifies the accounting for income taxes. ASU 2019-12 was effective for fiscal years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after December 15, 2020, including applicable interim periods. The Company adopted this accounting standard in the first quarter of 2021, and it did not have a material impact on its condensed consolidated financial statements.</w:t>
      </w:r>
    </w:p>
    <w:p>
      <w:pPr>
        <w:spacing w:after="0" w:line="183" w:lineRule="exact"/>
        <w:rPr>
          <w:sz w:val="20"/>
          <w:szCs w:val="20"/>
          <w:color w:val="auto"/>
        </w:rPr>
      </w:pPr>
    </w:p>
    <w:p>
      <w:pPr>
        <w:ind w:left="372"/>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158" w:lineRule="exact"/>
        <w:rPr>
          <w:sz w:val="20"/>
          <w:szCs w:val="20"/>
          <w:color w:val="auto"/>
        </w:rPr>
      </w:pPr>
    </w:p>
    <w:p>
      <w:pPr>
        <w:ind w:left="512" w:right="460" w:firstLine="254"/>
        <w:spacing w:after="0" w:line="293" w:lineRule="auto"/>
        <w:rPr>
          <w:sz w:val="20"/>
          <w:szCs w:val="20"/>
          <w:color w:val="auto"/>
        </w:rPr>
      </w:pPr>
      <w:r>
        <w:rPr>
          <w:rFonts w:ascii="Arial" w:cs="Arial" w:eastAsia="Arial" w:hAnsi="Arial"/>
          <w:sz w:val="18"/>
          <w:szCs w:val="18"/>
          <w:color w:val="auto"/>
        </w:rPr>
        <w:t>The Company has considered all new accounting standards issued by the FASB. The Company has not yet completed its assessment of the following standard.</w:t>
      </w:r>
    </w:p>
    <w:p>
      <w:pPr>
        <w:spacing w:after="0" w:line="129" w:lineRule="exact"/>
        <w:rPr>
          <w:sz w:val="20"/>
          <w:szCs w:val="20"/>
          <w:color w:val="auto"/>
        </w:rPr>
      </w:pPr>
    </w:p>
    <w:p>
      <w:pPr>
        <w:ind w:left="752"/>
        <w:spacing w:after="0"/>
        <w:rPr>
          <w:sz w:val="20"/>
          <w:szCs w:val="20"/>
          <w:color w:val="auto"/>
        </w:rPr>
      </w:pPr>
      <w:r>
        <w:rPr>
          <w:rFonts w:ascii="Arial" w:cs="Arial" w:eastAsia="Arial" w:hAnsi="Arial"/>
          <w:sz w:val="18"/>
          <w:szCs w:val="18"/>
          <w:i w:val="1"/>
          <w:iCs w:val="1"/>
          <w:color w:val="auto"/>
        </w:rPr>
        <w:t>ASU 2020-04, Facilitation of the Effects of Reference Rate Reform on Financial Reporting (Topic 848)</w:t>
      </w:r>
    </w:p>
    <w:p>
      <w:pPr>
        <w:spacing w:after="0" w:line="252" w:lineRule="exact"/>
        <w:rPr>
          <w:sz w:val="20"/>
          <w:szCs w:val="20"/>
          <w:color w:val="auto"/>
        </w:rPr>
      </w:pPr>
    </w:p>
    <w:p>
      <w:pPr>
        <w:ind w:left="932" w:right="80" w:firstLine="561"/>
        <w:spacing w:after="0" w:line="29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 (“ASU 2020-04”)</w:t>
      </w:r>
      <w:r>
        <w:rPr>
          <w:rFonts w:ascii="Arial" w:cs="Arial" w:eastAsia="Arial" w:hAnsi="Arial"/>
          <w:sz w:val="16"/>
          <w:szCs w:val="16"/>
          <w:color w:val="auto"/>
        </w:rPr>
        <w:t>, which provides temporary optional expedients and exceptions for applying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accepted accounting principles to contracts, hedging relationships and other transactions affected by reference rate reform. Subsequent to the closing of the 2021 Recapitalization, the Company’s 2021 Variable Funding Notes bear interest at fluctuating interest rates based on LIBOR. However, the associated loan documents contemplate a transition from LIBOR to secured overnight financing rate (“SOFR”) in the event that LIBOR ceases to exist. If the Company further needs to renegotiate its loan documents, the Company cannot predict what alternative index would be negotiated with its lenders. ASU 2020-04 may currently be adopted and may be applied prospectively to contract modifications made on or before December 31, 2022. The Company is currently assessing the impact of adopting this standard but does not expect the adoption of this guidance to have a material impact on its condensed consolidated financial statements.</w:t>
      </w:r>
    </w:p>
    <w:p>
      <w:pPr>
        <w:spacing w:after="0" w:line="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130" w:lineRule="exact"/>
        <w:rPr>
          <w:sz w:val="20"/>
          <w:szCs w:val="20"/>
          <w:color w:val="auto"/>
        </w:rPr>
      </w:pPr>
    </w:p>
    <w:p>
      <w:pPr>
        <w:ind w:right="100" w:firstLine="255"/>
        <w:spacing w:after="0" w:line="275" w:lineRule="auto"/>
        <w:rPr>
          <w:sz w:val="20"/>
          <w:szCs w:val="20"/>
          <w:color w:val="auto"/>
        </w:rPr>
      </w:pPr>
      <w:r>
        <w:rPr>
          <w:rFonts w:ascii="Arial" w:cs="Arial" w:eastAsia="Arial" w:hAnsi="Arial"/>
          <w:sz w:val="18"/>
          <w:szCs w:val="18"/>
          <w:color w:val="auto"/>
        </w:rPr>
        <w:t>The 2021 and 2020 third quarters referenced herein represent the twelve-week periods ended September 12, 2021 and September 6, 2020, respectively. The 2021 and 2020 three fiscal quarters referenced herein represent the thirty-six-week periods ended September 12, 2021 and September 6, 2020, respectively. In this section, we discuss the results of our operations for the third quarter and three fiscal quarters of 2021 as compared to the respective periods of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256" w:lineRule="exact"/>
        <w:rPr>
          <w:sz w:val="20"/>
          <w:szCs w:val="20"/>
          <w:color w:val="auto"/>
        </w:rPr>
      </w:pPr>
    </w:p>
    <w:p>
      <w:pPr>
        <w:ind w:right="40" w:firstLine="281"/>
        <w:spacing w:after="0" w:line="270" w:lineRule="auto"/>
        <w:rPr>
          <w:sz w:val="20"/>
          <w:szCs w:val="20"/>
          <w:color w:val="auto"/>
        </w:rPr>
      </w:pPr>
      <w:r>
        <w:rPr>
          <w:rFonts w:ascii="Arial" w:cs="Arial" w:eastAsia="Arial" w:hAnsi="Arial"/>
          <w:sz w:val="18"/>
          <w:szCs w:val="18"/>
          <w:color w:val="auto"/>
        </w:rPr>
        <w:t>Domino’s is the largest pizza company in the world, with a significant business in both delivery and carryout, and more than 18,300 locations in over 90 markets around the world as of September 12, 2021. Founded in 1960, our roots are in convenient pizza delivery, while a significant amount of our sales also come from carryout customers. We are a highly recognized global brand, and we focus on serving neighborhoods locally through our large worldwide network of franchise owners and U.S. Company-owned stores. We are primarily a franchisor, with approximately 98% of Domino’s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206" w:lineRule="exact"/>
        <w:rPr>
          <w:sz w:val="20"/>
          <w:szCs w:val="20"/>
          <w:color w:val="auto"/>
        </w:rPr>
      </w:pPr>
    </w:p>
    <w:p>
      <w:pPr>
        <w:ind w:right="40" w:firstLine="281"/>
        <w:spacing w:after="0" w:line="279"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196" w:lineRule="exact"/>
        <w:rPr>
          <w:sz w:val="20"/>
          <w:szCs w:val="20"/>
          <w:color w:val="auto"/>
        </w:rPr>
      </w:pPr>
    </w:p>
    <w:p>
      <w:pPr>
        <w:ind w:firstLine="281"/>
        <w:spacing w:after="0" w:line="258" w:lineRule="auto"/>
        <w:rPr>
          <w:sz w:val="20"/>
          <w:szCs w:val="20"/>
          <w:color w:val="auto"/>
        </w:rPr>
      </w:pPr>
      <w:r>
        <w:rPr>
          <w:rFonts w:ascii="Arial" w:cs="Arial" w:eastAsia="Arial" w:hAnsi="Arial"/>
          <w:sz w:val="17"/>
          <w:szCs w:val="17"/>
          <w:color w:val="auto"/>
        </w:rPr>
        <w:t>Domino’s generates revenues and earnings by charging royalties and fees to our franchisees. Royalties are ongoing percent-of-sales fees for use of the Domino’s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marks. We also generate revenues and earnings by selling food, equipment and supplies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217" w:lineRule="exact"/>
        <w:rPr>
          <w:sz w:val="20"/>
          <w:szCs w:val="20"/>
          <w:color w:val="auto"/>
        </w:rPr>
      </w:pPr>
    </w:p>
    <w:p>
      <w:pPr>
        <w:ind w:right="40" w:firstLine="281"/>
        <w:spacing w:after="0" w:line="275" w:lineRule="auto"/>
        <w:rPr>
          <w:sz w:val="20"/>
          <w:szCs w:val="20"/>
          <w:color w:val="auto"/>
        </w:rPr>
      </w:pPr>
      <w:r>
        <w:rPr>
          <w:rFonts w:ascii="Arial" w:cs="Arial" w:eastAsia="Arial" w:hAnsi="Arial"/>
          <w:sz w:val="18"/>
          <w:szCs w:val="18"/>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These factors emphasize our focus on our stakeholders, including our customers, team members, franchisees, communities and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2021 Highlights</w:t>
      </w:r>
    </w:p>
    <w:p>
      <w:pPr>
        <w:spacing w:after="0" w:line="256" w:lineRule="exact"/>
        <w:rPr>
          <w:sz w:val="20"/>
          <w:szCs w:val="20"/>
          <w:color w:val="auto"/>
        </w:rPr>
      </w:pPr>
    </w:p>
    <w:p>
      <w:pPr>
        <w:ind w:left="700" w:right="120"/>
        <w:spacing w:after="0" w:line="266" w:lineRule="auto"/>
        <w:rPr>
          <w:sz w:val="20"/>
          <w:szCs w:val="20"/>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8.5% as compared to 2020. U.S. retail sales increased 1.1% and international retail sales, excluding foreign currency impact, increased 16.5% as compared to 2020.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Same store sales decreased 1.9% in our U.S. stores and increased 8.8% in our international stores.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Revenues increased 3.1%.</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from operations increased 11.2%.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increased 21.5%.</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Diluted earnings per share increased 30.1%.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Fiscal Quarters of 2021 Highlights</w:t>
      </w:r>
    </w:p>
    <w:p>
      <w:pPr>
        <w:spacing w:after="0" w:line="256" w:lineRule="exact"/>
        <w:rPr>
          <w:sz w:val="20"/>
          <w:szCs w:val="20"/>
          <w:color w:val="auto"/>
        </w:rPr>
      </w:pPr>
    </w:p>
    <w:p>
      <w:pPr>
        <w:ind w:left="700" w:right="40"/>
        <w:spacing w:after="0" w:line="266" w:lineRule="auto"/>
        <w:rPr>
          <w:sz w:val="20"/>
          <w:szCs w:val="20"/>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13.1% as compared to 2020. U.S. retail sales increased 7.6% and international retail sales, excluding foreign currency impact, increased 19.2% as compared to 2020.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Same store sales increased 4.6% in our U.S. stores and increased 11.4% in our international stores.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Revenues increased 9.2%.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from operations increased 15.8%.</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increased 4.5%.</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Diluted earnings per share increased 8.9%.</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firstLine="255"/>
        <w:spacing w:after="0" w:line="252" w:lineRule="auto"/>
        <w:rPr>
          <w:sz w:val="20"/>
          <w:szCs w:val="20"/>
          <w:color w:val="auto"/>
        </w:rPr>
      </w:pPr>
      <w:r>
        <w:rPr>
          <w:rFonts w:ascii="Arial" w:cs="Arial" w:eastAsia="Arial" w:hAnsi="Arial"/>
          <w:sz w:val="16"/>
          <w:szCs w:val="16"/>
          <w:color w:val="auto"/>
        </w:rPr>
        <w:t>Domino's experienced global retail sales growth during both the third quarter and three fiscal quarters of 2021. We believe our commitment to value, convenience, quality and new products continues to keep consumers engaged with the brand. We continued our strong international same store sales performance with 111 straight quarters of positive international same store sales. Although U.S. same store sales were positive for the three fiscal quarters of 2021, U.S. same store sales declined 1.9% in the third quarter of 2021, rolling over an increase in U.S. same store sales of 17.5% in the third quarter of 2020. This decrease in U.S. same store sales was attributable in part to labor shortages affecting store hours and staffing levels in many of our markets, as well as a waning in the level of economic stimulus activity in the U.S in the third quarter of 2021. Same store sales in the U.S. continue to be positively affected by changes in consumer ordering behavior observed since the onset of the COVID-19 pandemic. Internationally, we continued to experience sustained increases in retail sales during the third quarter and three fiscal quarters of 2021 resulting from evolving consumer trends, as well as the reopening and resumption of normal store hours and operating procedures at certain of our international franchised stores that had been temporarily closed or affected by changes in operating procedures and store hours for portions of the second and third quarters of 2020 as a result of the COVID-19 pandemic. Our U.S. and international same store sales results continue to be pressured by our fortressing strategy, which includes increasing store concentration in certain markets where we compete, as well as from aggressive competitive activity.</w:t>
      </w:r>
    </w:p>
    <w:p>
      <w:pPr>
        <w:spacing w:after="0" w:line="139" w:lineRule="exact"/>
        <w:rPr>
          <w:sz w:val="20"/>
          <w:szCs w:val="20"/>
          <w:color w:val="auto"/>
        </w:rPr>
      </w:pPr>
    </w:p>
    <w:p>
      <w:pPr>
        <w:ind w:right="540" w:firstLine="255"/>
        <w:spacing w:after="0" w:line="274" w:lineRule="auto"/>
        <w:rPr>
          <w:sz w:val="20"/>
          <w:szCs w:val="20"/>
          <w:color w:val="auto"/>
        </w:rPr>
      </w:pPr>
      <w:r>
        <w:rPr>
          <w:rFonts w:ascii="Arial" w:cs="Arial" w:eastAsia="Arial" w:hAnsi="Arial"/>
          <w:sz w:val="17"/>
          <w:szCs w:val="17"/>
          <w:color w:val="auto"/>
        </w:rPr>
        <w:t>We continued our global expansion with the opening of 323 net stores in the third quarter of 2021, bringing our year-to-date total to 736 net store openings. We had 45 net stores open in the U.S. and 278 net stores open internationally during the third quarter of 2021.</w:t>
      </w:r>
    </w:p>
    <w:p>
      <w:pPr>
        <w:spacing w:after="0" w:line="121" w:lineRule="exact"/>
        <w:rPr>
          <w:sz w:val="20"/>
          <w:szCs w:val="20"/>
          <w:color w:val="auto"/>
        </w:rPr>
      </w:pPr>
    </w:p>
    <w:p>
      <w:pPr>
        <w:ind w:right="40" w:firstLine="255"/>
        <w:spacing w:after="0" w:line="246" w:lineRule="auto"/>
        <w:rPr>
          <w:sz w:val="20"/>
          <w:szCs w:val="20"/>
          <w:color w:val="auto"/>
        </w:rPr>
      </w:pPr>
      <w:r>
        <w:rPr>
          <w:rFonts w:ascii="Arial" w:cs="Arial" w:eastAsia="Arial" w:hAnsi="Arial"/>
          <w:sz w:val="18"/>
          <w:szCs w:val="18"/>
          <w:color w:val="auto"/>
        </w:rPr>
        <w:t>Overall, we believe our continued global store growth, along with our sales growth, emphasis on technology, operations, and marketing initiatives, have combined to strengthen our brand.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Measures</w:t>
      </w:r>
    </w:p>
    <w:p>
      <w:pPr>
        <w:spacing w:after="0" w:line="256" w:lineRule="exact"/>
        <w:rPr>
          <w:sz w:val="20"/>
          <w:szCs w:val="20"/>
          <w:color w:val="auto"/>
        </w:rPr>
      </w:pPr>
    </w:p>
    <w:p>
      <w:pPr>
        <w:ind w:right="60" w:firstLine="255"/>
        <w:spacing w:after="0" w:line="293"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256" w:lineRule="exact"/>
        <w:rPr>
          <w:sz w:val="20"/>
          <w:szCs w:val="20"/>
          <w:color w:val="auto"/>
        </w:rPr>
      </w:pPr>
    </w:p>
    <w:p>
      <w:pPr>
        <w:ind w:right="60" w:firstLine="255"/>
        <w:spacing w:after="0" w:line="309" w:lineRule="auto"/>
        <w:rPr>
          <w:sz w:val="20"/>
          <w:szCs w:val="20"/>
          <w:color w:val="auto"/>
        </w:rPr>
      </w:pPr>
      <w:r>
        <w:rPr>
          <w:rFonts w:ascii="Arial" w:cs="Arial" w:eastAsia="Arial" w:hAnsi="Arial"/>
          <w:sz w:val="16"/>
          <w:szCs w:val="16"/>
          <w:color w:val="auto"/>
        </w:rPr>
        <w:t>Global retail sales growth (excluding foreign currency impact) is a commonly used statistical measure in the quick-service restaurant industry that is important to understanding performance. Global retail sales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c>
          <w:tcPr>
            <w:tcW w:w="1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r>
      <w:tr>
        <w:trPr>
          <w:trHeight w:val="175"/>
        </w:trPr>
        <w:tc>
          <w:tcPr>
            <w:tcW w:w="5800" w:type="dxa"/>
            <w:vAlign w:val="bottom"/>
          </w:tcPr>
          <w:p>
            <w:pPr>
              <w:spacing w:after="0"/>
              <w:rPr>
                <w:sz w:val="15"/>
                <w:szCs w:val="15"/>
                <w:color w:val="auto"/>
              </w:rPr>
            </w:pPr>
          </w:p>
        </w:tc>
        <w:tc>
          <w:tcPr>
            <w:tcW w:w="1260" w:type="dxa"/>
            <w:vAlign w:val="bottom"/>
          </w:tcPr>
          <w:p>
            <w:pPr>
              <w:jc w:val="right"/>
              <w:ind w:right="97"/>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5"/>
                <w:szCs w:val="15"/>
                <w:color w:val="auto"/>
              </w:rPr>
            </w:pPr>
          </w:p>
        </w:tc>
        <w:tc>
          <w:tcPr>
            <w:tcW w:w="1240" w:type="dxa"/>
            <w:vAlign w:val="bottom"/>
          </w:tcPr>
          <w:p>
            <w:pPr>
              <w:jc w:val="right"/>
              <w:ind w:right="102"/>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Quarters</w:t>
            </w:r>
          </w:p>
        </w:tc>
        <w:tc>
          <w:tcPr>
            <w:tcW w:w="1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Quarters</w:t>
            </w:r>
          </w:p>
        </w:tc>
      </w:tr>
      <w:tr>
        <w:trPr>
          <w:trHeight w:val="192"/>
        </w:trPr>
        <w:tc>
          <w:tcPr>
            <w:tcW w:w="5800" w:type="dxa"/>
            <w:vAlign w:val="bottom"/>
          </w:tcPr>
          <w:p>
            <w:pPr>
              <w:spacing w:after="0"/>
              <w:rPr>
                <w:sz w:val="16"/>
                <w:szCs w:val="16"/>
                <w:color w:val="auto"/>
              </w:rPr>
            </w:pPr>
          </w:p>
        </w:tc>
        <w:tc>
          <w:tcPr>
            <w:tcW w:w="12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of 2021</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of 2020</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2021</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2020</w:t>
            </w:r>
          </w:p>
        </w:tc>
      </w:tr>
      <w:tr>
        <w:trPr>
          <w:trHeight w:val="256"/>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stores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w:t>
            </w: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International stores (excluding foreign currency impact)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56"/>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(excluding foreign currency impact)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Store Sales Growth</w:t>
      </w:r>
    </w:p>
    <w:p>
      <w:pPr>
        <w:spacing w:after="0" w:line="256" w:lineRule="exact"/>
        <w:rPr>
          <w:sz w:val="20"/>
          <w:szCs w:val="20"/>
          <w:color w:val="auto"/>
        </w:rPr>
      </w:pPr>
    </w:p>
    <w:p>
      <w:pPr>
        <w:ind w:right="60" w:firstLine="255"/>
        <w:spacing w:after="0" w:line="275" w:lineRule="auto"/>
        <w:rPr>
          <w:sz w:val="20"/>
          <w:szCs w:val="20"/>
          <w:color w:val="auto"/>
        </w:rPr>
      </w:pPr>
      <w:r>
        <w:rPr>
          <w:rFonts w:ascii="Arial" w:cs="Arial" w:eastAsia="Arial" w:hAnsi="Arial"/>
          <w:sz w:val="18"/>
          <w:szCs w:val="18"/>
          <w:color w:val="auto"/>
        </w:rPr>
        <w:t>Same store sales growth is a commonly used statistical measure in the quick-service restaurant industry that is important to understanding performance. Same store sales growth is calculated by including only sales from stores that also had sales in the comparable weeks of both years. International same store sales growth is calculated similarly to U.S. same store sales growth. Changes in international same store sales are reported on a constant dollar basis which reflects changes in international local currency sales.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c>
          <w:tcPr>
            <w:tcW w:w="1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r>
      <w:tr>
        <w:trPr>
          <w:trHeight w:val="175"/>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5"/>
                <w:szCs w:val="15"/>
                <w:color w:val="auto"/>
              </w:rPr>
            </w:pPr>
          </w:p>
        </w:tc>
        <w:tc>
          <w:tcPr>
            <w:tcW w:w="1240" w:type="dxa"/>
            <w:vAlign w:val="bottom"/>
          </w:tcPr>
          <w:p>
            <w:pPr>
              <w:jc w:val="right"/>
              <w:ind w:right="102"/>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Quarters</w:t>
            </w:r>
          </w:p>
        </w:tc>
        <w:tc>
          <w:tcPr>
            <w:tcW w:w="1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Quarters</w:t>
            </w:r>
          </w:p>
        </w:tc>
      </w:tr>
      <w:tr>
        <w:trPr>
          <w:trHeight w:val="192"/>
        </w:trPr>
        <w:tc>
          <w:tcPr>
            <w:tcW w:w="4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2021</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of 2020</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2021</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2020</w:t>
            </w:r>
          </w:p>
        </w:tc>
      </w:tr>
      <w:tr>
        <w:trPr>
          <w:trHeight w:val="25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Company-owned stores</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r>
      <w:tr>
        <w:trPr>
          <w:trHeight w:val="250"/>
        </w:trPr>
        <w:tc>
          <w:tcPr>
            <w:tcW w:w="4880" w:type="dxa"/>
            <w:vAlign w:val="bottom"/>
          </w:tcPr>
          <w:p>
            <w:pPr>
              <w:ind w:left="200"/>
              <w:spacing w:after="0"/>
              <w:rPr>
                <w:sz w:val="20"/>
                <w:szCs w:val="20"/>
                <w:color w:val="auto"/>
              </w:rPr>
            </w:pPr>
            <w:r>
              <w:rPr>
                <w:rFonts w:ascii="Arial" w:cs="Arial" w:eastAsia="Arial" w:hAnsi="Arial"/>
                <w:sz w:val="18"/>
                <w:szCs w:val="18"/>
                <w:color w:val="auto"/>
              </w:rPr>
              <w:t>U.S. franchise stores</w:t>
            </w:r>
          </w:p>
        </w:tc>
        <w:tc>
          <w:tcPr>
            <w:tcW w:w="9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stores</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4880" w:type="dxa"/>
            <w:vAlign w:val="bottom"/>
          </w:tcPr>
          <w:p>
            <w:pPr>
              <w:ind w:left="200"/>
              <w:spacing w:after="0"/>
              <w:rPr>
                <w:sz w:val="20"/>
                <w:szCs w:val="20"/>
                <w:color w:val="auto"/>
              </w:rPr>
            </w:pPr>
            <w:r>
              <w:rPr>
                <w:rFonts w:ascii="Arial" w:cs="Arial" w:eastAsia="Arial" w:hAnsi="Arial"/>
                <w:sz w:val="18"/>
                <w:szCs w:val="18"/>
                <w:color w:val="auto"/>
              </w:rPr>
              <w:t>International stores (excluding foreign currency impact)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73"/>
        </w:trPr>
        <w:tc>
          <w:tcPr>
            <w:tcW w:w="48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Store Growth Activity</w:t>
      </w:r>
    </w:p>
    <w:p>
      <w:pPr>
        <w:spacing w:after="0" w:line="256" w:lineRule="exact"/>
        <w:rPr>
          <w:sz w:val="20"/>
          <w:szCs w:val="20"/>
          <w:color w:val="auto"/>
        </w:rPr>
      </w:pPr>
    </w:p>
    <w:p>
      <w:pPr>
        <w:ind w:right="240" w:firstLine="255"/>
        <w:spacing w:after="0" w:line="293" w:lineRule="auto"/>
        <w:rPr>
          <w:sz w:val="20"/>
          <w:szCs w:val="20"/>
          <w:color w:val="auto"/>
        </w:rPr>
      </w:pPr>
      <w:r>
        <w:rPr>
          <w:rFonts w:ascii="Arial" w:cs="Arial" w:eastAsia="Arial" w:hAnsi="Arial"/>
          <w:sz w:val="18"/>
          <w:szCs w:val="18"/>
          <w:color w:val="auto"/>
        </w:rPr>
        <w:t>Store counts and net store growth are commonly used statistical measures in the quick-service restaurant industry that are important to understanding performance.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2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Franchise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U.S.</w:t>
            </w: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International</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5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Stores</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5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Store count at June 20, 2021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6,060</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11,631</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shd w:val="clear" w:color="auto" w:fill="CFF0FC"/>
          </w:tcPr>
          <w:p>
            <w:pPr>
              <w:spacing w:after="0"/>
              <w:rPr>
                <w:sz w:val="22"/>
                <w:szCs w:val="22"/>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Openings</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r>
      <w:tr>
        <w:trPr>
          <w:trHeight w:val="25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Closings (1)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(9 )</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r>
      <w:tr>
        <w:trPr>
          <w:trHeight w:val="250"/>
        </w:trPr>
        <w:tc>
          <w:tcPr>
            <w:tcW w:w="51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Store count at September 12,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top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6,104</w:t>
            </w:r>
          </w:p>
        </w:tc>
        <w:tc>
          <w:tcPr>
            <w:tcW w:w="240" w:type="dxa"/>
            <w:vAlign w:val="bottom"/>
            <w:tcBorders>
              <w:top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w:t>
            </w:r>
          </w:p>
        </w:tc>
        <w:tc>
          <w:tcPr>
            <w:tcW w:w="220" w:type="dxa"/>
            <w:vAlign w:val="bottom"/>
            <w:tcBorders>
              <w:top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11,909</w:t>
            </w:r>
          </w:p>
        </w:tc>
        <w:tc>
          <w:tcPr>
            <w:tcW w:w="240" w:type="dxa"/>
            <w:vAlign w:val="bottom"/>
            <w:tcBorders>
              <w:top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tcBorders>
              <w:top w:val="single" w:sz="8" w:color="CFF0FC"/>
            </w:tcBorders>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Third quarter 2021 net store growth</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Trailing four quarters net store growth</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-570865</wp:posOffset>
            </wp:positionV>
            <wp:extent cx="16319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-570865</wp:posOffset>
            </wp:positionV>
            <wp:extent cx="1460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-570865</wp:posOffset>
            </wp:positionV>
            <wp:extent cx="1460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-570865</wp:posOffset>
            </wp:positionV>
            <wp:extent cx="14605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-213995</wp:posOffset>
            </wp:positionV>
            <wp:extent cx="1631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-196215</wp:posOffset>
            </wp:positionV>
            <wp:extent cx="1631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-213995</wp:posOffset>
            </wp:positionV>
            <wp:extent cx="1460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-196215</wp:posOffset>
            </wp:positionV>
            <wp:extent cx="1460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-213995</wp:posOffset>
            </wp:positionV>
            <wp:extent cx="14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-196215</wp:posOffset>
            </wp:positionV>
            <wp:extent cx="1460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-213995</wp:posOffset>
            </wp:positionV>
            <wp:extent cx="1460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-196215</wp:posOffset>
            </wp:positionV>
            <wp:extent cx="1460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760" w:right="140" w:hanging="752"/>
        <w:spacing w:after="0" w:line="359" w:lineRule="auto"/>
        <w:tabs>
          <w:tab w:leader="none" w:pos="371" w:val="left"/>
        </w:tabs>
        <w:numPr>
          <w:ilvl w:val="0"/>
          <w:numId w:val="6"/>
        </w:numPr>
        <w:rPr>
          <w:rFonts w:ascii="Arial" w:cs="Arial" w:eastAsia="Arial" w:hAnsi="Arial"/>
          <w:sz w:val="16"/>
          <w:szCs w:val="16"/>
          <w:color w:val="auto"/>
        </w:rPr>
      </w:pPr>
      <w:r>
        <w:rPr>
          <w:rFonts w:ascii="Arial" w:cs="Arial" w:eastAsia="Arial" w:hAnsi="Arial"/>
          <w:sz w:val="16"/>
          <w:szCs w:val="16"/>
          <w:color w:val="auto"/>
        </w:rPr>
        <w:t>Temporary store closures are not treated as store closures and affected stores are included in the ending store count. Based on information reported to us by our master franchisees, we estimate that as of September 12, 2021, there were fewer than 175 international stores temporarily closed.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Third Quarter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Fiscal Quarters</w:t>
            </w:r>
          </w:p>
        </w:tc>
        <w:tc>
          <w:tcPr>
            <w:tcW w:w="60" w:type="dxa"/>
            <w:vAlign w:val="bottom"/>
          </w:tcPr>
          <w:p>
            <w:pPr>
              <w:spacing w:after="0"/>
              <w:rPr>
                <w:sz w:val="15"/>
                <w:szCs w:val="15"/>
                <w:color w:val="auto"/>
              </w:rPr>
            </w:pPr>
          </w:p>
        </w:tc>
        <w:tc>
          <w:tcPr>
            <w:tcW w:w="1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Three Fiscal Quarters</w:t>
            </w: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9"/>
              </w:rPr>
              <w:t>of 2021</w:t>
            </w: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1"/>
              </w:rPr>
              <w:t>of 2020</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of 2021</w:t>
            </w: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4"/>
                <w:szCs w:val="14"/>
                <w:b w:val="1"/>
                <w:bCs w:val="1"/>
                <w:color w:val="auto"/>
                <w:w w:val="91"/>
              </w:rPr>
              <w:t>of 2020</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240" w:type="dxa"/>
            <w:vAlign w:val="bottom"/>
            <w:shd w:val="clear" w:color="auto" w:fill="CFF0FC"/>
          </w:tcPr>
          <w:p>
            <w:pPr>
              <w:spacing w:after="0"/>
              <w:rPr>
                <w:sz w:val="22"/>
                <w:szCs w:val="22"/>
                <w:color w:val="auto"/>
              </w:rPr>
            </w:pP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$113.3</w:t>
            </w:r>
          </w:p>
        </w:tc>
        <w:tc>
          <w:tcPr>
            <w:tcW w:w="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$337.7</w:t>
            </w:r>
          </w:p>
        </w:tc>
        <w:tc>
          <w:tcPr>
            <w:tcW w:w="540" w:type="dxa"/>
            <w:vAlign w:val="bottom"/>
            <w:shd w:val="clear" w:color="auto" w:fill="CFF0FC"/>
          </w:tcPr>
          <w:p>
            <w:pPr>
              <w:spacing w:after="0"/>
              <w:rPr>
                <w:sz w:val="22"/>
                <w:szCs w:val="22"/>
                <w:color w:val="auto"/>
              </w:rPr>
            </w:pPr>
          </w:p>
        </w:tc>
        <w:tc>
          <w:tcPr>
            <w:tcW w:w="34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$329.8</w:t>
            </w:r>
          </w:p>
        </w:tc>
        <w:tc>
          <w:tcPr>
            <w:tcW w:w="1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U.S. franchise royalties and fees</w:t>
            </w:r>
          </w:p>
        </w:tc>
        <w:tc>
          <w:tcPr>
            <w:tcW w:w="24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121.6</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118.1</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372.9</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335.9</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Supply chain</w:t>
            </w:r>
          </w:p>
        </w:tc>
        <w:tc>
          <w:tcPr>
            <w:tcW w:w="240" w:type="dxa"/>
            <w:vAlign w:val="bottom"/>
            <w:shd w:val="clear" w:color="auto" w:fill="CFF0FC"/>
          </w:tcPr>
          <w:p>
            <w:pPr>
              <w:spacing w:after="0"/>
              <w:rPr>
                <w:sz w:val="22"/>
                <w:szCs w:val="22"/>
                <w:color w:val="auto"/>
              </w:rPr>
            </w:pP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588.8</w:t>
            </w:r>
          </w:p>
        </w:tc>
        <w:tc>
          <w:tcPr>
            <w:tcW w:w="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573.7</w:t>
            </w:r>
          </w:p>
        </w:tc>
        <w:tc>
          <w:tcPr>
            <w:tcW w:w="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1,760.1</w:t>
            </w:r>
          </w:p>
        </w:tc>
        <w:tc>
          <w:tcPr>
            <w:tcW w:w="540" w:type="dxa"/>
            <w:vAlign w:val="bottom"/>
            <w:shd w:val="clear" w:color="auto" w:fill="CFF0FC"/>
          </w:tcPr>
          <w:p>
            <w:pPr>
              <w:spacing w:after="0"/>
              <w:rPr>
                <w:sz w:val="22"/>
                <w:szCs w:val="22"/>
                <w:color w:val="auto"/>
              </w:rPr>
            </w:pPr>
          </w:p>
        </w:tc>
        <w:tc>
          <w:tcPr>
            <w:tcW w:w="34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1,625.5</w:t>
            </w:r>
          </w:p>
        </w:tc>
        <w:tc>
          <w:tcPr>
            <w:tcW w:w="1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International franchise royalties and fees</w:t>
            </w:r>
          </w:p>
        </w:tc>
        <w:tc>
          <w:tcPr>
            <w:tcW w:w="24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160.2</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U.S. franchise advertising</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108.1</w:t>
            </w:r>
          </w:p>
        </w:tc>
        <w:tc>
          <w:tcPr>
            <w:tcW w:w="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336.3</w:t>
            </w:r>
          </w:p>
        </w:tc>
        <w:tc>
          <w:tcPr>
            <w:tcW w:w="54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right w:val="single" w:sz="8" w:color="CFF0FC"/>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309.4</w:t>
            </w:r>
          </w:p>
        </w:tc>
        <w:tc>
          <w:tcPr>
            <w:tcW w:w="16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998.0</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967.7</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3,014.2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2,760.8</w:t>
            </w: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240" w:type="dxa"/>
            <w:vAlign w:val="bottom"/>
            <w:shd w:val="clear" w:color="auto" w:fill="CFF0FC"/>
          </w:tcPr>
          <w:p>
            <w:pPr>
              <w:spacing w:after="0"/>
              <w:rPr>
                <w:sz w:val="22"/>
                <w:szCs w:val="22"/>
                <w:color w:val="auto"/>
              </w:rPr>
            </w:pP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90.8</w:t>
            </w:r>
          </w:p>
        </w:tc>
        <w:tc>
          <w:tcPr>
            <w:tcW w:w="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260.7</w:t>
            </w:r>
          </w:p>
        </w:tc>
        <w:tc>
          <w:tcPr>
            <w:tcW w:w="540" w:type="dxa"/>
            <w:vAlign w:val="bottom"/>
            <w:shd w:val="clear" w:color="auto" w:fill="CFF0FC"/>
          </w:tcPr>
          <w:p>
            <w:pPr>
              <w:spacing w:after="0"/>
              <w:rPr>
                <w:sz w:val="22"/>
                <w:szCs w:val="22"/>
                <w:color w:val="auto"/>
              </w:rPr>
            </w:pPr>
          </w:p>
        </w:tc>
        <w:tc>
          <w:tcPr>
            <w:tcW w:w="34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Supply chain</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525.9</w:t>
            </w:r>
          </w:p>
        </w:tc>
        <w:tc>
          <w:tcPr>
            <w:tcW w:w="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515.0</w:t>
            </w:r>
          </w:p>
        </w:tc>
        <w:tc>
          <w:tcPr>
            <w:tcW w:w="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1,571.4</w:t>
            </w:r>
          </w:p>
        </w:tc>
        <w:tc>
          <w:tcPr>
            <w:tcW w:w="5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1,443.6</w:t>
            </w: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 cost of sales</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605.7</w:t>
            </w:r>
          </w:p>
        </w:tc>
        <w:tc>
          <w:tcPr>
            <w:tcW w:w="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1,832.1</w:t>
            </w:r>
          </w:p>
        </w:tc>
        <w:tc>
          <w:tcPr>
            <w:tcW w:w="8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60.8%</w:t>
            </w:r>
          </w:p>
        </w:tc>
        <w:tc>
          <w:tcPr>
            <w:tcW w:w="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1,701.6</w:t>
            </w: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50"/>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385.2</w:t>
            </w:r>
          </w:p>
        </w:tc>
        <w:tc>
          <w:tcPr>
            <w:tcW w:w="40" w:type="dxa"/>
            <w:vAlign w:val="bottom"/>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21"/>
                <w:szCs w:val="21"/>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362.0</w:t>
            </w:r>
          </w:p>
        </w:tc>
        <w:tc>
          <w:tcPr>
            <w:tcW w:w="40" w:type="dxa"/>
            <w:vAlign w:val="bottom"/>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21"/>
                <w:szCs w:val="2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1,182.0</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39.2%</w:t>
            </w:r>
          </w:p>
        </w:tc>
        <w:tc>
          <w:tcPr>
            <w:tcW w:w="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1,059.2</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7"/>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288.0</w:t>
            </w: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268.2</w:t>
            </w:r>
          </w:p>
        </w:tc>
        <w:tc>
          <w:tcPr>
            <w:tcW w:w="1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U.S. franchise advertising</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108.6</w:t>
            </w:r>
          </w:p>
        </w:tc>
        <w:tc>
          <w:tcPr>
            <w:tcW w:w="40" w:type="dxa"/>
            <w:vAlign w:val="bottom"/>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1"/>
                <w:szCs w:val="21"/>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108.1</w:t>
            </w:r>
          </w:p>
        </w:tc>
        <w:tc>
          <w:tcPr>
            <w:tcW w:w="40" w:type="dxa"/>
            <w:vAlign w:val="bottom"/>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1"/>
                <w:szCs w:val="21"/>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336.3</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309.4</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6"/>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FF0FC"/>
          </w:tcPr>
          <w:p>
            <w:pPr>
              <w:spacing w:after="0"/>
              <w:rPr>
                <w:sz w:val="22"/>
                <w:szCs w:val="22"/>
                <w:color w:val="auto"/>
              </w:rPr>
            </w:pP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162.2</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40" w:type="dxa"/>
            <w:vAlign w:val="bottom"/>
            <w:shd w:val="clear" w:color="auto" w:fill="CFF0FC"/>
          </w:tcPr>
          <w:p>
            <w:pPr>
              <w:spacing w:after="0"/>
              <w:rPr>
                <w:sz w:val="22"/>
                <w:szCs w:val="22"/>
                <w:color w:val="auto"/>
              </w:rPr>
            </w:pP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557.7</w:t>
            </w: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481.6</w:t>
            </w:r>
          </w:p>
        </w:tc>
        <w:tc>
          <w:tcPr>
            <w:tcW w:w="1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0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7"/>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(38.4)</w:t>
            </w:r>
          </w:p>
        </w:tc>
        <w:tc>
          <w:tcPr>
            <w:tcW w:w="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(130.7)</w:t>
            </w:r>
          </w:p>
        </w:tc>
        <w:tc>
          <w:tcPr>
            <w:tcW w:w="8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(116.0)</w:t>
            </w: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134.8</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13.5%</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123.8</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429.5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365.6</w:t>
            </w: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24.6</w:t>
            </w:r>
          </w:p>
        </w:tc>
        <w:tc>
          <w:tcPr>
            <w:tcW w:w="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c>
          <w:tcPr>
            <w:tcW w:w="8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$120.4</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12.1%</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$99.1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$354.80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$339.4</w:t>
            </w: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Third Quarter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Three Fiscal Quarters</w:t>
            </w:r>
          </w:p>
        </w:tc>
        <w:tc>
          <w:tcPr>
            <w:tcW w:w="60" w:type="dxa"/>
            <w:vAlign w:val="bottom"/>
          </w:tcPr>
          <w:p>
            <w:pPr>
              <w:spacing w:after="0"/>
              <w:rPr>
                <w:sz w:val="24"/>
                <w:szCs w:val="24"/>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Three Fiscal Quarters</w:t>
            </w: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of 2021</w:t>
            </w: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of 2020</w:t>
            </w: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of 2021</w:t>
            </w: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13"/>
              <w:spacing w:after="0"/>
              <w:rPr>
                <w:sz w:val="20"/>
                <w:szCs w:val="20"/>
                <w:color w:val="auto"/>
              </w:rPr>
            </w:pPr>
            <w:r>
              <w:rPr>
                <w:rFonts w:ascii="Arial" w:cs="Arial" w:eastAsia="Arial" w:hAnsi="Arial"/>
                <w:sz w:val="14"/>
                <w:szCs w:val="14"/>
                <w:b w:val="1"/>
                <w:bCs w:val="1"/>
                <w:color w:val="auto"/>
                <w:w w:val="91"/>
              </w:rPr>
              <w:t>of 2020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9"/>
              </w:rPr>
              <w:t>10.8 %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11.7 %</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80" w:type="dxa"/>
            <w:vAlign w:val="bottom"/>
            <w:tcBorders>
              <w:right w:val="single" w:sz="8" w:color="CFF0FC"/>
            </w:tcBorders>
            <w:shd w:val="clear" w:color="auto" w:fill="CFF0FC"/>
          </w:tcPr>
          <w:p>
            <w:pPr>
              <w:spacing w:after="0"/>
              <w:rPr>
                <w:sz w:val="22"/>
                <w:szCs w:val="22"/>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11.2 %</w:t>
            </w:r>
          </w:p>
        </w:tc>
        <w:tc>
          <w:tcPr>
            <w:tcW w:w="60" w:type="dxa"/>
            <w:vAlign w:val="bottom"/>
            <w:shd w:val="clear" w:color="auto" w:fill="CFF0FC"/>
          </w:tcPr>
          <w:p>
            <w:pPr>
              <w:jc w:val="right"/>
              <w:spacing w:after="0"/>
              <w:rPr>
                <w:sz w:val="20"/>
                <w:szCs w:val="20"/>
                <w:color w:val="auto"/>
              </w:rPr>
            </w:pPr>
            <w:r>
              <w:rPr>
                <w:rFonts w:ascii="Arial" w:cs="Arial" w:eastAsia="Arial" w:hAnsi="Arial"/>
                <w:sz w:val="4"/>
                <w:szCs w:val="4"/>
                <w:color w:val="auto"/>
                <w:w w:val="87"/>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w:t>
            </w:r>
          </w:p>
        </w:tc>
        <w:tc>
          <w:tcPr>
            <w:tcW w:w="14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5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U.S. franchise royalties and fees</w:t>
            </w: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12.2 %</w:t>
            </w: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12.2 %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372.9</w:t>
            </w: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12.4 %</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63"/>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Supply chain</w:t>
            </w:r>
          </w:p>
        </w:tc>
        <w:tc>
          <w:tcPr>
            <w:tcW w:w="24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588.8</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9"/>
              </w:rPr>
              <w:t>59.0 %</w:t>
            </w:r>
          </w:p>
        </w:tc>
        <w:tc>
          <w:tcPr>
            <w:tcW w:w="18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573.7</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59.3 %</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1,760.1</w:t>
            </w:r>
          </w:p>
        </w:tc>
        <w:tc>
          <w:tcPr>
            <w:tcW w:w="180" w:type="dxa"/>
            <w:vAlign w:val="bottom"/>
            <w:tcBorders>
              <w:right w:val="single" w:sz="8" w:color="CFF0FC"/>
            </w:tcBorders>
            <w:shd w:val="clear" w:color="auto" w:fill="CFF0FC"/>
          </w:tcPr>
          <w:p>
            <w:pPr>
              <w:spacing w:after="0"/>
              <w:rPr>
                <w:sz w:val="22"/>
                <w:szCs w:val="22"/>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58.4 %</w:t>
            </w:r>
          </w:p>
        </w:tc>
        <w:tc>
          <w:tcPr>
            <w:tcW w:w="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1,625.5</w:t>
            </w:r>
          </w:p>
        </w:tc>
        <w:tc>
          <w:tcPr>
            <w:tcW w:w="14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25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International franchise royalties and fees</w:t>
            </w: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7.1 %</w:t>
            </w: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207.1</w:t>
            </w: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6.9 %</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57"/>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franchise advertising</w:t>
            </w:r>
          </w:p>
        </w:tc>
        <w:tc>
          <w:tcPr>
            <w:tcW w:w="24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9"/>
              </w:rPr>
              <w:t>10.9 %</w:t>
            </w:r>
          </w:p>
        </w:tc>
        <w:tc>
          <w:tcPr>
            <w:tcW w:w="18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11.2 %</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180" w:type="dxa"/>
            <w:vAlign w:val="bottom"/>
            <w:tcBorders>
              <w:right w:val="single" w:sz="8" w:color="CFF0FC"/>
            </w:tcBorders>
            <w:shd w:val="clear" w:color="auto" w:fill="CFF0FC"/>
          </w:tcPr>
          <w:p>
            <w:pPr>
              <w:spacing w:after="0"/>
              <w:rPr>
                <w:sz w:val="22"/>
                <w:szCs w:val="22"/>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11.1 %</w:t>
            </w:r>
          </w:p>
        </w:tc>
        <w:tc>
          <w:tcPr>
            <w:tcW w:w="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4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72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998.0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100.0 %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967.7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100.0 %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3,014.2</w:t>
            </w: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100.0 %</w:t>
            </w:r>
          </w:p>
        </w:tc>
        <w:tc>
          <w:tcPr>
            <w:tcW w:w="60" w:type="dxa"/>
            <w:vAlign w:val="bottom"/>
          </w:tcPr>
          <w:p>
            <w:pPr>
              <w:jc w:val="right"/>
              <w:spacing w:after="0"/>
              <w:rPr>
                <w:sz w:val="20"/>
                <w:szCs w:val="20"/>
                <w:color w:val="auto"/>
              </w:rPr>
            </w:pPr>
            <w:r>
              <w:rPr>
                <w:rFonts w:ascii="Arial" w:cs="Arial" w:eastAsia="Arial" w:hAnsi="Arial"/>
                <w:sz w:val="4"/>
                <w:szCs w:val="4"/>
                <w:color w:val="auto"/>
                <w:w w:val="87"/>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2,760.8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-3862705</wp:posOffset>
            </wp:positionV>
            <wp:extent cx="2540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-3862705</wp:posOffset>
            </wp:positionV>
            <wp:extent cx="2540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-3862705</wp:posOffset>
            </wp:positionV>
            <wp:extent cx="254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-3862705</wp:posOffset>
            </wp:positionV>
            <wp:extent cx="1714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-3862705</wp:posOffset>
            </wp:positionV>
            <wp:extent cx="1714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-3862705</wp:posOffset>
            </wp:positionV>
            <wp:extent cx="1714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-3862705</wp:posOffset>
            </wp:positionV>
            <wp:extent cx="1714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-3194050</wp:posOffset>
            </wp:positionV>
            <wp:extent cx="254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-3194050</wp:posOffset>
            </wp:positionV>
            <wp:extent cx="2540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-3194050</wp:posOffset>
            </wp:positionV>
            <wp:extent cx="2540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-3194050</wp:posOffset>
            </wp:positionV>
            <wp:extent cx="1714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-3194050</wp:posOffset>
            </wp:positionV>
            <wp:extent cx="1714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-3194050</wp:posOffset>
            </wp:positionV>
            <wp:extent cx="1714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-3194050</wp:posOffset>
            </wp:positionV>
            <wp:extent cx="1714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-2190750</wp:posOffset>
            </wp:positionV>
            <wp:extent cx="254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-2190750</wp:posOffset>
            </wp:positionV>
            <wp:extent cx="2540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-2190750</wp:posOffset>
            </wp:positionV>
            <wp:extent cx="2540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-2190750</wp:posOffset>
            </wp:positionV>
            <wp:extent cx="1714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-2190750</wp:posOffset>
            </wp:positionV>
            <wp:extent cx="1714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-2190750</wp:posOffset>
            </wp:positionV>
            <wp:extent cx="1714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-2190750</wp:posOffset>
            </wp:positionV>
            <wp:extent cx="1714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-1856740</wp:posOffset>
            </wp:positionV>
            <wp:extent cx="254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-1856740</wp:posOffset>
            </wp:positionV>
            <wp:extent cx="254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-1856740</wp:posOffset>
            </wp:positionV>
            <wp:extent cx="254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-1856740</wp:posOffset>
            </wp:positionV>
            <wp:extent cx="1714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-1856740</wp:posOffset>
            </wp:positionV>
            <wp:extent cx="1714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-1856740</wp:posOffset>
            </wp:positionV>
            <wp:extent cx="1714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-1856740</wp:posOffset>
            </wp:positionV>
            <wp:extent cx="1714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-193675</wp:posOffset>
            </wp:positionV>
            <wp:extent cx="946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-193675</wp:posOffset>
            </wp:positionV>
            <wp:extent cx="18859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-193675</wp:posOffset>
            </wp:positionV>
            <wp:extent cx="939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-193675</wp:posOffset>
            </wp:positionV>
            <wp:extent cx="18859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768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-193675</wp:posOffset>
            </wp:positionV>
            <wp:extent cx="17145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-193675</wp:posOffset>
            </wp:positionV>
            <wp:extent cx="768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-193675</wp:posOffset>
            </wp:positionV>
            <wp:extent cx="1543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49" w:lineRule="exact"/>
        <w:rPr>
          <w:sz w:val="20"/>
          <w:szCs w:val="20"/>
          <w:color w:val="auto"/>
        </w:rPr>
      </w:pPr>
    </w:p>
    <w:p>
      <w:pPr>
        <w:ind w:firstLine="255"/>
        <w:spacing w:after="0" w:line="266" w:lineRule="auto"/>
        <w:rPr>
          <w:sz w:val="20"/>
          <w:szCs w:val="20"/>
          <w:color w:val="auto"/>
        </w:rPr>
      </w:pPr>
      <w:r>
        <w:rPr>
          <w:rFonts w:ascii="Arial" w:cs="Arial" w:eastAsia="Arial" w:hAnsi="Arial"/>
          <w:sz w:val="18"/>
          <w:szCs w:val="18"/>
          <w:color w:val="auto"/>
        </w:rPr>
        <w:t>Revenues primarily consist of retail sales from our Company-owned stores, royalties, advertising contributions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U.S. Stores Revenues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5"/>
                <w:szCs w:val="15"/>
                <w:color w:val="auto"/>
              </w:rPr>
            </w:pPr>
          </w:p>
        </w:tc>
        <w:tc>
          <w:tcPr>
            <w:tcW w:w="16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5"/>
                <w:szCs w:val="15"/>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Three Fiscal Quarters</w:t>
            </w:r>
          </w:p>
        </w:tc>
        <w:tc>
          <w:tcPr>
            <w:tcW w:w="120" w:type="dxa"/>
            <w:vAlign w:val="bottom"/>
          </w:tcPr>
          <w:p>
            <w:pPr>
              <w:spacing w:after="0"/>
              <w:rPr>
                <w:sz w:val="15"/>
                <w:szCs w:val="15"/>
                <w:color w:val="auto"/>
              </w:rPr>
            </w:pPr>
          </w:p>
        </w:tc>
        <w:tc>
          <w:tcPr>
            <w:tcW w:w="17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Three Fiscal Quarters</w:t>
            </w:r>
          </w:p>
        </w:tc>
      </w:tr>
      <w:tr>
        <w:trPr>
          <w:trHeight w:val="192"/>
        </w:trPr>
        <w:tc>
          <w:tcPr>
            <w:tcW w:w="3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196"/>
              <w:spacing w:after="0"/>
              <w:rPr>
                <w:sz w:val="20"/>
                <w:szCs w:val="20"/>
                <w:color w:val="auto"/>
              </w:rPr>
            </w:pPr>
            <w:r>
              <w:rPr>
                <w:rFonts w:ascii="Arial" w:cs="Arial" w:eastAsia="Arial" w:hAnsi="Arial"/>
                <w:sz w:val="14"/>
                <w:szCs w:val="14"/>
                <w:b w:val="1"/>
                <w:bCs w:val="1"/>
                <w:color w:val="auto"/>
                <w:w w:val="91"/>
              </w:rPr>
              <w:t>of 2021</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left="196"/>
              <w:spacing w:after="0"/>
              <w:rPr>
                <w:sz w:val="20"/>
                <w:szCs w:val="20"/>
                <w:color w:val="auto"/>
              </w:rPr>
            </w:pPr>
            <w:r>
              <w:rPr>
                <w:rFonts w:ascii="Arial" w:cs="Arial" w:eastAsia="Arial" w:hAnsi="Arial"/>
                <w:sz w:val="14"/>
                <w:szCs w:val="14"/>
                <w:b w:val="1"/>
                <w:bCs w:val="1"/>
                <w:color w:val="auto"/>
                <w:w w:val="91"/>
              </w:rPr>
              <w:t>of 2020</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91"/>
              </w:rPr>
              <w:t>of 2021</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b w:val="1"/>
                <w:bCs w:val="1"/>
                <w:color w:val="auto"/>
                <w:w w:val="91"/>
              </w:rPr>
              <w:t>of 2020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5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33.8 %</w:t>
            </w: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U.S. franchise royalties and fees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35.9 %</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34.8 %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35.6 %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34.5 %</w:t>
            </w:r>
          </w:p>
        </w:tc>
      </w:tr>
      <w:tr>
        <w:trPr>
          <w:trHeight w:val="25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franchise advertising</w:t>
            </w: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32.1 %</w:t>
            </w: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31.8 %</w:t>
            </w:r>
          </w:p>
        </w:tc>
        <w:tc>
          <w:tcPr>
            <w:tcW w:w="1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32.1 %</w:t>
            </w:r>
          </w:p>
        </w:tc>
        <w:tc>
          <w:tcPr>
            <w:tcW w:w="1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31.7 %</w:t>
            </w:r>
          </w:p>
        </w:tc>
      </w:tr>
      <w:tr>
        <w:trPr>
          <w:trHeight w:val="20"/>
        </w:trPr>
        <w:tc>
          <w:tcPr>
            <w:tcW w:w="35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U.S. stores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338.6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100.0 %</w:t>
            </w:r>
          </w:p>
        </w:tc>
      </w:tr>
      <w:tr>
        <w:trPr>
          <w:trHeight w:val="20"/>
        </w:trPr>
        <w:tc>
          <w:tcPr>
            <w:tcW w:w="3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-193675</wp:posOffset>
            </wp:positionV>
            <wp:extent cx="8572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-193675</wp:posOffset>
            </wp:positionV>
            <wp:extent cx="1803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-193675</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-193675</wp:posOffset>
            </wp:positionV>
            <wp:extent cx="1714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-193675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-193675</wp:posOffset>
            </wp:positionV>
            <wp:extent cx="17145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-193675</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-193675</wp:posOffset>
            </wp:positionV>
            <wp:extent cx="1543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Company-owned Stores</w:t>
      </w:r>
    </w:p>
    <w:p>
      <w:pPr>
        <w:spacing w:after="0" w:line="198" w:lineRule="exact"/>
        <w:rPr>
          <w:sz w:val="20"/>
          <w:szCs w:val="20"/>
          <w:color w:val="auto"/>
        </w:rPr>
      </w:pPr>
    </w:p>
    <w:p>
      <w:pPr>
        <w:ind w:right="40" w:firstLine="255"/>
        <w:spacing w:after="0" w:line="272" w:lineRule="auto"/>
        <w:rPr>
          <w:sz w:val="20"/>
          <w:szCs w:val="20"/>
          <w:color w:val="auto"/>
        </w:rPr>
      </w:pPr>
      <w:r>
        <w:rPr>
          <w:rFonts w:ascii="Arial" w:cs="Arial" w:eastAsia="Arial" w:hAnsi="Arial"/>
          <w:sz w:val="18"/>
          <w:szCs w:val="18"/>
          <w:color w:val="auto"/>
        </w:rPr>
        <w:t>Revenues from U.S. Company-owned store operations decreased $4.8 million, or 4.3%, in the third quarter of 2021 due to a decrease in U.S. Company-owned same store sales. This decrease was partially offset by an increase in the average number of U.S. Company-owned stores open during the period resulting from net store growth. Revenues from U.S. Company-owned store operations increased $7.9 million, or 2.4%, in the three fiscal quarters of 2021 due to an increase in the average number of U.S. Company-owned stores open during the period resulting from net store growth, partially offset by a decrease in U.S. Company-owned same store sales.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U.S. Company-owned same store sales decreased 8.9% in the third quarter of 2021 and decreased 2.0% in the three fiscal quarters of 2021.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Company-owned same store sales increased 16.6% in the third quarter of 2020 and increased 12.4% in the three fiscal quarters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Royalties and Fees</w:t>
      </w:r>
    </w:p>
    <w:p>
      <w:pPr>
        <w:spacing w:after="0" w:line="158" w:lineRule="exact"/>
        <w:rPr>
          <w:sz w:val="20"/>
          <w:szCs w:val="20"/>
          <w:color w:val="auto"/>
        </w:rPr>
      </w:pPr>
    </w:p>
    <w:p>
      <w:pPr>
        <w:ind w:right="40" w:firstLine="255"/>
        <w:spacing w:after="0" w:line="308" w:lineRule="auto"/>
        <w:rPr>
          <w:sz w:val="20"/>
          <w:szCs w:val="20"/>
          <w:color w:val="auto"/>
        </w:rPr>
      </w:pPr>
      <w:r>
        <w:rPr>
          <w:rFonts w:ascii="Arial" w:cs="Arial" w:eastAsia="Arial" w:hAnsi="Arial"/>
          <w:sz w:val="16"/>
          <w:szCs w:val="16"/>
          <w:color w:val="auto"/>
        </w:rPr>
        <w:t>Revenues from U.S. franchise royalties and fees increased $3.6 million, or 3.0%, in the third quarter of 2021 due primarily to an increase in the average number of U.S. franchised stores open during the period resulting from net store growth. The decrease in U.S. franchise same store sales partially offset the increase in U.S. franchise royalties and fee revenues. Revenues from U.S. franchise royalties and fees increased $37.0 million, or 11.0%, in the three fiscal quarters of 2021 due primarily to higher same store sales and an increase in the average number of U.S. franchised stores open during the period resulting from net store growth. U.S. franchise royalties were also negatively impacted by $3.0 million in the three fiscal quarters of 2020 as a result of funding we provided to our franchisees as part of an effort to donate 10 million slices of pizza to people and organizations at the frontlines of the COVID-19 pandemic in the franchisees’ local communities. U.S. franchise royalties and fees further benefited in both the third quarter and three fiscal quarters of 2021 from an increase in revenues from fees paid by franchisees for the use of our technology platforms.</w:t>
      </w:r>
    </w:p>
    <w:p>
      <w:pPr>
        <w:spacing w:after="0" w:line="177" w:lineRule="exact"/>
        <w:rPr>
          <w:sz w:val="20"/>
          <w:szCs w:val="20"/>
          <w:color w:val="auto"/>
        </w:rPr>
      </w:pPr>
    </w:p>
    <w:p>
      <w:pPr>
        <w:ind w:right="100" w:firstLine="255"/>
        <w:spacing w:after="0" w:line="293" w:lineRule="auto"/>
        <w:rPr>
          <w:sz w:val="20"/>
          <w:szCs w:val="20"/>
          <w:color w:val="auto"/>
        </w:rPr>
      </w:pPr>
      <w:r>
        <w:rPr>
          <w:rFonts w:ascii="Arial" w:cs="Arial" w:eastAsia="Arial" w:hAnsi="Arial"/>
          <w:sz w:val="18"/>
          <w:szCs w:val="18"/>
          <w:color w:val="auto"/>
        </w:rPr>
        <w:t>U.S. franchise same store sales decreased 1.5% in the third quarter of 2021 and increased 5.1% in the three fiscal quarters of 2021. U.S. franchise same store sales increased 17.5% in the third quarter of 2020 and increased 11.6% in the three fiscal quarters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Advertising</w:t>
      </w:r>
    </w:p>
    <w:p>
      <w:pPr>
        <w:spacing w:after="0" w:line="158" w:lineRule="exact"/>
        <w:rPr>
          <w:sz w:val="20"/>
          <w:szCs w:val="20"/>
          <w:color w:val="auto"/>
        </w:rPr>
      </w:pPr>
    </w:p>
    <w:p>
      <w:pPr>
        <w:ind w:right="120" w:firstLine="284"/>
        <w:spacing w:after="0" w:line="254" w:lineRule="auto"/>
        <w:rPr>
          <w:sz w:val="20"/>
          <w:szCs w:val="20"/>
          <w:color w:val="auto"/>
        </w:rPr>
      </w:pPr>
      <w:r>
        <w:rPr>
          <w:rFonts w:ascii="Arial" w:cs="Arial" w:eastAsia="Arial" w:hAnsi="Arial"/>
          <w:sz w:val="18"/>
          <w:szCs w:val="18"/>
          <w:color w:val="auto"/>
        </w:rPr>
        <w:t>Revenues from U.S. franchise advertising increased $0.4 million, or 0.4%, in the third quarter of 2021 due primarily to an increase in the average number of U.S. franchised stores open during the period, resulting from net store growth. This increase was partially offset by a decrease in U.S. franchise same store sales as well as approximately $2.8 million in advertising incentives related to the Domino’s Surprise Frees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promotion. Revenues from U.S. franchise advertising increased $26.9 million, or 8.7%, in the three fiscal quarters of 2021, due primarily to same store sales growth and an increase in the average number of U.S. franchised stores open during the period, resulting from net store growth. These increases were partially offset by the advertising incentives referenced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212" w:lineRule="exact"/>
        <w:rPr>
          <w:sz w:val="20"/>
          <w:szCs w:val="20"/>
          <w:color w:val="auto"/>
        </w:rPr>
      </w:pPr>
    </w:p>
    <w:p>
      <w:pPr>
        <w:ind w:right="60" w:firstLine="255"/>
        <w:spacing w:after="0" w:line="299" w:lineRule="auto"/>
        <w:rPr>
          <w:sz w:val="20"/>
          <w:szCs w:val="20"/>
          <w:color w:val="auto"/>
        </w:rPr>
      </w:pPr>
      <w:r>
        <w:rPr>
          <w:rFonts w:ascii="Arial" w:cs="Arial" w:eastAsia="Arial" w:hAnsi="Arial"/>
          <w:sz w:val="16"/>
          <w:szCs w:val="16"/>
          <w:color w:val="auto"/>
        </w:rPr>
        <w:t>Supply chain revenues increased $15.2 million, or 2.6%, in the third quarter of 2021, due primarily to higher market basket pricing to stores and higher revenues from sales of equipment to U.S. franchised stores. Supply chain revenues increased $134.6 million, or 8.3%, in the three fiscal quarters of 2021, due primarily to higher volumes from increased orders and higher market basket pricing to stores. Our market basket pricing to stores increased 2.1% during the third quarter of 2021, which resulted in an estimated $6.3 million increase in supply chain revenues. Our market basket pricing to stores increased 2.6% during the three fiscal quarters of 2021, which resulted in an estimated $38.0 million increase in supply chain revenues.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International Franchise Royalties and Fee Revenues</w:t>
      </w:r>
    </w:p>
    <w:p>
      <w:pPr>
        <w:spacing w:after="0" w:line="131" w:lineRule="exact"/>
        <w:rPr>
          <w:sz w:val="20"/>
          <w:szCs w:val="20"/>
          <w:color w:val="auto"/>
        </w:rPr>
      </w:pPr>
    </w:p>
    <w:p>
      <w:pPr>
        <w:ind w:right="20" w:firstLine="255"/>
        <w:spacing w:after="0" w:line="309" w:lineRule="auto"/>
        <w:rPr>
          <w:sz w:val="20"/>
          <w:szCs w:val="20"/>
          <w:color w:val="auto"/>
        </w:rPr>
      </w:pPr>
      <w:r>
        <w:rPr>
          <w:rFonts w:ascii="Arial" w:cs="Arial" w:eastAsia="Arial" w:hAnsi="Arial"/>
          <w:sz w:val="16"/>
          <w:szCs w:val="16"/>
          <w:color w:val="auto"/>
        </w:rPr>
        <w:t>Revenues from international franchise royalties and fees increased $16.0 million, or 29.2%, in the third quarter of 2021, and increased $46.9 million, or 29.3%, in the three fiscal quarters of 2021 due primarily to higher retail sales resulting from same store sales growth and an increase in the average number of international franchised stores open during the period, resulting from net store growth. These increases in retail sales were benefited by the reopening and resumption of normal store hours and operating procedures at certain of the Company’s international franchised stores that had been temporarily closed or affected by changes in operating procedures and store hours for portions of the second and third quarters of 2020 as a result of the COVID-19 pandemic. The positive impact of changes in foreign currency exchange rates of $1.3 million and $7.4 million in the third quarter of 2021 and three fiscal quarters of 2021, respectively, also contributed to the increases in international franchise royalties and fees revenues.</w:t>
      </w:r>
    </w:p>
    <w:p>
      <w:pPr>
        <w:spacing w:after="0" w:line="56" w:lineRule="exact"/>
        <w:rPr>
          <w:sz w:val="20"/>
          <w:szCs w:val="20"/>
          <w:color w:val="auto"/>
        </w:rPr>
      </w:pPr>
    </w:p>
    <w:p>
      <w:pPr>
        <w:jc w:val="both"/>
        <w:ind w:right="460" w:firstLine="255"/>
        <w:spacing w:after="0" w:line="303" w:lineRule="auto"/>
        <w:rPr>
          <w:sz w:val="20"/>
          <w:szCs w:val="20"/>
          <w:color w:val="auto"/>
        </w:rPr>
      </w:pPr>
      <w:r>
        <w:rPr>
          <w:rFonts w:ascii="Arial" w:cs="Arial" w:eastAsia="Arial" w:hAnsi="Arial"/>
          <w:sz w:val="17"/>
          <w:szCs w:val="17"/>
          <w:color w:val="auto"/>
        </w:rPr>
        <w:t>Excluding the impact of foreign currency exchange rates, international franchise same store sales increased 8.8% in the third quarter of 2021, and increased 11.4% in the three fiscal quarters of 2021. Excluding the impact of foreign currency exchange rates, international franchise same store sales increased 6.2% in the third quarter of 2020, and increased 3.0% in the three fiscal quarters of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Sales / Operating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5"/>
                <w:szCs w:val="15"/>
                <w:color w:val="auto"/>
              </w:rPr>
            </w:pPr>
          </w:p>
        </w:tc>
        <w:tc>
          <w:tcPr>
            <w:tcW w:w="17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8"/>
              </w:rPr>
              <w:t>Third Quarter</w:t>
            </w:r>
          </w:p>
        </w:tc>
        <w:tc>
          <w:tcPr>
            <w:tcW w:w="120" w:type="dxa"/>
            <w:vAlign w:val="bottom"/>
          </w:tcPr>
          <w:p>
            <w:pPr>
              <w:spacing w:after="0"/>
              <w:rPr>
                <w:sz w:val="15"/>
                <w:szCs w:val="15"/>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Three Fiscal Quarters</w:t>
            </w:r>
          </w:p>
        </w:tc>
        <w:tc>
          <w:tcPr>
            <w:tcW w:w="120" w:type="dxa"/>
            <w:vAlign w:val="bottom"/>
          </w:tcPr>
          <w:p>
            <w:pPr>
              <w:spacing w:after="0"/>
              <w:rPr>
                <w:sz w:val="15"/>
                <w:szCs w:val="15"/>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Three Fiscal Quarters</w:t>
            </w: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91"/>
              </w:rPr>
              <w:t>of 2021</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91"/>
              </w:rPr>
              <w:t>of 2020</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1"/>
              </w:rPr>
              <w:t>of 2021</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1"/>
              </w:rPr>
              <w:t>of 2020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5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998.0</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967.7</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3,014.2</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2,760.8</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6"/>
              </w:rPr>
              <w:t>100.0 %</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Consolidated cost of sales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61.4 %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62.6 %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60.8 %</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61.6 %</w:t>
            </w:r>
          </w:p>
        </w:tc>
      </w:tr>
      <w:tr>
        <w:trPr>
          <w:trHeight w:val="20"/>
        </w:trPr>
        <w:tc>
          <w:tcPr>
            <w:tcW w:w="3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3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Consolidated operating margin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w:t>
            </w:r>
          </w:p>
        </w:tc>
        <w:tc>
          <w:tcPr>
            <w:tcW w:w="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1,059.2</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38.4 %</w:t>
            </w: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-24765</wp:posOffset>
            </wp:positionV>
            <wp:extent cx="946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946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1885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1885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93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1797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1797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1714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1714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4" w:lineRule="exact"/>
        <w:rPr>
          <w:sz w:val="20"/>
          <w:szCs w:val="20"/>
          <w:color w:val="auto"/>
        </w:rPr>
      </w:pPr>
    </w:p>
    <w:p>
      <w:pPr>
        <w:ind w:right="40" w:firstLine="255"/>
        <w:spacing w:after="0" w:line="272" w:lineRule="auto"/>
        <w:rPr>
          <w:sz w:val="20"/>
          <w:szCs w:val="20"/>
          <w:color w:val="auto"/>
        </w:rPr>
      </w:pPr>
      <w:r>
        <w:rPr>
          <w:rFonts w:ascii="Arial" w:cs="Arial" w:eastAsia="Arial" w:hAnsi="Arial"/>
          <w:sz w:val="18"/>
          <w:szCs w:val="18"/>
          <w:color w:val="auto"/>
        </w:rPr>
        <w:t>Consolidated cost of sales consists primarily of U.S. Company-owned store and supply chain costs incurred to generate related revenues. Components of consolidated cost of sales primarily include food, labor, delivery and occupancy costs. Consolidated operating margin (which we define as revenues less cost of sales) increased $23.2 million, or 6.4%, in the third quarter of 2021, and increased $122.8 million, or 11.6%, in the three fiscal quarters of 2021, due primarily to higher global franchise revenues. Franchise revenues do not have a cost of sales component, so changes in these revenues have a disproportionate effect on the operating margin.</w:t>
      </w:r>
    </w:p>
    <w:p>
      <w:pPr>
        <w:spacing w:after="0" w:line="83" w:lineRule="exact"/>
        <w:rPr>
          <w:sz w:val="20"/>
          <w:szCs w:val="20"/>
          <w:color w:val="auto"/>
        </w:rPr>
      </w:pPr>
    </w:p>
    <w:p>
      <w:pPr>
        <w:ind w:right="320" w:firstLine="255"/>
        <w:spacing w:after="0" w:line="319" w:lineRule="auto"/>
        <w:rPr>
          <w:sz w:val="20"/>
          <w:szCs w:val="20"/>
          <w:color w:val="auto"/>
        </w:rPr>
      </w:pPr>
      <w:r>
        <w:rPr>
          <w:rFonts w:ascii="Arial" w:cs="Arial" w:eastAsia="Arial" w:hAnsi="Arial"/>
          <w:sz w:val="16"/>
          <w:szCs w:val="16"/>
          <w:color w:val="auto"/>
        </w:rPr>
        <w:t>As a percentage of revenues, the consolidated operating margin increased 1.2 percentage points in the third quarter of 2021 and increased 0.8 percentage points in the three fiscal quarters of 2021. U.S. Company-owned store operating margin remained consistent in the third quarter of 2021 and increased 1.0 percentage point in the three fiscal quarters of 2021. Supply chain operating margin increased 0.5 percentage points in the third quarter of 2021 and decreased 0.5 percentage points in the three fiscal quarters of 2021. These changes in operating margin are described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Company-Owned Store Operating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5"/>
                <w:szCs w:val="15"/>
                <w:color w:val="auto"/>
              </w:rPr>
            </w:pPr>
          </w:p>
        </w:tc>
        <w:tc>
          <w:tcPr>
            <w:tcW w:w="17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5"/>
                <w:szCs w:val="15"/>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Three Fiscal Quarters</w:t>
            </w:r>
          </w:p>
        </w:tc>
        <w:tc>
          <w:tcPr>
            <w:tcW w:w="18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Three Fiscal Quarters</w:t>
            </w:r>
          </w:p>
        </w:tc>
      </w:tr>
      <w:tr>
        <w:trPr>
          <w:trHeight w:val="192"/>
        </w:trPr>
        <w:tc>
          <w:tcPr>
            <w:tcW w:w="3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1"/>
              </w:rPr>
              <w:t>of 2021</w:t>
            </w:r>
          </w:p>
        </w:tc>
        <w:tc>
          <w:tcPr>
            <w:tcW w:w="5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4"/>
                <w:szCs w:val="14"/>
                <w:b w:val="1"/>
                <w:bCs w:val="1"/>
                <w:color w:val="auto"/>
                <w:w w:val="91"/>
              </w:rPr>
              <w:t>of 2020</w:t>
            </w: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1"/>
              </w:rPr>
              <w:t>of 2021</w:t>
            </w: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left="175"/>
              <w:spacing w:after="0"/>
              <w:rPr>
                <w:sz w:val="20"/>
                <w:szCs w:val="20"/>
                <w:color w:val="auto"/>
              </w:rPr>
            </w:pPr>
            <w:r>
              <w:rPr>
                <w:rFonts w:ascii="Arial" w:cs="Arial" w:eastAsia="Arial" w:hAnsi="Arial"/>
                <w:sz w:val="14"/>
                <w:szCs w:val="14"/>
                <w:b w:val="1"/>
                <w:bCs w:val="1"/>
                <w:color w:val="auto"/>
                <w:w w:val="91"/>
              </w:rPr>
              <w:t>of 2020</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56"/>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100.0 %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6"/>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6"/>
              </w:rPr>
              <w:t>100.0 %</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3"/>
              </w:rPr>
              <w:t>100.0 %</w:t>
            </w:r>
          </w:p>
        </w:tc>
      </w:tr>
      <w:tr>
        <w:trPr>
          <w:trHeight w:val="250"/>
        </w:trPr>
        <w:tc>
          <w:tcPr>
            <w:tcW w:w="36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80.2 %</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80.2 %</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77.2 %</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258.0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78.2 %</w:t>
            </w:r>
          </w:p>
        </w:tc>
      </w:tr>
      <w:tr>
        <w:trPr>
          <w:trHeight w:val="20"/>
        </w:trPr>
        <w:tc>
          <w:tcPr>
            <w:tcW w:w="3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3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Store operating margin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19.8 %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22.8 %</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21.8 %</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-25400</wp:posOffset>
            </wp:positionV>
            <wp:extent cx="1111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-8255</wp:posOffset>
            </wp:positionV>
            <wp:extent cx="1111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-25400</wp:posOffset>
            </wp:positionV>
            <wp:extent cx="2146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-8255</wp:posOffset>
            </wp:positionV>
            <wp:extent cx="2146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1111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1111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2146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2146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102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1968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1968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946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946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1543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14" w:lineRule="exact"/>
        <w:rPr>
          <w:sz w:val="20"/>
          <w:szCs w:val="20"/>
          <w:color w:val="auto"/>
        </w:rPr>
      </w:pPr>
    </w:p>
    <w:p>
      <w:pPr>
        <w:ind w:right="20" w:firstLine="255"/>
        <w:spacing w:after="0" w:line="290" w:lineRule="auto"/>
        <w:rPr>
          <w:sz w:val="20"/>
          <w:szCs w:val="20"/>
          <w:color w:val="auto"/>
        </w:rPr>
      </w:pPr>
      <w:r>
        <w:rPr>
          <w:rFonts w:ascii="Arial" w:cs="Arial" w:eastAsia="Arial" w:hAnsi="Arial"/>
          <w:sz w:val="17"/>
          <w:szCs w:val="17"/>
          <w:color w:val="auto"/>
        </w:rPr>
        <w:t>U.S. Company-owned store operating margin (which does not include certain store-level costs such as royalties and advertising) decreased $1.0 million, or 4.4%, in the third quarter of 2021, due primarily to lower same store sales, partially offset by lower labor costs. U.S. Company-owned store operating margin increased $5.2 million, or 7.3%, in the three fiscal quarters of 2021, due primarily to lower labor costs and higher retail sales due to net store growth, but these increases were partially offset by lower same store sales. As a percentage of store revenues, the U.S. Company-owned store operating margin remained consistent in the third quarter of 2021 and increased 1.0 percentage point in the three fiscal quarters of 2021. These changes in operating margin as a percentage of revenues are discussed in additional detail below.</w:t>
      </w:r>
    </w:p>
    <w:p>
      <w:pPr>
        <w:spacing w:after="0" w:line="68"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Food costs increased 0.9 percentage points to 28.4% in the third quarter of 2021, and increased 0.6 percentage points to 27.6% in the three fiscal quarters of 2021 due to higher food basket prices.</w:t>
      </w:r>
    </w:p>
    <w:p>
      <w:pPr>
        <w:spacing w:after="0" w:line="62" w:lineRule="exact"/>
        <w:rPr>
          <w:sz w:val="20"/>
          <w:szCs w:val="20"/>
          <w:color w:val="auto"/>
        </w:rPr>
      </w:pPr>
    </w:p>
    <w:p>
      <w:pPr>
        <w:ind w:left="960" w:right="40"/>
        <w:spacing w:after="0" w:line="319" w:lineRule="auto"/>
        <w:rPr>
          <w:sz w:val="20"/>
          <w:szCs w:val="20"/>
          <w:color w:val="auto"/>
        </w:rPr>
      </w:pPr>
      <w:r>
        <w:rPr>
          <w:rFonts w:ascii="Arial" w:cs="Arial" w:eastAsia="Arial" w:hAnsi="Arial"/>
          <w:sz w:val="16"/>
          <w:szCs w:val="16"/>
          <w:color w:val="auto"/>
        </w:rPr>
        <w:t>Labor costs decreased 1.9 percentage points to 29.9% in the third quarter of 2021, and decreased 2.4 percentage points to 28.6% in the three fiscal quarters of 2021, due primarily to additional bonus pay incurred during the second and third quarters of 2020 for frontline team members, as well as lower team member headcount in the third quarter and three fiscal quarters of 2021. These decreases in labor costs were partially offset by continued investments in frontline team member wage rates in our U.S. Company-owned stores in the third quarter of 2021.</w:t>
      </w:r>
    </w:p>
    <w:p>
      <w:pPr>
        <w:spacing w:after="0" w:line="48" w:lineRule="exact"/>
        <w:rPr>
          <w:sz w:val="20"/>
          <w:szCs w:val="20"/>
          <w:color w:val="auto"/>
        </w:rPr>
      </w:pPr>
    </w:p>
    <w:p>
      <w:pPr>
        <w:ind w:left="960" w:right="440"/>
        <w:spacing w:after="0" w:line="299" w:lineRule="auto"/>
        <w:rPr>
          <w:sz w:val="20"/>
          <w:szCs w:val="20"/>
          <w:color w:val="auto"/>
        </w:rPr>
      </w:pPr>
      <w:r>
        <w:rPr>
          <w:rFonts w:ascii="Arial" w:cs="Arial" w:eastAsia="Arial" w:hAnsi="Arial"/>
          <w:sz w:val="16"/>
          <w:szCs w:val="16"/>
          <w:color w:val="auto"/>
        </w:rPr>
        <w:t>Occupancy costs, which include rent, telephone, utilities and depreciation, increased 1.2 percentage points to 8.7% in the third quarter of 2021, and increased 0.5 percentage points to 7.9% in the three fiscal quarters of 2021, due primarily to lower sales leverage.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Supply Chain Operating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Third Quarter</w:t>
            </w:r>
          </w:p>
        </w:tc>
        <w:tc>
          <w:tcPr>
            <w:tcW w:w="260" w:type="dxa"/>
            <w:vAlign w:val="bottom"/>
          </w:tcPr>
          <w:p>
            <w:pPr>
              <w:spacing w:after="0"/>
              <w:rPr>
                <w:sz w:val="15"/>
                <w:szCs w:val="15"/>
                <w:color w:val="auto"/>
              </w:rPr>
            </w:pPr>
          </w:p>
        </w:tc>
        <w:tc>
          <w:tcPr>
            <w:tcW w:w="17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5"/>
                <w:szCs w:val="15"/>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Three Fiscal Quarters</w:t>
            </w:r>
          </w:p>
        </w:tc>
        <w:tc>
          <w:tcPr>
            <w:tcW w:w="120" w:type="dxa"/>
            <w:vAlign w:val="bottom"/>
          </w:tcPr>
          <w:p>
            <w:pPr>
              <w:spacing w:after="0"/>
              <w:rPr>
                <w:sz w:val="15"/>
                <w:szCs w:val="15"/>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Three Fiscal Quarters</w:t>
            </w:r>
          </w:p>
        </w:tc>
      </w:tr>
      <w:tr>
        <w:trPr>
          <w:trHeight w:val="192"/>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91"/>
              </w:rPr>
              <w:t>of 2021</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4"/>
                <w:szCs w:val="14"/>
                <w:b w:val="1"/>
                <w:bCs w:val="1"/>
                <w:color w:val="auto"/>
                <w:w w:val="91"/>
              </w:rPr>
              <w:t>of 2020</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1"/>
              </w:rPr>
              <w:t>of 2021</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1"/>
              </w:rPr>
              <w:t>of 2020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56"/>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588.8</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100.0 %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573.7</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1,760.1</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100.0 %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1,625.5</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6"/>
              </w:rPr>
              <w:t>100.0 %</w:t>
            </w: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525.9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89.3 %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89.8 %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89.3 %</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88.8 %</w:t>
            </w:r>
          </w:p>
        </w:tc>
      </w:tr>
      <w:tr>
        <w:trPr>
          <w:trHeight w:val="20"/>
        </w:trPr>
        <w:tc>
          <w:tcPr>
            <w:tcW w:w="3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3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Supply chain operating margin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11.2 %</w:t>
            </w: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-24765</wp:posOffset>
            </wp:positionV>
            <wp:extent cx="946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946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1885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1885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939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939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1885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885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1714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1714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9" w:lineRule="exact"/>
        <w:rPr>
          <w:sz w:val="20"/>
          <w:szCs w:val="20"/>
          <w:color w:val="auto"/>
        </w:rPr>
      </w:pPr>
    </w:p>
    <w:p>
      <w:pPr>
        <w:ind w:firstLine="255"/>
        <w:spacing w:after="0" w:line="287" w:lineRule="auto"/>
        <w:rPr>
          <w:sz w:val="20"/>
          <w:szCs w:val="20"/>
          <w:color w:val="auto"/>
        </w:rPr>
      </w:pPr>
      <w:r>
        <w:rPr>
          <w:rFonts w:ascii="Arial" w:cs="Arial" w:eastAsia="Arial" w:hAnsi="Arial"/>
          <w:sz w:val="17"/>
          <w:szCs w:val="17"/>
          <w:color w:val="auto"/>
        </w:rPr>
        <w:t>Supply chain operating margin increased $4.2 million, or 7.2%, in the third quarter of 2021, primarily due to higher equipment revenues as well as lower supply cost. As a percentage of supply chain revenues, the supply chain operating margin increased 0.5 percentage points in the third quarter of 2021. While the market basket pricing to stores increased 2.1% during the third quarter of 2021, we incurred additional supply costs during the third quarter of 2020 as a result of certain expenses related to the provision of safety and cleaning equipment in connection with the COVID-19 pandemic. Higher labor cost as a percentage of revenues in the third quarter of 2021 partially offset the effect of the lower supply costs. Supply chain operating margin increased $6.8 million, or 3.6%, in the three fiscal quarters of 2021, primarily due to higher equipment revenues as well as lower supply cost and higher volumes from increased store orders. As a percentage of supply chain revenues, the supply chain operating margin decreased 0.5 percentage points in the three fiscal quarters of 2021 primarily due to higher food and labor cost.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and Administrative Expenses</w:t>
      </w:r>
    </w:p>
    <w:p>
      <w:pPr>
        <w:spacing w:after="0" w:line="131" w:lineRule="exact"/>
        <w:rPr>
          <w:sz w:val="20"/>
          <w:szCs w:val="20"/>
          <w:color w:val="auto"/>
        </w:rPr>
      </w:pPr>
    </w:p>
    <w:p>
      <w:pPr>
        <w:ind w:firstLine="255"/>
        <w:spacing w:after="0" w:line="329" w:lineRule="auto"/>
        <w:rPr>
          <w:sz w:val="20"/>
          <w:szCs w:val="20"/>
          <w:color w:val="auto"/>
        </w:rPr>
      </w:pPr>
      <w:r>
        <w:rPr>
          <w:rFonts w:ascii="Arial" w:cs="Arial" w:eastAsia="Arial" w:hAnsi="Arial"/>
          <w:sz w:val="16"/>
          <w:szCs w:val="16"/>
          <w:color w:val="auto"/>
        </w:rPr>
        <w:t>General and administrative expenses increased $4.7 million, or 5.1%, in the third quarter of 2021, and increased $19.8 million, or 7.4%, in the three fiscal quarters of 2021, driven primarily by higher labor costs, including non-cash equity-based compensation expense as well as higher travel expense. The increases in general and administrative expenses were partially offset by lower professional fees in both the third quarter and three fiscal quarters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Franchise Advertising Expenses</w:t>
      </w:r>
    </w:p>
    <w:p>
      <w:pPr>
        <w:spacing w:after="0" w:line="252" w:lineRule="exact"/>
        <w:rPr>
          <w:sz w:val="20"/>
          <w:szCs w:val="20"/>
          <w:color w:val="auto"/>
        </w:rPr>
      </w:pPr>
    </w:p>
    <w:p>
      <w:pPr>
        <w:ind w:right="80" w:firstLine="255"/>
        <w:spacing w:after="0" w:line="275" w:lineRule="auto"/>
        <w:rPr>
          <w:sz w:val="20"/>
          <w:szCs w:val="20"/>
          <w:color w:val="auto"/>
        </w:rPr>
      </w:pPr>
      <w:r>
        <w:rPr>
          <w:rFonts w:ascii="Arial" w:cs="Arial" w:eastAsia="Arial" w:hAnsi="Arial"/>
          <w:sz w:val="18"/>
          <w:szCs w:val="18"/>
          <w:color w:val="auto"/>
        </w:rPr>
        <w:t>U.S. franchise advertising expenses increased $0.4 million, or 0.4%, in the third quarter of 2021, and increased $26.9 million, or 8.7%, in the three fiscal quarters of 2021, consistent with the increase in U.S. franchise advertising revenues. U.S. franchise advertising costs are accrued and expensed when the related U.S. franchise advertising revenues are recognized, as our consolidated not-for-profit advertising fund is obligated to expend such revenues on advertising and these revenues cannot be used for general corporate purposes.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w:t>
      </w:r>
    </w:p>
    <w:p>
      <w:pPr>
        <w:spacing w:after="0" w:line="158" w:lineRule="exact"/>
        <w:rPr>
          <w:sz w:val="20"/>
          <w:szCs w:val="20"/>
          <w:color w:val="auto"/>
        </w:rPr>
      </w:pPr>
    </w:p>
    <w:p>
      <w:pPr>
        <w:jc w:val="both"/>
        <w:ind w:right="360" w:firstLine="255"/>
        <w:spacing w:after="0" w:line="279" w:lineRule="auto"/>
        <w:rPr>
          <w:sz w:val="20"/>
          <w:szCs w:val="20"/>
          <w:color w:val="auto"/>
        </w:rPr>
      </w:pPr>
      <w:r>
        <w:rPr>
          <w:rFonts w:ascii="Arial" w:cs="Arial" w:eastAsia="Arial" w:hAnsi="Arial"/>
          <w:sz w:val="18"/>
          <w:szCs w:val="18"/>
          <w:color w:val="auto"/>
        </w:rPr>
        <w:t>Other income was $2.5 million in the three fiscal quarters of 2021, representing the unrealized gain recorded on the Company’s investment in Dash Brands (Note 6) resulting from the observable change in price from the valuation of the additional $40.0 million investment made in the first quarter of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31" w:lineRule="exact"/>
        <w:rPr>
          <w:sz w:val="20"/>
          <w:szCs w:val="20"/>
          <w:color w:val="auto"/>
        </w:rPr>
      </w:pPr>
    </w:p>
    <w:p>
      <w:pPr>
        <w:ind w:right="80" w:firstLine="255"/>
        <w:spacing w:after="0" w:line="287" w:lineRule="auto"/>
        <w:rPr>
          <w:sz w:val="20"/>
          <w:szCs w:val="20"/>
          <w:color w:val="auto"/>
        </w:rPr>
      </w:pPr>
      <w:r>
        <w:rPr>
          <w:rFonts w:ascii="Arial" w:cs="Arial" w:eastAsia="Arial" w:hAnsi="Arial"/>
          <w:sz w:val="17"/>
          <w:szCs w:val="17"/>
          <w:color w:val="auto"/>
        </w:rPr>
        <w:t>Interest expense, net increased $7.1 million, or 18.4%, in the third quarter of 2021, and increased $14.7 million, or 12.6%, in the three fiscal quarters of 2021. These increases were driven by higher average borrowings resulting from our recapitalization transaction completed on April 16, 2021 (the “2021 Recapitalization”). In connection with the 2021 Recapitalization, we recorded $2.3 million of incremental interest expense in the second quarter of 2021, primarily representing the expense for $2.0 million of the remaining unamortized debt issuance costs associated with the 2017 five-year fixed rate notes and 2017 five-year floating rate notes, and $0.3 million of additional interest expense incurred on the 2017 five-year fixed rate notes and 2017 five-year floating rate notes subsequent to the closing of the 2021 Recapitalization but prior to the repayment of the 2017 five-year fixed rate notes and 2017 five-year floating rate notes, resulting in the payment of interest on both the 2017 five-year fixed rate notes and 2017 five-year floating rate notes and the 2021 Notes (as defined in the "2021 Recapitalization" section below) for a short period of time.</w:t>
      </w:r>
    </w:p>
    <w:p>
      <w:pPr>
        <w:spacing w:after="0" w:line="195" w:lineRule="exact"/>
        <w:rPr>
          <w:sz w:val="20"/>
          <w:szCs w:val="20"/>
          <w:color w:val="auto"/>
        </w:rPr>
      </w:pPr>
    </w:p>
    <w:p>
      <w:pPr>
        <w:ind w:right="140" w:firstLine="255"/>
        <w:spacing w:after="0" w:line="266" w:lineRule="auto"/>
        <w:rPr>
          <w:sz w:val="20"/>
          <w:szCs w:val="20"/>
          <w:color w:val="auto"/>
        </w:rPr>
      </w:pPr>
      <w:r>
        <w:rPr>
          <w:rFonts w:ascii="Arial" w:cs="Arial" w:eastAsia="Arial" w:hAnsi="Arial"/>
          <w:sz w:val="18"/>
          <w:szCs w:val="18"/>
          <w:color w:val="auto"/>
        </w:rPr>
        <w:t>The Company’s weighted average borrowing rate decreased to 3.8% in the third quarter of 2021 from 3.9% in the third quarter of 2020, resulting from the lower interest rates on the debt outstanding due to the 2021 Recapitalization. The Company's weighted average borrowing rate was 3.9% in the three fiscal quarters of both 2021 and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144" w:lineRule="exact"/>
        <w:rPr>
          <w:sz w:val="20"/>
          <w:szCs w:val="20"/>
          <w:color w:val="auto"/>
        </w:rPr>
      </w:pPr>
    </w:p>
    <w:p>
      <w:pPr>
        <w:ind w:right="60" w:firstLine="255"/>
        <w:spacing w:after="0" w:line="287" w:lineRule="auto"/>
        <w:rPr>
          <w:sz w:val="20"/>
          <w:szCs w:val="20"/>
          <w:color w:val="auto"/>
        </w:rPr>
      </w:pPr>
      <w:r>
        <w:rPr>
          <w:rFonts w:ascii="Arial" w:cs="Arial" w:eastAsia="Arial" w:hAnsi="Arial"/>
          <w:sz w:val="17"/>
          <w:szCs w:val="17"/>
          <w:color w:val="auto"/>
        </w:rPr>
        <w:t>Income tax expense decreased $10.2 million, or 41.6%, in the third quarter of 2021, and increased $48.6 million, or 185.7%, in the three fiscal quarters of 2021, due to changes in excess tax benefits on non-cash equity-based compensation, which are recorded as a reduction to the income tax provision, as well as higher pre-tax income in the respective periods of 2021. The Company recognized $14.0 million in excess tax benefits in the third quarter of 2021 as compared to $3.4 million in the third quarter of 2020, and $18.3 million in excess tax benefits in the three fiscal quarters of 2021 as compared to $56.9 million in the three fiscal quarters of 2020. These changes in excess tax benefits from non-cash equity-based compensation resulted primarily from the timing of stock options exercised in the third quarter and three fiscal quarters of 2021 as compared to the same periods in 2020. The effective tax rate decreased to 10.7% during the third quarter of 2021 as compared to 19.9% in the third quarter of 2020. The effective tax rate increased to 17.4% during the three fiscal quarters of 2021 as compared to 7.2% in the three fiscal quarters of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Income</w:t>
      </w:r>
    </w:p>
    <w:p>
      <w:pPr>
        <w:spacing w:after="0" w:line="131" w:lineRule="exact"/>
        <w:rPr>
          <w:sz w:val="20"/>
          <w:szCs w:val="20"/>
          <w:color w:val="auto"/>
        </w:rPr>
      </w:pPr>
    </w:p>
    <w:p>
      <w:pPr>
        <w:ind w:right="500" w:firstLine="255"/>
        <w:spacing w:after="0" w:line="283" w:lineRule="auto"/>
        <w:rPr>
          <w:sz w:val="20"/>
          <w:szCs w:val="20"/>
          <w:color w:val="auto"/>
        </w:rPr>
      </w:pPr>
      <w:r>
        <w:rPr>
          <w:rFonts w:ascii="Arial" w:cs="Arial" w:eastAsia="Arial" w:hAnsi="Arial"/>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Three Fiscal</w:t>
            </w: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Three Fiscal</w:t>
            </w:r>
          </w:p>
        </w:tc>
      </w:tr>
      <w:tr>
        <w:trPr>
          <w:trHeight w:val="176"/>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Quarters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Quarters</w:t>
            </w:r>
          </w:p>
        </w:tc>
      </w:tr>
      <w:tr>
        <w:trPr>
          <w:trHeight w:val="192"/>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of 2021</w:t>
            </w:r>
          </w:p>
        </w:tc>
        <w:tc>
          <w:tcPr>
            <w:tcW w:w="120" w:type="dxa"/>
            <w:vAlign w:val="bottom"/>
          </w:tcPr>
          <w:p>
            <w:pPr>
              <w:spacing w:after="0"/>
              <w:rPr>
                <w:sz w:val="16"/>
                <w:szCs w:val="16"/>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of 2020</w:t>
            </w:r>
          </w:p>
        </w:tc>
        <w:tc>
          <w:tcPr>
            <w:tcW w:w="140" w:type="dxa"/>
            <w:vAlign w:val="bottom"/>
          </w:tcPr>
          <w:p>
            <w:pPr>
              <w:spacing w:after="0"/>
              <w:rPr>
                <w:sz w:val="16"/>
                <w:szCs w:val="16"/>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of 2021</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2020</w:t>
            </w:r>
          </w:p>
        </w:tc>
      </w:tr>
      <w:tr>
        <w:trPr>
          <w:trHeight w:val="256"/>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Stores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4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38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FF0FC"/>
          </w:tcPr>
          <w:p>
            <w:pPr>
              <w:spacing w:after="0"/>
              <w:rPr>
                <w:sz w:val="22"/>
                <w:szCs w:val="22"/>
                <w:color w:val="auto"/>
              </w:rPr>
            </w:pPr>
          </w:p>
        </w:tc>
      </w:tr>
      <w:tr>
        <w:trPr>
          <w:trHeight w:val="250"/>
        </w:trPr>
        <w:tc>
          <w:tcPr>
            <w:tcW w:w="5540" w:type="dxa"/>
            <w:vAlign w:val="bottom"/>
          </w:tcPr>
          <w:p>
            <w:pPr>
              <w:ind w:left="200"/>
              <w:spacing w:after="0"/>
              <w:rPr>
                <w:sz w:val="20"/>
                <w:szCs w:val="20"/>
                <w:color w:val="auto"/>
              </w:rPr>
            </w:pPr>
            <w:r>
              <w:rPr>
                <w:rFonts w:ascii="Arial" w:cs="Arial" w:eastAsia="Arial" w:hAnsi="Arial"/>
                <w:sz w:val="18"/>
                <w:szCs w:val="18"/>
                <w:color w:val="auto"/>
              </w:rPr>
              <w:t>Supply Chain</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r>
      <w:tr>
        <w:trPr>
          <w:trHeight w:val="263"/>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International Franchise</w:t>
            </w: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4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FF0FC"/>
          </w:tcPr>
          <w:p>
            <w:pPr>
              <w:spacing w:after="0"/>
              <w:rPr>
                <w:sz w:val="22"/>
                <w:szCs w:val="22"/>
                <w:color w:val="auto"/>
              </w:rPr>
            </w:pP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(13.7 )</w:t>
            </w:r>
          </w:p>
        </w:tc>
        <w:tc>
          <w:tcPr>
            <w:tcW w:w="14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(25.7 )</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(34.4 )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Stores</w:t>
      </w:r>
    </w:p>
    <w:p>
      <w:pPr>
        <w:spacing w:after="0" w:line="131" w:lineRule="exact"/>
        <w:rPr>
          <w:sz w:val="20"/>
          <w:szCs w:val="20"/>
          <w:color w:val="auto"/>
        </w:rPr>
      </w:pPr>
    </w:p>
    <w:p>
      <w:pPr>
        <w:ind w:right="100" w:firstLine="255"/>
        <w:spacing w:after="0" w:line="309" w:lineRule="auto"/>
        <w:rPr>
          <w:sz w:val="20"/>
          <w:szCs w:val="20"/>
          <w:color w:val="auto"/>
        </w:rPr>
      </w:pPr>
      <w:r>
        <w:rPr>
          <w:rFonts w:ascii="Arial" w:cs="Arial" w:eastAsia="Arial" w:hAnsi="Arial"/>
          <w:sz w:val="16"/>
          <w:szCs w:val="16"/>
          <w:color w:val="auto"/>
        </w:rPr>
        <w:t>U.S. stores Segment Income increased $0.5 million, or 0.4%, in the third quarter of 2021, primarily due to the $3.6 million increase in U.S. franchise royalties and fees revenues, partially offset by the $1.0 million decrease in U.S. Company-owned store operating margin, as discussed above. U.S. stores Segment Income increased $28.5 million, or 9.7%, in the three fiscal quarters of 2021, primarily due to the $37.0 million increase in U.S. franchise royalties and fees revenues and the $5.2 million increase in U.S. Company-owned store operating margin,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 These increases in U.S. stores Segment Income were partially offset by increased investments in technological initiatives for the respective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31" w:lineRule="exact"/>
        <w:rPr>
          <w:sz w:val="20"/>
          <w:szCs w:val="20"/>
          <w:color w:val="auto"/>
        </w:rPr>
      </w:pPr>
    </w:p>
    <w:p>
      <w:pPr>
        <w:jc w:val="both"/>
        <w:ind w:right="440" w:firstLine="255"/>
        <w:spacing w:after="0" w:line="279" w:lineRule="auto"/>
        <w:rPr>
          <w:sz w:val="20"/>
          <w:szCs w:val="20"/>
          <w:color w:val="auto"/>
        </w:rPr>
      </w:pPr>
      <w:r>
        <w:rPr>
          <w:rFonts w:ascii="Arial" w:cs="Arial" w:eastAsia="Arial" w:hAnsi="Arial"/>
          <w:sz w:val="18"/>
          <w:szCs w:val="18"/>
          <w:color w:val="auto"/>
        </w:rPr>
        <w:t>Supply chain Segment Income increased $2.5 million, or 4.8%, in the third quarter of 2021, primarily due to the $4.2 million increase in operating margin described above. Supply chain Segment Income increased $5.3 million, or 3.3%, in the three fiscal quarters of 2021, primarily due to the $6.8 million increase in operating margin described above.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w:t>
      </w:r>
    </w:p>
    <w:p>
      <w:pPr>
        <w:spacing w:after="0" w:line="131" w:lineRule="exact"/>
        <w:rPr>
          <w:sz w:val="20"/>
          <w:szCs w:val="20"/>
          <w:color w:val="auto"/>
        </w:rPr>
      </w:pPr>
    </w:p>
    <w:p>
      <w:pPr>
        <w:ind w:right="100" w:firstLine="255"/>
        <w:spacing w:after="0" w:line="271" w:lineRule="auto"/>
        <w:rPr>
          <w:sz w:val="20"/>
          <w:szCs w:val="20"/>
          <w:color w:val="auto"/>
        </w:rPr>
      </w:pPr>
      <w:r>
        <w:rPr>
          <w:rFonts w:ascii="Arial" w:cs="Arial" w:eastAsia="Arial" w:hAnsi="Arial"/>
          <w:sz w:val="18"/>
          <w:szCs w:val="18"/>
          <w:color w:val="auto"/>
        </w:rPr>
        <w:t>International franchise Segment Income increased $12.9 million or 28.9%, in the third quarter of 2021, due primarily to the $16.0 million increase in international franchise royalties and fees revenues discussed above. International franchise Segment Income increased $43.8 million or 35.2%, in the three fiscal quarters of 2021, due primarily to the $46.9 million increase in international franchise royalties and fees revenues discussed above. International franchise revenues do not have a cost of sales component, so changes in these revenues have a disproportionate effect on international franchise Segment Income. The increases in international franchise Segment Income were partially offset by increased investments in technological initiatives in the third quarter and three fiscal quarters of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1" w:lineRule="exact"/>
        <w:rPr>
          <w:sz w:val="20"/>
          <w:szCs w:val="20"/>
          <w:color w:val="auto"/>
        </w:rPr>
      </w:pPr>
    </w:p>
    <w:p>
      <w:pPr>
        <w:ind w:right="160" w:firstLine="255"/>
        <w:spacing w:after="0" w:line="299" w:lineRule="auto"/>
        <w:rPr>
          <w:sz w:val="20"/>
          <w:szCs w:val="20"/>
          <w:color w:val="auto"/>
        </w:rPr>
      </w:pPr>
      <w:r>
        <w:rPr>
          <w:rFonts w:ascii="Arial" w:cs="Arial" w:eastAsia="Arial" w:hAnsi="Arial"/>
          <w:sz w:val="16"/>
          <w:szCs w:val="16"/>
          <w:color w:val="auto"/>
        </w:rPr>
        <w:t>Other Segment Income increased $3.7 million, or 26.9%, in the third quarter of 2021, and increased $8.7 million, or 25.2%, in the three fiscal quarters of 2021, due primarily to higher corporate administrative costs allocated to our segments as compared to 2020, as well as lower professional fees. The increase in allocated costs in the third quarter and three fiscal quarters of 2021 was due primarily to higher investments in technological initiatives to support technology for our U.S. and international franchise stores. Higher labor and travel costs partially offset the increases in other Segment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140" w:firstLine="281"/>
        <w:spacing w:after="0" w:line="309" w:lineRule="auto"/>
        <w:rPr>
          <w:sz w:val="20"/>
          <w:szCs w:val="20"/>
          <w:color w:val="auto"/>
        </w:rPr>
      </w:pPr>
      <w:r>
        <w:rPr>
          <w:rFonts w:ascii="Arial" w:cs="Arial" w:eastAsia="Arial" w:hAnsi="Arial"/>
          <w:sz w:val="16"/>
          <w:szCs w:val="16"/>
          <w:color w:val="auto"/>
        </w:rPr>
        <w:t>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multiple inventory turns per month. In addition, our sales are not typically seasonal, which further limits our working capital requirements. These factors, coupled with the use of our ongoing cash flows from operations to service our debt obligations, invest in our business, pay dividends and repurchase our common stock, reduce our working capital amounts. As of September 12, 2021, we had working capital of $215.1 million, excluding restricted cash and cash equivalents of $206.3 million, advertising fund assets, restricted, of $186.8 million and advertising fund liabilities of $178.5 million. Working capital includes total unrestricted cash and cash equivalents of $295.4 million.</w:t>
      </w:r>
    </w:p>
    <w:p>
      <w:pPr>
        <w:spacing w:after="0" w:line="178" w:lineRule="exact"/>
        <w:rPr>
          <w:sz w:val="20"/>
          <w:szCs w:val="20"/>
          <w:color w:val="auto"/>
        </w:rPr>
      </w:pPr>
    </w:p>
    <w:p>
      <w:pPr>
        <w:ind w:right="40" w:firstLine="281"/>
        <w:spacing w:after="0" w:line="306" w:lineRule="auto"/>
        <w:rPr>
          <w:sz w:val="20"/>
          <w:szCs w:val="20"/>
          <w:color w:val="auto"/>
        </w:rPr>
      </w:pPr>
      <w:r>
        <w:rPr>
          <w:rFonts w:ascii="Arial" w:cs="Arial" w:eastAsia="Arial" w:hAnsi="Arial"/>
          <w:sz w:val="16"/>
          <w:szCs w:val="16"/>
          <w:color w:val="auto"/>
        </w:rPr>
        <w:t>Our primary source of liquidity is cash flows from operations and availability of borrowings under our variable funding notes. During the third quarter and three fiscal quarters of 2021, we experienced increases in international same store sales versus the comparable periods in the prior year. While our U.S. same store sales declined in the third quarter of 2021, same store sales increased during the three fiscal quarters of 2021. Additionally, both our U.S. and international businesses grew store counts in the third quarter and three fiscal quarters of 2021. These factors contributed to our global retail sales growth realized in both the third quarter and three fiscal quarters of 2021 which resulted in our continued ability to generate positive operating cash flows. As of September 12, 2021, we had a variable funding note facility which allowed for advances of up to $200.0 million of Series 2021-1 Variable Funding Senior Secured Notes, Class A-1 Notes and certain other credit instruments, including letters of credit (the “2021 Variable Funding Notes”). The letters of credit are primarily related to our casualty insurance programs and certain supply chain center leases. As of September 12, 2021, we had no outstanding borrowings and $157.5 million of available borrowing capacity under our 2021 Variable Funding Notes, net of letters of credit issued of $42.5 million.</w:t>
      </w:r>
    </w:p>
    <w:p>
      <w:pPr>
        <w:spacing w:after="0" w:line="184" w:lineRule="exact"/>
        <w:rPr>
          <w:sz w:val="20"/>
          <w:szCs w:val="20"/>
          <w:color w:val="auto"/>
        </w:rPr>
      </w:pPr>
    </w:p>
    <w:p>
      <w:pPr>
        <w:jc w:val="both"/>
        <w:ind w:right="80" w:firstLine="281"/>
        <w:spacing w:after="0" w:line="279" w:lineRule="auto"/>
        <w:rPr>
          <w:sz w:val="20"/>
          <w:szCs w:val="20"/>
          <w:color w:val="auto"/>
        </w:rPr>
      </w:pPr>
      <w:r>
        <w:rPr>
          <w:rFonts w:ascii="Arial" w:cs="Arial" w:eastAsia="Arial" w:hAnsi="Arial"/>
          <w:sz w:val="18"/>
          <w:szCs w:val="18"/>
          <w:color w:val="auto"/>
        </w:rPr>
        <w:t>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shares of our common stock.</w:t>
      </w:r>
    </w:p>
    <w:p>
      <w:pPr>
        <w:spacing w:after="0" w:line="196" w:lineRule="exact"/>
        <w:rPr>
          <w:sz w:val="20"/>
          <w:szCs w:val="20"/>
          <w:color w:val="auto"/>
        </w:rPr>
      </w:pPr>
    </w:p>
    <w:p>
      <w:pPr>
        <w:jc w:val="both"/>
        <w:ind w:firstLine="281"/>
        <w:spacing w:after="0" w:line="271" w:lineRule="auto"/>
        <w:rPr>
          <w:sz w:val="20"/>
          <w:szCs w:val="20"/>
          <w:color w:val="auto"/>
        </w:rPr>
      </w:pPr>
      <w:r>
        <w:rPr>
          <w:rFonts w:ascii="Arial" w:cs="Arial" w:eastAsia="Arial" w:hAnsi="Arial"/>
          <w:sz w:val="18"/>
          <w:szCs w:val="18"/>
          <w:color w:val="auto"/>
        </w:rPr>
        <w:t>Our ability to continue to fund these items and continue to service our debt could be adversely affected by the occurrence of any of the events described under “Risk Factors” in our filings with the Securities and Exchange Commission. There can be no assurance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our outstanding senior notes and to service, extend or refinance our variable funding notes will be subject to future economic conditions and to financial, business and other factors, many of which are beyond our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1" w:lineRule="exact"/>
        <w:rPr>
          <w:sz w:val="20"/>
          <w:szCs w:val="20"/>
          <w:color w:val="auto"/>
        </w:rPr>
      </w:pPr>
    </w:p>
    <w:p>
      <w:pPr>
        <w:ind w:firstLine="255"/>
        <w:spacing w:after="0" w:line="319" w:lineRule="auto"/>
        <w:rPr>
          <w:sz w:val="20"/>
          <w:szCs w:val="20"/>
          <w:color w:val="auto"/>
        </w:rPr>
      </w:pPr>
      <w:r>
        <w:rPr>
          <w:rFonts w:ascii="Arial" w:cs="Arial" w:eastAsia="Arial" w:hAnsi="Arial"/>
          <w:sz w:val="16"/>
          <w:szCs w:val="16"/>
          <w:color w:val="auto"/>
        </w:rPr>
        <w:t>As of September 12, 2021, we had $158.6 million of restricted cash held for future principal and interest payments and other working capital requirements of our asset-backed securitization structure, $47.5 million of restricted cash held in a three-month interest reserve as required by the related debt agreements and $0.2 million of other restricted cash for a total of $206.3 million of restricted cash and cash equivalents. As of September 12, 2021, we also held $166.7 million of advertising fund restricted cash and cash equivalents, which can only be used for activities that promote the Domino’s brand.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31" w:lineRule="exact"/>
        <w:rPr>
          <w:sz w:val="20"/>
          <w:szCs w:val="20"/>
          <w:color w:val="auto"/>
        </w:rPr>
      </w:pPr>
    </w:p>
    <w:p>
      <w:pPr>
        <w:jc w:val="both"/>
        <w:ind w:right="340" w:firstLine="255"/>
        <w:spacing w:after="0" w:line="296" w:lineRule="auto"/>
        <w:rPr>
          <w:sz w:val="20"/>
          <w:szCs w:val="20"/>
          <w:color w:val="auto"/>
        </w:rPr>
      </w:pPr>
      <w:r>
        <w:rPr>
          <w:rFonts w:ascii="Arial" w:cs="Arial" w:eastAsia="Arial" w:hAnsi="Arial"/>
          <w:sz w:val="17"/>
          <w:szCs w:val="17"/>
          <w:color w:val="auto"/>
        </w:rPr>
        <w:t>As of September 12, 2021, we had approximately $5.07 billion of long-term debt, of which $54.8 million was classified as a current liability. As of September 12, 2021, our fixed rate notes from the recapitalizations we completed in 2021, 2019, 2018, 2017 and 2015 had original scheduled principal payments of $12.9 million in the remainder of 2021, $51.5 million in each of 2022, 2023 and 2024, $1.17 billion in 2025, $39.3 million in 2026, $1.31 billion in 2027, $811.5 million in 2028, $625.9 million in 2029, $10.0 million in 2030 and $905.0 million in 2031.</w:t>
      </w:r>
    </w:p>
    <w:p>
      <w:pPr>
        <w:spacing w:after="0" w:line="183" w:lineRule="exact"/>
        <w:rPr>
          <w:sz w:val="20"/>
          <w:szCs w:val="20"/>
          <w:color w:val="auto"/>
        </w:rPr>
      </w:pPr>
    </w:p>
    <w:p>
      <w:pPr>
        <w:ind w:right="40" w:firstLine="281"/>
        <w:spacing w:after="0" w:line="311" w:lineRule="auto"/>
        <w:rPr>
          <w:sz w:val="20"/>
          <w:szCs w:val="20"/>
          <w:color w:val="auto"/>
        </w:rPr>
      </w:pPr>
      <w:r>
        <w:rPr>
          <w:rFonts w:ascii="Arial" w:cs="Arial" w:eastAsia="Arial" w:hAnsi="Arial"/>
          <w:sz w:val="16"/>
          <w:szCs w:val="16"/>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 As of the fourth quarter of 2020, we had a leverage ratio of less than 5.0x, and accordingly, did not make the previously scheduled debt amortization payment on our then-outstanding notes beginning in the first quarter of 2021. Accordingly, all principal amounts of our outstanding notes were classified as long-term debt in the condensed consolidated balance sheet as of January 3, 2021. Subsequent to the closing of the 2021 Recapitalization, we had a leverage ratio of greater than 5.0x, and accordingly, resumed making the previously scheduled debt amortization payment on our outstanding notes beginning in the second quarter of 2021.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2021 Recapitalization</w:t>
      </w:r>
    </w:p>
    <w:p>
      <w:pPr>
        <w:spacing w:after="0" w:line="252" w:lineRule="exact"/>
        <w:rPr>
          <w:sz w:val="20"/>
          <w:szCs w:val="20"/>
          <w:color w:val="auto"/>
        </w:rPr>
      </w:pPr>
    </w:p>
    <w:p>
      <w:pPr>
        <w:ind w:right="100" w:firstLine="255"/>
        <w:spacing w:after="0" w:line="288" w:lineRule="auto"/>
        <w:rPr>
          <w:sz w:val="20"/>
          <w:szCs w:val="20"/>
          <w:color w:val="auto"/>
        </w:rPr>
      </w:pPr>
      <w:r>
        <w:rPr>
          <w:rFonts w:ascii="Arial" w:cs="Arial" w:eastAsia="Arial" w:hAnsi="Arial"/>
          <w:sz w:val="17"/>
          <w:szCs w:val="17"/>
          <w:color w:val="auto"/>
        </w:rPr>
        <w:t>During the second quarter of 2021, on April 16, 2021 (the “closing date”), we completed the 2021 Recapitalization in which certain of our subsidiaries issued new notes pursuant to our asset-backed securitization structure. The new notes consist of $850.0 million Series 2021-1 2.662% Fixed Rate Senior Secured Notes, Class A-2-I with an anticipated term of 7.5 years (the “2021 A-2-I Fixed Rate Notes”), and $1.0 billion Series 2021-1 3.151% Fixed Rate Senior Secured Notes, Class A-2-II with an anticipated term of 10 years (collectively with the 2021 A-2-I Fixed Rate Notes, the “2021 Notes”) in an offering exempt from registration under the Securities Act of 1933, as amended. As of September 12, 2021, the 2021 Notes had scheduled principal payments of $4.6 million in 2021, $18.5 million in each of 2022 through 2027, $804.8 million in 2028, $10.0 million in each of 2029 and 2030 and $905.0 million in 2031. Gross proceeds from the issuance of the 2021 Notes were $1.85 billion.</w:t>
      </w:r>
    </w:p>
    <w:p>
      <w:pPr>
        <w:spacing w:after="0" w:line="194" w:lineRule="exact"/>
        <w:rPr>
          <w:sz w:val="20"/>
          <w:szCs w:val="20"/>
          <w:color w:val="auto"/>
        </w:rPr>
      </w:pPr>
    </w:p>
    <w:p>
      <w:pPr>
        <w:ind w:right="40" w:firstLine="255"/>
        <w:spacing w:after="0" w:line="275" w:lineRule="auto"/>
        <w:rPr>
          <w:sz w:val="20"/>
          <w:szCs w:val="20"/>
          <w:color w:val="auto"/>
        </w:rPr>
      </w:pPr>
      <w:r>
        <w:rPr>
          <w:rFonts w:ascii="Arial" w:cs="Arial" w:eastAsia="Arial" w:hAnsi="Arial"/>
          <w:sz w:val="18"/>
          <w:szCs w:val="18"/>
          <w:color w:val="auto"/>
        </w:rPr>
        <w:t>Concurrently, certain of our subsidiaries also issued the 2021 Variable Funding Notes, which allow for advances of up to $200.0 million of Series 2021-1 Variable Funding Senior Secured Notes, Class A-1 Notes and certain other credit instruments, including letters of credit. The 2021 Variable Funding Notes were undrawn on the closing date. In connection with the issuance of our 2021 Variable Funding Notes, our previous variable funding note facility was canceled.</w:t>
      </w:r>
    </w:p>
    <w:p>
      <w:pPr>
        <w:spacing w:after="0" w:line="199" w:lineRule="exact"/>
        <w:rPr>
          <w:sz w:val="20"/>
          <w:szCs w:val="20"/>
          <w:color w:val="auto"/>
        </w:rPr>
      </w:pPr>
    </w:p>
    <w:p>
      <w:pPr>
        <w:ind w:firstLine="281"/>
        <w:spacing w:after="0" w:line="269" w:lineRule="auto"/>
        <w:rPr>
          <w:sz w:val="20"/>
          <w:szCs w:val="20"/>
          <w:color w:val="auto"/>
        </w:rPr>
      </w:pPr>
      <w:r>
        <w:rPr>
          <w:rFonts w:ascii="Arial" w:cs="Arial" w:eastAsia="Arial" w:hAnsi="Arial"/>
          <w:sz w:val="18"/>
          <w:szCs w:val="18"/>
          <w:color w:val="auto"/>
        </w:rPr>
        <w:t>A portion of proceeds from the 2021 Recapitalization was used to repay the remaining $291.0 million in outstanding principal under our 2017 five-year floating rate notes and $582.0 million in outstanding principal under our 2017 five-year fixed rate notes. The proceeds were also used to pre-fund a portion of the interest payable on the 2021 Notes and pay transaction fees and expenses. In connection with the repayment of the 2017 five-year floating rate notes and 2017 five-year fixed rate notes, we expensed approximately $2.0 million for the remaining unamortized debt issuance costs associated with these notes. Additionally, in connection with the 2021 Recapitalization, we capitalized $14.9 million of debt issuance costs, which are being amortized into interest expense over the 7.5 and 10-year expected terms of the 2021 Notes. We used the remaining proceeds for general corporate purposes, which primarily included a $1.0 billion accelerated share repurchase agreement (the “ASR Agreement”) with a counterparty. The ASR Agreement is described in additional detail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52" w:lineRule="exact"/>
        <w:rPr>
          <w:sz w:val="20"/>
          <w:szCs w:val="20"/>
          <w:color w:val="auto"/>
        </w:rPr>
      </w:pPr>
    </w:p>
    <w:p>
      <w:pPr>
        <w:ind w:right="280" w:firstLine="281"/>
        <w:spacing w:after="0" w:line="293"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variable funding notes.</w:t>
      </w:r>
    </w:p>
    <w:p>
      <w:pPr>
        <w:spacing w:after="0" w:line="102" w:lineRule="exact"/>
        <w:rPr>
          <w:sz w:val="20"/>
          <w:szCs w:val="20"/>
          <w:color w:val="auto"/>
        </w:rPr>
      </w:pPr>
    </w:p>
    <w:p>
      <w:pPr>
        <w:ind w:right="40" w:firstLine="281"/>
        <w:spacing w:after="0" w:line="279" w:lineRule="auto"/>
        <w:rPr>
          <w:sz w:val="20"/>
          <w:szCs w:val="20"/>
          <w:color w:val="auto"/>
        </w:rPr>
      </w:pPr>
      <w:r>
        <w:rPr>
          <w:rFonts w:ascii="Arial" w:cs="Arial" w:eastAsia="Arial" w:hAnsi="Arial"/>
          <w:sz w:val="18"/>
          <w:szCs w:val="18"/>
          <w:color w:val="auto"/>
        </w:rPr>
        <w:t>During the first quarter of 2021, we repurchased and retired 65,870 shares of our common stock under our Board of Directors-approved share repurchase program for a total of approximately $25.0 million. Our Board of Directors authorized a new share repurchase program to repurchase up to $1.0 billion of our common stock on February 24, 2021.</w:t>
      </w:r>
    </w:p>
    <w:p>
      <w:pPr>
        <w:spacing w:after="0" w:line="102" w:lineRule="exact"/>
        <w:rPr>
          <w:sz w:val="20"/>
          <w:szCs w:val="20"/>
          <w:color w:val="auto"/>
        </w:rPr>
      </w:pPr>
    </w:p>
    <w:p>
      <w:pPr>
        <w:ind w:right="20" w:firstLine="281"/>
        <w:spacing w:after="0" w:line="272" w:lineRule="auto"/>
        <w:rPr>
          <w:sz w:val="20"/>
          <w:szCs w:val="20"/>
          <w:color w:val="auto"/>
        </w:rPr>
      </w:pPr>
      <w:r>
        <w:rPr>
          <w:rFonts w:ascii="Arial" w:cs="Arial" w:eastAsia="Arial" w:hAnsi="Arial"/>
          <w:sz w:val="18"/>
          <w:szCs w:val="18"/>
          <w:color w:val="auto"/>
        </w:rPr>
        <w:t>On April 30, 2021, we entered into the ASR Agreement. Pursuant to the terms of the ASR Agreement, on May 3, 2021, we used a portion of the proceeds from the 2021 Recapitalization to pay the counterparty $1.0 billion in cash and received and retired 2,012,596 shares of our common stock. Final settlement of the ASR Agreement occurred on July 21, 2021. In connection with the ASR Agreement, we received and retired a total of 2,250,786 shares of our common stock at an average price of $444.29, including the 2,012,596 shares of our common stock received and retired during the second quarter of 2021.</w:t>
      </w:r>
    </w:p>
    <w:p>
      <w:pPr>
        <w:spacing w:after="0" w:line="123" w:lineRule="exact"/>
        <w:rPr>
          <w:sz w:val="20"/>
          <w:szCs w:val="20"/>
          <w:color w:val="auto"/>
        </w:rPr>
      </w:pPr>
    </w:p>
    <w:p>
      <w:pPr>
        <w:ind w:right="520" w:firstLine="284"/>
        <w:spacing w:after="0" w:line="279" w:lineRule="auto"/>
        <w:rPr>
          <w:sz w:val="20"/>
          <w:szCs w:val="20"/>
          <w:color w:val="auto"/>
        </w:rPr>
      </w:pPr>
      <w:r>
        <w:rPr>
          <w:rFonts w:ascii="Arial" w:cs="Arial" w:eastAsia="Arial" w:hAnsi="Arial"/>
          <w:sz w:val="18"/>
          <w:szCs w:val="18"/>
          <w:color w:val="auto"/>
        </w:rPr>
        <w:t>On July 20, 2021, our Board of Directors authorized a new share repurchase program to repurchase up to $1.0 billion of our common stock. This repurchase program replaced our previously approved $1.0 billion share repurchase program, which was fully utilized in connection with the ASR Agreement.</w:t>
      </w:r>
    </w:p>
    <w:p>
      <w:pPr>
        <w:spacing w:after="0" w:line="196" w:lineRule="exact"/>
        <w:rPr>
          <w:sz w:val="20"/>
          <w:szCs w:val="20"/>
          <w:color w:val="auto"/>
        </w:rPr>
      </w:pPr>
    </w:p>
    <w:p>
      <w:pPr>
        <w:ind w:right="60" w:firstLine="284"/>
        <w:spacing w:after="0" w:line="290" w:lineRule="auto"/>
        <w:rPr>
          <w:sz w:val="20"/>
          <w:szCs w:val="20"/>
          <w:color w:val="auto"/>
        </w:rPr>
      </w:pPr>
      <w:r>
        <w:rPr>
          <w:rFonts w:ascii="Arial" w:cs="Arial" w:eastAsia="Arial" w:hAnsi="Arial"/>
          <w:sz w:val="17"/>
          <w:szCs w:val="17"/>
          <w:color w:val="auto"/>
        </w:rPr>
        <w:t>During the third quarter of 2021, we repurchased and retired 152,817 shares of our common stock under our Board of Directors-approved share repurchase program for a total of approximately $79.7 million. During the three fiscal quarters of 2021, we repurchased and retired 2,469,473 shares of our common stock (including 2,250,786 shares of common stock repurchased under the ASR Agreement and 218,687 shares of common stock repurchased under our Board of Directors-approved share repurchase program) for a total of approximately $1.1 billion. As of September 12, 2021, we had a total remaining authorized amount for share repurchases of approximately $920.3 million. Subsequent to the end of the third quarter and through October 12, 2021, we repurchased and retired an additional 205,145 shares of common stock for a total of approximately $100.1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120" w:firstLine="255"/>
        <w:spacing w:after="0" w:line="296" w:lineRule="auto"/>
        <w:rPr>
          <w:sz w:val="20"/>
          <w:szCs w:val="20"/>
          <w:color w:val="auto"/>
        </w:rPr>
      </w:pPr>
      <w:r>
        <w:rPr>
          <w:rFonts w:ascii="Arial" w:cs="Arial" w:eastAsia="Arial" w:hAnsi="Arial"/>
          <w:sz w:val="17"/>
          <w:szCs w:val="17"/>
          <w:color w:val="auto"/>
        </w:rPr>
        <w:t>On July 20, 2021, our Board of Directors declared a $0.94 per share quarterly dividend on our outstanding common stock for shareholders of record as of September 15, 2021, which was paid on September 30, 2021. We had approximately $35.1 million accrued for common stock dividends at September 12, 2021. Subsequent to the end of the third quarter, on October 12, 2021, our Board of Directors declared a $0.94 per share quarterly dividend on our outstanding common stock for shareholders of record as of December 15, 2021, to be paid on December 30, 2021.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Three Fiscal Quarters</w:t>
            </w:r>
          </w:p>
        </w:tc>
        <w:tc>
          <w:tcPr>
            <w:tcW w:w="200" w:type="dxa"/>
            <w:vAlign w:val="bottom"/>
          </w:tcPr>
          <w:p>
            <w:pPr>
              <w:spacing w:after="0"/>
              <w:rPr>
                <w:sz w:val="15"/>
                <w:szCs w:val="15"/>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Three Fiscal Quarters</w:t>
            </w:r>
          </w:p>
        </w:tc>
      </w:tr>
      <w:tr>
        <w:trPr>
          <w:trHeight w:val="192"/>
        </w:trPr>
        <w:tc>
          <w:tcPr>
            <w:tcW w:w="69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of 2021</w:t>
            </w:r>
          </w:p>
        </w:tc>
        <w:tc>
          <w:tcPr>
            <w:tcW w:w="200" w:type="dxa"/>
            <w:vAlign w:val="bottom"/>
          </w:tcPr>
          <w:p>
            <w:pPr>
              <w:spacing w:after="0"/>
              <w:rPr>
                <w:sz w:val="16"/>
                <w:szCs w:val="16"/>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of 2020</w:t>
            </w:r>
          </w:p>
        </w:tc>
      </w:tr>
      <w:tr>
        <w:trPr>
          <w:trHeight w:val="256"/>
        </w:trPr>
        <w:tc>
          <w:tcPr>
            <w:tcW w:w="69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flows provided by (used in)</w:t>
            </w:r>
          </w:p>
        </w:tc>
        <w:tc>
          <w:tcPr>
            <w:tcW w:w="18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7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6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484.6</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(90.3 )</w:t>
            </w:r>
          </w:p>
        </w:tc>
        <w:tc>
          <w:tcPr>
            <w:tcW w:w="20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(91.1 )</w:t>
            </w: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(228.1 )</w:t>
            </w:r>
          </w:p>
        </w:tc>
        <w:tc>
          <w:tcPr>
            <w:tcW w:w="20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(153.6 )</w:t>
            </w:r>
          </w:p>
        </w:tc>
      </w:tr>
      <w:tr>
        <w:trPr>
          <w:trHeight w:val="257"/>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-193675</wp:posOffset>
            </wp:positionV>
            <wp:extent cx="18859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right="20" w:firstLine="281"/>
        <w:spacing w:after="0" w:line="270" w:lineRule="auto"/>
        <w:rPr>
          <w:sz w:val="20"/>
          <w:szCs w:val="20"/>
          <w:color w:val="auto"/>
        </w:rPr>
      </w:pPr>
      <w:r>
        <w:rPr>
          <w:rFonts w:ascii="Arial" w:cs="Arial" w:eastAsia="Arial" w:hAnsi="Arial"/>
          <w:sz w:val="18"/>
          <w:szCs w:val="18"/>
          <w:color w:val="auto"/>
        </w:rPr>
        <w:t>Cash provided by operating activities increased $114.2 million in the three fiscal quarters of 2021 primarily due to the positive impact of changes in operating assets and liabilities of $73.0 million. The positive impact of changes in operating assets and liabilities related to the timing of payments on accounts payable and accrued liabilities, income tax payments as well as the timing of collections on accounts receivable in 2021 as compared to 2020. The increase in net income, adjusted for the impact of non-cash transactions, of $24.5 million in the three fiscal quarters of 2021 also contributed to the increase in cash provided by operating activities. The increase in cash provided by operating activities was also due to a $16.7 million positive impact of changes in advertising fund assets and liabilities, restricted, in 2021 as compared to 2020 due to the receipt of advertising contributions outpacing payments for advertising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jc w:val="both"/>
        <w:ind w:right="820" w:firstLine="281"/>
        <w:spacing w:after="0" w:line="279" w:lineRule="auto"/>
        <w:rPr>
          <w:sz w:val="20"/>
          <w:szCs w:val="20"/>
          <w:color w:val="auto"/>
        </w:rPr>
      </w:pPr>
      <w:r>
        <w:rPr>
          <w:rFonts w:ascii="Arial" w:cs="Arial" w:eastAsia="Arial" w:hAnsi="Arial"/>
          <w:sz w:val="18"/>
          <w:szCs w:val="18"/>
          <w:color w:val="auto"/>
        </w:rPr>
        <w:t>Cash used in investing activities was $90.3 million in the three fiscal quarters of 2021, which primarily consisted of $50.7 million of capital expenditures (driven primarily by investments in technological initiatives, supply chain centers and corporate store operations) and an additional investment in Dash Brands (Note 6) of $40.0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right="120" w:firstLine="284"/>
        <w:spacing w:after="0" w:line="291" w:lineRule="auto"/>
        <w:rPr>
          <w:sz w:val="20"/>
          <w:szCs w:val="20"/>
          <w:color w:val="auto"/>
        </w:rPr>
      </w:pPr>
      <w:r>
        <w:rPr>
          <w:rFonts w:ascii="Arial" w:cs="Arial" w:eastAsia="Arial" w:hAnsi="Arial"/>
          <w:sz w:val="17"/>
          <w:szCs w:val="17"/>
          <w:color w:val="auto"/>
        </w:rPr>
        <w:t>Cash used in financing activities was $228.1 million in the three fiscal quarters of 2021, primarily related to the repurchase of approximately $1.1 billion in common stock under our Board of Directors-approved share repurchase program (including $1.0 billion under the ASR Agreement), repayments of long-term debt and finance lease obligations of $896.2 million, dividend payments of $71.2 million, cash paid for financing costs as part of the 2021 Recapitalization of $14.9 million and tax payments for the vesting of restricted stock of $6.8 million. Of the total amount of repayments of long-term debt and finance lease obligations, $873.0 million represents the repayment of the remaining principal under our then-outstanding 2017 five-year floating rate notes and 2017 five-year fixed rate notes as part of the 2021 Recapitalization. These uses of cash were partially offset by proceeds from our 2021 Recapitalization of $1.85 billion and proceeds from the exercise of stock options of $15.9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60" w:firstLine="284"/>
        <w:spacing w:after="0" w:line="266" w:lineRule="auto"/>
        <w:rPr>
          <w:sz w:val="20"/>
          <w:szCs w:val="20"/>
          <w:color w:val="auto"/>
        </w:rPr>
      </w:pPr>
      <w:r>
        <w:rPr>
          <w:rFonts w:ascii="Arial" w:cs="Arial" w:eastAsia="Arial" w:hAnsi="Arial"/>
          <w:sz w:val="18"/>
          <w:szCs w:val="18"/>
          <w:color w:val="auto"/>
        </w:rPr>
        <w:t>For a description of the Company’s critical accounting policies and estimates, refer to “Part II—Item 7—Management’s Discussion and Analysis of Financial Condition and Results of Operations” in the 2020 Form 10-K. The Company considers its most significant accounting policies and estimates to be revenue recognition, long-lived assets, insurance and legal matters, share-based payments and income taxes. There have been no material changes to the Company’s critical accounting policies and estimates since January 3,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2020 Form 10-K.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our ability to manage difficulties associated with or related to the COVID-19 pandemic and the effects of COVID-19 on our business and supply chain; the effectiveness of our advertising, operations and promotional initiatives; the strength of our brand, including our ability to compete in the U.S. and internationally in our intensely competitive industry, including the food service and food delivery markets;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changes in operating expenses resulting from changes in prices of food (particularly cheese), fuel and other commodity costs, labor, utilities, insurance, employee benefits and other operating costs;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consumer protection and social media; adverse legal judgments or settlements; food-borne illness or contamination of products; data breaches, power loss, technological failures, user error or other cyber risks threatening us or our franchisees; the effect of war, terrorism, catastrophic events or climate change; our ability to pay dividends and repurchase shares; changes in consumer tastes,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93" w:lineRule="exact"/>
        <w:rPr>
          <w:sz w:val="20"/>
          <w:szCs w:val="20"/>
          <w:color w:val="auto"/>
        </w:rPr>
      </w:pPr>
    </w:p>
    <w:p>
      <w:pPr>
        <w:ind w:firstLine="284"/>
        <w:spacing w:after="0" w:line="329" w:lineRule="auto"/>
        <w:rPr>
          <w:sz w:val="20"/>
          <w:szCs w:val="20"/>
          <w:color w:val="auto"/>
        </w:rPr>
      </w:pPr>
      <w:r>
        <w:rPr>
          <w:rFonts w:ascii="Arial" w:cs="Arial" w:eastAsia="Arial" w:hAnsi="Arial"/>
          <w:sz w:val="16"/>
          <w:szCs w:val="16"/>
          <w:color w:val="auto"/>
        </w:rPr>
        <w:t>We do not engage in speculative transactions nor do we hold or issue financial instruments for trading purposes. In connection with the recapitalizations of our business, we have issued fixed rate notes and entered into variable funding notes and, at September 12, 2021, we are exposed to interest rate risk on borrowings under our variable funding notes. As of September 12, 2021, we had no outstanding borrowings under our 2021 Variable Funding Notes.</w:t>
      </w:r>
    </w:p>
    <w:p>
      <w:pPr>
        <w:spacing w:after="0" w:line="202" w:lineRule="exact"/>
        <w:rPr>
          <w:sz w:val="20"/>
          <w:szCs w:val="20"/>
          <w:color w:val="auto"/>
        </w:rPr>
      </w:pPr>
    </w:p>
    <w:p>
      <w:pPr>
        <w:ind w:right="20" w:firstLine="284"/>
        <w:spacing w:after="0" w:line="290" w:lineRule="auto"/>
        <w:rPr>
          <w:sz w:val="20"/>
          <w:szCs w:val="20"/>
          <w:color w:val="auto"/>
        </w:rPr>
      </w:pPr>
      <w:r>
        <w:rPr>
          <w:rFonts w:ascii="Arial" w:cs="Arial" w:eastAsia="Arial" w:hAnsi="Arial"/>
          <w:sz w:val="17"/>
          <w:szCs w:val="17"/>
          <w:color w:val="auto"/>
        </w:rPr>
        <w:t>Our 2021 Variable Funding Notes bear interest at fluctuating interest rates based on LIBOR. There is currently uncertainty around whether LIBOR will continue to exist after 2023. Our 2021 Variable Funding Notes loan documents contemplate a transition from LIBOR to secured overnight financing rate (“SOFR”) in the event that LIBOR ceases to exist. Because the composition and characteristics of SOFR are not the same as those of LIBOR, in such event, there can be no assurance that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w:t>
      </w:r>
    </w:p>
    <w:p>
      <w:pPr>
        <w:spacing w:after="0" w:line="230" w:lineRule="exact"/>
        <w:rPr>
          <w:sz w:val="20"/>
          <w:szCs w:val="20"/>
          <w:color w:val="auto"/>
        </w:rPr>
      </w:pPr>
    </w:p>
    <w:p>
      <w:pPr>
        <w:ind w:right="40" w:firstLine="284"/>
        <w:spacing w:after="0" w:line="293"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224" w:lineRule="exact"/>
        <w:rPr>
          <w:sz w:val="20"/>
          <w:szCs w:val="20"/>
          <w:color w:val="auto"/>
        </w:rPr>
      </w:pPr>
    </w:p>
    <w:p>
      <w:pPr>
        <w:ind w:right="80" w:firstLine="284"/>
        <w:spacing w:after="0" w:line="272" w:lineRule="auto"/>
        <w:rPr>
          <w:sz w:val="20"/>
          <w:szCs w:val="20"/>
          <w:color w:val="auto"/>
        </w:rPr>
      </w:pPr>
      <w:r>
        <w:rPr>
          <w:rFonts w:ascii="Arial" w:cs="Arial" w:eastAsia="Arial" w:hAnsi="Arial"/>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245" w:lineRule="exact"/>
        <w:rPr>
          <w:sz w:val="20"/>
          <w:szCs w:val="20"/>
          <w:color w:val="auto"/>
        </w:rPr>
      </w:pPr>
    </w:p>
    <w:p>
      <w:pPr>
        <w:ind w:right="60" w:firstLine="284"/>
        <w:spacing w:after="0" w:line="309" w:lineRule="auto"/>
        <w:rPr>
          <w:sz w:val="20"/>
          <w:szCs w:val="20"/>
          <w:color w:val="auto"/>
        </w:rPr>
      </w:pPr>
      <w:r>
        <w:rPr>
          <w:rFonts w:ascii="Arial" w:cs="Arial" w:eastAsia="Arial" w:hAnsi="Arial"/>
          <w:sz w:val="16"/>
          <w:szCs w:val="16"/>
          <w:color w:val="auto"/>
        </w:rPr>
        <w:t>We have exposure to various foreign currency exchange rate fluctuations for revenues generated by our operations outside the U.S., which can adversely impact our net income and cash flows. Approximately 7.1% of our total revenues in the third quarter of 2021, approximately 6.9% of our total revenues in the three fiscal quarters of 2021, approximately 5.6% of our total revenues in the third quarter of 2020 and approximately 5.8% of our total revenues in the three fiscal quarters of 2020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$18.4 million in the three fiscal quarters of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97" w:lineRule="exact"/>
        <w:rPr>
          <w:sz w:val="20"/>
          <w:szCs w:val="20"/>
          <w:color w:val="auto"/>
        </w:rPr>
      </w:pPr>
    </w:p>
    <w:p>
      <w:pPr>
        <w:ind w:right="100" w:firstLine="284"/>
        <w:spacing w:after="0" w:line="296" w:lineRule="auto"/>
        <w:rPr>
          <w:sz w:val="20"/>
          <w:szCs w:val="20"/>
          <w:color w:val="auto"/>
        </w:rPr>
      </w:pPr>
      <w:r>
        <w:rPr>
          <w:rFonts w:ascii="Arial" w:cs="Arial" w:eastAsia="Arial" w:hAnsi="Arial"/>
          <w:sz w:val="17"/>
          <w:szCs w:val="17"/>
          <w:color w:val="auto"/>
        </w:rPr>
        <w:t>Management, with the participation of the Company’s Chief Executive Officer (who is also serving as the Company’s interim principal financial officer), Richard E. Allison, Jr.,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Allison concluded that the Company’s disclosure controls and procedures were effective.</w:t>
      </w:r>
    </w:p>
    <w:p>
      <w:pPr>
        <w:spacing w:after="0" w:line="224" w:lineRule="exact"/>
        <w:rPr>
          <w:sz w:val="20"/>
          <w:szCs w:val="20"/>
          <w:color w:val="auto"/>
        </w:rPr>
      </w:pPr>
    </w:p>
    <w:p>
      <w:pPr>
        <w:ind w:right="140" w:firstLine="284"/>
        <w:spacing w:after="0" w:line="279" w:lineRule="auto"/>
        <w:rPr>
          <w:sz w:val="20"/>
          <w:szCs w:val="20"/>
          <w:color w:val="auto"/>
        </w:rPr>
      </w:pPr>
      <w:r>
        <w:rPr>
          <w:rFonts w:ascii="Arial" w:cs="Arial" w:eastAsia="Arial" w:hAnsi="Arial"/>
          <w:sz w:val="18"/>
          <w:szCs w:val="18"/>
          <w:color w:val="auto"/>
        </w:rPr>
        <w:t>During the quarterly period ended September 12, 2021,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281"/>
        <w:spacing w:after="0" w:line="342" w:lineRule="auto"/>
        <w:rPr>
          <w:sz w:val="20"/>
          <w:szCs w:val="20"/>
          <w:color w:val="auto"/>
        </w:rPr>
      </w:pPr>
      <w:r>
        <w:rPr>
          <w:rFonts w:ascii="Arial" w:cs="Arial" w:eastAsia="Arial" w:hAnsi="Arial"/>
          <w:sz w:val="16"/>
          <w:szCs w:val="16"/>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24" w:lineRule="exact"/>
        <w:rPr>
          <w:sz w:val="20"/>
          <w:szCs w:val="20"/>
          <w:color w:val="auto"/>
        </w:rPr>
      </w:pPr>
    </w:p>
    <w:p>
      <w:pPr>
        <w:ind w:right="420" w:firstLine="281"/>
        <w:spacing w:after="0" w:line="277"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have been no material changes with respect to those risk factors previously disclosed in Item 1A “Risk Factors” in Part I of our 2020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Approximate Dollar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Value of Shares that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Purchased as Part of</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May Yet Be Purchased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Average Price Paid</w:t>
            </w:r>
          </w:p>
        </w:tc>
        <w:tc>
          <w:tcPr>
            <w:tcW w:w="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Under the Program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4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Per Share</w:t>
            </w:r>
          </w:p>
        </w:tc>
        <w:tc>
          <w:tcPr>
            <w:tcW w:w="36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 (2)</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Period #7 (June 21, 2021</w:t>
            </w:r>
          </w:p>
        </w:tc>
        <w:tc>
          <w:tcPr>
            <w:tcW w:w="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July 18, 2021)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475.82</w:t>
            </w: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440" w:type="dxa"/>
            <w:vAlign w:val="bottom"/>
          </w:tcPr>
          <w:p>
            <w:pPr>
              <w:spacing w:after="0"/>
              <w:rPr>
                <w:sz w:val="20"/>
                <w:szCs w:val="20"/>
                <w:color w:val="auto"/>
              </w:rPr>
            </w:pPr>
            <w:r>
              <w:rPr>
                <w:rFonts w:ascii="Arial" w:cs="Arial" w:eastAsia="Arial" w:hAnsi="Arial"/>
                <w:sz w:val="18"/>
                <w:szCs w:val="18"/>
                <w:color w:val="auto"/>
              </w:rPr>
              <w:t>Period #8 (July 19, 2021</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140"/>
              <w:spacing w:after="0"/>
              <w:rPr>
                <w:sz w:val="20"/>
                <w:szCs w:val="20"/>
                <w:color w:val="auto"/>
              </w:rPr>
            </w:pPr>
            <w:r>
              <w:rPr>
                <w:rFonts w:ascii="Arial" w:cs="Arial" w:eastAsia="Arial" w:hAnsi="Arial"/>
                <w:sz w:val="18"/>
                <w:szCs w:val="18"/>
                <w:color w:val="auto"/>
              </w:rPr>
              <w:t>to August 15, 2021)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300,483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530.80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299,265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967,586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Period #9 (August 16, 2021</w:t>
            </w:r>
          </w:p>
        </w:tc>
        <w:tc>
          <w:tcPr>
            <w:tcW w:w="40" w:type="dxa"/>
            <w:vAlign w:val="bottom"/>
            <w:vMerge w:val="restart"/>
            <w:shd w:val="clear" w:color="auto" w:fill="CFF0FC"/>
          </w:tcPr>
          <w:p>
            <w:pPr>
              <w:spacing w:after="0"/>
              <w:rPr>
                <w:sz w:val="21"/>
                <w:szCs w:val="21"/>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93,194</w:t>
            </w: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515.30</w:t>
            </w:r>
          </w:p>
        </w:tc>
        <w:tc>
          <w:tcPr>
            <w:tcW w:w="360" w:type="dxa"/>
            <w:vAlign w:val="bottom"/>
            <w:vMerge w:val="restart"/>
            <w:shd w:val="clear" w:color="auto" w:fill="CFF0FC"/>
          </w:tcPr>
          <w:p>
            <w:pPr>
              <w:spacing w:after="0"/>
              <w:rPr>
                <w:sz w:val="21"/>
                <w:szCs w:val="21"/>
                <w:color w:val="auto"/>
              </w:rPr>
            </w:pP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91,742</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920,312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 September 12, 2021)</w:t>
            </w:r>
          </w:p>
        </w:tc>
        <w:tc>
          <w:tcPr>
            <w:tcW w:w="40" w:type="dxa"/>
            <w:vAlign w:val="bottom"/>
            <w:tcBorders>
              <w:bottom w:val="single" w:sz="8" w:color="CFF0FC"/>
            </w:tcBorders>
            <w:vMerge w:val="continue"/>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CFF0FC"/>
            </w:tcBorders>
            <w:vMerge w:val="continue"/>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394,590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521.24</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391,007</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920,312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-193675</wp:posOffset>
            </wp:positionV>
            <wp:extent cx="24892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-193675</wp:posOffset>
            </wp:positionV>
            <wp:extent cx="23177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-193675</wp:posOffset>
            </wp:positionV>
            <wp:extent cx="23177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-193675</wp:posOffset>
            </wp:positionV>
            <wp:extent cx="6032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01" w:lineRule="exact"/>
        <w:rPr>
          <w:sz w:val="20"/>
          <w:szCs w:val="20"/>
          <w:color w:val="auto"/>
        </w:rPr>
      </w:pPr>
    </w:p>
    <w:p>
      <w:pPr>
        <w:ind w:left="480" w:right="180" w:hanging="459"/>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3,583 shares in the third quarter of 2021 were purchased as part of the Company’s employee stock payroll deduction plan. During the third quarter, the shares were purchased at an average price of $511.95.</w:t>
      </w:r>
    </w:p>
    <w:p>
      <w:pPr>
        <w:spacing w:after="0" w:line="102" w:lineRule="exact"/>
        <w:rPr>
          <w:rFonts w:ascii="Arial" w:cs="Arial" w:eastAsia="Arial" w:hAnsi="Arial"/>
          <w:sz w:val="18"/>
          <w:szCs w:val="18"/>
          <w:color w:val="auto"/>
        </w:rPr>
      </w:pPr>
    </w:p>
    <w:p>
      <w:pPr>
        <w:ind w:left="480" w:right="180" w:hanging="459"/>
        <w:spacing w:after="0" w:line="27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30, 2021, the Company entered into the ASR Agreement. Pursuant to the terms of the ASR Agreement, on May 3, 2021, the Company received and retired 2,012,596 shares of its common stock. Final settlement of the ASR Agreement occurred on July 21, 2021. The total number of shares purchased in Period 8, 2021 (July 19, 2021 to August 15, 2021) includes 238,190 shares received at final settlement of the ASR Agreement. In connection with the ASR Agreement, the Company received and retired a total of 2,250,786 shares of its common stock at an average price of $444.29.</w:t>
      </w:r>
    </w:p>
    <w:p>
      <w:pPr>
        <w:spacing w:after="0" w:line="109" w:lineRule="exact"/>
        <w:rPr>
          <w:rFonts w:ascii="Arial" w:cs="Arial" w:eastAsia="Arial" w:hAnsi="Arial"/>
          <w:sz w:val="18"/>
          <w:szCs w:val="18"/>
          <w:color w:val="auto"/>
        </w:rPr>
      </w:pPr>
    </w:p>
    <w:p>
      <w:pPr>
        <w:ind w:left="480" w:right="80"/>
        <w:spacing w:after="0" w:line="279" w:lineRule="auto"/>
        <w:rPr>
          <w:rFonts w:ascii="Arial" w:cs="Arial" w:eastAsia="Arial" w:hAnsi="Arial"/>
          <w:sz w:val="18"/>
          <w:szCs w:val="18"/>
          <w:color w:val="auto"/>
        </w:rPr>
      </w:pPr>
      <w:r>
        <w:rPr>
          <w:rFonts w:ascii="Arial" w:cs="Arial" w:eastAsia="Arial" w:hAnsi="Arial"/>
          <w:sz w:val="18"/>
          <w:szCs w:val="18"/>
          <w:color w:val="auto"/>
        </w:rPr>
        <w:t>On July 20, 2021, the Company’s Board of Directors authorized a new share repurchase program to repurchase up to $1.0 billion of the Company’s common stock. As of September 12, 2021, $920.3 million remained available for future purchases of the Company’s common stock under this share repurchase program.</w:t>
      </w:r>
    </w:p>
    <w:p>
      <w:pPr>
        <w:spacing w:after="0" w:line="101" w:lineRule="exact"/>
        <w:rPr>
          <w:rFonts w:ascii="Arial" w:cs="Arial" w:eastAsia="Arial" w:hAnsi="Arial"/>
          <w:sz w:val="18"/>
          <w:szCs w:val="18"/>
          <w:color w:val="auto"/>
        </w:rPr>
      </w:pPr>
    </w:p>
    <w:p>
      <w:pPr>
        <w:ind w:left="480" w:right="480"/>
        <w:spacing w:after="0" w:line="277" w:lineRule="auto"/>
        <w:rPr>
          <w:rFonts w:ascii="Arial" w:cs="Arial" w:eastAsia="Arial" w:hAnsi="Arial"/>
          <w:sz w:val="18"/>
          <w:szCs w:val="18"/>
          <w:color w:val="auto"/>
        </w:rPr>
      </w:pPr>
      <w:r>
        <w:rPr>
          <w:rFonts w:ascii="Arial" w:cs="Arial" w:eastAsia="Arial" w:hAnsi="Arial"/>
          <w:sz w:val="18"/>
          <w:szCs w:val="18"/>
          <w:color w:val="auto"/>
        </w:rPr>
        <w:t>Subsequent to the end of the third quarter and through October 12, 2021, the Company repurchased and retired an additional 205,145 shares of common stock for a total of approximately $100.1 million, or an average price of $487.90 per share.</w:t>
      </w:r>
    </w:p>
    <w:p>
      <w:pPr>
        <w:spacing w:after="0" w:line="89" w:lineRule="exact"/>
        <w:rPr>
          <w:rFonts w:ascii="Arial" w:cs="Arial" w:eastAsia="Arial" w:hAnsi="Arial"/>
          <w:sz w:val="18"/>
          <w:szCs w:val="18"/>
          <w:color w:val="auto"/>
        </w:rPr>
      </w:pPr>
    </w:p>
    <w:p>
      <w:pPr>
        <w:ind w:left="480" w:right="140"/>
        <w:spacing w:after="0" w:line="263" w:lineRule="auto"/>
        <w:rPr>
          <w:rFonts w:ascii="Arial" w:cs="Arial" w:eastAsia="Arial" w:hAnsi="Arial"/>
          <w:sz w:val="18"/>
          <w:szCs w:val="18"/>
          <w:color w:val="auto"/>
        </w:rPr>
      </w:pPr>
      <w:r>
        <w:rPr>
          <w:rFonts w:ascii="Arial" w:cs="Arial" w:eastAsia="Arial" w:hAnsi="Arial"/>
          <w:sz w:val="18"/>
          <w:szCs w:val="18"/>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940" w:type="dxa"/>
            <w:vAlign w:val="bottom"/>
            <w:tcBorders>
              <w:bottom w:val="single" w:sz="8" w:color="auto"/>
            </w:tcBorders>
            <w:gridSpan w:val="5"/>
          </w:tcPr>
          <w:p>
            <w:pPr>
              <w:ind w:left="148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7"/>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Form of Restricted Stock Unit Award Agreement under the Amended Domino’s Pizza, Inc. 2004 Equity Incentive Plan.</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Certification by Richard E. Allison, Jr. pursuant to Rule 13a-14(a) and 15d-14(a), as adopted pursuant to Section 302 of the Sarbanes-Oxley</w:t>
              </w:r>
            </w:hyperlink>
          </w:p>
        </w:tc>
        <w:tc>
          <w:tcPr>
            <w:tcW w:w="80" w:type="dxa"/>
            <w:vAlign w:val="bottom"/>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Borders>
              <w:bottom w:val="single" w:sz="8" w:color="0000FF"/>
            </w:tcBorders>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Act of 2002, relating to Domino’s Pizza, Inc.</w:t>
              </w:r>
            </w:hyperlink>
          </w:p>
        </w:tc>
        <w:tc>
          <w:tcPr>
            <w:tcW w:w="20" w:type="dxa"/>
            <w:vAlign w:val="bottom"/>
            <w:tcBorders>
              <w:bottom w:val="single" w:sz="8" w:color="0000EE"/>
            </w:tcBorders>
          </w:tcPr>
          <w:p>
            <w:pPr>
              <w:spacing w:after="0"/>
              <w:rPr>
                <w:sz w:val="18"/>
                <w:szCs w:val="18"/>
                <w:color w:val="auto"/>
              </w:rPr>
            </w:pPr>
          </w:p>
        </w:tc>
        <w:tc>
          <w:tcPr>
            <w:tcW w:w="6940" w:type="dxa"/>
            <w:vAlign w:val="bottom"/>
            <w:gridSpan w:val="5"/>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Certification by Richard E. Allison, Jr. pursuant to Section 1350, Chapter 63 of Title 18, United States Code, as adopted pursuant to Section</w:t>
              </w:r>
            </w:hyperlink>
          </w:p>
        </w:tc>
        <w:tc>
          <w:tcPr>
            <w:tcW w:w="100" w:type="dxa"/>
            <w:vAlign w:val="bottom"/>
            <w:gridSpan w:val="2"/>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906 of the Sarbanes-Oxley Act of 2002, relating to Domino’s Pizza, Inc.</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gridSpan w:val="3"/>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the Inline XBRL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13" w:lineRule="exact"/>
        <w:rPr>
          <w:sz w:val="20"/>
          <w:szCs w:val="20"/>
          <w:color w:val="auto"/>
        </w:rPr>
      </w:pPr>
    </w:p>
    <w:p>
      <w:pPr>
        <w:ind w:left="5540" w:right="3680" w:hanging="5519"/>
        <w:spacing w:after="0" w:line="57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255"/>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DOMINO’S PIZZA,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October 14, 2021</w:t>
      </w:r>
      <w:r>
        <w:rPr>
          <w:sz w:val="20"/>
          <w:szCs w:val="20"/>
          <w:color w:val="auto"/>
        </w:rPr>
        <w:tab/>
      </w:r>
      <w:r>
        <w:rPr>
          <w:rFonts w:ascii="Arial" w:cs="Arial" w:eastAsia="Arial" w:hAnsi="Arial"/>
          <w:sz w:val="16"/>
          <w:szCs w:val="16"/>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23495</wp:posOffset>
            </wp:positionV>
            <wp:extent cx="33261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5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Allison, Jr.</w:t>
      </w:r>
    </w:p>
    <w:p>
      <w:pPr>
        <w:spacing w:after="0" w:line="3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(Principal Executive Officer and Principal Financial Officer)</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364" w:right="10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10.1</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58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Name:</w:t>
            </w:r>
          </w:p>
        </w:tc>
        <w:tc>
          <w:tcPr>
            <w:tcW w:w="5360" w:type="dxa"/>
            <w:vAlign w:val="bottom"/>
            <w:tcBorders>
              <w:top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w:t>
            </w:r>
          </w:p>
        </w:tc>
      </w:tr>
      <w:tr>
        <w:trPr>
          <w:trHeight w:val="27"/>
        </w:trPr>
        <w:tc>
          <w:tcPr>
            <w:tcW w:w="5880" w:type="dxa"/>
            <w:vAlign w:val="bottom"/>
            <w:tcBorders>
              <w:left w:val="single" w:sz="8" w:color="00000A"/>
              <w:bottom w:val="single" w:sz="8" w:color="00000A"/>
              <w:right w:val="single" w:sz="8" w:color="00000A"/>
            </w:tcBorders>
          </w:tcPr>
          <w:p>
            <w:pPr>
              <w:spacing w:after="0"/>
              <w:rPr>
                <w:sz w:val="2"/>
                <w:szCs w:val="2"/>
                <w:color w:val="auto"/>
              </w:rPr>
            </w:pPr>
          </w:p>
        </w:tc>
        <w:tc>
          <w:tcPr>
            <w:tcW w:w="5360" w:type="dxa"/>
            <w:vAlign w:val="bottom"/>
            <w:tcBorders>
              <w:bottom w:val="single" w:sz="8" w:color="00000A"/>
              <w:right w:val="single" w:sz="8" w:color="00000A"/>
            </w:tcBorders>
          </w:tcPr>
          <w:p>
            <w:pPr>
              <w:spacing w:after="0"/>
              <w:rPr>
                <w:sz w:val="2"/>
                <w:szCs w:val="2"/>
                <w:color w:val="auto"/>
              </w:rPr>
            </w:pPr>
          </w:p>
        </w:tc>
      </w:tr>
      <w:tr>
        <w:trPr>
          <w:trHeight w:val="290"/>
        </w:trPr>
        <w:tc>
          <w:tcPr>
            <w:tcW w:w="5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Number of RSUs subject to Award:</w:t>
            </w:r>
          </w:p>
        </w:tc>
        <w:tc>
          <w:tcPr>
            <w:tcW w:w="5360" w:type="dxa"/>
            <w:vAlign w:val="bottom"/>
            <w:tcBorders>
              <w:right w:val="single" w:sz="8" w:color="00000A"/>
            </w:tcBorders>
          </w:tcPr>
          <w:p>
            <w:pPr>
              <w:spacing w:after="0"/>
              <w:rPr>
                <w:sz w:val="20"/>
                <w:szCs w:val="20"/>
                <w:color w:val="auto"/>
              </w:rPr>
            </w:pPr>
            <w:r>
              <w:rPr>
                <w:rFonts w:ascii="Arial" w:cs="Arial" w:eastAsia="Arial" w:hAnsi="Arial"/>
                <w:sz w:val="22"/>
                <w:szCs w:val="22"/>
                <w:b w:val="1"/>
                <w:bCs w:val="1"/>
                <w:color w:val="auto"/>
              </w:rPr>
              <w:t>[●]</w:t>
            </w:r>
          </w:p>
        </w:tc>
      </w:tr>
      <w:tr>
        <w:trPr>
          <w:trHeight w:val="31"/>
        </w:trPr>
        <w:tc>
          <w:tcPr>
            <w:tcW w:w="5880" w:type="dxa"/>
            <w:vAlign w:val="bottom"/>
            <w:tcBorders>
              <w:left w:val="single" w:sz="8" w:color="00000A"/>
              <w:bottom w:val="single" w:sz="8" w:color="00000A"/>
              <w:right w:val="single" w:sz="8" w:color="00000A"/>
            </w:tcBorders>
          </w:tcPr>
          <w:p>
            <w:pPr>
              <w:spacing w:after="0"/>
              <w:rPr>
                <w:sz w:val="2"/>
                <w:szCs w:val="2"/>
                <w:color w:val="auto"/>
              </w:rPr>
            </w:pPr>
          </w:p>
        </w:tc>
        <w:tc>
          <w:tcPr>
            <w:tcW w:w="5360" w:type="dxa"/>
            <w:vAlign w:val="bottom"/>
            <w:tcBorders>
              <w:bottom w:val="single" w:sz="8" w:color="00000A"/>
              <w:right w:val="single" w:sz="8" w:color="00000A"/>
            </w:tcBorders>
          </w:tcPr>
          <w:p>
            <w:pPr>
              <w:spacing w:after="0"/>
              <w:rPr>
                <w:sz w:val="2"/>
                <w:szCs w:val="2"/>
                <w:color w:val="auto"/>
              </w:rPr>
            </w:pPr>
          </w:p>
        </w:tc>
      </w:tr>
      <w:tr>
        <w:trPr>
          <w:trHeight w:val="287"/>
        </w:trPr>
        <w:tc>
          <w:tcPr>
            <w:tcW w:w="5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Date of Grant:</w:t>
            </w:r>
          </w:p>
        </w:tc>
        <w:tc>
          <w:tcPr>
            <w:tcW w:w="5360" w:type="dxa"/>
            <w:vAlign w:val="bottom"/>
            <w:tcBorders>
              <w:right w:val="single" w:sz="8" w:color="00000A"/>
            </w:tcBorders>
          </w:tcPr>
          <w:p>
            <w:pPr>
              <w:spacing w:after="0"/>
              <w:rPr>
                <w:sz w:val="20"/>
                <w:szCs w:val="20"/>
                <w:color w:val="auto"/>
              </w:rPr>
            </w:pPr>
            <w:r>
              <w:rPr>
                <w:rFonts w:ascii="Arial" w:cs="Arial" w:eastAsia="Arial" w:hAnsi="Arial"/>
                <w:sz w:val="22"/>
                <w:szCs w:val="22"/>
                <w:b w:val="1"/>
                <w:bCs w:val="1"/>
                <w:color w:val="auto"/>
              </w:rPr>
              <w:t>[●]</w:t>
            </w:r>
          </w:p>
        </w:tc>
      </w:tr>
      <w:tr>
        <w:trPr>
          <w:trHeight w:val="31"/>
        </w:trPr>
        <w:tc>
          <w:tcPr>
            <w:tcW w:w="5880" w:type="dxa"/>
            <w:vAlign w:val="bottom"/>
            <w:tcBorders>
              <w:left w:val="single" w:sz="8" w:color="00000A"/>
              <w:bottom w:val="single" w:sz="8" w:color="00000A"/>
              <w:right w:val="single" w:sz="8" w:color="00000A"/>
            </w:tcBorders>
          </w:tcPr>
          <w:p>
            <w:pPr>
              <w:spacing w:after="0"/>
              <w:rPr>
                <w:sz w:val="2"/>
                <w:szCs w:val="2"/>
                <w:color w:val="auto"/>
              </w:rPr>
            </w:pPr>
          </w:p>
        </w:tc>
        <w:tc>
          <w:tcPr>
            <w:tcW w:w="5360" w:type="dxa"/>
            <w:vAlign w:val="bottom"/>
            <w:tcBorders>
              <w:bottom w:val="single" w:sz="8" w:color="00000A"/>
              <w:right w:val="single" w:sz="8" w:color="00000A"/>
            </w:tcBorders>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DOMINO’S PIZZA,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EQUITY INCENTIVE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RESTRICTED STOCK UNIT AWARD AGREEMENT</w:t>
      </w:r>
    </w:p>
    <w:p>
      <w:pPr>
        <w:spacing w:after="0" w:line="368" w:lineRule="exact"/>
        <w:rPr>
          <w:sz w:val="20"/>
          <w:szCs w:val="20"/>
          <w:color w:val="auto"/>
        </w:rPr>
      </w:pPr>
    </w:p>
    <w:p>
      <w:pPr>
        <w:ind w:right="100" w:firstLine="749"/>
        <w:spacing w:after="0" w:line="261" w:lineRule="auto"/>
        <w:rPr>
          <w:sz w:val="20"/>
          <w:szCs w:val="20"/>
          <w:color w:val="auto"/>
        </w:rPr>
      </w:pPr>
      <w:r>
        <w:rPr>
          <w:rFonts w:ascii="Arial" w:cs="Arial" w:eastAsia="Arial" w:hAnsi="Arial"/>
          <w:sz w:val="22"/>
          <w:szCs w:val="22"/>
          <w:color w:val="auto"/>
        </w:rPr>
        <w:t>This agreement (including any exhibits hereto, this “</w:t>
      </w:r>
      <w:r>
        <w:rPr>
          <w:rFonts w:ascii="Arial" w:cs="Arial" w:eastAsia="Arial" w:hAnsi="Arial"/>
          <w:sz w:val="22"/>
          <w:szCs w:val="22"/>
          <w:u w:val="single" w:color="auto"/>
          <w:color w:val="auto"/>
        </w:rPr>
        <w:t>Agreement</w:t>
      </w:r>
      <w:r>
        <w:rPr>
          <w:rFonts w:ascii="Arial" w:cs="Arial" w:eastAsia="Arial" w:hAnsi="Arial"/>
          <w:sz w:val="22"/>
          <w:szCs w:val="22"/>
          <w:color w:val="auto"/>
        </w:rPr>
        <w:t>”) evidences an award (this “</w:t>
      </w:r>
      <w:r>
        <w:rPr>
          <w:rFonts w:ascii="Arial" w:cs="Arial" w:eastAsia="Arial" w:hAnsi="Arial"/>
          <w:sz w:val="22"/>
          <w:szCs w:val="22"/>
          <w:u w:val="single" w:color="auto"/>
          <w:color w:val="auto"/>
        </w:rPr>
        <w:t>Award</w:t>
      </w:r>
      <w:r>
        <w:rPr>
          <w:rFonts w:ascii="Arial" w:cs="Arial" w:eastAsia="Arial" w:hAnsi="Arial"/>
          <w:sz w:val="22"/>
          <w:szCs w:val="22"/>
          <w:color w:val="auto"/>
        </w:rPr>
        <w:t>”) of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granted by Domino’s Pizza, Inc. (the “</w:t>
      </w:r>
      <w:r>
        <w:rPr>
          <w:rFonts w:ascii="Arial" w:cs="Arial" w:eastAsia="Arial" w:hAnsi="Arial"/>
          <w:sz w:val="22"/>
          <w:szCs w:val="22"/>
          <w:u w:val="single" w:color="auto"/>
          <w:color w:val="auto"/>
        </w:rPr>
        <w:t>Company</w:t>
      </w:r>
      <w:r>
        <w:rPr>
          <w:rFonts w:ascii="Arial" w:cs="Arial" w:eastAsia="Arial" w:hAnsi="Arial"/>
          <w:sz w:val="22"/>
          <w:szCs w:val="22"/>
          <w:color w:val="auto"/>
        </w:rPr>
        <w:t>”) to the undersigned (the “</w:t>
      </w:r>
      <w:r>
        <w:rPr>
          <w:rFonts w:ascii="Arial" w:cs="Arial" w:eastAsia="Arial" w:hAnsi="Arial"/>
          <w:sz w:val="22"/>
          <w:szCs w:val="22"/>
          <w:u w:val="single" w:color="auto"/>
          <w:color w:val="auto"/>
        </w:rPr>
        <w:t>Participant</w:t>
      </w:r>
      <w:r>
        <w:rPr>
          <w:rFonts w:ascii="Arial" w:cs="Arial" w:eastAsia="Arial" w:hAnsi="Arial"/>
          <w:sz w:val="22"/>
          <w:szCs w:val="22"/>
          <w:color w:val="auto"/>
        </w:rPr>
        <w:t>”) pursuant and subject to the terms and conditions of the Domino’s Pizza, Inc. 2004 Equity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Except as otherwise defined herein, all capitalized terms used herein have the same meaning as in the Plan.</w:t>
      </w:r>
    </w:p>
    <w:p>
      <w:pPr>
        <w:spacing w:after="0" w:line="244" w:lineRule="exact"/>
        <w:rPr>
          <w:sz w:val="20"/>
          <w:szCs w:val="20"/>
          <w:color w:val="auto"/>
        </w:rPr>
      </w:pPr>
    </w:p>
    <w:p>
      <w:pPr>
        <w:ind w:left="180" w:right="80" w:hanging="161"/>
        <w:spacing w:after="0" w:line="311" w:lineRule="auto"/>
        <w:rPr>
          <w:sz w:val="20"/>
          <w:szCs w:val="20"/>
          <w:color w:val="auto"/>
        </w:rPr>
      </w:pPr>
      <w:r>
        <w:rPr>
          <w:rFonts w:ascii="Arial" w:cs="Arial" w:eastAsia="Arial" w:hAnsi="Arial"/>
          <w:sz w:val="19"/>
          <w:szCs w:val="19"/>
          <w:u w:val="single" w:color="auto"/>
          <w:color w:val="auto"/>
        </w:rPr>
        <w:t>1.RSU Award</w:t>
      </w:r>
      <w:r>
        <w:rPr>
          <w:rFonts w:ascii="Arial" w:cs="Arial" w:eastAsia="Arial" w:hAnsi="Arial"/>
          <w:sz w:val="19"/>
          <w:szCs w:val="19"/>
          <w:color w:val="auto"/>
        </w:rPr>
        <w:t>. The Company grants to the Participant on the date set forth above (the “</w:t>
      </w:r>
      <w:r>
        <w:rPr>
          <w:rFonts w:ascii="Arial" w:cs="Arial" w:eastAsia="Arial" w:hAnsi="Arial"/>
          <w:sz w:val="19"/>
          <w:szCs w:val="19"/>
          <w:u w:val="single" w:color="auto"/>
          <w:color w:val="auto"/>
        </w:rPr>
        <w:t>Date of Grant</w:t>
      </w:r>
      <w:r>
        <w:rPr>
          <w:rFonts w:ascii="Arial" w:cs="Arial" w:eastAsia="Arial" w:hAnsi="Arial"/>
          <w:sz w:val="19"/>
          <w:szCs w:val="19"/>
          <w:color w:val="auto"/>
        </w:rPr>
        <w:t>”) the number of restricted stock units (the “</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2.Vesting Conditions</w:t>
      </w:r>
      <w:r>
        <w:rPr>
          <w:rFonts w:ascii="Arial" w:cs="Arial" w:eastAsia="Arial" w:hAnsi="Arial"/>
          <w:sz w:val="22"/>
          <w:szCs w:val="22"/>
          <w:color w:val="auto"/>
        </w:rPr>
        <w:t xml:space="preserve">. The RSUs shall vest as provided for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3.Delivery of Shares; Settlement of Award</w:t>
      </w:r>
      <w:r>
        <w:rPr>
          <w:rFonts w:ascii="Arial" w:cs="Arial" w:eastAsia="Arial" w:hAnsi="Arial"/>
          <w:sz w:val="22"/>
          <w:szCs w:val="22"/>
          <w:color w:val="auto"/>
        </w:rPr>
        <w:t>.</w:t>
      </w:r>
    </w:p>
    <w:p>
      <w:pPr>
        <w:spacing w:after="0" w:line="287" w:lineRule="exact"/>
        <w:rPr>
          <w:sz w:val="20"/>
          <w:szCs w:val="20"/>
          <w:color w:val="auto"/>
        </w:rPr>
      </w:pPr>
    </w:p>
    <w:p>
      <w:pPr>
        <w:ind w:left="1400" w:right="20" w:hanging="643"/>
        <w:spacing w:after="0" w:line="311" w:lineRule="auto"/>
        <w:tabs>
          <w:tab w:leader="none" w:pos="1400" w:val="left"/>
        </w:tabs>
        <w:numPr>
          <w:ilvl w:val="0"/>
          <w:numId w:val="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50" w:lineRule="exact"/>
        <w:rPr>
          <w:rFonts w:ascii="Arial" w:cs="Arial" w:eastAsia="Arial" w:hAnsi="Arial"/>
          <w:sz w:val="19"/>
          <w:szCs w:val="19"/>
          <w:u w:val="single" w:color="auto"/>
          <w:color w:val="auto"/>
        </w:rPr>
      </w:pPr>
    </w:p>
    <w:p>
      <w:pPr>
        <w:ind w:left="1400" w:right="200" w:hanging="643"/>
        <w:spacing w:after="0" w:line="266" w:lineRule="auto"/>
        <w:tabs>
          <w:tab w:leader="none" w:pos="1400" w:val="left"/>
        </w:tabs>
        <w:numPr>
          <w:ilvl w:val="0"/>
          <w:numId w:val="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Settlement Date</w:t>
      </w:r>
      <w:r>
        <w:rPr>
          <w:rFonts w:ascii="Arial" w:cs="Arial" w:eastAsia="Arial" w:hAnsi="Arial"/>
          <w:sz w:val="22"/>
          <w:szCs w:val="22"/>
          <w:color w:val="auto"/>
        </w:rPr>
        <w:t>. For purposes of this Agreement, “</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84" w:lineRule="exact"/>
        <w:rPr>
          <w:rFonts w:ascii="Arial" w:cs="Arial" w:eastAsia="Arial" w:hAnsi="Arial"/>
          <w:sz w:val="22"/>
          <w:szCs w:val="22"/>
          <w:u w:val="single" w:color="auto"/>
          <w:color w:val="auto"/>
        </w:rPr>
      </w:pPr>
    </w:p>
    <w:p>
      <w:pPr>
        <w:jc w:val="both"/>
        <w:ind w:left="2160" w:right="380" w:hanging="859"/>
        <w:spacing w:after="0" w:line="266" w:lineRule="auto"/>
        <w:tabs>
          <w:tab w:leader="none" w:pos="2160"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Other than in the event of a Covered Transaction (as defined in the Plan), the Settlement Date for the First RSU Tranche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be the First Scheduled Vesting Date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ind w:left="2160" w:right="260"/>
        <w:spacing w:after="0" w:line="276" w:lineRule="auto"/>
        <w:rPr>
          <w:sz w:val="20"/>
          <w:szCs w:val="20"/>
          <w:color w:val="auto"/>
        </w:rPr>
      </w:pPr>
      <w:r>
        <w:rPr>
          <w:rFonts w:ascii="Arial" w:cs="Arial" w:eastAsia="Arial" w:hAnsi="Arial"/>
          <w:sz w:val="22"/>
          <w:szCs w:val="22"/>
          <w:color w:val="auto"/>
        </w:rPr>
        <w:t xml:space="preserve">Settlement Date for the Second RSU Tranche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be the Second Scheduled Vesting Date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sz w:val="20"/>
          <w:szCs w:val="20"/>
          <w:color w:val="auto"/>
        </w:rPr>
      </w:pPr>
    </w:p>
    <w:p>
      <w:pPr>
        <w:ind w:left="2160" w:right="40" w:hanging="918"/>
        <w:spacing w:after="0" w:line="306" w:lineRule="auto"/>
        <w:tabs>
          <w:tab w:leader="none" w:pos="21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Arial" w:cs="Arial" w:eastAsia="Arial" w:hAnsi="Arial"/>
          <w:sz w:val="19"/>
          <w:szCs w:val="19"/>
          <w:u w:val="single" w:color="auto"/>
          <w:color w:val="auto"/>
        </w:rPr>
        <w:t>409A Award Portion</w:t>
      </w:r>
      <w:r>
        <w:rPr>
          <w:rFonts w:ascii="Arial" w:cs="Arial" w:eastAsia="Arial" w:hAnsi="Arial"/>
          <w:sz w:val="19"/>
          <w:szCs w:val="19"/>
          <w:color w:val="auto"/>
        </w:rPr>
        <w:t xml:space="preserve">”) shall be the Scheduled Vesting Date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applicable to the 409A Award Portion.</w:t>
      </w:r>
    </w:p>
    <w:p>
      <w:pPr>
        <w:spacing w:after="0" w:line="156" w:lineRule="exact"/>
        <w:rPr>
          <w:rFonts w:ascii="Arial" w:cs="Arial" w:eastAsia="Arial" w:hAnsi="Arial"/>
          <w:sz w:val="19"/>
          <w:szCs w:val="19"/>
          <w:color w:val="auto"/>
        </w:rPr>
      </w:pPr>
    </w:p>
    <w:p>
      <w:pPr>
        <w:ind w:left="2160" w:hanging="979"/>
        <w:spacing w:after="0" w:line="305" w:lineRule="auto"/>
        <w:tabs>
          <w:tab w:leader="none" w:pos="21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Forfeiture; Recovery of Compensation</w:t>
      </w:r>
      <w:r>
        <w:rPr>
          <w:rFonts w:ascii="Arial" w:cs="Arial" w:eastAsia="Arial" w:hAnsi="Arial"/>
          <w:sz w:val="22"/>
          <w:szCs w:val="22"/>
          <w:color w:val="auto"/>
        </w:rPr>
        <w:t>.</w:t>
      </w:r>
    </w:p>
    <w:p>
      <w:pPr>
        <w:spacing w:after="0" w:line="287" w:lineRule="exact"/>
        <w:rPr>
          <w:sz w:val="20"/>
          <w:szCs w:val="20"/>
          <w:color w:val="auto"/>
        </w:rPr>
      </w:pPr>
    </w:p>
    <w:p>
      <w:pPr>
        <w:ind w:right="60" w:firstLine="749"/>
        <w:spacing w:after="0" w:line="308" w:lineRule="auto"/>
        <w:rPr>
          <w:sz w:val="20"/>
          <w:szCs w:val="20"/>
          <w:color w:val="auto"/>
        </w:rPr>
      </w:pPr>
      <w:r>
        <w:rPr>
          <w:rFonts w:ascii="Arial" w:cs="Arial" w:eastAsia="Arial" w:hAnsi="Arial"/>
          <w:sz w:val="19"/>
          <w:szCs w:val="19"/>
          <w:color w:val="auto"/>
        </w:rPr>
        <w:t>The Administrator may cancel, rescind, withhold or otherwise limit or restrict this Award at any time if the Participant is not in compliance with all applicable provisions of this Agreement and the Plan. By accepting this Award, the Participant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Dividends; Other Rights</w:t>
      </w:r>
      <w:r>
        <w:rPr>
          <w:rFonts w:ascii="Arial" w:cs="Arial" w:eastAsia="Arial" w:hAnsi="Arial"/>
          <w:sz w:val="22"/>
          <w:szCs w:val="22"/>
          <w:color w:val="auto"/>
        </w:rPr>
        <w:t>.</w:t>
      </w:r>
    </w:p>
    <w:p>
      <w:pPr>
        <w:spacing w:after="0" w:line="287" w:lineRule="exact"/>
        <w:rPr>
          <w:sz w:val="20"/>
          <w:szCs w:val="20"/>
          <w:color w:val="auto"/>
        </w:rPr>
      </w:pPr>
    </w:p>
    <w:p>
      <w:pPr>
        <w:ind w:right="80" w:firstLine="749"/>
        <w:spacing w:after="0" w:line="297" w:lineRule="auto"/>
        <w:rPr>
          <w:sz w:val="20"/>
          <w:szCs w:val="20"/>
          <w:color w:val="auto"/>
        </w:rPr>
      </w:pPr>
      <w:r>
        <w:rPr>
          <w:rFonts w:ascii="Arial" w:cs="Arial" w:eastAsia="Arial" w:hAnsi="Arial"/>
          <w:sz w:val="19"/>
          <w:szCs w:val="19"/>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8" w:right="359" w:bottom="1440" w:gutter="0" w:footer="0" w:header="0"/>
        </w:sectPr>
      </w:pPr>
    </w:p>
    <w:bookmarkStart w:id="32" w:name="page33"/>
    <w:bookmarkEnd w:id="32"/>
    <w:p>
      <w:pPr>
        <w:ind w:right="100"/>
        <w:spacing w:after="0" w:line="266" w:lineRule="auto"/>
        <w:rPr>
          <w:sz w:val="20"/>
          <w:szCs w:val="20"/>
          <w:color w:val="auto"/>
        </w:rPr>
      </w:pPr>
      <w:r>
        <w:rPr>
          <w:rFonts w:ascii="Arial" w:cs="Arial" w:eastAsia="Arial" w:hAnsi="Arial"/>
          <w:sz w:val="22"/>
          <w:szCs w:val="22"/>
          <w:color w:val="auto"/>
        </w:rPr>
        <w:t>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287" w:lineRule="exact"/>
        <w:rPr>
          <w:sz w:val="20"/>
          <w:szCs w:val="20"/>
          <w:color w:val="auto"/>
        </w:rPr>
      </w:pPr>
    </w:p>
    <w:p>
      <w:pPr>
        <w:ind w:right="100" w:firstLine="749"/>
        <w:spacing w:after="0" w:line="304" w:lineRule="auto"/>
        <w:rPr>
          <w:sz w:val="20"/>
          <w:szCs w:val="20"/>
          <w:color w:val="auto"/>
        </w:rPr>
      </w:pPr>
      <w:r>
        <w:rPr>
          <w:rFonts w:ascii="Arial" w:cs="Arial" w:eastAsia="Arial" w:hAnsi="Arial"/>
          <w:sz w:val="19"/>
          <w:szCs w:val="19"/>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209" w:lineRule="exact"/>
        <w:rPr>
          <w:sz w:val="20"/>
          <w:szCs w:val="20"/>
          <w:color w:val="auto"/>
        </w:rPr>
      </w:pPr>
    </w:p>
    <w:p>
      <w:pPr>
        <w:ind w:left="180" w:hanging="161"/>
        <w:spacing w:after="0" w:line="302" w:lineRule="auto"/>
        <w:rPr>
          <w:sz w:val="20"/>
          <w:szCs w:val="20"/>
          <w:color w:val="auto"/>
        </w:rPr>
      </w:pPr>
      <w:r>
        <w:rPr>
          <w:rFonts w:ascii="Arial" w:cs="Arial" w:eastAsia="Arial" w:hAnsi="Arial"/>
          <w:sz w:val="19"/>
          <w:szCs w:val="19"/>
          <w:color w:val="auto"/>
        </w:rPr>
        <w:t>7.</w:t>
      </w:r>
      <w:r>
        <w:rPr>
          <w:rFonts w:ascii="Arial" w:cs="Arial" w:eastAsia="Arial" w:hAnsi="Arial"/>
          <w:sz w:val="19"/>
          <w:szCs w:val="19"/>
          <w:u w:val="single" w:color="auto"/>
          <w:color w:val="auto"/>
        </w:rPr>
        <w:t>Withholding</w:t>
      </w:r>
      <w:r>
        <w:rPr>
          <w:rFonts w:ascii="Arial" w:cs="Arial" w:eastAsia="Arial" w:hAnsi="Arial"/>
          <w:sz w:val="19"/>
          <w:szCs w:val="19"/>
          <w:color w:val="auto"/>
        </w:rPr>
        <w:t>. The Participant shall pay to the Company, or make provision satisfactory to the Company for payment of, any taxes required by law to be withheld in connection with the 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 (vi)). The Company and its Affiliates may, to the extent permitted by law, deduct any unsatisfied tax obligations from any payment of any kind otherwise due to the Participant.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Transfer of Award</w:t>
      </w:r>
      <w:r>
        <w:rPr>
          <w:rFonts w:ascii="Arial" w:cs="Arial" w:eastAsia="Arial" w:hAnsi="Arial"/>
          <w:sz w:val="22"/>
          <w:szCs w:val="22"/>
          <w:color w:val="auto"/>
        </w:rPr>
        <w:t>.</w:t>
      </w:r>
    </w:p>
    <w:p>
      <w:pPr>
        <w:spacing w:after="0" w:line="2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This Award may not be transferred except as expressly permitted under Section 6(a)(4) of the Plan.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w:t>
      </w:r>
      <w:r>
        <w:rPr>
          <w:rFonts w:ascii="Arial" w:cs="Arial" w:eastAsia="Arial" w:hAnsi="Arial"/>
          <w:sz w:val="22"/>
          <w:szCs w:val="22"/>
          <w:u w:val="single" w:color="auto"/>
          <w:color w:val="auto"/>
        </w:rPr>
        <w:t>Effect on Employment</w:t>
      </w:r>
      <w:r>
        <w:rPr>
          <w:rFonts w:ascii="Arial" w:cs="Arial" w:eastAsia="Arial" w:hAnsi="Arial"/>
          <w:sz w:val="22"/>
          <w:szCs w:val="22"/>
          <w:color w:val="auto"/>
        </w:rPr>
        <w:t>.</w:t>
      </w:r>
    </w:p>
    <w:p>
      <w:pPr>
        <w:spacing w:after="0" w:line="287" w:lineRule="exact"/>
        <w:rPr>
          <w:sz w:val="20"/>
          <w:szCs w:val="20"/>
          <w:color w:val="auto"/>
        </w:rPr>
      </w:pPr>
    </w:p>
    <w:p>
      <w:pPr>
        <w:ind w:right="120" w:firstLine="749"/>
        <w:spacing w:after="0" w:line="257" w:lineRule="auto"/>
        <w:rPr>
          <w:sz w:val="20"/>
          <w:szCs w:val="20"/>
          <w:color w:val="auto"/>
        </w:rPr>
      </w:pPr>
      <w:r>
        <w:rPr>
          <w:rFonts w:ascii="Arial" w:cs="Arial" w:eastAsia="Arial" w:hAnsi="Arial"/>
          <w:sz w:val="22"/>
          <w:szCs w:val="22"/>
          <w:color w:val="auto"/>
        </w:rPr>
        <w:t>This Agreement is not a contract of employment between the Company (or any Subsidiary) and the Participant. The Participant retains the right to terminate his or her employment with the Company (or one of its Subsidiaries, as applicable), and the Company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8" w:right="359" w:bottom="1440" w:gutter="0" w:footer="0" w:header="0"/>
        </w:sectPr>
      </w:pPr>
    </w:p>
    <w:bookmarkStart w:id="33" w:name="page34"/>
    <w:bookmarkEnd w:id="33"/>
    <w:p>
      <w:pPr>
        <w:ind w:right="80"/>
        <w:spacing w:after="0" w:line="317" w:lineRule="auto"/>
        <w:rPr>
          <w:sz w:val="20"/>
          <w:szCs w:val="20"/>
          <w:color w:val="auto"/>
        </w:rPr>
      </w:pPr>
      <w:r>
        <w:rPr>
          <w:rFonts w:ascii="Arial" w:cs="Arial" w:eastAsia="Arial" w:hAnsi="Arial"/>
          <w:sz w:val="19"/>
          <w:szCs w:val="19"/>
          <w:color w:val="auto"/>
        </w:rPr>
        <w:t>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Provisions of the Plan</w:t>
      </w:r>
      <w:r>
        <w:rPr>
          <w:rFonts w:ascii="Arial" w:cs="Arial" w:eastAsia="Arial" w:hAnsi="Arial"/>
          <w:sz w:val="22"/>
          <w:szCs w:val="22"/>
          <w:color w:val="auto"/>
        </w:rPr>
        <w:t>.</w:t>
      </w:r>
    </w:p>
    <w:p>
      <w:pPr>
        <w:spacing w:after="0" w:line="287" w:lineRule="exact"/>
        <w:rPr>
          <w:sz w:val="20"/>
          <w:szCs w:val="20"/>
          <w:color w:val="auto"/>
        </w:rPr>
      </w:pPr>
    </w:p>
    <w:p>
      <w:pPr>
        <w:ind w:firstLine="749"/>
        <w:spacing w:after="0" w:line="317" w:lineRule="auto"/>
        <w:rPr>
          <w:sz w:val="20"/>
          <w:szCs w:val="20"/>
          <w:color w:val="auto"/>
        </w:rPr>
      </w:pPr>
      <w:r>
        <w:rPr>
          <w:rFonts w:ascii="Arial" w:cs="Arial" w:eastAsia="Arial" w:hAnsi="Arial"/>
          <w:sz w:val="19"/>
          <w:szCs w:val="19"/>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Acknowledgements</w:t>
      </w:r>
      <w:r>
        <w:rPr>
          <w:rFonts w:ascii="Arial" w:cs="Arial" w:eastAsia="Arial" w:hAnsi="Arial"/>
          <w:sz w:val="22"/>
          <w:szCs w:val="22"/>
          <w:color w:val="auto"/>
        </w:rPr>
        <w:t>.</w:t>
      </w:r>
    </w:p>
    <w:p>
      <w:pPr>
        <w:spacing w:after="0" w:line="287" w:lineRule="exact"/>
        <w:rPr>
          <w:sz w:val="20"/>
          <w:szCs w:val="20"/>
          <w:color w:val="auto"/>
        </w:rPr>
      </w:pPr>
    </w:p>
    <w:p>
      <w:pPr>
        <w:ind w:right="20" w:firstLine="749"/>
        <w:spacing w:after="0" w:line="311" w:lineRule="auto"/>
        <w:rPr>
          <w:sz w:val="20"/>
          <w:szCs w:val="20"/>
          <w:color w:val="auto"/>
        </w:rPr>
      </w:pPr>
      <w:r>
        <w:rPr>
          <w:rFonts w:ascii="Arial" w:cs="Arial" w:eastAsia="Arial" w:hAnsi="Arial"/>
          <w:sz w:val="19"/>
          <w:szCs w:val="19"/>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2"/>
          <w:szCs w:val="22"/>
          <w:i w:val="1"/>
          <w:iCs w:val="1"/>
          <w:color w:val="auto"/>
        </w:rPr>
        <w:t>[Signature page follows.]</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88" w:right="519" w:bottom="1440" w:gutter="0" w:footer="0" w:header="0"/>
        </w:sectPr>
      </w:pPr>
    </w:p>
    <w:bookmarkStart w:id="34" w:name="page35"/>
    <w:bookmarkEnd w:id="34"/>
    <w:p>
      <w:pPr>
        <w:ind w:left="760"/>
        <w:spacing w:after="0"/>
        <w:rPr>
          <w:sz w:val="20"/>
          <w:szCs w:val="20"/>
          <w:color w:val="auto"/>
        </w:rPr>
      </w:pPr>
      <w:r>
        <w:rPr>
          <w:rFonts w:ascii="Arial" w:cs="Arial" w:eastAsia="Arial" w:hAnsi="Arial"/>
          <w:sz w:val="19"/>
          <w:szCs w:val="19"/>
          <w:color w:val="auto"/>
        </w:rPr>
        <w:t>IN WITNESS WHEREOF, the Company has caused this Agreement to be executed by its duly authorized officer.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PIZZA,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358775</wp:posOffset>
            </wp:positionV>
            <wp:extent cx="42773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ectPr>
          <w:pgSz w:w="11900" w:h="16838" w:orient="portrait"/>
          <w:cols w:equalWidth="0" w:num="1">
            <w:col w:w="10580"/>
          </w:cols>
          <w:pgMar w:left="320" w:top="658" w:right="99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Name:</w:t>
      </w:r>
    </w:p>
    <w:p>
      <w:pPr>
        <w:spacing w:after="0" w:line="5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auto"/>
        </w:rPr>
        <w:t>Richard E. Allison, Jr.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234" w:lineRule="exact"/>
        <w:rPr>
          <w:sz w:val="20"/>
          <w:szCs w:val="20"/>
          <w:color w:val="auto"/>
        </w:rPr>
      </w:pPr>
    </w:p>
    <w:p>
      <w:pPr>
        <w:sectPr>
          <w:pgSz w:w="11900" w:h="16838" w:orient="portrait"/>
          <w:cols w:equalWidth="0" w:num="2">
            <w:col w:w="5820" w:space="300"/>
            <w:col w:w="4460"/>
          </w:cols>
          <w:pgMar w:left="320" w:top="658" w:right="99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658" w:right="99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OF DOMINO’S PIZZA, INC.</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I, Richard E. Allison, Jr., certify that:</w:t>
      </w:r>
    </w:p>
    <w:p>
      <w:pPr>
        <w:spacing w:after="0" w:line="28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Domino’s Pizza, Inc.;</w:t>
      </w:r>
    </w:p>
    <w:p>
      <w:pPr>
        <w:spacing w:after="0" w:line="26" w:lineRule="exact"/>
        <w:rPr>
          <w:rFonts w:ascii="Arial" w:cs="Arial" w:eastAsia="Arial" w:hAnsi="Arial"/>
          <w:sz w:val="20"/>
          <w:szCs w:val="20"/>
          <w:color w:val="auto"/>
        </w:rPr>
      </w:pPr>
    </w:p>
    <w:p>
      <w:pPr>
        <w:ind w:left="340" w:right="160" w:hanging="332"/>
        <w:spacing w:after="0" w:line="267"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40" w:right="220" w:hanging="332"/>
        <w:spacing w:after="0" w:line="334"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00" w:hanging="332"/>
        <w:spacing w:after="0" w:line="29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6" w:lineRule="exact"/>
        <w:rPr>
          <w:rFonts w:ascii="Arial" w:cs="Arial" w:eastAsia="Arial" w:hAnsi="Arial"/>
          <w:sz w:val="18"/>
          <w:szCs w:val="18"/>
          <w:color w:val="auto"/>
        </w:rPr>
      </w:pPr>
    </w:p>
    <w:p>
      <w:pPr>
        <w:ind w:left="700" w:right="220" w:hanging="318"/>
        <w:spacing w:after="0" w:line="281" w:lineRule="auto"/>
        <w:tabs>
          <w:tab w:leader="none" w:pos="7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9"/>
          <w:szCs w:val="19"/>
          <w:color w:val="auto"/>
        </w:rPr>
      </w:pPr>
    </w:p>
    <w:p>
      <w:pPr>
        <w:ind w:left="700" w:right="60" w:hanging="318"/>
        <w:spacing w:after="0" w:line="267" w:lineRule="auto"/>
        <w:tabs>
          <w:tab w:leader="none" w:pos="7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700" w:right="160" w:hanging="318"/>
        <w:spacing w:after="0" w:line="267" w:lineRule="auto"/>
        <w:tabs>
          <w:tab w:leader="none" w:pos="7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700" w:right="280" w:hanging="318"/>
        <w:spacing w:after="0" w:line="281" w:lineRule="auto"/>
        <w:tabs>
          <w:tab w:leader="none" w:pos="7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9"/>
          <w:szCs w:val="19"/>
          <w:color w:val="auto"/>
        </w:rPr>
      </w:pPr>
    </w:p>
    <w:p>
      <w:pPr>
        <w:ind w:left="340" w:right="140" w:hanging="332"/>
        <w:spacing w:after="0" w:line="267"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700" w:right="100" w:hanging="318"/>
        <w:spacing w:after="0" w:line="297"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00" w:right="420" w:hanging="318"/>
        <w:spacing w:after="0" w:line="288" w:lineRule="auto"/>
        <w:tabs>
          <w:tab w:leader="none" w:pos="7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October 14, 2021</w:t>
            </w:r>
          </w:p>
        </w:tc>
        <w:tc>
          <w:tcPr>
            <w:tcW w:w="414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0"/>
              </w:rPr>
              <w:t>/s/ Richard E. Allison, Jr.</w:t>
            </w:r>
          </w:p>
        </w:tc>
      </w:tr>
      <w:tr>
        <w:trPr>
          <w:trHeight w:val="281"/>
        </w:trPr>
        <w:tc>
          <w:tcPr>
            <w:tcW w:w="5100" w:type="dxa"/>
            <w:vAlign w:val="bottom"/>
            <w:gridSpan w:val="2"/>
          </w:tcPr>
          <w:p>
            <w:pPr>
              <w:ind w:left="3500"/>
              <w:spacing w:after="0"/>
              <w:rPr>
                <w:sz w:val="20"/>
                <w:szCs w:val="20"/>
                <w:color w:val="auto"/>
              </w:rPr>
            </w:pPr>
            <w:r>
              <w:rPr>
                <w:rFonts w:ascii="Arial" w:cs="Arial" w:eastAsia="Arial" w:hAnsi="Arial"/>
                <w:sz w:val="20"/>
                <w:szCs w:val="20"/>
                <w:color w:val="auto"/>
              </w:rPr>
              <w:t>Date</w:t>
            </w:r>
          </w:p>
        </w:tc>
        <w:tc>
          <w:tcPr>
            <w:tcW w:w="41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Richard E. Allison, Jr.</w:t>
            </w:r>
          </w:p>
        </w:tc>
      </w:tr>
      <w:tr>
        <w:trPr>
          <w:trHeight w:val="257"/>
        </w:trPr>
        <w:tc>
          <w:tcPr>
            <w:tcW w:w="35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w w:val="95"/>
              </w:rPr>
              <w:t>Chief Executive Officer</w:t>
            </w:r>
          </w:p>
        </w:tc>
      </w:tr>
      <w:tr>
        <w:trPr>
          <w:trHeight w:val="256"/>
        </w:trPr>
        <w:tc>
          <w:tcPr>
            <w:tcW w:w="35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140" w:type="dxa"/>
            <w:vAlign w:val="bottom"/>
            <w:gridSpan w:val="2"/>
          </w:tcPr>
          <w:p>
            <w:pPr>
              <w:jc w:val="right"/>
              <w:spacing w:after="0"/>
              <w:rPr>
                <w:sz w:val="20"/>
                <w:szCs w:val="20"/>
                <w:color w:val="auto"/>
              </w:rPr>
            </w:pPr>
            <w:r>
              <w:rPr>
                <w:rFonts w:ascii="Arial" w:cs="Arial" w:eastAsia="Arial" w:hAnsi="Arial"/>
                <w:sz w:val="20"/>
                <w:szCs w:val="20"/>
                <w:i w:val="1"/>
                <w:iCs w:val="1"/>
                <w:color w:val="auto"/>
              </w:rPr>
              <w:t>(Principal Executive Officer and</w:t>
            </w:r>
          </w:p>
        </w:tc>
      </w:tr>
      <w:tr>
        <w:trPr>
          <w:trHeight w:val="257"/>
        </w:trPr>
        <w:tc>
          <w:tcPr>
            <w:tcW w:w="35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140" w:type="dxa"/>
            <w:vAlign w:val="bottom"/>
            <w:gridSpan w:val="2"/>
          </w:tcPr>
          <w:p>
            <w:pPr>
              <w:jc w:val="right"/>
              <w:spacing w:after="0"/>
              <w:rPr>
                <w:sz w:val="20"/>
                <w:szCs w:val="20"/>
                <w:color w:val="auto"/>
              </w:rPr>
            </w:pPr>
            <w:r>
              <w:rPr>
                <w:rFonts w:ascii="Arial" w:cs="Arial" w:eastAsia="Arial" w:hAnsi="Arial"/>
                <w:sz w:val="20"/>
                <w:szCs w:val="20"/>
                <w:i w:val="1"/>
                <w:iCs w:val="1"/>
                <w:color w:val="auto"/>
              </w:rPr>
              <w:t>Principal Financial Officer)</w:t>
            </w:r>
          </w:p>
        </w:tc>
      </w:tr>
      <w:tr>
        <w:trPr>
          <w:trHeight w:val="354"/>
        </w:trPr>
        <w:tc>
          <w:tcPr>
            <w:tcW w:w="35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Exhibit 32.1</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ADOPTED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53" w:lineRule="exact"/>
        <w:rPr>
          <w:sz w:val="20"/>
          <w:szCs w:val="20"/>
          <w:color w:val="auto"/>
        </w:rPr>
      </w:pPr>
    </w:p>
    <w:p>
      <w:pPr>
        <w:ind w:right="60"/>
        <w:spacing w:after="0" w:line="262"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September 12, 2021, as filed with the Securities and Exchange Commission (the “Report”), I, Richard E. Allison, Jr.,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315" w:lineRule="exact"/>
        <w:rPr>
          <w:sz w:val="20"/>
          <w:szCs w:val="20"/>
          <w:color w:val="auto"/>
        </w:rPr>
      </w:pPr>
    </w:p>
    <w:p>
      <w:pPr>
        <w:ind w:left="700" w:right="460" w:hanging="318"/>
        <w:spacing w:after="0" w:line="276" w:lineRule="auto"/>
        <w:tabs>
          <w:tab w:leader="none" w:pos="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228" w:lineRule="exact"/>
        <w:rPr>
          <w:rFonts w:ascii="Arial" w:cs="Arial" w:eastAsia="Arial" w:hAnsi="Arial"/>
          <w:sz w:val="22"/>
          <w:szCs w:val="22"/>
          <w:color w:val="auto"/>
        </w:rPr>
      </w:pPr>
    </w:p>
    <w:p>
      <w:pPr>
        <w:ind w:left="700" w:right="500" w:hanging="318"/>
        <w:spacing w:after="0" w:line="276" w:lineRule="auto"/>
        <w:tabs>
          <w:tab w:leader="none" w:pos="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760"/>
        <w:spacing w:after="0"/>
        <w:rPr>
          <w:sz w:val="20"/>
          <w:szCs w:val="20"/>
          <w:color w:val="auto"/>
        </w:rPr>
      </w:pPr>
      <w:r>
        <w:rPr>
          <w:rFonts w:ascii="Arial" w:cs="Arial" w:eastAsia="Arial" w:hAnsi="Arial"/>
          <w:sz w:val="22"/>
          <w:szCs w:val="22"/>
          <w:u w:val="single" w:color="auto"/>
          <w:color w:val="auto"/>
        </w:rPr>
        <w:t>/s/ Richard E. Allison, Jr.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Richard E. Allison, Jr.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Chief Executive Officer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22"/>
          <w:szCs w:val="22"/>
          <w:i w:val="1"/>
          <w:iCs w:val="1"/>
          <w:color w:val="auto"/>
        </w:rPr>
        <w:t>(Principal Executive Officer and</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22"/>
          <w:szCs w:val="22"/>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7"/>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1)"/>
      <w:numFmt w:val="lowerLetter"/>
      <w:start w:val="1"/>
    </w:lvl>
    <w:lvl w:ilvl="1">
      <w:lvlJc w:val="left"/>
      <w:lvlText w:val="(%2)"/>
      <w:numFmt w:val="lowerRoman"/>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2021-10-14T06:40:02Z</dcterms:created>
  <dcterms:modified xsi:type="dcterms:W3CDTF">2021-10-14T06:40:02Z</dcterms:modified>
</cp:coreProperties>
</file>