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60" w:right="1600" w:hanging="3852"/>
        <w:spacing w:after="0" w:line="401" w:lineRule="auto"/>
        <w:tabs>
          <w:tab w:leader="none" w:pos="4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19, 2022</w:t>
      </w:r>
    </w:p>
    <w:p>
      <w:pPr>
        <w:spacing w:after="0" w:line="28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540" w:type="dxa"/>
        <w:tblCellMar>
          <w:top w:w="0" w:type="dxa"/>
          <w:left w:w="0" w:type="dxa"/>
          <w:bottom w:w="0" w:type="dxa"/>
          <w:right w:w="0" w:type="dxa"/>
        </w:tblCellMar>
      </w:tblPr>
      <w:tr>
        <w:trPr>
          <w:trHeight w:val="191"/>
        </w:trPr>
        <w:tc>
          <w:tcPr>
            <w:tcW w:w="2960" w:type="dxa"/>
            <w:vAlign w:val="bottom"/>
          </w:tcPr>
          <w:p>
            <w:pPr>
              <w:jc w:val="center"/>
              <w:ind w:right="439"/>
              <w:spacing w:after="0" w:line="191"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right"/>
              <w:ind w:right="61"/>
              <w:spacing w:after="0" w:line="191"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6080" w:type="dxa"/>
            <w:vAlign w:val="bottom"/>
            <w:gridSpan w:val="3"/>
          </w:tcPr>
          <w:p>
            <w:pPr>
              <w:jc w:val="center"/>
              <w:ind w:right="36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6080" w:type="dxa"/>
            <w:vAlign w:val="bottom"/>
            <w:gridSpan w:val="3"/>
          </w:tcPr>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89"/>
        </w:trPr>
        <w:tc>
          <w:tcPr>
            <w:tcW w:w="6080" w:type="dxa"/>
            <w:vAlign w:val="bottom"/>
            <w:gridSpan w:val="3"/>
          </w:tcPr>
          <w:p>
            <w:pPr>
              <w:jc w:val="center"/>
              <w:ind w:right="36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1440" w:type="dxa"/>
            <w:vAlign w:val="bottom"/>
          </w:tcPr>
          <w:p>
            <w:pPr>
              <w:spacing w:after="0"/>
              <w:rPr>
                <w:sz w:val="16"/>
                <w:szCs w:val="16"/>
                <w:color w:val="auto"/>
              </w:rPr>
            </w:pPr>
          </w:p>
        </w:tc>
      </w:tr>
      <w:tr>
        <w:trPr>
          <w:trHeight w:val="227"/>
        </w:trPr>
        <w:tc>
          <w:tcPr>
            <w:tcW w:w="608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6080" w:type="dxa"/>
            <w:vAlign w:val="bottom"/>
            <w:gridSpan w:val="3"/>
          </w:tcPr>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5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(734) 930-3030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0"/>
        </w:trPr>
        <w:tc>
          <w:tcPr>
            <w:tcW w:w="6080" w:type="dxa"/>
            <w:vAlign w:val="bottom"/>
            <w:gridSpan w:val="3"/>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90"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240" w:firstLine="255"/>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right="40" w:firstLine="255"/>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line="202" w:lineRule="exact"/>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3" w:lineRule="exact"/>
        <w:rPr>
          <w:sz w:val="24"/>
          <w:szCs w:val="24"/>
          <w:color w:val="auto"/>
        </w:rPr>
      </w:pPr>
    </w:p>
    <w:p>
      <w:pPr>
        <w:jc w:val="both"/>
        <w:ind w:right="200" w:firstLine="255"/>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260" w:right="14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14, 2022, Domino’s Pizza, Inc. had 35,885,105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4" w:right="3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680" w:type="dxa"/>
            <w:vAlign w:val="bottom"/>
            <w:gridSpan w:val="10"/>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1380" w:type="dxa"/>
            <w:vAlign w:val="bottom"/>
            <w:gridSpan w:val="3"/>
            <w:vMerge w:val="continue"/>
          </w:tcPr>
          <w:p>
            <w:pPr>
              <w:spacing w:after="0"/>
              <w:rPr>
                <w:sz w:val="13"/>
                <w:szCs w:val="13"/>
                <w:color w:val="auto"/>
              </w:rPr>
            </w:pPr>
          </w:p>
        </w:tc>
        <w:tc>
          <w:tcPr>
            <w:tcW w:w="2400" w:type="dxa"/>
            <w:vAlign w:val="bottom"/>
            <w:tcBorders>
              <w:bottom w:val="single" w:sz="8" w:color="0000EE"/>
            </w:tcBorders>
            <w:gridSpan w:val="11"/>
            <w:vMerge w:val="continue"/>
          </w:tcPr>
          <w:p>
            <w:pPr>
              <w:spacing w:after="0"/>
              <w:rPr>
                <w:sz w:val="13"/>
                <w:szCs w:val="13"/>
                <w:color w:val="auto"/>
              </w:rPr>
            </w:pPr>
          </w:p>
        </w:tc>
        <w:tc>
          <w:tcPr>
            <w:tcW w:w="6680" w:type="dxa"/>
            <w:vAlign w:val="bottom"/>
            <w:gridSpan w:val="10"/>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 As of June 19, 2022 and January 2, 2022</w:t>
            </w:r>
          </w:p>
        </w:tc>
        <w:tc>
          <w:tcPr>
            <w:tcW w:w="210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two fiscal quarters ended June 19, 2022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and June 20, 2021</w:t>
            </w:r>
          </w:p>
        </w:tc>
        <w:tc>
          <w:tcPr>
            <w:tcW w:w="7480" w:type="dxa"/>
            <w:vAlign w:val="bottom"/>
            <w:tcBorders>
              <w:top w:val="single" w:sz="8" w:color="0000EE"/>
            </w:tcBorders>
            <w:gridSpan w:val="16"/>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two fiscal quarters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tcBorders>
              <w:top w:val="single" w:sz="8" w:color="0000EE"/>
              <w:bottom w:val="single" w:sz="8" w:color="0000EE"/>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9"/>
              </w:rPr>
              <w:t>ended June 19, 2022 and June 20, 2021</w:t>
            </w:r>
          </w:p>
        </w:tc>
        <w:tc>
          <w:tcPr>
            <w:tcW w:w="5620" w:type="dxa"/>
            <w:vAlign w:val="bottom"/>
            <w:tcBorders>
              <w:top w:val="single" w:sz="8" w:color="0000EE"/>
            </w:tcBorders>
            <w:gridSpan w:val="6"/>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Two fiscal quarters ended June 19, 2022 and June 20,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6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8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EE"/>
            </w:tcBorders>
            <w:gridSpan w:val="4"/>
          </w:tcPr>
          <w:p>
            <w:pPr>
              <w:spacing w:after="0"/>
              <w:rPr>
                <w:sz w:val="24"/>
                <w:szCs w:val="24"/>
                <w:color w:val="auto"/>
              </w:rPr>
            </w:pPr>
          </w:p>
        </w:tc>
        <w:tc>
          <w:tcPr>
            <w:tcW w:w="70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2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EE"/>
            </w:tcBorders>
            <w:gridSpan w:val="3"/>
          </w:tcPr>
          <w:p>
            <w:pPr>
              <w:spacing w:after="0"/>
              <w:rPr>
                <w:sz w:val="24"/>
                <w:szCs w:val="24"/>
                <w:color w:val="auto"/>
              </w:rPr>
            </w:pPr>
          </w:p>
        </w:tc>
        <w:tc>
          <w:tcPr>
            <w:tcW w:w="67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13"/>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ind w:right="40"/>
        <w:spacing w:after="0" w:line="182" w:lineRule="auto"/>
        <w:rPr>
          <w:sz w:val="20"/>
          <w:szCs w:val="20"/>
          <w:color w:val="auto"/>
        </w:rPr>
      </w:pPr>
      <w:r>
        <w:rPr>
          <w:rFonts w:ascii="Times New Roman" w:cs="Times New Roman" w:eastAsia="Times New Roman" w:hAnsi="Times New Roman"/>
          <w:sz w:val="18"/>
          <w:szCs w:val="18"/>
          <w:b w:val="1"/>
          <w:bCs w:val="1"/>
          <w:color w:val="auto"/>
        </w:rPr>
        <w:t>Domino’s Pizza,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19, 2022</w:t>
            </w:r>
          </w:p>
        </w:tc>
        <w:tc>
          <w:tcPr>
            <w:tcW w:w="240" w:type="dxa"/>
            <w:vAlign w:val="bottom"/>
          </w:tcPr>
          <w:p>
            <w:pPr>
              <w:spacing w:after="0"/>
              <w:rPr>
                <w:sz w:val="14"/>
                <w:szCs w:val="14"/>
                <w:color w:val="auto"/>
              </w:rPr>
            </w:pPr>
          </w:p>
        </w:tc>
        <w:tc>
          <w:tcPr>
            <w:tcW w:w="174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January 2, 2022 (1)</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148,160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180,904</w:t>
            </w:r>
          </w:p>
        </w:tc>
        <w:tc>
          <w:tcPr>
            <w:tcW w:w="100" w:type="dxa"/>
            <w:vAlign w:val="bottom"/>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845,870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193,572</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322,079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312,772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642,531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(339,507 )</w:t>
            </w:r>
          </w:p>
        </w:tc>
        <w:tc>
          <w:tcPr>
            <w:tcW w:w="2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(318,466 )</w:t>
            </w: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313,812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222,780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210,702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510,948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1,670,630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173,737</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130,798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575,449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590,741</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4,989,578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5,014,638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184,471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5,275,490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(4,180,367 )</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(4,207,917 )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(3,890 )</w:t>
            </w:r>
          </w:p>
        </w:tc>
        <w:tc>
          <w:tcPr>
            <w:tcW w:w="2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(2,820 )</w:t>
            </w: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(4,180,309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(4,209,536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1,670,630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-5777230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-4653915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-4653915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-3539490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-2133600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ind w:right="200"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January 2, 2022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4"/>
                <w:szCs w:val="14"/>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5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2"/>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r>
      <w:tr>
        <w:trPr>
          <w:trHeight w:val="18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116,589</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229,333</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126,836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251,322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1,171,300</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136,515</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227,700</w:t>
            </w:r>
          </w:p>
        </w:tc>
        <w:tc>
          <w:tcPr>
            <w:tcW w:w="10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1,065,182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1,032,472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2,076,331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88,019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173,761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584,852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536,763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1,045,568</w:t>
            </w:r>
          </w:p>
        </w:tc>
        <w:tc>
          <w:tcPr>
            <w:tcW w:w="10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678,917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624,782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1,321,442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796,841</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194,564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191,701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227,700</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178,114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342,655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377,440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(44,851 )</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(45,877 )</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(91,723 )</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(85,299 )</w:t>
            </w: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145,093</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251,200</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294,731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-2419985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-2419985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-2419985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-1854200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-1854200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-1854200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-448310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-431165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-448310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-448310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-431165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16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6"/>
                <w:szCs w:val="16"/>
                <w:color w:val="auto"/>
              </w:rPr>
            </w:pPr>
          </w:p>
        </w:tc>
      </w:tr>
      <w:tr>
        <w:trPr>
          <w:trHeight w:val="158"/>
        </w:trPr>
        <w:tc>
          <w:tcPr>
            <w:tcW w:w="3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right"/>
              <w:ind w:right="86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520" w:type="dxa"/>
            <w:vAlign w:val="bottom"/>
          </w:tcPr>
          <w:p>
            <w:pPr>
              <w:spacing w:after="0"/>
              <w:rPr>
                <w:sz w:val="13"/>
                <w:szCs w:val="13"/>
                <w:color w:val="auto"/>
              </w:rPr>
            </w:pPr>
          </w:p>
        </w:tc>
        <w:tc>
          <w:tcPr>
            <w:tcW w:w="1080" w:type="dxa"/>
            <w:vAlign w:val="bottom"/>
          </w:tcPr>
          <w:p>
            <w:pPr>
              <w:jc w:val="right"/>
              <w:ind w:right="457"/>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2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340" w:type="dxa"/>
            <w:vAlign w:val="bottom"/>
          </w:tcPr>
          <w:p>
            <w:pPr>
              <w:spacing w:after="0"/>
              <w:rPr>
                <w:sz w:val="13"/>
                <w:szCs w:val="13"/>
                <w:color w:val="auto"/>
              </w:rPr>
            </w:pPr>
          </w:p>
        </w:tc>
        <w:tc>
          <w:tcPr>
            <w:tcW w:w="1280" w:type="dxa"/>
            <w:vAlign w:val="bottom"/>
          </w:tcPr>
          <w:p>
            <w:pPr>
              <w:jc w:val="right"/>
              <w:ind w:right="477"/>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(1,684 )</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(1,070 )</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100,809</w:t>
            </w: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116,849</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16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1"/>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1"/>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(174 )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(4,264 )</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(2,500 )</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(102,935 )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(17,098 )</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153,415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(32,664 )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(33,163 )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(40,000 )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franchise operations and other assets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(6,814 )</w:t>
            </w: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(435 )</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(39,913 )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(72,870 )</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(27,528 )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(882,547 )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(97,661 )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(1,025,000 )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(2,395 )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(39,662 )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(36,432 )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3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(14,938 )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(166,720 )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(101,223 )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32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(53,853 )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161,741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2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490,480</w:t>
            </w: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8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2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164,059</w:t>
            </w: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436,627</w:t>
            </w:r>
          </w:p>
        </w:tc>
        <w:tc>
          <w:tcPr>
            <w:tcW w:w="300" w:type="dxa"/>
            <w:vAlign w:val="bottom"/>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3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-4542790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-3702685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-2313940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-2022475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-264795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percentages, share and per share amounts)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19,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2, 2022 included in the Company’s 2021 Annual Report on Form 10-K, filed with the Securities and Exchange Commission on March 1, 2022 (the “2021 Form 10-K”).</w:t>
      </w:r>
    </w:p>
    <w:p>
      <w:pPr>
        <w:spacing w:after="0" w:line="7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and two fiscal quarters ended June 19, 2022 are not necessarily indicative of the results that may be expected for the fiscal year ending January 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212" w:lineRule="exact"/>
        <w:rPr>
          <w:sz w:val="20"/>
          <w:szCs w:val="20"/>
          <w:color w:val="auto"/>
        </w:rPr>
      </w:pPr>
    </w:p>
    <w:p>
      <w:pPr>
        <w:ind w:right="160" w:firstLine="255"/>
        <w:spacing w:after="0" w:line="247" w:lineRule="auto"/>
        <w:rPr>
          <w:sz w:val="20"/>
          <w:szCs w:val="20"/>
          <w:color w:val="auto"/>
        </w:rPr>
      </w:pPr>
      <w:r>
        <w:rPr>
          <w:rFonts w:ascii="Times New Roman" w:cs="Times New Roman" w:eastAsia="Times New Roman" w:hAnsi="Times New Roman"/>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7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Fiscal Quarters Ended June 19, 2022 and June 20,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right"/>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4060" w:type="dxa"/>
            <w:vAlign w:val="bottom"/>
            <w:shd w:val="clear" w:color="auto" w:fill="CFF0FC"/>
          </w:tcPr>
          <w:p>
            <w:pPr>
              <w:jc w:val="center"/>
              <w:ind w:right="3230"/>
              <w:spacing w:after="0"/>
              <w:rPr>
                <w:sz w:val="20"/>
                <w:szCs w:val="20"/>
                <w:color w:val="auto"/>
              </w:rPr>
            </w:pPr>
            <w:r>
              <w:rPr>
                <w:rFonts w:ascii="Times New Roman" w:cs="Times New Roman" w:eastAsia="Times New Roman" w:hAnsi="Times New Roman"/>
                <w:sz w:val="18"/>
                <w:szCs w:val="18"/>
                <w:color w:val="auto"/>
                <w:w w:val="99"/>
              </w:rPr>
              <w:t>Revenues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351,681</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683,298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66,915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(36,712 )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1,065,182</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359,765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635,592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(32,630 )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1,032,472</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53,633</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52,890</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(5,621 )</w:t>
            </w: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204,957</w:t>
            </w: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111,847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58,593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(9,627 )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217,178</w:t>
            </w:r>
          </w:p>
        </w:tc>
        <w:tc>
          <w:tcPr>
            <w:tcW w:w="100" w:type="dxa"/>
            <w:vAlign w:val="bottom"/>
          </w:tcPr>
          <w:p>
            <w:pPr>
              <w:spacing w:after="0"/>
              <w:rPr>
                <w:sz w:val="20"/>
                <w:szCs w:val="20"/>
                <w:color w:val="auto"/>
              </w:rPr>
            </w:pPr>
          </w:p>
        </w:tc>
      </w:tr>
      <w:tr>
        <w:trPr>
          <w:trHeight w:val="387"/>
        </w:trPr>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Two Fiscal Quarters Ended June 19, 2022 and June 20,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4"/>
          </w:tcPr>
          <w:p>
            <w:pPr>
              <w:jc w:val="right"/>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10"/>
        </w:trPr>
        <w:tc>
          <w:tcPr>
            <w:tcW w:w="4060" w:type="dxa"/>
            <w:vAlign w:val="bottom"/>
            <w:shd w:val="clear" w:color="auto" w:fill="CFF0FC"/>
          </w:tcPr>
          <w:p>
            <w:pPr>
              <w:jc w:val="center"/>
              <w:ind w:right="3230"/>
              <w:spacing w:after="0"/>
              <w:rPr>
                <w:sz w:val="20"/>
                <w:szCs w:val="20"/>
                <w:color w:val="auto"/>
              </w:rPr>
            </w:pPr>
            <w:r>
              <w:rPr>
                <w:rFonts w:ascii="Times New Roman" w:cs="Times New Roman" w:eastAsia="Times New Roman" w:hAnsi="Times New Roman"/>
                <w:sz w:val="18"/>
                <w:szCs w:val="18"/>
                <w:color w:val="auto"/>
                <w:w w:val="99"/>
              </w:rPr>
              <w:t>Revenues</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684,450</w:t>
            </w:r>
          </w:p>
        </w:tc>
        <w:tc>
          <w:tcPr>
            <w:tcW w:w="10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1,325,260</w:t>
            </w:r>
          </w:p>
        </w:tc>
        <w:tc>
          <w:tcPr>
            <w:tcW w:w="60" w:type="dxa"/>
            <w:vAlign w:val="bottom"/>
          </w:tcPr>
          <w:p>
            <w:pPr>
              <w:spacing w:after="0"/>
              <w:rPr>
                <w:sz w:val="18"/>
                <w:szCs w:val="18"/>
                <w:color w:val="auto"/>
              </w:rPr>
            </w:pPr>
          </w:p>
        </w:tc>
        <w:tc>
          <w:tcPr>
            <w:tcW w:w="3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135,748</w:t>
            </w: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(69,127 )</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2,076,331</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1,234,769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136,515</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(63,469 )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2,016,170</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201,347</w:t>
            </w:r>
          </w:p>
        </w:tc>
        <w:tc>
          <w:tcPr>
            <w:tcW w:w="10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99,982</w:t>
            </w:r>
          </w:p>
        </w:tc>
        <w:tc>
          <w:tcPr>
            <w:tcW w:w="6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107,936</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(13,331 )</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395,934</w:t>
            </w: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(15,715 )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425,546</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3"/>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217,178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(18,117 )</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(17,176 )</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(37,093 )</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(33,641 )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(448 )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(8,473 )</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(8,296 )</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(15,738 )</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(13,500 )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Recapitalization-related expenses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(509 )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178,114</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190,902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342,655</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377,440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(44,851 )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(45,877 )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(91,723 )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(85,299 )</w:t>
            </w:r>
          </w:p>
        </w:tc>
        <w:tc>
          <w:tcPr>
            <w:tcW w:w="0" w:type="dxa"/>
            <w:vAlign w:val="bottom"/>
          </w:tcPr>
          <w:p>
            <w:pPr>
              <w:spacing w:after="0"/>
              <w:rPr>
                <w:sz w:val="1"/>
                <w:szCs w:val="1"/>
                <w:color w:val="auto"/>
              </w:rPr>
            </w:pPr>
          </w:p>
        </w:tc>
      </w:tr>
      <w:tr>
        <w:trPr>
          <w:trHeight w:val="209"/>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145,093</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-1079500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-1079500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-1079500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-521970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-521970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-521970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6"/>
                <w:szCs w:val="16"/>
                <w:color w:val="auto"/>
              </w:rPr>
            </w:pPr>
          </w:p>
        </w:tc>
      </w:tr>
      <w:tr>
        <w:trPr>
          <w:trHeight w:val="158"/>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7"/>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75"/>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35"/>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35,915,102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37,590,369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35,957,999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38,145,297</w:t>
            </w:r>
          </w:p>
        </w:tc>
        <w:tc>
          <w:tcPr>
            <w:tcW w:w="100" w:type="dxa"/>
            <w:vAlign w:val="bottom"/>
          </w:tcPr>
          <w:p>
            <w:pPr>
              <w:spacing w:after="0"/>
              <w:rPr>
                <w:sz w:val="17"/>
                <w:szCs w:val="17"/>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36,296,277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38,122,515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36,368,297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38,665,325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-573405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-556895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-573405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-556895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-573405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-556895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fiscal quarters and two fiscal quarters each ended June 19, 2022 and June 20, 2021 do not include the following because the effect of including these shares would be anti-dilutive or because the performance condition for these awards had not yet been met: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6"/>
                <w:szCs w:val="16"/>
                <w:color w:val="auto"/>
              </w:rPr>
            </w:pPr>
          </w:p>
        </w:tc>
      </w:tr>
      <w:tr>
        <w:trPr>
          <w:trHeight w:val="158"/>
        </w:trPr>
        <w:tc>
          <w:tcPr>
            <w:tcW w:w="5220" w:type="dxa"/>
            <w:vAlign w:val="bottom"/>
          </w:tcPr>
          <w:p>
            <w:pPr>
              <w:spacing w:after="0"/>
              <w:rPr>
                <w:sz w:val="13"/>
                <w:szCs w:val="13"/>
                <w:color w:val="auto"/>
              </w:rPr>
            </w:pPr>
          </w:p>
        </w:tc>
        <w:tc>
          <w:tcPr>
            <w:tcW w:w="130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20" w:type="dxa"/>
            <w:vAlign w:val="bottom"/>
          </w:tcPr>
          <w:p>
            <w:pPr>
              <w:spacing w:after="0"/>
              <w:rPr>
                <w:sz w:val="13"/>
                <w:szCs w:val="13"/>
                <w:color w:val="auto"/>
              </w:rPr>
            </w:pPr>
          </w:p>
        </w:tc>
        <w:tc>
          <w:tcPr>
            <w:tcW w:w="134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220" w:type="dxa"/>
            <w:vAlign w:val="bottom"/>
          </w:tcPr>
          <w:p>
            <w:pPr>
              <w:spacing w:after="0"/>
              <w:rPr>
                <w:sz w:val="13"/>
                <w:szCs w:val="13"/>
                <w:color w:val="auto"/>
              </w:rPr>
            </w:pPr>
          </w:p>
        </w:tc>
        <w:tc>
          <w:tcPr>
            <w:tcW w:w="1300" w:type="dxa"/>
            <w:vAlign w:val="bottom"/>
          </w:tcPr>
          <w:p>
            <w:pPr>
              <w:jc w:val="right"/>
              <w:ind w:right="328"/>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200" w:type="dxa"/>
            <w:vAlign w:val="bottom"/>
          </w:tcPr>
          <w:p>
            <w:pPr>
              <w:spacing w:after="0"/>
              <w:rPr>
                <w:sz w:val="13"/>
                <w:szCs w:val="13"/>
                <w:color w:val="auto"/>
              </w:rPr>
            </w:pPr>
          </w:p>
        </w:tc>
        <w:tc>
          <w:tcPr>
            <w:tcW w:w="134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92,689</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67,677</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64,110</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second quarter of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64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27,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36,037,373</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(4,200,341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($1.10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(39,603 )</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(3,950 )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(1,606 )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(148,248 )</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(7,083 )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(42,916 )</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(1,684 )</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19,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35,899,646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(4,180,367 )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(3,890 )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-504825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-504825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-504825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-504825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two fiscal quarters of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6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36,138,273</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(4,207,917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($2.20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(79,368 )</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(5,825 )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(2,395 )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(249,058 )</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(11,120 )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(86,539 )</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19,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35,899,646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(4,180,367 )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(3,890 )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on July 19, 2022, the Company’s Board of Directors declared a $1.10 per share quarterly dividend on its outstanding common stock for shareholders of record as of September 15, 2022 to be paid on September 30, 2022.</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second quarter of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6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28,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38,818,197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(3,240,842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($0.94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(34,680 )</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(2,012,596 )</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(12,181 )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(987,799 )</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36,853,571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(4,146,702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two fiscal quarters of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6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3,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38,868,350</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(3,303,492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($1.88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(71,155 )</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(1,918 )</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(2,901 )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(1,087 )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(2,078,466 )</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(18,544 )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(1,006,435 )</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36,853,571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(4,146,702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-376555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-359410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-376555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-359410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-376555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-359410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-376555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-359410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Investments</w:t>
      </w:r>
    </w:p>
    <w:p>
      <w:pPr>
        <w:spacing w:after="0" w:line="185" w:lineRule="exact"/>
        <w:rPr>
          <w:sz w:val="20"/>
          <w:szCs w:val="20"/>
          <w:color w:val="auto"/>
        </w:rPr>
      </w:pPr>
    </w:p>
    <w:p>
      <w:pPr>
        <w:jc w:val="both"/>
        <w:ind w:right="220" w:firstLine="255"/>
        <w:spacing w:after="0" w:line="250"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June 19, 2022 and January 2,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At June 19, 2022</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80" w:type="dxa"/>
            <w:vAlign w:val="bottom"/>
          </w:tcPr>
          <w:p>
            <w:pPr>
              <w:jc w:val="center"/>
              <w:ind w:left="242"/>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3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76,381</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76,381</w:t>
            </w: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117,426</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At January 2, 2022</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80" w:type="dxa"/>
            <w:vAlign w:val="bottom"/>
          </w:tcPr>
          <w:p>
            <w:pPr>
              <w:jc w:val="center"/>
              <w:ind w:left="242"/>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3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a privately-held business company limited by shares incorporated with limited liability under the laws of the British Virgin Islands (“DPC Dash”). Through its subsidiaries, DPC Dash serves as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81" w:lineRule="exact"/>
        <w:rPr>
          <w:sz w:val="20"/>
          <w:szCs w:val="20"/>
          <w:color w:val="auto"/>
        </w:rPr>
      </w:pPr>
    </w:p>
    <w:p>
      <w:pPr>
        <w:ind w:right="260" w:firstLine="255"/>
        <w:spacing w:after="0" w:line="250" w:lineRule="auto"/>
        <w:rPr>
          <w:sz w:val="20"/>
          <w:szCs w:val="20"/>
          <w:color w:val="auto"/>
        </w:rPr>
      </w:pPr>
      <w:r>
        <w:rPr>
          <w:rFonts w:ascii="Times New Roman" w:cs="Times New Roman" w:eastAsia="Times New Roman" w:hAnsi="Times New Roman"/>
          <w:sz w:val="18"/>
          <w:szCs w:val="18"/>
          <w:color w:val="auto"/>
        </w:rPr>
        <w:t>The Company did not record any adjustments to the carrying amount of $125.8 million in the second quarter or two fiscal quarters of 2022. The following table summarizes the reconciliation of the carrying amount of the Company’s investment in DPC Dash from the opening balance at January 3, 2021 to the closing balance at June 20, 2021 as a result of the additional investment made in the first quarter of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Two Fiscal Quarters Ended June 20, 2021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64"/>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6"/>
                <w:szCs w:val="16"/>
                <w:color w:val="auto"/>
              </w:rPr>
            </w:pPr>
          </w:p>
        </w:tc>
        <w:tc>
          <w:tcPr>
            <w:tcW w:w="12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212"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19, 2022</w:t>
            </w: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10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09"/>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737,856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777,480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1,000,038</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395,361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420,907</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407,788</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659,813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589,872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693,031</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849,133</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832,590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1,017,885</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June 19, 2022 or January 2, 2022.</w:t>
      </w:r>
    </w:p>
    <w:p>
      <w:pPr>
        <w:spacing w:after="0" w:line="212" w:lineRule="exact"/>
        <w:rPr>
          <w:sz w:val="20"/>
          <w:szCs w:val="20"/>
          <w:color w:val="auto"/>
        </w:rPr>
      </w:pPr>
    </w:p>
    <w:p>
      <w:pPr>
        <w:jc w:val="right"/>
        <w:ind w:left="300" w:right="9540" w:hanging="292"/>
        <w:spacing w:after="0" w:line="505" w:lineRule="auto"/>
        <w:tabs>
          <w:tab w:leader="none" w:pos="1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160" w:firstLine="282"/>
        <w:spacing w:after="0" w:line="250"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$5.5 million and $5.4 million were included in current other accrued liabilities as of June 19, 2022 and January 2, 2022, respectively. Deferred franchise fees and deferred development fees of $23.8 million and $24.3 million were included in long-term other accrued liabilities as of June 19, 2022 and January 2, 2022, respectively.</w:t>
      </w:r>
    </w:p>
    <w:p>
      <w:pPr>
        <w:spacing w:after="0" w:line="177" w:lineRule="exact"/>
        <w:rPr>
          <w:sz w:val="20"/>
          <w:szCs w:val="20"/>
          <w:color w:val="auto"/>
        </w:rPr>
      </w:pPr>
    </w:p>
    <w:p>
      <w:pPr>
        <w:ind w:left="300" w:right="300" w:firstLine="282"/>
        <w:spacing w:after="0" w:line="266" w:lineRule="auto"/>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two fiscal quarters of 2022 and the two fiscal quarters of 2021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8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at beginning of period</w:t>
            </w:r>
          </w:p>
        </w:tc>
        <w:tc>
          <w:tcPr>
            <w:tcW w:w="104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29,694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19,090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10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(2,855 )</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(2,691 )</w:t>
            </w: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at end of period</w:t>
            </w: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29,287</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20,204</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98" w:lineRule="exact"/>
        <w:rPr>
          <w:sz w:val="20"/>
          <w:szCs w:val="20"/>
          <w:color w:val="auto"/>
        </w:rPr>
      </w:pPr>
    </w:p>
    <w:p>
      <w:pPr>
        <w:ind w:left="300" w:right="60" w:firstLine="287"/>
        <w:spacing w:after="0" w:line="258" w:lineRule="auto"/>
        <w:rPr>
          <w:sz w:val="20"/>
          <w:szCs w:val="20"/>
          <w:color w:val="auto"/>
        </w:rPr>
      </w:pPr>
      <w:r>
        <w:rPr>
          <w:rFonts w:ascii="Times New Roman" w:cs="Times New Roman" w:eastAsia="Times New Roman" w:hAnsi="Times New Roman"/>
          <w:sz w:val="18"/>
          <w:szCs w:val="18"/>
          <w:color w:val="auto"/>
        </w:rPr>
        <w:t>As of June 19, 2022, advertising fund assets, restricted of $182.5 million consisted of $164.1 million of cash and cash equivalents, $13.5 million of accounts receivable and $4.9 million of prepaid expenses. As of June 19, 2022, advertising fund cash and cash equivalents included $7.4 million of cash contributed from U.S. Company-owned stores that had not yet been expended.</w:t>
      </w:r>
    </w:p>
    <w:p>
      <w:pPr>
        <w:spacing w:after="0" w:line="169" w:lineRule="exact"/>
        <w:rPr>
          <w:sz w:val="20"/>
          <w:szCs w:val="20"/>
          <w:color w:val="auto"/>
        </w:rPr>
      </w:pPr>
    </w:p>
    <w:p>
      <w:pPr>
        <w:ind w:left="300" w:right="20" w:firstLine="284"/>
        <w:spacing w:after="0" w:line="247" w:lineRule="auto"/>
        <w:rPr>
          <w:sz w:val="20"/>
          <w:szCs w:val="20"/>
          <w:color w:val="auto"/>
        </w:rPr>
      </w:pPr>
      <w:r>
        <w:rPr>
          <w:rFonts w:ascii="Times New Roman" w:cs="Times New Roman" w:eastAsia="Times New Roman" w:hAnsi="Times New Roman"/>
          <w:sz w:val="18"/>
          <w:szCs w:val="18"/>
          <w:color w:val="auto"/>
        </w:rPr>
        <w:t>As of January 2, 2022, advertising fund assets, restricted of $180.9 million consisted of $161.7 million of cash and cash equivalents, $14.5 million of accounts receivable and $4.7 million of prepaid expenses. As of January 2, 2022, advertising fund cash and cash equivalents included $7.2 million of cash contributed from U.S. Company-owned stores that had not yet been expended.</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7. Leases</w:t>
      </w:r>
    </w:p>
    <w:p>
      <w:pPr>
        <w:spacing w:after="0" w:line="117" w:lineRule="exact"/>
        <w:rPr>
          <w:sz w:val="20"/>
          <w:szCs w:val="20"/>
          <w:color w:val="auto"/>
        </w:rPr>
      </w:pPr>
    </w:p>
    <w:p>
      <w:pPr>
        <w:ind w:right="600" w:firstLine="284"/>
        <w:spacing w:after="0" w:line="266"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supply chain vehicles, equipment and its corporate headquarters with expiration dates through 2041.</w:t>
      </w:r>
    </w:p>
    <w:p>
      <w:pPr>
        <w:spacing w:after="0" w:line="54" w:lineRule="exact"/>
        <w:rPr>
          <w:sz w:val="20"/>
          <w:szCs w:val="20"/>
          <w:color w:val="auto"/>
        </w:rPr>
      </w:pPr>
    </w:p>
    <w:p>
      <w:pPr>
        <w:ind w:right="600" w:firstLine="281"/>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cost for the second quarter and two fiscal quarters of 2022 and the second quarter and two fiscal quarters of 2021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6"/>
                <w:szCs w:val="16"/>
                <w:color w:val="auto"/>
              </w:rPr>
            </w:pPr>
          </w:p>
        </w:tc>
      </w:tr>
      <w:tr>
        <w:trPr>
          <w:trHeight w:val="158"/>
        </w:trPr>
        <w:tc>
          <w:tcPr>
            <w:tcW w:w="4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38"/>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6"/>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38"/>
              <w:spacing w:after="0" w:line="158" w:lineRule="exact"/>
              <w:rPr>
                <w:sz w:val="20"/>
                <w:szCs w:val="20"/>
                <w:color w:val="auto"/>
              </w:rPr>
            </w:pPr>
            <w:r>
              <w:rPr>
                <w:rFonts w:ascii="Times New Roman" w:cs="Times New Roman" w:eastAsia="Times New Roman" w:hAnsi="Times New Roman"/>
                <w:sz w:val="14"/>
                <w:szCs w:val="14"/>
                <w:b w:val="1"/>
                <w:bCs w:val="1"/>
                <w:color w:val="auto"/>
              </w:rPr>
              <w:t>June 19,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96"/>
              <w:spacing w:after="0" w:line="158" w:lineRule="exact"/>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3"/>
                <w:szCs w:val="13"/>
                <w:color w:val="auto"/>
              </w:rPr>
            </w:pPr>
          </w:p>
        </w:tc>
      </w:tr>
      <w:tr>
        <w:trPr>
          <w:trHeight w:val="187"/>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8"/>
                <w:szCs w:val="18"/>
                <w:color w:val="auto"/>
              </w:rPr>
            </w:pPr>
          </w:p>
        </w:tc>
      </w:tr>
      <w:tr>
        <w:trPr>
          <w:trHeight w:val="250"/>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firstLine="281"/>
        <w:spacing w:after="0" w:line="243" w:lineRule="auto"/>
        <w:rPr>
          <w:sz w:val="20"/>
          <w:szCs w:val="20"/>
          <w:color w:val="auto"/>
        </w:rPr>
      </w:pPr>
      <w:r>
        <w:rPr>
          <w:rFonts w:ascii="Times New Roman" w:cs="Times New Roman" w:eastAsia="Times New Roman" w:hAnsi="Times New Roman"/>
          <w:sz w:val="18"/>
          <w:szCs w:val="18"/>
          <w:color w:val="auto"/>
        </w:rPr>
        <w:t>Rent expense totaled $19.0 million and $37.9 million in the second quarter and two fiscal quarters of 2022, respectively. Rent expense totaled $17.9 million and $36.1 million in the second quarter and two fiscal quarters of 2021, respectively. Rent expense includes operating lease cost, as well as expense for non-lease components including common area maintenance, real estate taxes and other costs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$1.6 million and $3.8 million in the second quarter and two fiscal quarters of 2022, respectively. Rent expense for short-term supply chain center tractor and trailer rentals was $2.0 million and $3.8 million in the second quarter and two fiscal quarters of 2021, respectively. Variable rent expense and rent expense for other short-term leases were immaterial in both the second quarter and two fiscal quarters of 2022 and 2021.</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June 19, 2022 and January 2, 2022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19,</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(16,804 )</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(14,423 )</w:t>
            </w: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72,250</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-607695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-590550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firstLine="281"/>
        <w:spacing w:after="0" w:line="282" w:lineRule="auto"/>
        <w:rPr>
          <w:sz w:val="20"/>
          <w:szCs w:val="20"/>
          <w:color w:val="auto"/>
        </w:rPr>
      </w:pPr>
      <w:r>
        <w:rPr>
          <w:rFonts w:ascii="Times New Roman" w:cs="Times New Roman" w:eastAsia="Times New Roman" w:hAnsi="Times New Roman"/>
          <w:sz w:val="18"/>
          <w:szCs w:val="18"/>
          <w:color w:val="auto"/>
        </w:rPr>
        <w:t>As of June 19, 2022 and January 2, 2022, the weighted average remaining lease term and weighted average discount rate for the Company’s operating and finance leases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0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June 19, 2022</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800" w:type="dxa"/>
            <w:vAlign w:val="bottom"/>
            <w:tcBorders>
              <w:bottom w:val="single" w:sz="8" w:color="auto"/>
            </w:tcBorders>
          </w:tcPr>
          <w:p>
            <w:pPr>
              <w:spacing w:after="0"/>
              <w:rPr>
                <w:sz w:val="16"/>
                <w:szCs w:val="16"/>
                <w:color w:val="auto"/>
              </w:rPr>
            </w:pPr>
          </w:p>
        </w:tc>
      </w:tr>
      <w:tr>
        <w:trPr>
          <w:trHeight w:val="213"/>
        </w:trPr>
        <w:tc>
          <w:tcPr>
            <w:tcW w:w="5440" w:type="dxa"/>
            <w:vAlign w:val="bottom"/>
          </w:tcPr>
          <w:p>
            <w:pPr>
              <w:spacing w:after="0"/>
              <w:rPr>
                <w:sz w:val="18"/>
                <w:szCs w:val="18"/>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2"/>
        </w:trPr>
        <w:tc>
          <w:tcPr>
            <w:tcW w:w="5440" w:type="dxa"/>
            <w:vAlign w:val="bottom"/>
          </w:tcPr>
          <w:p>
            <w:pPr>
              <w:spacing w:after="0"/>
              <w:rPr>
                <w:sz w:val="18"/>
                <w:szCs w:val="18"/>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66" w:lineRule="exact"/>
        <w:rPr>
          <w:sz w:val="20"/>
          <w:szCs w:val="20"/>
          <w:color w:val="auto"/>
        </w:rPr>
      </w:pPr>
    </w:p>
    <w:p>
      <w:pPr>
        <w:ind w:right="520" w:firstLine="281"/>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second quarter and two fiscal quarters of 2022 and the second quarter and two fiscal quarters of 2021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6"/>
                <w:szCs w:val="16"/>
                <w:color w:val="auto"/>
              </w:rPr>
            </w:pPr>
          </w:p>
        </w:tc>
      </w:tr>
      <w:tr>
        <w:trPr>
          <w:trHeight w:val="213"/>
        </w:trPr>
        <w:tc>
          <w:tcPr>
            <w:tcW w:w="5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June 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20,</w:t>
            </w:r>
          </w:p>
        </w:tc>
        <w:tc>
          <w:tcPr>
            <w:tcW w:w="100" w:type="dxa"/>
            <w:vAlign w:val="bottom"/>
          </w:tcPr>
          <w:p>
            <w:pPr>
              <w:spacing w:after="0"/>
              <w:rPr>
                <w:sz w:val="18"/>
                <w:szCs w:val="18"/>
                <w:color w:val="auto"/>
              </w:rPr>
            </w:pPr>
          </w:p>
        </w:tc>
      </w:tr>
      <w:tr>
        <w:trPr>
          <w:trHeight w:val="199"/>
        </w:trPr>
        <w:tc>
          <w:tcPr>
            <w:tcW w:w="5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shd w:val="clear" w:color="auto" w:fill="CFF0FC"/>
          </w:tcPr>
          <w:p>
            <w:pPr>
              <w:spacing w:after="0"/>
              <w:rPr>
                <w:sz w:val="18"/>
                <w:szCs w:val="18"/>
                <w:color w:val="auto"/>
              </w:rPr>
            </w:pPr>
          </w:p>
        </w:tc>
      </w:tr>
      <w:tr>
        <w:trPr>
          <w:trHeight w:val="419"/>
        </w:trPr>
        <w:tc>
          <w:tcPr>
            <w:tcW w:w="5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color w:val="auto"/>
        </w:rPr>
        <w:t>Maturities of lease liabilities as of June 19,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7"/>
        </w:trPr>
        <w:tc>
          <w:tcPr>
            <w:tcW w:w="70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3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79,923</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77,842</w:t>
            </w:r>
          </w:p>
        </w:tc>
        <w:tc>
          <w:tcPr>
            <w:tcW w:w="100" w:type="dxa"/>
            <w:vAlign w:val="bottom"/>
          </w:tcPr>
          <w:p>
            <w:pPr>
              <w:spacing w:after="0"/>
              <w:rPr>
                <w:sz w:val="18"/>
                <w:szCs w:val="18"/>
                <w:color w:val="auto"/>
              </w:rPr>
            </w:pPr>
          </w:p>
        </w:tc>
      </w:tr>
      <w:tr>
        <w:trPr>
          <w:trHeight w:val="209"/>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266,592</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amounts representing interest</w:t>
            </w:r>
          </w:p>
        </w:tc>
        <w:tc>
          <w:tcPr>
            <w:tcW w:w="1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(30,236 )</w:t>
            </w:r>
          </w:p>
        </w:tc>
        <w:tc>
          <w:tcPr>
            <w:tcW w:w="4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(40,258 )</w:t>
            </w:r>
          </w:p>
        </w:tc>
      </w:tr>
      <w:tr>
        <w:trPr>
          <w:trHeight w:val="249"/>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80" w:type="dxa"/>
            <w:vAlign w:val="bottom"/>
            <w:tcBorders>
              <w:top w:val="single" w:sz="8" w:color="auto"/>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236,356</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-316865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firstLine="284"/>
        <w:spacing w:after="0" w:line="258" w:lineRule="auto"/>
        <w:rPr>
          <w:sz w:val="20"/>
          <w:szCs w:val="20"/>
          <w:color w:val="auto"/>
        </w:rPr>
      </w:pPr>
      <w:r>
        <w:rPr>
          <w:rFonts w:ascii="Times New Roman" w:cs="Times New Roman" w:eastAsia="Times New Roman" w:hAnsi="Times New Roman"/>
          <w:sz w:val="18"/>
          <w:szCs w:val="18"/>
          <w:color w:val="auto"/>
        </w:rPr>
        <w:t>As of June 19, 2022, the Company had additional leases for one supply chain center, one storage warehouse facility and certain supply chain tractors and trailers that had not yet commenced with estimated future minimum rental commitments of approximately $61.1 million. These leases are expected to commence in 2022 and 2023 with lease terms of up to 16 years. These undiscounted amounts are not included in the table above.</w:t>
      </w:r>
    </w:p>
    <w:p>
      <w:pPr>
        <w:spacing w:after="0" w:line="61" w:lineRule="exact"/>
        <w:rPr>
          <w:sz w:val="20"/>
          <w:szCs w:val="20"/>
          <w:color w:val="auto"/>
        </w:rPr>
      </w:pPr>
    </w:p>
    <w:p>
      <w:pPr>
        <w:jc w:val="both"/>
        <w:ind w:right="180" w:firstLine="284"/>
        <w:spacing w:after="0" w:line="258"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and others' lease arrangements. The maximum amount of potential future payments under these guarantees was $7.9 million and $9.1 million as of June 19, 2022 and January 2, 2022, respectively. The Company does not believe these arrangements have or are likely to have a material effect on its results of operations, financial condition, revenues, expenses or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Supplemental Disclosures of Cash Flow Information</w:t>
      </w:r>
    </w:p>
    <w:p>
      <w:pPr>
        <w:spacing w:after="0" w:line="212" w:lineRule="exact"/>
        <w:rPr>
          <w:sz w:val="20"/>
          <w:szCs w:val="20"/>
          <w:color w:val="auto"/>
        </w:rPr>
      </w:pPr>
    </w:p>
    <w:p>
      <w:pPr>
        <w:jc w:val="both"/>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$5.8 million at June 19, 2022 and $5.4 million at January 2, 2022. The Company also had less than $0.1 million of non-cash investing activities related to lease incentives in the two fiscal quarters of both 2022 and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Company-owned Store Transactions</w:t>
      </w:r>
    </w:p>
    <w:p>
      <w:pPr>
        <w:spacing w:after="0" w:line="202" w:lineRule="exact"/>
        <w:rPr>
          <w:sz w:val="20"/>
          <w:szCs w:val="20"/>
          <w:color w:val="auto"/>
        </w:rPr>
      </w:pPr>
    </w:p>
    <w:p>
      <w:pPr>
        <w:ind w:right="320" w:firstLine="255"/>
        <w:spacing w:after="0" w:line="284" w:lineRule="auto"/>
        <w:rPr>
          <w:sz w:val="20"/>
          <w:szCs w:val="20"/>
          <w:color w:val="auto"/>
        </w:rPr>
      </w:pPr>
      <w:r>
        <w:rPr>
          <w:rFonts w:ascii="Times New Roman" w:cs="Times New Roman" w:eastAsia="Times New Roman" w:hAnsi="Times New Roman"/>
          <w:sz w:val="18"/>
          <w:szCs w:val="18"/>
          <w:color w:val="auto"/>
        </w:rPr>
        <w:t>During the first quarter of 2022, the Company purchased 23 U.S. franchised stores from certain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existing U.S. franchisees for $6.8 million, which included $4.0 million of intangibles, $1.7 million of equipment and leasehold improvements and $1.1 million of goodwill.</w:t>
      </w:r>
    </w:p>
    <w:p>
      <w:pPr>
        <w:spacing w:after="0" w:line="140" w:lineRule="exact"/>
        <w:rPr>
          <w:sz w:val="20"/>
          <w:szCs w:val="20"/>
          <w:color w:val="auto"/>
        </w:rPr>
      </w:pPr>
    </w:p>
    <w:p>
      <w:pPr>
        <w:ind w:left="260" w:right="8120" w:hanging="252"/>
        <w:spacing w:after="0" w:line="428" w:lineRule="auto"/>
        <w:tabs>
          <w:tab w:leader="none" w:pos="2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Accounting Pronouncements </w:t>
      </w:r>
      <w:r>
        <w:rPr>
          <w:rFonts w:ascii="Times New Roman" w:cs="Times New Roman" w:eastAsia="Times New Roman" w:hAnsi="Times New Roman"/>
          <w:sz w:val="17"/>
          <w:szCs w:val="17"/>
          <w:u w:val="single" w:color="auto"/>
          <w:color w:val="auto"/>
        </w:rPr>
        <w:t>Accounting Standards Not Yet Adopted</w:t>
      </w:r>
    </w:p>
    <w:p>
      <w:pPr>
        <w:spacing w:after="0" w:line="32" w:lineRule="exact"/>
        <w:rPr>
          <w:sz w:val="20"/>
          <w:szCs w:val="20"/>
          <w:color w:val="auto"/>
        </w:rPr>
      </w:pPr>
    </w:p>
    <w:p>
      <w:pPr>
        <w:ind w:left="520" w:right="220" w:firstLine="25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w:t>
      </w:r>
    </w:p>
    <w:p>
      <w:pPr>
        <w:spacing w:after="0" w:line="1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Accounting Standards Update (“ASU”) 2020-04, Facilitation of the Effects of Reference Rate Reform on Financial Reporting</w:t>
      </w:r>
    </w:p>
    <w:p>
      <w:pPr>
        <w:spacing w:after="0" w:line="19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p>
    <w:p>
      <w:pPr>
        <w:spacing w:after="0" w:line="29" w:lineRule="exact"/>
        <w:rPr>
          <w:sz w:val="20"/>
          <w:szCs w:val="20"/>
          <w:color w:val="auto"/>
        </w:rPr>
      </w:pPr>
    </w:p>
    <w:p>
      <w:pPr>
        <w:ind w:left="520" w:right="120"/>
        <w:spacing w:after="0"/>
        <w:rPr>
          <w:sz w:val="20"/>
          <w:szCs w:val="20"/>
          <w:color w:val="auto"/>
        </w:rPr>
      </w:pPr>
      <w:r>
        <w:rPr>
          <w:rFonts w:ascii="Times New Roman" w:cs="Times New Roman" w:eastAsia="Times New Roman" w:hAnsi="Times New Roman"/>
          <w:sz w:val="18"/>
          <w:szCs w:val="18"/>
          <w:i w:val="1"/>
          <w:iCs w:val="1"/>
          <w:color w:val="auto"/>
        </w:rPr>
        <w:t>Financial Reporting (“ASU 2020-04”)</w:t>
      </w:r>
      <w:r>
        <w:rPr>
          <w:rFonts w:ascii="Times New Roman" w:cs="Times New Roman" w:eastAsia="Times New Roman" w:hAnsi="Times New Roman"/>
          <w:sz w:val="18"/>
          <w:szCs w:val="18"/>
          <w:color w:val="auto"/>
        </w:rPr>
        <w:t>, which provides temporary optional expedients and exceptions for applying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to contracts, hedging relationships and other transactions affected by reference rate reform. The Company’s variable funding notes bear interest at fluctuating interest rates based on LIBOR. However, the associated loan documents contemplate a transition from LIBOR to secured overnight financing rate (“SOFR”) in the event that LIBOR ceases to exist. ASU 2020-04 may currently be adopted and may be applied prospectively to contract modifications made on or before December 31, 2022. The Company does not expect the adoption of this guidance to have a material impact on its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85"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The 2022 and 2021 second quarters referenced herein represent the twelve-week periods ended June 19, 2022 and June 20, 2021, respectively. The 2022 and 2021 two fiscal quarters referenced herein represent the twenty-four-week periods ended June 19, 2022 and June 20, 2021, respectively. In this section, we discuss the results of our operations for the second quarter and two fiscal quarters of 2022 as compared to the second quarter and two fiscal quarters of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281"/>
        <w:spacing w:after="0" w:line="24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19,200 locations in over 90 markets around the world as of June 19, 2022, and operates two distinct service models within its stores with a significant business in both delivery and carryout. Founded in 1960, our roots are in convenient pizza delivery, while a significant amount of our sales also come from carryout customers. We are a highly recognized global brand, and we focus on serving neighborhoods locally through our large worldwide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81" w:lineRule="exact"/>
        <w:rPr>
          <w:sz w:val="20"/>
          <w:szCs w:val="20"/>
          <w:color w:val="auto"/>
        </w:rPr>
      </w:pPr>
    </w:p>
    <w:p>
      <w:pPr>
        <w:ind w:right="40" w:firstLine="281"/>
        <w:spacing w:after="0" w:line="250" w:lineRule="auto"/>
        <w:rPr>
          <w:sz w:val="20"/>
          <w:szCs w:val="20"/>
          <w:color w:val="auto"/>
        </w:rPr>
      </w:pPr>
      <w:r>
        <w:rPr>
          <w:rFonts w:ascii="Times New Roman" w:cs="Times New Roman" w:eastAsia="Times New Roman" w:hAnsi="Times New Roman"/>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77" w:lineRule="exact"/>
        <w:rPr>
          <w:sz w:val="20"/>
          <w:szCs w:val="20"/>
          <w:color w:val="auto"/>
        </w:rPr>
      </w:pPr>
    </w:p>
    <w:p>
      <w:pPr>
        <w:ind w:right="40" w:firstLine="281"/>
        <w:spacing w:after="0" w:line="227"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73" w:lineRule="exact"/>
        <w:rPr>
          <w:sz w:val="20"/>
          <w:szCs w:val="20"/>
          <w:color w:val="auto"/>
        </w:rPr>
      </w:pPr>
    </w:p>
    <w:p>
      <w:pPr>
        <w:ind w:right="40" w:firstLine="281"/>
        <w:spacing w:after="0" w:line="250" w:lineRule="auto"/>
        <w:rPr>
          <w:sz w:val="20"/>
          <w:szCs w:val="20"/>
          <w:color w:val="auto"/>
        </w:rPr>
      </w:pPr>
      <w:r>
        <w:rPr>
          <w:rFonts w:ascii="Times New Roman" w:cs="Times New Roman" w:eastAsia="Times New Roman" w:hAnsi="Times New Roman"/>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We believe we have a proven business model for success, which includes leading with technology, service and product innovation and leveraging our global scale, which has historically driven strong returns for our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2022 Highlights</w:t>
      </w:r>
    </w:p>
    <w:p>
      <w:pPr>
        <w:spacing w:after="0" w:line="216" w:lineRule="exact"/>
        <w:rPr>
          <w:sz w:val="20"/>
          <w:szCs w:val="20"/>
          <w:color w:val="auto"/>
        </w:rPr>
      </w:pPr>
    </w:p>
    <w:p>
      <w:pPr>
        <w:ind w:left="760" w:right="300" w:hanging="378"/>
        <w:spacing w:after="0" w:line="24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1.5% as compared to the second quarter of 2021. U.S. retail sales declined 0.6% and international retail sales, excluding foreign currency impact, increased 3.7% as compared to the second quarter of 2021.</w:t>
      </w:r>
    </w:p>
    <w:p>
      <w:pPr>
        <w:ind w:left="760" w:hanging="378"/>
        <w:spacing w:after="0" w:line="23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declined 2.9% in our U.S. stores and declined 2.2% in our international stores (excluding foreign currency impact).</w:t>
      </w:r>
    </w:p>
    <w:p>
      <w:pPr>
        <w:ind w:left="76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3.2%.</w:t>
      </w:r>
    </w:p>
    <w:p>
      <w:pPr>
        <w:ind w:left="76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6.7%.</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12.1%.</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7.8%.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Fiscal Quarters of 2022 Highlights</w:t>
      </w:r>
    </w:p>
    <w:p>
      <w:pPr>
        <w:spacing w:after="0" w:line="216" w:lineRule="exact"/>
        <w:rPr>
          <w:sz w:val="20"/>
          <w:szCs w:val="20"/>
          <w:color w:val="auto"/>
        </w:rPr>
      </w:pPr>
    </w:p>
    <w:p>
      <w:pPr>
        <w:jc w:val="both"/>
        <w:ind w:left="760" w:right="280" w:hanging="378"/>
        <w:spacing w:after="0" w:line="24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2.5% as compared to the two fiscal quarters of 2021. U.S. retail sales declined 1.0% and international retail sales, excluding foreign currency impact, increased 6.0% as compared to the two fiscal quarters of 2021.</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declined 3.3% in our U.S. stores and declined 0.5% in our international stores (excluding foreign currency impact).</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3.0%.</w:t>
      </w:r>
    </w:p>
    <w:p>
      <w:pPr>
        <w:spacing w:after="0" w:line="7"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9.2%.</w:t>
      </w:r>
    </w:p>
    <w:p>
      <w:pPr>
        <w:ind w:left="76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17.5%.</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12.2%.</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ind w:firstLine="255"/>
        <w:spacing w:after="0" w:line="233" w:lineRule="auto"/>
        <w:rPr>
          <w:sz w:val="20"/>
          <w:szCs w:val="20"/>
          <w:color w:val="auto"/>
        </w:rPr>
      </w:pPr>
      <w:r>
        <w:rPr>
          <w:rFonts w:ascii="Times New Roman" w:cs="Times New Roman" w:eastAsia="Times New Roman" w:hAnsi="Times New Roman"/>
          <w:sz w:val="18"/>
          <w:szCs w:val="18"/>
          <w:color w:val="auto"/>
        </w:rPr>
        <w:t>Excluding the negative impact of foreign currency, Domino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experienced global retail sales growth during the second quarter and two fiscal quarters of 2022. We believe our commitment to value, convenience, quality and new products continues to keep consumers engaged with the brand. U.S. same store sales declined 2.9% and 3.3% in the second quarter and two fiscal quarters of 2022, respectively, rolling over increases in U.S. same store sales of 3.5% and 8.1% in the second quarter and two fiscal quarters of 2021, respectively. The decline in U.S. same store sales in the second quarter and two fiscal quarters of 2022 was attributable to lower order counts due in part to labor shortages affecting store hours and staffing levels in many of our markets and economic stimulus activity in the U.S in the second quarter and two fiscal quarters of 2021 in response to the COVID-19 pandemic which did not recur in the respective periods of 2022. These decreases were partially offset by a higher average ticket per transaction resulting from higher menu and national offer pricing, as well as more items purchased per transaction and increases to our average delivery fee. International same store sales (excluding foreign currency impact) declined 2.2% and 0.5% in the second quarter and two fiscal quarters of 2022, respectively, rolling over increases in international same store sales (excluding foreign currency impact) of 13.9% and 12.8% in the second quarter and two fiscal quarters of 2021, respectively. The decline in same store sales (excluding foreign currency impact) in the second quarter and two fiscal quarters of 2022 in our international business was driven in part by a value added tax holiday in the United Kingdom in the second quarter of 2021 that did not recur in the second quarter of 2022. Our U.S. and international same store sales (excluding foreign currency impact) continue to be pressured by our fortressing strategy, which includes increasing store concentration in certain markets where we compete, as well as from aggressive competitive activity.</w:t>
      </w:r>
    </w:p>
    <w:p>
      <w:pPr>
        <w:spacing w:after="0" w:line="78" w:lineRule="exact"/>
        <w:rPr>
          <w:sz w:val="20"/>
          <w:szCs w:val="20"/>
          <w:color w:val="auto"/>
        </w:rPr>
      </w:pPr>
    </w:p>
    <w:p>
      <w:pPr>
        <w:ind w:right="200" w:firstLine="255"/>
        <w:spacing w:after="0" w:line="242" w:lineRule="auto"/>
        <w:rPr>
          <w:sz w:val="20"/>
          <w:szCs w:val="20"/>
          <w:color w:val="auto"/>
        </w:rPr>
      </w:pPr>
      <w:r>
        <w:rPr>
          <w:rFonts w:ascii="Times New Roman" w:cs="Times New Roman" w:eastAsia="Times New Roman" w:hAnsi="Times New Roman"/>
          <w:sz w:val="18"/>
          <w:szCs w:val="18"/>
          <w:color w:val="auto"/>
        </w:rPr>
        <w:t>During the second quarter and two fiscal quarters of 2022, we experienced significant inflationary pressures in our commodity, labor and fuel costs resulting from the macroeconomic environment in the U.S., which had a significant impact on our overall operating results as compared to the respective periods of fiscal 2021.</w:t>
      </w:r>
    </w:p>
    <w:p>
      <w:pPr>
        <w:spacing w:after="0" w:line="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We continued our global expansion with the opening of 233 net stores in the second quarter of 2022, bringing our year-to-date total to 446. We had 22 net stores open in the U.S. and 211 net stores open internationally during the second quarter of 2022.</w:t>
      </w:r>
    </w:p>
    <w:p>
      <w:pPr>
        <w:spacing w:after="0" w:line="68"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Overall, we believe our continued global store growth, along with our global retail sales growth (excluding foreign currency impact), emphasis on technology, operations, and marketing initiatives, have combined to strengthen our brand.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1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16" w:lineRule="exact"/>
        <w:rPr>
          <w:sz w:val="20"/>
          <w:szCs w:val="20"/>
          <w:color w:val="auto"/>
        </w:rPr>
      </w:pPr>
    </w:p>
    <w:p>
      <w:pPr>
        <w:ind w:right="60" w:firstLine="255"/>
        <w:spacing w:after="0" w:line="242"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r>
      <w:tr>
        <w:trPr>
          <w:trHeight w:val="160"/>
        </w:trPr>
        <w:tc>
          <w:tcPr>
            <w:tcW w:w="5520" w:type="dxa"/>
            <w:vAlign w:val="bottom"/>
          </w:tcPr>
          <w:p>
            <w:pPr>
              <w:spacing w:after="0"/>
              <w:rPr>
                <w:sz w:val="13"/>
                <w:szCs w:val="13"/>
                <w:color w:val="auto"/>
              </w:rPr>
            </w:pPr>
          </w:p>
        </w:tc>
        <w:tc>
          <w:tcPr>
            <w:tcW w:w="1380" w:type="dxa"/>
            <w:vAlign w:val="bottom"/>
          </w:tcPr>
          <w:p>
            <w:pPr>
              <w:jc w:val="right"/>
              <w:ind w:right="117"/>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3"/>
                <w:szCs w:val="13"/>
                <w:color w:val="auto"/>
              </w:rPr>
            </w:pPr>
          </w:p>
        </w:tc>
        <w:tc>
          <w:tcPr>
            <w:tcW w:w="1240" w:type="dxa"/>
            <w:vAlign w:val="bottom"/>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Two Fiscal Quarters</w:t>
            </w:r>
          </w:p>
        </w:tc>
        <w:tc>
          <w:tcPr>
            <w:tcW w:w="2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r>
      <w:tr>
        <w:trPr>
          <w:trHeight w:val="189"/>
        </w:trPr>
        <w:tc>
          <w:tcPr>
            <w:tcW w:w="5520" w:type="dxa"/>
            <w:vAlign w:val="bottom"/>
          </w:tcPr>
          <w:p>
            <w:pPr>
              <w:spacing w:after="0"/>
              <w:rPr>
                <w:sz w:val="16"/>
                <w:szCs w:val="16"/>
                <w:color w:val="auto"/>
              </w:rPr>
            </w:pPr>
          </w:p>
        </w:tc>
        <w:tc>
          <w:tcPr>
            <w:tcW w:w="13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16"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r>
      <w:tr>
        <w:trPr>
          <w:trHeight w:val="160"/>
        </w:trPr>
        <w:tc>
          <w:tcPr>
            <w:tcW w:w="5520" w:type="dxa"/>
            <w:vAlign w:val="bottom"/>
          </w:tcPr>
          <w:p>
            <w:pPr>
              <w:spacing w:after="0"/>
              <w:rPr>
                <w:sz w:val="13"/>
                <w:szCs w:val="13"/>
                <w:color w:val="auto"/>
              </w:rPr>
            </w:pPr>
          </w:p>
        </w:tc>
        <w:tc>
          <w:tcPr>
            <w:tcW w:w="1380" w:type="dxa"/>
            <w:vAlign w:val="bottom"/>
          </w:tcPr>
          <w:p>
            <w:pPr>
              <w:jc w:val="right"/>
              <w:ind w:right="116"/>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3"/>
                <w:szCs w:val="13"/>
                <w:color w:val="auto"/>
              </w:rPr>
            </w:pPr>
          </w:p>
        </w:tc>
        <w:tc>
          <w:tcPr>
            <w:tcW w:w="1240" w:type="dxa"/>
            <w:vAlign w:val="bottom"/>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Two Fiscal Quarters</w:t>
            </w:r>
          </w:p>
        </w:tc>
        <w:tc>
          <w:tcPr>
            <w:tcW w:w="2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r>
      <w:tr>
        <w:trPr>
          <w:trHeight w:val="189"/>
        </w:trPr>
        <w:tc>
          <w:tcPr>
            <w:tcW w:w="5520" w:type="dxa"/>
            <w:vAlign w:val="bottom"/>
          </w:tcPr>
          <w:p>
            <w:pPr>
              <w:spacing w:after="0"/>
              <w:rPr>
                <w:sz w:val="16"/>
                <w:szCs w:val="16"/>
                <w:color w:val="auto"/>
              </w:rPr>
            </w:pPr>
          </w:p>
        </w:tc>
        <w:tc>
          <w:tcPr>
            <w:tcW w:w="13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 (1)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stores (1)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66" w:lineRule="exact"/>
        <w:rPr>
          <w:sz w:val="20"/>
          <w:szCs w:val="20"/>
          <w:color w:val="auto"/>
        </w:rPr>
      </w:pPr>
    </w:p>
    <w:p>
      <w:pPr>
        <w:ind w:left="760" w:hanging="752"/>
        <w:spacing w:after="0" w:line="266"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we purchased 23 U.S. franchised stores from certain of our existing U.S. franchisees (the “2022 Store Purchase”). The same store sales growth for these stores is reflected in U.S. Company-owned stores in the second quarter and two fiscal quarters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02"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Store counts and net store growth are commonly used statistical measures in the quick-service restaurant industry that are important to understanding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March 27,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 (1)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June 19,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Second quarter 2022 net store growth</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 (2)</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-187960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40" w:hanging="752"/>
        <w:spacing w:after="0" w:line="246" w:lineRule="auto"/>
        <w:tabs>
          <w:tab w:leader="none" w:pos="3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store closures are not treated as store closures and affected stores are included in the ending store count. Based on information reported to us by our master franchisees, we estimate that as of June 19, 2022, there were fewer than 150 international stores temporarily closed.</w:t>
      </w: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Trailing four quarters net store growth does not include the effect of transfers associated with the 2022 Store Purchase.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3"/>
                <w:szCs w:val="13"/>
                <w:color w:val="auto"/>
              </w:rPr>
            </w:pPr>
          </w:p>
        </w:tc>
        <w:tc>
          <w:tcPr>
            <w:tcW w:w="18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060" w:type="dxa"/>
            <w:vAlign w:val="bottom"/>
            <w:gridSpan w:val="4"/>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1,171.3</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2,076.3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1,219.3</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754.9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194.6</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$193.50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8"/>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6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80" w:type="dxa"/>
            <w:vAlign w:val="bottom"/>
            <w:tcBorders>
              <w:bottom w:val="single" w:sz="8" w:color="auto"/>
            </w:tcBorders>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46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vMerge w:val="continue"/>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vMerge w:val="continue"/>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126.8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603.0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6.3 %</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220" w:type="dxa"/>
            <w:vAlign w:val="bottom"/>
          </w:tcPr>
          <w:p>
            <w:pPr>
              <w:spacing w:after="0"/>
              <w:rPr>
                <w:sz w:val="18"/>
                <w:szCs w:val="18"/>
                <w:color w:val="auto"/>
              </w:rPr>
            </w:pPr>
          </w:p>
        </w:tc>
        <w:tc>
          <w:tcPr>
            <w:tcW w:w="18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100.0 % $  1,032.</w:t>
            </w:r>
            <w:r>
              <w:rPr>
                <w:rFonts w:ascii="Times New Roman" w:cs="Times New Roman" w:eastAsia="Times New Roman" w:hAnsi="Times New Roman"/>
                <w:sz w:val="18"/>
                <w:szCs w:val="18"/>
                <w:u w:val="single" w:color="auto"/>
                <w:color w:val="auto"/>
              </w:rPr>
              <w:t>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100.0 %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8"/>
                <w:szCs w:val="18"/>
                <w:u w:val="single" w:color="auto"/>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-3299460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-3299460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-3299460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-3299460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-3299460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-3299460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-3299460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-2733675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-2733675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-2733675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-2733675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-2733675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-2733675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-2733675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-1893570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-1893570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-1893570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-1893570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-1893570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-1893570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-1893570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-1610995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-1610995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-1610995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-1610995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-1610995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-1610995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-1610995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6"/>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40" w:type="dxa"/>
            <w:vAlign w:val="bottom"/>
            <w:gridSpan w:val="6"/>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6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6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2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116.6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34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126.8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34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116.3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100.0 % $</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359.</w:t>
            </w:r>
            <w:r>
              <w:rPr>
                <w:rFonts w:ascii="Times New Roman" w:cs="Times New Roman" w:eastAsia="Times New Roman" w:hAnsi="Times New Roman"/>
                <w:sz w:val="18"/>
                <w:szCs w:val="18"/>
                <w:u w:val="single" w:color="auto"/>
                <w:color w:val="auto"/>
                <w:w w:val="98"/>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r>
              <w:rPr>
                <w:rFonts w:ascii="Times New Roman" w:cs="Times New Roman" w:eastAsia="Times New Roman" w:hAnsi="Times New Roman"/>
                <w:sz w:val="18"/>
                <w:szCs w:val="18"/>
                <w:u w:val="single" w:color="auto"/>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214" w:lineRule="exact"/>
        <w:rPr>
          <w:sz w:val="20"/>
          <w:szCs w:val="20"/>
          <w:color w:val="auto"/>
        </w:rPr>
      </w:pPr>
    </w:p>
    <w:p>
      <w:pPr>
        <w:jc w:val="both"/>
        <w:ind w:right="160" w:firstLine="255"/>
        <w:spacing w:after="0" w:line="258" w:lineRule="auto"/>
        <w:rPr>
          <w:sz w:val="20"/>
          <w:szCs w:val="20"/>
          <w:color w:val="auto"/>
        </w:rPr>
      </w:pPr>
      <w:r>
        <w:rPr>
          <w:rFonts w:ascii="Times New Roman" w:cs="Times New Roman" w:eastAsia="Times New Roman" w:hAnsi="Times New Roman"/>
          <w:sz w:val="18"/>
          <w:szCs w:val="18"/>
          <w:color w:val="auto"/>
        </w:rPr>
        <w:t>Revenues from U.S. Company-owned store operations decreased $4.1 million, or 3.5%, in the second quarter of 2022, and decreased $12.9 million, or 5.6%, in the two fiscal quarters of 2022 due to a decline in U.S. Company-owned same store sales. These decreases were partially offset by an increase in the average number of U.S. Company-owned stores open during the period resulting from net store growth and the 2022 Store Purchase.</w:t>
      </w:r>
    </w:p>
    <w:p>
      <w:pPr>
        <w:spacing w:after="0" w:line="169"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U.S. Company-owned same store sales declined 9.2% and 9.8% in the second quarter and two fiscal quarters of 2022, respectively. U.S. Company-owned same store sales declined 2.6% in the second quarter of 2021 and increased 1.6% in the two fiscal quarters of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214" w:lineRule="exact"/>
        <w:rPr>
          <w:sz w:val="20"/>
          <w:szCs w:val="20"/>
          <w:color w:val="auto"/>
        </w:rPr>
      </w:pPr>
    </w:p>
    <w:p>
      <w:pPr>
        <w:ind w:right="60" w:firstLine="255"/>
        <w:spacing w:after="0" w:line="245" w:lineRule="auto"/>
        <w:rPr>
          <w:sz w:val="20"/>
          <w:szCs w:val="20"/>
          <w:color w:val="auto"/>
        </w:rPr>
      </w:pPr>
      <w:r>
        <w:rPr>
          <w:rFonts w:ascii="Times New Roman" w:cs="Times New Roman" w:eastAsia="Times New Roman" w:hAnsi="Times New Roman"/>
          <w:sz w:val="18"/>
          <w:szCs w:val="18"/>
          <w:color w:val="auto"/>
        </w:rPr>
        <w:t>Revenues from U.S. franchise royalties and fees increased $1.3 million, or 1.0%, in the second quarter of 2022 due to an increase in revenues from fees paid by franchisees for the use of our technology platforms, as well as an increase in the average number of U.S. franchised stores open during the period resulting from net store growth. These increases in revenues were partially offset by a decline in U.S. franchise same store sales. Revenues from U.S. franchise royalties and fees decreased $0.9 million, or 0.4%, in the two fiscal quarters of 2022 due primarily to a decline in U.S. franchise same store sales, and was partially offset by an increase in revenues from fees paid by franchisees for the use of our technology platforms, as well as an increase in the average number of U.S. franchised stores open during the period resulting from net store growth. Revenues from U.S. franchise royalties and fees were negatively impacted by the 2022 Store Purchase in both the second quarter and two fiscal quarters of 2022.</w:t>
      </w:r>
    </w:p>
    <w:p>
      <w:pPr>
        <w:spacing w:after="0" w:line="18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U.S. franchise same store sales declined 2.5% and 2.9% in the second quarter and two fiscal quarters of 2022, respectively. U.S. franchise same store sales increased 3.9% and 8.5% in the second quarter and two fiscal quarters of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200" w:lineRule="exact"/>
        <w:rPr>
          <w:sz w:val="20"/>
          <w:szCs w:val="20"/>
          <w:color w:val="auto"/>
        </w:rPr>
      </w:pPr>
    </w:p>
    <w:p>
      <w:pPr>
        <w:ind w:right="20" w:firstLine="284"/>
        <w:spacing w:after="0" w:line="246" w:lineRule="auto"/>
        <w:rPr>
          <w:sz w:val="20"/>
          <w:szCs w:val="20"/>
          <w:color w:val="auto"/>
        </w:rPr>
      </w:pPr>
      <w:r>
        <w:rPr>
          <w:rFonts w:ascii="Times New Roman" w:cs="Times New Roman" w:eastAsia="Times New Roman" w:hAnsi="Times New Roman"/>
          <w:sz w:val="18"/>
          <w:szCs w:val="18"/>
          <w:color w:val="auto"/>
        </w:rPr>
        <w:t>Revenues from U.S. franchise advertising decreased $5.3 million, or 4.5%, in the second quarter of 2022, and decreased $10.0 million, or 4.4%, in the two fiscal quarters of 2022 due primarily to a decline in U.S. franchise same store sales and to a lesser extent, the 2022 Store Purchase. Approximately $2.6 million and $5.1 million in advertising incentives related to certain brand promotions in the second quarter and two fiscal quarters of 2022, respectively, also contributed to the decreases in U.S. franchise advertising revenues. These decreases were partially offset by an increase in the average number of U.S. franchised stores open during the period, resulting from net store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16"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Supply chain revenues increased $43.6 million, or 7.2%, in the second quarter of 2022, and increased $84.8 million, or 7.2%, in the two fiscal quarters of 2022 due to higher market basket pricing to stores, partially offset by lower order volumes at our U.S. franchise stores during the respective periods. Our market basket pricing to stores increased 15.2% during the second quarter of 2022, which resulted in an estimated $77.1 million increase in supply chain revenues. Our market basket pricing to stores increased 13.6% during the two fiscal quarters of 2022 which resulted in an estimated $133.2 million increase in supply chain revenues.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202" w:lineRule="exact"/>
        <w:rPr>
          <w:sz w:val="20"/>
          <w:szCs w:val="20"/>
          <w:color w:val="auto"/>
        </w:rPr>
      </w:pPr>
    </w:p>
    <w:p>
      <w:pPr>
        <w:ind w:right="120" w:firstLine="255"/>
        <w:spacing w:after="0" w:line="247" w:lineRule="auto"/>
        <w:rPr>
          <w:sz w:val="20"/>
          <w:szCs w:val="20"/>
          <w:color w:val="auto"/>
        </w:rPr>
      </w:pPr>
      <w:r>
        <w:rPr>
          <w:rFonts w:ascii="Times New Roman" w:cs="Times New Roman" w:eastAsia="Times New Roman" w:hAnsi="Times New Roman"/>
          <w:sz w:val="18"/>
          <w:szCs w:val="18"/>
          <w:color w:val="auto"/>
        </w:rPr>
        <w:t>Revenues from international franchise royalties and fees decreased $2.8 million, or 4.1%, in the second quarter of 2022, and decreased $0.8 million, or 0.6%, in the two fiscal quarters of 2022 due primarily to the negative impact of changes in foreign currency exchange rates of $5.9 million and $10.1 million in the second quarter and two fiscal quarters of 2022, respectively. A decline in international same store sales (excluding foreign currency impact) in the second quarter and two fiscal quarters of 2022 also contributed to the decreases in international franchise revenues in the respective periods. An increase in the average number of international franchise stores open during the respective periods, resulting from net store growth, partially offset the declines in revenues.</w:t>
      </w:r>
    </w:p>
    <w:p>
      <w:pPr>
        <w:spacing w:after="0" w:line="166"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Excluding the impact of foreign currency exchange rates, international franchise same store sales declined 2.2% and 0.5% in the second quarter and two fiscal quarters of 2022, respectively. Excluding the impact of foreign currency exchange rates, international franchise same store sales increased 13.9% and 12.8% in the second quarter and two fiscal quarters of 2021, respectively.</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6"/>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80" w:type="dxa"/>
            <w:vAlign w:val="bottom"/>
            <w:gridSpan w:val="6"/>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40" w:type="dxa"/>
            <w:vAlign w:val="bottom"/>
            <w:gridSpan w:val="6"/>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2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6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6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2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09"/>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gross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r>
              <w:rPr>
                <w:rFonts w:ascii="Times New Roman" w:cs="Times New Roman" w:eastAsia="Times New Roman" w:hAnsi="Times New Roman"/>
                <w:sz w:val="18"/>
                <w:szCs w:val="18"/>
                <w:u w:val="single" w:color="auto"/>
                <w:color w:val="auto"/>
              </w:rPr>
              <w:t>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r>
              <w:rPr>
                <w:rFonts w:ascii="Times New Roman" w:cs="Times New Roman" w:eastAsia="Times New Roman" w:hAnsi="Times New Roman"/>
                <w:sz w:val="18"/>
                <w:szCs w:val="18"/>
                <w:u w:val="single" w:color="auto"/>
                <w:color w:val="auto"/>
              </w:rPr>
              <w:t>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right="100" w:firstLine="255"/>
        <w:spacing w:after="0" w:line="242"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decreased $21.4 million, or 5.3%, in the second quarter of 2022, and decreased $42.0 million, or 5.3%, in the two fiscal quarters of 2022 due primarily to lower U.S. Company-owned store revenues, as well as higher food, labor and delivery costs and lower global franchise revenues.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gross margins remain unchanged.</w:t>
      </w:r>
    </w:p>
    <w:p>
      <w:pPr>
        <w:spacing w:after="0" w:line="186"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As a percentage of revenues, the consolidated gross margin decreased 3.2 percentage points in the second quarter of 2022, and decreased 3.1 percentage points in the two fiscal quarters of 2022. U.S. Company-owned store gross margin decreased 8.1 percentage points in the second quarter of 2022, and decreased 8.0 percentage points in the two fiscal quarters of 2022. Supply chain gross margin decreased 1.5 percentage points in both the second quarter and two fiscal quarters of 2022. These changes in gross margin are described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20" w:type="dxa"/>
            <w:vAlign w:val="bottom"/>
            <w:gridSpan w:val="6"/>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80" w:type="dxa"/>
            <w:vAlign w:val="bottom"/>
            <w:gridSpan w:val="6"/>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680" w:type="dxa"/>
            <w:vAlign w:val="bottom"/>
            <w:gridSpan w:val="5"/>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4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2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2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2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u w:val="single" w:color="auto"/>
                <w:color w:val="auto"/>
              </w:rPr>
              <w:t>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$10.1 million, or</w:t>
      </w:r>
    </w:p>
    <w:p>
      <w:pPr>
        <w:spacing w:after="0" w:line="2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35.5%, in the second quarter of 2022, and decreased $20.6 million, or 37.1%, in the two fiscal quarters of 2022 due primarily to lower same store sales, as well as higher food costs. As a percentage of store revenues, the U.S. Company-owned store gross margin decreased 8.1 percentage points in the second quarter of 2022, and decreased 8.0 percentage points in the two fiscal quarters of 2022. These changes in gross margin as a percentage of revenues are discussed in additional detail below.</w:t>
      </w:r>
    </w:p>
    <w:p>
      <w:pPr>
        <w:spacing w:after="0" w:line="75" w:lineRule="exact"/>
        <w:rPr>
          <w:sz w:val="20"/>
          <w:szCs w:val="20"/>
          <w:color w:val="auto"/>
        </w:rPr>
      </w:pPr>
    </w:p>
    <w:p>
      <w:pPr>
        <w:ind w:left="1020" w:right="260" w:hanging="38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4.1 percentage points to 31.6% in the second quarter of 2022, and increased 4.0 percentage points to 31.3% in the two fiscal quarters of 2022 as a result of higher food basket prices.</w:t>
      </w:r>
    </w:p>
    <w:p>
      <w:pPr>
        <w:spacing w:after="0" w:line="54" w:lineRule="exact"/>
        <w:rPr>
          <w:rFonts w:ascii="Times New Roman" w:cs="Times New Roman" w:eastAsia="Times New Roman" w:hAnsi="Times New Roman"/>
          <w:sz w:val="18"/>
          <w:szCs w:val="18"/>
          <w:color w:val="auto"/>
        </w:rPr>
      </w:pPr>
    </w:p>
    <w:p>
      <w:pPr>
        <w:ind w:left="1020" w:right="80" w:hanging="38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1.6 percentage points to 29.0% in the second quarter of 2022, and increased 2.0 percentage points to 29.9% in the two fiscal quarters of 2022 due primarily to continued investments in frontline team member wage rates in our U.S. Company-owned stores, as well as lower sales leverage. These increases were partially offset by lower headcount attributable to labor shortages affecting store hours and staffing levels in many of our markets.</w:t>
      </w:r>
    </w:p>
    <w:p>
      <w:pPr>
        <w:spacing w:after="0" w:line="82" w:lineRule="exact"/>
        <w:rPr>
          <w:rFonts w:ascii="Times New Roman" w:cs="Times New Roman" w:eastAsia="Times New Roman" w:hAnsi="Times New Roman"/>
          <w:sz w:val="18"/>
          <w:szCs w:val="18"/>
          <w:color w:val="auto"/>
        </w:rPr>
      </w:pPr>
    </w:p>
    <w:p>
      <w:pPr>
        <w:ind w:left="1020" w:right="180" w:hanging="38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including rent, telephone, utilities and depreciation, increased 1.6 percentage points to 9.0% in the second quarter of 2022, and increased 1.3 percentage points to 9.0% in the two fiscal quarters of 2022 due primarily to lower sales leverage.</w:t>
      </w:r>
    </w:p>
    <w:p>
      <w:pPr>
        <w:spacing w:after="0" w:line="54" w:lineRule="exact"/>
        <w:rPr>
          <w:rFonts w:ascii="Times New Roman" w:cs="Times New Roman" w:eastAsia="Times New Roman" w:hAnsi="Times New Roman"/>
          <w:sz w:val="18"/>
          <w:szCs w:val="18"/>
          <w:color w:val="auto"/>
        </w:rPr>
      </w:pPr>
    </w:p>
    <w:p>
      <w:pPr>
        <w:ind w:left="1020" w:right="100" w:hanging="38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 increased 0.7 percentage points to 4.6% in the second quarter of 2022, and increased 0.8 percentage points to 4.4% in the two fiscal quarters of 2022 due primarily to unfavorable claims experience, as well as lower sales leverage.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6"/>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20" w:type="dxa"/>
            <w:vAlign w:val="bottom"/>
            <w:gridSpan w:val="6"/>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940" w:type="dxa"/>
            <w:vAlign w:val="bottom"/>
            <w:gridSpan w:val="6"/>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2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6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6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2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r>
        <w:trPr>
          <w:trHeight w:val="209"/>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8"/>
                <w:szCs w:val="18"/>
                <w:u w:val="single" w:color="auto"/>
                <w:color w:val="auto"/>
              </w:rPr>
              <w:t>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4" w:lineRule="exact"/>
        <w:rPr>
          <w:sz w:val="20"/>
          <w:szCs w:val="20"/>
          <w:color w:val="auto"/>
        </w:rPr>
      </w:pPr>
    </w:p>
    <w:p>
      <w:pPr>
        <w:ind w:right="140" w:firstLine="255"/>
        <w:spacing w:after="0" w:line="244" w:lineRule="auto"/>
        <w:rPr>
          <w:sz w:val="20"/>
          <w:szCs w:val="20"/>
          <w:color w:val="auto"/>
        </w:rPr>
      </w:pPr>
      <w:r>
        <w:rPr>
          <w:rFonts w:ascii="Times New Roman" w:cs="Times New Roman" w:eastAsia="Times New Roman" w:hAnsi="Times New Roman"/>
          <w:sz w:val="18"/>
          <w:szCs w:val="18"/>
          <w:color w:val="auto"/>
        </w:rPr>
        <w:t>Supply chain gross margin decreased $4.5 million, or 6.7%, in the second quarter of 2022, and decreased $9.6 million, or 7.6%, in the two fiscal quarters of 2022 due primarily to higher labor and delivery costs. As a percentage of supply chain revenues, supply chain gross margin decreased 1.5 percentage points in both the second quarter and two fiscal quarters of 2022 due to higher food and delivery costs. The increases in food and delivery costs as a percentage of supply chain revenues resulted from macroeconomic inflationary pressures in the U.S., as well as lower sales leverage. Lower insurance expense resulting from favorable claims experience partially offset the decreases in supply chain gross margin as a percentage of supply chain revenues in the second quarter of 2022.</w:t>
      </w:r>
    </w:p>
    <w:p>
      <w:pPr>
        <w:spacing w:after="0" w:line="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ind w:right="140" w:firstLine="255"/>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$3.4 million, or 3.4%, in the second quarter of 2022 driven primarily by lower labor costs, partially offset by higher professional fees and travel expenses. General and administrative expenses increased $2.9 million, or 1.5%, in the two fiscal quarters of 2022 driven primarily by higher professional fees, travel expenses, non-cash equity-based compensation expense and amortization expense for capitalized software. These increases were partially offset by lower labor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216"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U.S. franchise advertising expenses decreased $5.3 million, or 4.5%, in the second quarter of 2022, and decreased $10.0 million, or 4.4%, in the two fiscal quarters of 2022 consistent with the decreases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w:t>
      </w:r>
    </w:p>
    <w:p>
      <w:pPr>
        <w:spacing w:after="0" w:line="216" w:lineRule="exact"/>
        <w:rPr>
          <w:sz w:val="20"/>
          <w:szCs w:val="20"/>
          <w:color w:val="auto"/>
        </w:rPr>
      </w:pPr>
    </w:p>
    <w:p>
      <w:pPr>
        <w:jc w:val="both"/>
        <w:ind w:right="400" w:firstLine="255"/>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we recorded a $2.5 million unrealized gain on our investment in DPC Dash (Note 5) resulting from the observable change in price from the valuation of our additional $40.0 million investment. We did not record any adjustments to the carrying amount in the second quarter or two fiscal quarters of 2022, or the second quarter of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21" w:lineRule="exact"/>
        <w:rPr>
          <w:sz w:val="20"/>
          <w:szCs w:val="20"/>
          <w:color w:val="auto"/>
        </w:rPr>
      </w:pPr>
    </w:p>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Interest expense, net decreased $1.2 million, or 2.6%, in the second quarter of 2022 driven primarily by approximately $2.3 million of incremental interest expense recorded in the second quarter of 2021 in connection with our recapitalization transaction completed on April 16, 2021 (the “2021 Recapitalization”), partially offset by higher average borrowings resulting from the 2021 Recapitalization. Interest expense, net increased $6.2 million, or 7.3%, in the two fiscal quarters of 2022 driven by higher average borrowings resulting from the 2021 Recapitalization.</w:t>
      </w:r>
    </w:p>
    <w:p>
      <w:pPr>
        <w:spacing w:after="0" w:line="69" w:lineRule="exact"/>
        <w:rPr>
          <w:sz w:val="20"/>
          <w:szCs w:val="20"/>
          <w:color w:val="auto"/>
        </w:rPr>
      </w:pPr>
    </w:p>
    <w:p>
      <w:pPr>
        <w:ind w:right="1720" w:firstLine="255"/>
        <w:spacing w:after="0" w:line="383" w:lineRule="auto"/>
        <w:rPr>
          <w:sz w:val="20"/>
          <w:szCs w:val="20"/>
          <w:color w:val="auto"/>
        </w:rPr>
      </w:pPr>
      <w:r>
        <w:rPr>
          <w:rFonts w:ascii="Times New Roman" w:cs="Times New Roman" w:eastAsia="Times New Roman" w:hAnsi="Times New Roman"/>
          <w:sz w:val="18"/>
          <w:szCs w:val="18"/>
          <w:color w:val="auto"/>
        </w:rPr>
        <w:t xml:space="preserve">The Company’s weighted average borrowing rate was 3.8% in both the second quarter and two fiscal quarters of 2022 and 2021. </w:t>
      </w: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 w:lineRule="exact"/>
        <w:rPr>
          <w:sz w:val="20"/>
          <w:szCs w:val="20"/>
          <w:color w:val="auto"/>
        </w:rPr>
      </w:pPr>
    </w:p>
    <w:p>
      <w:pPr>
        <w:ind w:right="20" w:firstLine="255"/>
        <w:spacing w:after="0" w:line="242" w:lineRule="auto"/>
        <w:rPr>
          <w:sz w:val="20"/>
          <w:szCs w:val="20"/>
          <w:color w:val="auto"/>
        </w:rPr>
      </w:pPr>
      <w:r>
        <w:rPr>
          <w:rFonts w:ascii="Times New Roman" w:cs="Times New Roman" w:eastAsia="Times New Roman" w:hAnsi="Times New Roman"/>
          <w:sz w:val="18"/>
          <w:szCs w:val="18"/>
          <w:color w:val="auto"/>
        </w:rPr>
        <w:t>Income tax expense increased $2.5 million, or 8.8%, in the second quarter of 2022 due to a higher effective tax rate, and was partially offset by a decrease in income before provision for income taxes. The effective tax rate increased to 23.2% during the second quarter of 2022 as compared to 19.6% in the second quarter of 2021. Income tax expense decreased $2.6 million, or 4.3%, in the two fiscal quarters of 2022 due to a decrease in income before provision for income taxes, but was partially offset by a higher effective tax rate. The effective tax rate increased to 23.0% during the two fiscal quarters of 2022 as compared to 20.5% in the two fiscal quarters of 2021. The higher effective tax rate in the second quarter and two fiscal quarters of 2022 was driven in part by a 2.2 and 1.4 percentage point change in excess tax benefits from equity-based compensation, which are recorded as a reduction to the income tax provision, in the second quarter and two fiscal quarters of 2022, respectively. The decreases in excess tax benefits from equity-based compensation were a result of fewer stock option exercises in the second quarter and two fiscal quarters of 2022 as compared to the respective periods in 2021. The increase in the effective tax rate was also a result of lower foreign tax credits.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08" w:lineRule="exact"/>
        <w:rPr>
          <w:sz w:val="20"/>
          <w:szCs w:val="20"/>
          <w:color w:val="auto"/>
        </w:rPr>
      </w:pPr>
    </w:p>
    <w:p>
      <w:pPr>
        <w:ind w:right="500" w:firstLine="255"/>
        <w:spacing w:after="0" w:line="250"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w:t>
            </w:r>
          </w:p>
        </w:tc>
      </w:tr>
      <w:tr>
        <w:trPr>
          <w:trHeight w:val="160"/>
        </w:trPr>
        <w:tc>
          <w:tcPr>
            <w:tcW w:w="3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80" w:type="dxa"/>
            <w:vAlign w:val="bottom"/>
            <w:gridSpan w:val="3"/>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400" w:type="dxa"/>
            <w:vAlign w:val="bottom"/>
            <w:gridSpan w:val="3"/>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60" w:type="dxa"/>
            <w:vAlign w:val="bottom"/>
          </w:tcPr>
          <w:p>
            <w:pPr>
              <w:spacing w:after="0"/>
              <w:rPr>
                <w:sz w:val="13"/>
                <w:szCs w:val="13"/>
                <w:color w:val="auto"/>
              </w:rPr>
            </w:pPr>
          </w:p>
        </w:tc>
        <w:tc>
          <w:tcPr>
            <w:tcW w:w="132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r>
      <w:tr>
        <w:trPr>
          <w:trHeight w:val="189"/>
        </w:trPr>
        <w:tc>
          <w:tcPr>
            <w:tcW w:w="3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4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6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10"/>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9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FF0FC"/>
          </w:tcPr>
          <w:p>
            <w:pPr>
              <w:spacing w:after="0"/>
              <w:rPr>
                <w:sz w:val="18"/>
                <w:szCs w:val="18"/>
                <w:color w:val="auto"/>
              </w:rPr>
            </w:pP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r>
        <w:trPr>
          <w:trHeight w:val="400"/>
        </w:trPr>
        <w:tc>
          <w:tcPr>
            <w:tcW w:w="3680" w:type="dxa"/>
            <w:vAlign w:val="bottom"/>
          </w:tcPr>
          <w:p>
            <w:pPr>
              <w:spacing w:after="0"/>
              <w:rPr>
                <w:sz w:val="24"/>
                <w:szCs w:val="24"/>
                <w:color w:val="auto"/>
              </w:rPr>
            </w:pPr>
          </w:p>
        </w:tc>
        <w:tc>
          <w:tcPr>
            <w:tcW w:w="21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21"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U.S. stores Segment Income decreased $7.8 million, or 7.0%, in the second quarter of 2022, primarily due to the $10.1 million decrease in U.S. Company-owned store gross margin, and was partially offset by the $1.3 million increase in U.S. franchise royalties and fees revenues, each as discussed above. U.S. stores Segment Income decreased $17.9 million, or 8.2%, in the two fiscal quarters of 2022, primarily due to the $20.6 million decrease in U.S. Company-owned store gross margin, as well as the $0.9 million decrease in U.S. franchise royalties and fees revenues, each as discussed above. U.S. franchise revenues do not have a cost of sales component, therefore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0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Supply chain Segment Income decreased $5.0 million, or 8.5%, in the second quarter of 2022, primarily due to the $4.5 million decrease in supply chain gross margin discussed above. Supply chain Segment Income decreased $11.2 million, or 10.0%, in the two fiscal quarters of 2022, primarily due to the $9.6 million decrease in supply chain gross margin discussed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08" w:lineRule="exact"/>
        <w:rPr>
          <w:sz w:val="20"/>
          <w:szCs w:val="20"/>
          <w:color w:val="auto"/>
        </w:rPr>
      </w:pPr>
    </w:p>
    <w:p>
      <w:pPr>
        <w:ind w:right="260" w:firstLine="255"/>
        <w:spacing w:after="0" w:line="246" w:lineRule="auto"/>
        <w:rPr>
          <w:sz w:val="20"/>
          <w:szCs w:val="20"/>
          <w:color w:val="auto"/>
        </w:rPr>
      </w:pPr>
      <w:r>
        <w:rPr>
          <w:rFonts w:ascii="Times New Roman" w:cs="Times New Roman" w:eastAsia="Times New Roman" w:hAnsi="Times New Roman"/>
          <w:sz w:val="18"/>
          <w:szCs w:val="18"/>
          <w:color w:val="auto"/>
        </w:rPr>
        <w:t>International franchise Segment Income decreased $3.5 million, or 6.2%, in the second quarter of 2022, primarily due to the $2.8 million decrease in international franchise royalties and fees revenues discussed above. International franchise Segment Income decreased $2.9 million, or 2.6%, in the two fiscal quarters of 2022, primarily due to the $0.8 million decrease in international franchise royalties and fees revenues discussed above. International franchise revenues do not have a cost of sales component, therefore changes in these revenues have a disproportionate effect on international franchise Segment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Other Segment Income increased $4.0 million, or 41.6%, in the second quarter of 2022, and increased $2.4 million, or 15.2%, in the two fiscal quarters of 2022, primarily due to lower labor costs partially offset by higher professional fees and travel expenses in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60" w:firstLine="281"/>
        <w:spacing w:after="0" w:line="24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June 19, 2022, we had working capital of $104.8 million, excluding restricted cash and cash equivalents of $158.2 million, advertising fund assets, restricted, of $182.5 million and advertising fund liabilities of $175.1 million. Working capital includes total unrestricted cash and cash equivalents of $114.4 million.</w:t>
      </w:r>
    </w:p>
    <w:p>
      <w:pPr>
        <w:spacing w:after="0" w:line="168" w:lineRule="exact"/>
        <w:rPr>
          <w:sz w:val="20"/>
          <w:szCs w:val="20"/>
          <w:color w:val="auto"/>
        </w:rPr>
      </w:pPr>
    </w:p>
    <w:p>
      <w:pPr>
        <w:ind w:right="80" w:firstLine="281"/>
        <w:spacing w:after="0" w:line="245" w:lineRule="auto"/>
        <w:rPr>
          <w:sz w:val="20"/>
          <w:szCs w:val="20"/>
          <w:color w:val="auto"/>
        </w:rPr>
      </w:pPr>
      <w:r>
        <w:rPr>
          <w:rFonts w:ascii="Times New Roman" w:cs="Times New Roman" w:eastAsia="Times New Roman" w:hAnsi="Times New Roman"/>
          <w:sz w:val="18"/>
          <w:szCs w:val="18"/>
          <w:color w:val="auto"/>
        </w:rPr>
        <w:t>Our primary source of liquidity is cash flows from operations and availability of borrowings under our variable funding notes. During the second quarter and two fiscal quarters of 2022, we continued to increase global retail sales (excluding foreign currency impact), which continued our ability to generate positive operating cash flows. As of June 19, 2022, we had a variable funding note facility which allowed for advances of up to $200.0 million of Series 2021-1 Variable Funding Senior Secured Notes, Class A-1 Notes and certain other credit instruments, including letters of credit (the “2021 Variable Funding Notes”). The letters of credit are primarily related to our casualty insurance programs and certain supply chain center leases. As of June 19, 2022, we had no outstanding borrowings and $155.8 million of available borrowing capacity under our 2021 Variable Funding Notes, net of letters of credit issued of $44.2 million.</w:t>
      </w:r>
    </w:p>
    <w:p>
      <w:pPr>
        <w:spacing w:after="0" w:line="181" w:lineRule="exact"/>
        <w:rPr>
          <w:sz w:val="20"/>
          <w:szCs w:val="20"/>
          <w:color w:val="auto"/>
        </w:rPr>
      </w:pPr>
    </w:p>
    <w:p>
      <w:pPr>
        <w:jc w:val="both"/>
        <w:ind w:right="80" w:firstLine="281"/>
        <w:spacing w:after="0" w:line="250"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77" w:lineRule="exact"/>
        <w:rPr>
          <w:sz w:val="20"/>
          <w:szCs w:val="20"/>
          <w:color w:val="auto"/>
        </w:rPr>
      </w:pPr>
    </w:p>
    <w:p>
      <w:pPr>
        <w:ind w:firstLine="281"/>
        <w:spacing w:after="0" w:line="247"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2021 Form 10-K. There can be no assurance that our business will generate sufficient cash flows from operations or that future borrowings will be available under our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As of June 19, 2022, we had $110.6 million of restricted cash held for future principal and interest payments and other working capital requirements of our asset-backed securitization structure, $47.4 million of restricted cash held in a three-month interest reserve as required by the related debt agreements and $0.2 million of other restricted cash for a total of $158.2 million of restricted cash and cash equivalents. As of June 19, 2022, we also held $164.1 million of advertising fund restricted cash and cash equivalents, which can only be used for activities that promote the Domino’s brand.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60" w:firstLine="255"/>
        <w:spacing w:after="0" w:line="245" w:lineRule="auto"/>
        <w:rPr>
          <w:sz w:val="20"/>
          <w:szCs w:val="20"/>
          <w:color w:val="auto"/>
        </w:rPr>
      </w:pPr>
      <w:r>
        <w:rPr>
          <w:rFonts w:ascii="Times New Roman" w:cs="Times New Roman" w:eastAsia="Times New Roman" w:hAnsi="Times New Roman"/>
          <w:sz w:val="18"/>
          <w:szCs w:val="18"/>
          <w:color w:val="auto"/>
        </w:rPr>
        <w:t>As of June 19, 2022, we had approximately $5.05 billion of long-term debt, of which $55.7 million was classified as a current liability. As of June 19, 2022, our fixed rate notes from the recapitalizations we completed in 2021, 2019, 2018, 2017 and 2015 had original scheduled principal payments of $25.8 million in the remainder of 2022, $51.5 million in each of 2023 and 2024, $1.17 billion in 2025, $39.3 million in 2026, $1.31 billion in 2027, $811.5 million in 2028, $625.9 million in 2029, $10.0 million in 2030 and $905.0 million in 2031.</w:t>
      </w:r>
    </w:p>
    <w:p>
      <w:pPr>
        <w:spacing w:after="0" w:line="181" w:lineRule="exact"/>
        <w:rPr>
          <w:sz w:val="20"/>
          <w:szCs w:val="20"/>
          <w:color w:val="auto"/>
        </w:rPr>
      </w:pPr>
    </w:p>
    <w:p>
      <w:pPr>
        <w:ind w:right="60" w:firstLine="281"/>
        <w:spacing w:after="0" w:line="246"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 As of the fourth quarter of 2020, we had a leverage ratio of less than 5.0x, and accordingly, did not make the previously scheduled debt amortization payment on our then-outstanding notes in the first quarter of 2021. Subsequent to the closing of the 2021 Recapitalization, we had a leverage ratio of greater than 5.0x, and accordingly, resumed making the previously scheduled debt amortization payment on our notes beginning in the second quarter of 2021.</w:t>
      </w:r>
    </w:p>
    <w:p>
      <w:pPr>
        <w:spacing w:after="0" w:line="181" w:lineRule="exact"/>
        <w:rPr>
          <w:sz w:val="20"/>
          <w:szCs w:val="20"/>
          <w:color w:val="auto"/>
        </w:rPr>
      </w:pPr>
    </w:p>
    <w:p>
      <w:pPr>
        <w:ind w:right="60" w:firstLine="281"/>
        <w:spacing w:after="0" w:line="258"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16" w:lineRule="exact"/>
        <w:rPr>
          <w:sz w:val="20"/>
          <w:szCs w:val="20"/>
          <w:color w:val="auto"/>
        </w:rPr>
      </w:pPr>
    </w:p>
    <w:p>
      <w:pPr>
        <w:ind w:right="40" w:firstLine="281"/>
        <w:spacing w:after="0" w:line="250"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On July 20, 2021, our Board of Directors authorized a share repurchase program to repurchase up to $1.0 billion of our common stock.</w:t>
      </w:r>
    </w:p>
    <w:p>
      <w:pPr>
        <w:spacing w:after="0" w:line="109" w:lineRule="exact"/>
        <w:rPr>
          <w:sz w:val="20"/>
          <w:szCs w:val="20"/>
          <w:color w:val="auto"/>
        </w:rPr>
      </w:pPr>
    </w:p>
    <w:p>
      <w:pPr>
        <w:ind w:right="100" w:firstLine="284"/>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we repurchased and retired 148,248 shares of our common stock under our Board of Directors-approved share repurchase program for a total of approximately $50.0 million. During the two fiscal quarters of 2022, we repurchased and retired 249,058 shares of our common stock under our Board of Directors-approved share repurchase program for a total of approximately $97.7 million. As of June 19, 2022, we had a total remaining authorized amount for share repurchases of approximately $606.4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16"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On April 26, 2022, our Board of Directors declared a $1.10 per share quarterly dividend on our outstanding common stock for shareholders of record as of June 15, 2022, which was paid on June 30, 2022. We had approximately $40.6 million accrued for common stock dividends at June 19, 2022. Subsequent to the end of the second quarter, on July 19, 2022, our Board of Directors declared a $1.10 per share quarterly dividend on our outstanding common stock for shareholders of record as of September 15, 2022 to be paid on September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200" w:type="dxa"/>
            <w:vAlign w:val="bottom"/>
          </w:tcPr>
          <w:p>
            <w:pPr>
              <w:spacing w:after="0"/>
              <w:rPr>
                <w:sz w:val="13"/>
                <w:szCs w:val="13"/>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542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00" w:type="dxa"/>
            <w:vAlign w:val="bottom"/>
          </w:tcPr>
          <w:p>
            <w:pPr>
              <w:spacing w:after="0"/>
              <w:rPr>
                <w:sz w:val="16"/>
                <w:szCs w:val="16"/>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(39.9 )</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(166.7 )</w:t>
            </w:r>
          </w:p>
        </w:tc>
        <w:tc>
          <w:tcPr>
            <w:tcW w:w="20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720" w:type="dxa"/>
            <w:vAlign w:val="bottom"/>
            <w:gridSpan w:val="2"/>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4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-513715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right="160" w:firstLine="281"/>
        <w:spacing w:after="0" w:line="243" w:lineRule="auto"/>
        <w:rPr>
          <w:sz w:val="20"/>
          <w:szCs w:val="20"/>
          <w:color w:val="auto"/>
        </w:rPr>
      </w:pPr>
      <w:r>
        <w:rPr>
          <w:rFonts w:ascii="Times New Roman" w:cs="Times New Roman" w:eastAsia="Times New Roman" w:hAnsi="Times New Roman"/>
          <w:sz w:val="18"/>
          <w:szCs w:val="18"/>
          <w:color w:val="auto"/>
        </w:rPr>
        <w:t>Cash provided by operating activities decreased $142.0 million in the two fiscal quarters of 2022, primarily due to the negative impact of changes in operating assets and liabilities of $81.7 million. The negative impact of changes in operating assets and liabilities related to the timing of payments on accrued liabilities, income taxes and prepaid expenses, as well as the timing of collections on accounts receivable in the two fiscal quarters of 2022 as compared to the two fiscal quarters of 2021. The decrease in cash provided by operating activities was also due to a $27.7 million negative impact of changes in advertising fund assets and liabilities, restricted, in the two fiscal quarters of 2022 as compared to the two fiscal quarters of 2021 due to payments for advertising activities outpacing receipts for advertising contributions. Additionally, net income decreased $40.9 million. However, this decrease in net income included an $8.3 million increase in non-cash adjustments, resulting in an overall decrease to cash provided by operating activities in the two fiscal quarters of 2022 as compared to the two fiscal quarters of 2021 of $32.6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20" w:firstLine="281"/>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$39.9 million in the two fiscal quarters of 2022, which primarily consisted of $32.7 million of capital expenditures (driven primarily by investments in technological initiatives, supply chain centers and corporate store operations). As a result of the 2022 Store Purchase, we also acquired 23 U.S. franchise stores from certain of our existing U.S. franchisees in the first quarter of 2022 for $6.8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used in financing activities was $166.7 million in the two fiscal quarters of 2022, which primarily consisted of the repurchase of approximately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$97.7 million in common stock under our Board of Directors-approved share repurchase program, dividend payments of $39.7 million, repayments of long-</w:t>
      </w:r>
    </w:p>
    <w:p>
      <w:pPr>
        <w:spacing w:after="0"/>
        <w:rPr>
          <w:sz w:val="20"/>
          <w:szCs w:val="20"/>
          <w:color w:val="auto"/>
        </w:rPr>
      </w:pPr>
      <w:r>
        <w:rPr>
          <w:rFonts w:ascii="Times New Roman" w:cs="Times New Roman" w:eastAsia="Times New Roman" w:hAnsi="Times New Roman"/>
          <w:sz w:val="18"/>
          <w:szCs w:val="18"/>
          <w:color w:val="auto"/>
        </w:rPr>
        <w:t>term debt and finance lease obligations of $27.5 million and tax payments for the vesting of restricted stock of $2.4 million. These uses of cash were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proceeds from the exercise of stock options of $0.5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right="280" w:firstLine="284"/>
        <w:spacing w:after="0" w:line="244"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2021 Form 10-K. The Company considers its most significant accounting policies and estimates to be long-lived assets, casualty insurance reserves and income taxes. There have been no material changes to the Company’s critical accounting estimates since January 2, 2022.</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2021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ongoing COVID-19 pandemic and the effects of COVID-19 and related regulations and policies on our business and supply chain, including impacts on the availability of labor; labor shortages or changes in operating expenses resulting from changes in prices of food (particularly cheese), fuel and other commodity costs, labor, utilities, insurance, employee benefits and other operating costs; the effectiveness of our advertising, operations and promotional initiatives; shortages, interruptions or disruptions in the supply or delivery of fresh food products and store equipment;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16" w:lineRule="exact"/>
        <w:rPr>
          <w:sz w:val="20"/>
          <w:szCs w:val="20"/>
          <w:color w:val="auto"/>
        </w:rPr>
      </w:pPr>
    </w:p>
    <w:p>
      <w:pPr>
        <w:ind w:firstLine="284"/>
        <w:spacing w:after="0" w:line="250"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June 19, 2022, we are exposed to interest rate risk on borrowings under our variable funding notes. As of June 19, 2022, we had no outstanding borrowings under our 2021 Variable Funding Notes.</w:t>
      </w:r>
    </w:p>
    <w:p>
      <w:pPr>
        <w:spacing w:after="0" w:line="177" w:lineRule="exact"/>
        <w:rPr>
          <w:sz w:val="20"/>
          <w:szCs w:val="20"/>
          <w:color w:val="auto"/>
        </w:rPr>
      </w:pPr>
    </w:p>
    <w:p>
      <w:pPr>
        <w:ind w:right="20" w:firstLine="284"/>
        <w:spacing w:after="0" w:line="244" w:lineRule="auto"/>
        <w:rPr>
          <w:sz w:val="20"/>
          <w:szCs w:val="20"/>
          <w:color w:val="auto"/>
        </w:rPr>
      </w:pPr>
      <w:r>
        <w:rPr>
          <w:rFonts w:ascii="Times New Roman" w:cs="Times New Roman" w:eastAsia="Times New Roman" w:hAnsi="Times New Roman"/>
          <w:sz w:val="18"/>
          <w:szCs w:val="18"/>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182" w:lineRule="exact"/>
        <w:rPr>
          <w:sz w:val="20"/>
          <w:szCs w:val="20"/>
          <w:color w:val="auto"/>
        </w:rPr>
      </w:pPr>
    </w:p>
    <w:p>
      <w:pPr>
        <w:ind w:right="40" w:firstLine="284"/>
        <w:spacing w:after="0" w:line="258" w:lineRule="auto"/>
        <w:rPr>
          <w:sz w:val="20"/>
          <w:szCs w:val="20"/>
          <w:color w:val="auto"/>
        </w:rPr>
      </w:pPr>
      <w:r>
        <w:rPr>
          <w:rFonts w:ascii="Times New Roman" w:cs="Times New Roman" w:eastAsia="Times New Roman" w:hAnsi="Times New Roman"/>
          <w:sz w:val="18"/>
          <w:szCs w:val="18"/>
          <w:color w:val="auto"/>
        </w:rPr>
        <w:t>Our fixed rate debt exposes the Company to changes in market interest rates reflected in the fair value of the debt and to the risk that the Company may need to refinance maturing debt with new debt at a higher rate. Our existing fixed rate notes have various maturities such that we would not be required to refinance all of our debt at one time. Refer to the original scheduled principal payments disclosed within the Liquidity and Capital Resources section.</w:t>
      </w:r>
    </w:p>
    <w:p>
      <w:pPr>
        <w:spacing w:after="0" w:line="156" w:lineRule="exact"/>
        <w:rPr>
          <w:sz w:val="20"/>
          <w:szCs w:val="20"/>
          <w:color w:val="auto"/>
        </w:rPr>
      </w:pPr>
    </w:p>
    <w:p>
      <w:pPr>
        <w:ind w:right="160" w:firstLine="284"/>
        <w:spacing w:after="0" w:line="247"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66" w:lineRule="exact"/>
        <w:rPr>
          <w:sz w:val="20"/>
          <w:szCs w:val="20"/>
          <w:color w:val="auto"/>
        </w:rPr>
      </w:pPr>
    </w:p>
    <w:p>
      <w:pPr>
        <w:ind w:right="60" w:firstLine="284"/>
        <w:spacing w:after="0" w:line="245"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6.3% of our total revenues in the second quarter of 2022, approximately 6.5% of our total revenues in the two fiscal quarters of 2022, approximately 6.7% of our total revenues in the second quarter of 2021 and approximately 6.8% of our total revenues in the two fiscal quarters of 2021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$12.1 million in the two fiscal quarters of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right="40" w:firstLine="284"/>
        <w:spacing w:after="0" w:line="250"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quarterly period ended June 19, 2022, there were no changes in the Company’s internal control over financial reporting as defined in Rules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firstLine="281"/>
        <w:spacing w:after="0" w:line="296" w:lineRule="auto"/>
        <w:rPr>
          <w:sz w:val="20"/>
          <w:szCs w:val="20"/>
          <w:color w:val="auto"/>
        </w:rPr>
      </w:pPr>
      <w:r>
        <w:rPr>
          <w:rFonts w:ascii="Times New Roman" w:cs="Times New Roman" w:eastAsia="Times New Roman" w:hAnsi="Times New Roman"/>
          <w:sz w:val="17"/>
          <w:szCs w:val="17"/>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12" w:lineRule="exact"/>
        <w:rPr>
          <w:sz w:val="20"/>
          <w:szCs w:val="20"/>
          <w:color w:val="auto"/>
        </w:rPr>
      </w:pPr>
    </w:p>
    <w:p>
      <w:pPr>
        <w:ind w:right="420" w:firstLine="281"/>
        <w:spacing w:after="0" w:line="266"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2021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Period #4 (March 28, 2022</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April 24, 2022)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397.58</w:t>
            </w:r>
          </w:p>
        </w:tc>
        <w:tc>
          <w:tcPr>
            <w:tcW w:w="42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Period #5 (April 25, 2022</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May 22, 2022)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149,858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148,248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Period #6 (May 23, 2022</w:t>
            </w:r>
          </w:p>
        </w:tc>
        <w:tc>
          <w:tcPr>
            <w:tcW w:w="140" w:type="dxa"/>
            <w:vAlign w:val="bottom"/>
            <w:vMerge w:val="restart"/>
            <w:shd w:val="clear" w:color="auto" w:fill="CFF0FC"/>
          </w:tcPr>
          <w:p>
            <w:pPr>
              <w:spacing w:after="0"/>
              <w:rPr>
                <w:sz w:val="14"/>
                <w:szCs w:val="14"/>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420" w:type="dxa"/>
            <w:vAlign w:val="bottom"/>
            <w:shd w:val="clear" w:color="auto" w:fill="CFF0FC"/>
          </w:tcPr>
          <w:p>
            <w:pPr>
              <w:spacing w:after="0"/>
              <w:rPr>
                <w:sz w:val="14"/>
                <w:szCs w:val="14"/>
                <w:color w:val="auto"/>
              </w:rPr>
            </w:pP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June 19, 2022)</w:t>
            </w: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56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152,197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148,248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-170815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80" w:right="460" w:hanging="459"/>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3,949 shares in the second quarter of 2022 were purchased as part of the Company’s employee stock payroll deduction plan. During the second quarter, the shares were purchased at an average price of $366.29.</w:t>
      </w:r>
    </w:p>
    <w:p>
      <w:pPr>
        <w:spacing w:after="0" w:line="77" w:lineRule="exact"/>
        <w:rPr>
          <w:rFonts w:ascii="Times New Roman" w:cs="Times New Roman" w:eastAsia="Times New Roman" w:hAnsi="Times New Roman"/>
          <w:sz w:val="18"/>
          <w:szCs w:val="18"/>
          <w:color w:val="auto"/>
        </w:rPr>
      </w:pPr>
    </w:p>
    <w:p>
      <w:pPr>
        <w:jc w:val="both"/>
        <w:ind w:left="480" w:right="500" w:hanging="459"/>
        <w:spacing w:after="0" w:line="236"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2021, the Company’s Board of Directors authorized a share repurchase program to repurchase up to $1.0 billion of the Company’s common stock. As of June 19, 2022, $606.4 million remained available for future purchases of the Company’s common stock under this share repurchase program.</w:t>
      </w:r>
    </w:p>
    <w:p>
      <w:pPr>
        <w:spacing w:after="0" w:line="77" w:lineRule="exact"/>
        <w:rPr>
          <w:rFonts w:ascii="Times New Roman" w:cs="Times New Roman" w:eastAsia="Times New Roman" w:hAnsi="Times New Roman"/>
          <w:sz w:val="18"/>
          <w:szCs w:val="18"/>
          <w:color w:val="auto"/>
        </w:rPr>
      </w:pPr>
    </w:p>
    <w:p>
      <w:pPr>
        <w:ind w:left="480" w:right="14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500" w:type="dxa"/>
            <w:vAlign w:val="bottom"/>
            <w:gridSpan w:val="10"/>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Form of Restricted Stock Unit Award Agreement (two-year vesting with acceleration events) under the Amended Domino’s Pizza, Inc. 2004</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Equity Incentive Plan.</w:t>
            </w:r>
          </w:p>
        </w:tc>
        <w:tc>
          <w:tcPr>
            <w:tcW w:w="20" w:type="dxa"/>
            <w:vAlign w:val="bottom"/>
            <w:tcBorders>
              <w:top w:val="single" w:sz="8" w:color="0000FF"/>
              <w:bottom w:val="single" w:sz="8" w:color="0000EE"/>
            </w:tcBorders>
          </w:tcPr>
          <w:p>
            <w:pPr>
              <w:spacing w:after="0"/>
              <w:rPr>
                <w:sz w:val="14"/>
                <w:szCs w:val="14"/>
                <w:color w:val="auto"/>
              </w:rPr>
            </w:pPr>
          </w:p>
        </w:tc>
        <w:tc>
          <w:tcPr>
            <w:tcW w:w="85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Form of Restricted Stock Unit Award Agreement (three-year vesting with acceleration events) under the Amended Domino’s Pizza, Inc.</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2004 Equity Incentive Plan.</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Form of Indemnification</w:t>
            </w:r>
          </w:p>
        </w:tc>
        <w:tc>
          <w:tcPr>
            <w:tcW w:w="20" w:type="dxa"/>
            <w:vAlign w:val="bottom"/>
            <w:tcBorders>
              <w:top w:val="single" w:sz="8" w:color="0000EE"/>
            </w:tcBorders>
          </w:tcPr>
          <w:p>
            <w:pPr>
              <w:spacing w:after="0"/>
              <w:rPr>
                <w:sz w:val="15"/>
                <w:szCs w:val="15"/>
                <w:color w:val="auto"/>
              </w:rPr>
            </w:pPr>
          </w:p>
        </w:tc>
        <w:tc>
          <w:tcPr>
            <w:tcW w:w="818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Agreement.</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by Russell J. Weiner pursuant to Rule 13a-14(a) and 15d-14(a), as adopted pursuant to Section 302 of the Sarbanes-Oxley Act</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 2002, relating to Domino’s Pizza, Inc.</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7"/>
              </w:rPr>
              <w:t>Certification by Sandeep Reddy pursuant</w:t>
            </w:r>
          </w:p>
        </w:tc>
        <w:tc>
          <w:tcPr>
            <w:tcW w:w="20" w:type="dxa"/>
            <w:vAlign w:val="bottom"/>
            <w:tcBorders>
              <w:top w:val="single" w:sz="8" w:color="0000EE"/>
            </w:tcBorders>
          </w:tcPr>
          <w:p>
            <w:pPr>
              <w:spacing w:after="0"/>
              <w:rPr>
                <w:sz w:val="15"/>
                <w:szCs w:val="15"/>
                <w:color w:val="auto"/>
              </w:rPr>
            </w:pPr>
          </w:p>
        </w:tc>
        <w:tc>
          <w:tcPr>
            <w:tcW w:w="7260" w:type="dxa"/>
            <w:vAlign w:val="bottom"/>
            <w:gridSpan w:val="11"/>
          </w:tcPr>
          <w:p>
            <w:pPr>
              <w:jc w:val="right"/>
              <w:ind w:right="100"/>
              <w:spacing w:after="0" w:line="182" w:lineRule="exact"/>
              <w:rPr>
                <w:sz w:val="20"/>
                <w:szCs w:val="20"/>
                <w:color w:val="auto"/>
              </w:rPr>
            </w:pPr>
            <w:r>
              <w:rPr>
                <w:rFonts w:ascii="Times New Roman" w:cs="Times New Roman" w:eastAsia="Times New Roman" w:hAnsi="Times New Roman"/>
                <w:sz w:val="18"/>
                <w:szCs w:val="18"/>
                <w:color w:val="0000FF"/>
              </w:rPr>
              <w:t>to Rule 13a-14(a) and 15d-14(a), as adopted pursuant to Section 302 of the Sarbanes-Oxley Act of</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8"/>
              </w:rPr>
              <w:t>2002, relating to Domino’s Pizza, Inc.</w:t>
            </w:r>
          </w:p>
        </w:tc>
        <w:tc>
          <w:tcPr>
            <w:tcW w:w="20" w:type="dxa"/>
            <w:vAlign w:val="bottom"/>
            <w:tcBorders>
              <w:top w:val="single" w:sz="8" w:color="0000FF"/>
              <w:bottom w:val="single" w:sz="8" w:color="0000EE"/>
            </w:tcBorders>
          </w:tcPr>
          <w:p>
            <w:pPr>
              <w:spacing w:after="0"/>
              <w:rPr>
                <w:sz w:val="14"/>
                <w:szCs w:val="14"/>
                <w:color w:val="auto"/>
              </w:rPr>
            </w:pPr>
          </w:p>
        </w:tc>
        <w:tc>
          <w:tcPr>
            <w:tcW w:w="73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by Russell J. Weiner pursuant to Section 1350, Chapter 63 of Title 18, United States Code, as adopted pursuant to Section 906</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 relating to Domino’s Pizza, Inc.</w:t>
            </w: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Certification by Sandeep Reddy pursuant to Section 1350, Chapter</w:t>
            </w:r>
          </w:p>
        </w:tc>
        <w:tc>
          <w:tcPr>
            <w:tcW w:w="20" w:type="dxa"/>
            <w:vAlign w:val="bottom"/>
            <w:tcBorders>
              <w:top w:val="single" w:sz="8" w:color="0000EE"/>
            </w:tcBorders>
          </w:tcPr>
          <w:p>
            <w:pPr>
              <w:spacing w:after="0"/>
              <w:rPr>
                <w:sz w:val="15"/>
                <w:szCs w:val="15"/>
                <w:color w:val="auto"/>
              </w:rPr>
            </w:pPr>
          </w:p>
        </w:tc>
        <w:tc>
          <w:tcPr>
            <w:tcW w:w="5300" w:type="dxa"/>
            <w:vAlign w:val="bottom"/>
            <w:gridSpan w:val="7"/>
          </w:tcPr>
          <w:p>
            <w:pPr>
              <w:jc w:val="right"/>
              <w:ind w:right="100"/>
              <w:spacing w:after="0" w:line="182" w:lineRule="exact"/>
              <w:rPr>
                <w:sz w:val="20"/>
                <w:szCs w:val="20"/>
                <w:color w:val="auto"/>
              </w:rPr>
            </w:pPr>
            <w:r>
              <w:rPr>
                <w:rFonts w:ascii="Times New Roman" w:cs="Times New Roman" w:eastAsia="Times New Roman" w:hAnsi="Times New Roman"/>
                <w:sz w:val="18"/>
                <w:szCs w:val="18"/>
                <w:color w:val="0000FF"/>
                <w:w w:val="98"/>
              </w:rPr>
              <w:t>63 of Title 18, United States Code, as adopted pursuant to Section 906 of</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 relating to Domino’s Pizza, Inc.</w:t>
            </w:r>
          </w:p>
        </w:tc>
        <w:tc>
          <w:tcPr>
            <w:tcW w:w="542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7"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49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7" w:name="page28"/>
    <w:bookmarkEnd w:id="27"/>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p>
      <w:pPr>
        <w:ind w:left="6020" w:right="3180" w:hanging="6038"/>
        <w:spacing w:after="0" w:line="269" w:lineRule="auto"/>
        <w:tabs>
          <w:tab w:leader="none" w:pos="6000" w:val="left"/>
        </w:tabs>
        <w:rPr>
          <w:sz w:val="20"/>
          <w:szCs w:val="20"/>
          <w:color w:val="auto"/>
        </w:rPr>
      </w:pPr>
      <w:r>
        <w:rPr>
          <w:rFonts w:ascii="Times New Roman" w:cs="Times New Roman" w:eastAsia="Times New Roman" w:hAnsi="Times New Roman"/>
          <w:sz w:val="18"/>
          <w:szCs w:val="18"/>
          <w:color w:val="auto"/>
        </w:rPr>
        <w:t>Date: July 21, 2022</w:t>
      </w:r>
      <w:r>
        <w:rPr>
          <w:sz w:val="20"/>
          <w:szCs w:val="20"/>
          <w:color w:val="auto"/>
        </w:rPr>
        <w:tab/>
      </w:r>
      <w:r>
        <w:rPr>
          <w:rFonts w:ascii="Times New Roman" w:cs="Times New Roman" w:eastAsia="Times New Roman" w:hAnsi="Times New Roman"/>
          <w:sz w:val="17"/>
          <w:szCs w:val="17"/>
          <w:color w:val="auto"/>
        </w:rPr>
        <w:t>/s/ Sandeep Reddy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-128905</wp:posOffset>
            </wp:positionV>
            <wp:extent cx="33261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ind w:left="612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320" w:right="10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61"/>
        </w:trPr>
        <w:tc>
          <w:tcPr>
            <w:tcW w:w="32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220" w:type="dxa"/>
            <w:vAlign w:val="bottom"/>
            <w:gridSpan w:val="3"/>
          </w:tcPr>
          <w:p>
            <w:pPr>
              <w:ind w:left="2180"/>
              <w:spacing w:after="0"/>
              <w:rPr>
                <w:sz w:val="20"/>
                <w:szCs w:val="20"/>
                <w:color w:val="auto"/>
              </w:rPr>
            </w:pPr>
            <w:r>
              <w:rPr>
                <w:rFonts w:ascii="Times New Roman" w:cs="Times New Roman" w:eastAsia="Times New Roman" w:hAnsi="Times New Roman"/>
                <w:sz w:val="20"/>
                <w:szCs w:val="20"/>
                <w:b w:val="1"/>
                <w:bCs w:val="1"/>
                <w:color w:val="auto"/>
                <w:w w:val="98"/>
              </w:rPr>
              <w:t>Exhibit 10.1</w:t>
            </w:r>
          </w:p>
        </w:tc>
        <w:tc>
          <w:tcPr>
            <w:tcW w:w="0" w:type="dxa"/>
            <w:vAlign w:val="bottom"/>
          </w:tcPr>
          <w:p>
            <w:pPr>
              <w:spacing w:after="0"/>
              <w:rPr>
                <w:sz w:val="1"/>
                <w:szCs w:val="1"/>
                <w:color w:val="auto"/>
              </w:rPr>
            </w:pPr>
          </w:p>
        </w:tc>
      </w:tr>
      <w:tr>
        <w:trPr>
          <w:trHeight w:val="274"/>
        </w:trPr>
        <w:tc>
          <w:tcPr>
            <w:tcW w:w="3200" w:type="dxa"/>
            <w:vAlign w:val="bottom"/>
            <w:tcBorders>
              <w:bottom w:val="single" w:sz="8" w:color="00000A"/>
            </w:tcBorders>
          </w:tcPr>
          <w:p>
            <w:pPr>
              <w:spacing w:after="0"/>
              <w:rPr>
                <w:sz w:val="23"/>
                <w:szCs w:val="23"/>
                <w:color w:val="auto"/>
              </w:rPr>
            </w:pPr>
          </w:p>
        </w:tc>
        <w:tc>
          <w:tcPr>
            <w:tcW w:w="4840" w:type="dxa"/>
            <w:vAlign w:val="bottom"/>
            <w:tcBorders>
              <w:bottom w:val="single" w:sz="8" w:color="00000A"/>
            </w:tcBorders>
          </w:tcPr>
          <w:p>
            <w:pPr>
              <w:spacing w:after="0"/>
              <w:rPr>
                <w:sz w:val="23"/>
                <w:szCs w:val="23"/>
                <w:color w:val="auto"/>
              </w:rPr>
            </w:pPr>
          </w:p>
        </w:tc>
        <w:tc>
          <w:tcPr>
            <w:tcW w:w="2200" w:type="dxa"/>
            <w:vAlign w:val="bottom"/>
            <w:tcBorders>
              <w:bottom w:val="single" w:sz="8" w:color="00000A"/>
            </w:tcBorders>
          </w:tcPr>
          <w:p>
            <w:pPr>
              <w:spacing w:after="0"/>
              <w:rPr>
                <w:sz w:val="23"/>
                <w:szCs w:val="23"/>
                <w:color w:val="auto"/>
              </w:rPr>
            </w:pPr>
          </w:p>
        </w:tc>
        <w:tc>
          <w:tcPr>
            <w:tcW w:w="1000" w:type="dxa"/>
            <w:vAlign w:val="bottom"/>
            <w:tcBorders>
              <w:bottom w:val="single" w:sz="8" w:color="00000A"/>
            </w:tcBorders>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40" w:type="dxa"/>
            <w:vAlign w:val="bottom"/>
            <w:tcBorders>
              <w:left w:val="single" w:sz="8" w:color="00000A"/>
              <w:bottom w:val="single" w:sz="8" w:color="00000A"/>
            </w:tcBorders>
            <w:gridSpan w:val="2"/>
          </w:tcPr>
          <w:p>
            <w:pPr>
              <w:ind w:left="40"/>
              <w:spacing w:after="0" w:line="237" w:lineRule="exact"/>
              <w:rPr>
                <w:sz w:val="20"/>
                <w:szCs w:val="20"/>
                <w:color w:val="auto"/>
              </w:rPr>
            </w:pPr>
            <w:r>
              <w:rPr>
                <w:rFonts w:ascii="Times New Roman" w:cs="Times New Roman" w:eastAsia="Times New Roman" w:hAnsi="Times New Roman"/>
                <w:sz w:val="22"/>
                <w:szCs w:val="22"/>
                <w:b w:val="1"/>
                <w:bCs w:val="1"/>
                <w:color w:val="auto"/>
              </w:rPr>
              <w:t>Name:</w:t>
            </w:r>
          </w:p>
        </w:tc>
        <w:tc>
          <w:tcPr>
            <w:tcW w:w="2200" w:type="dxa"/>
            <w:vAlign w:val="bottom"/>
            <w:tcBorders>
              <w:bottom w:val="single" w:sz="8" w:color="00000A"/>
              <w:right w:val="single" w:sz="8" w:color="00000A"/>
            </w:tcBorders>
          </w:tcPr>
          <w:p>
            <w:pPr>
              <w:spacing w:after="0"/>
              <w:rPr>
                <w:sz w:val="22"/>
                <w:szCs w:val="22"/>
                <w:color w:val="auto"/>
              </w:rPr>
            </w:pPr>
          </w:p>
        </w:tc>
        <w:tc>
          <w:tcPr>
            <w:tcW w:w="1000" w:type="dxa"/>
            <w:vAlign w:val="bottom"/>
            <w:tcBorders>
              <w:bottom w:val="single" w:sz="8" w:color="00000A"/>
              <w:right w:val="single" w:sz="8" w:color="00000A"/>
            </w:tcBorders>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040" w:type="dxa"/>
            <w:vAlign w:val="bottom"/>
            <w:tcBorders>
              <w:left w:val="single" w:sz="8" w:color="00000A"/>
              <w:bottom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2200" w:type="dxa"/>
            <w:vAlign w:val="bottom"/>
            <w:tcBorders>
              <w:bottom w:val="single" w:sz="8" w:color="00000A"/>
              <w:right w:val="single" w:sz="8" w:color="00000A"/>
            </w:tcBorders>
          </w:tcPr>
          <w:p>
            <w:pPr>
              <w:spacing w:after="0"/>
              <w:rPr>
                <w:sz w:val="22"/>
                <w:szCs w:val="22"/>
                <w:color w:val="auto"/>
              </w:rPr>
            </w:pPr>
          </w:p>
        </w:tc>
        <w:tc>
          <w:tcPr>
            <w:tcW w:w="1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40" w:type="dxa"/>
            <w:vAlign w:val="bottom"/>
            <w:tcBorders>
              <w:left w:val="single" w:sz="8" w:color="00000A"/>
              <w:bottom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220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3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200" w:type="dxa"/>
            <w:vAlign w:val="bottom"/>
          </w:tcPr>
          <w:p>
            <w:pPr>
              <w:spacing w:after="0"/>
              <w:rPr>
                <w:sz w:val="21"/>
                <w:szCs w:val="21"/>
                <w:color w:val="auto"/>
              </w:rPr>
            </w:pPr>
          </w:p>
        </w:tc>
        <w:tc>
          <w:tcPr>
            <w:tcW w:w="48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97"/>
              </w:rPr>
              <w:t>RESTRICTED STOCK UNIT AWARD AGREEMENT</w:t>
            </w:r>
          </w:p>
        </w:tc>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17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right="100" w:hanging="743"/>
        <w:spacing w:after="0" w:line="241" w:lineRule="auto"/>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76" w:lineRule="exact"/>
        <w:rPr>
          <w:rFonts w:ascii="Times New Roman" w:cs="Times New Roman" w:eastAsia="Times New Roman" w:hAnsi="Times New Roman"/>
          <w:sz w:val="22"/>
          <w:szCs w:val="22"/>
          <w:color w:val="auto"/>
        </w:rPr>
      </w:pPr>
    </w:p>
    <w:p>
      <w:pPr>
        <w:ind w:left="1500" w:right="100" w:hanging="743"/>
        <w:spacing w:after="0" w:line="250" w:lineRule="auto"/>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67" w:lineRule="exact"/>
        <w:rPr>
          <w:rFonts w:ascii="Times New Roman" w:cs="Times New Roman" w:eastAsia="Times New Roman" w:hAnsi="Times New Roman"/>
          <w:sz w:val="22"/>
          <w:szCs w:val="22"/>
          <w:color w:val="auto"/>
        </w:rPr>
      </w:pPr>
    </w:p>
    <w:p>
      <w:pPr>
        <w:ind w:left="2260" w:right="100" w:hanging="755"/>
        <w:spacing w:after="0" w:line="250" w:lineRule="auto"/>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event of a Covered Transaction (as defined in the Plan) or an Acceleration Event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Settlement Date for the First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First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Settlement Date</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4" w:lineRule="exact"/>
        <w:rPr>
          <w:sz w:val="20"/>
          <w:szCs w:val="20"/>
          <w:color w:val="auto"/>
        </w:rPr>
      </w:pPr>
    </w:p>
    <w:p>
      <w:pPr>
        <w:ind w:left="2260" w:right="140"/>
        <w:spacing w:after="0" w:line="237" w:lineRule="auto"/>
        <w:rPr>
          <w:sz w:val="20"/>
          <w:szCs w:val="20"/>
          <w:color w:val="auto"/>
        </w:rPr>
      </w:pPr>
      <w:r>
        <w:rPr>
          <w:rFonts w:ascii="Times New Roman" w:cs="Times New Roman" w:eastAsia="Times New Roman" w:hAnsi="Times New Roman"/>
          <w:sz w:val="22"/>
          <w:szCs w:val="22"/>
          <w:color w:val="auto"/>
        </w:rPr>
        <w:t xml:space="preserve">for the Second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Second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2260" w:right="780" w:hanging="755"/>
        <w:spacing w:after="0" w:line="258" w:lineRule="auto"/>
        <w:tabs>
          <w:tab w:leader="none" w:pos="2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Acceleration Event, the Settlement Date for any RSUs that become vested in connection therewith shall be the date of such Acceleration Event.</w:t>
      </w:r>
    </w:p>
    <w:p>
      <w:pPr>
        <w:spacing w:after="0" w:line="158" w:lineRule="exact"/>
        <w:rPr>
          <w:rFonts w:ascii="Times New Roman" w:cs="Times New Roman" w:eastAsia="Times New Roman" w:hAnsi="Times New Roman"/>
          <w:sz w:val="22"/>
          <w:szCs w:val="22"/>
          <w:color w:val="auto"/>
        </w:rPr>
      </w:pPr>
    </w:p>
    <w:p>
      <w:pPr>
        <w:ind w:left="2260" w:right="40" w:hanging="755"/>
        <w:spacing w:after="0" w:line="255" w:lineRule="auto"/>
        <w:tabs>
          <w:tab w:leader="none" w:pos="22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1"/>
          <w:szCs w:val="21"/>
          <w:u w:val="single" w:color="auto"/>
          <w:color w:val="auto"/>
        </w:rPr>
        <w:t>409A Award Portion</w:t>
      </w:r>
      <w:r>
        <w:rPr>
          <w:rFonts w:ascii="Times New Roman" w:cs="Times New Roman" w:eastAsia="Times New Roman" w:hAnsi="Times New Roman"/>
          <w:sz w:val="21"/>
          <w:szCs w:val="21"/>
          <w:color w:val="auto"/>
        </w:rPr>
        <w:t xml:space="preserve">”) shall be the Scheduled Vesting Date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applicable to the 409A Award Portion.</w:t>
      </w:r>
    </w:p>
    <w:p>
      <w:pPr>
        <w:spacing w:after="0" w:line="161" w:lineRule="exact"/>
        <w:rPr>
          <w:rFonts w:ascii="Times New Roman" w:cs="Times New Roman" w:eastAsia="Times New Roman" w:hAnsi="Times New Roman"/>
          <w:sz w:val="21"/>
          <w:szCs w:val="21"/>
          <w:color w:val="auto"/>
        </w:rPr>
      </w:pPr>
    </w:p>
    <w:p>
      <w:pPr>
        <w:ind w:left="2260" w:right="160" w:hanging="755"/>
        <w:spacing w:after="0"/>
        <w:tabs>
          <w:tab w:leader="none" w:pos="2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60" w:firstLine="749"/>
        <w:spacing w:after="0" w:line="259" w:lineRule="auto"/>
        <w:rPr>
          <w:sz w:val="20"/>
          <w:szCs w:val="20"/>
          <w:color w:val="auto"/>
        </w:rPr>
      </w:pPr>
      <w:r>
        <w:rPr>
          <w:rFonts w:ascii="Times New Roman" w:cs="Times New Roman" w:eastAsia="Times New Roman" w:hAnsi="Times New Roman"/>
          <w:sz w:val="21"/>
          <w:szCs w:val="21"/>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w:t>
      </w:r>
    </w:p>
    <w:p>
      <w:pPr>
        <w:jc w:val="center"/>
        <w:spacing w:after="0" w:line="194"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8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jc w:val="center"/>
        <w:spacing w:after="0" w:line="223"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12"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21"/>
          <w:szCs w:val="21"/>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749"/>
        <w:spacing w:after="0" w:line="243"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w:t>
      </w: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531" w:right="99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Exhibit 10.2</w:t>
            </w:r>
          </w:p>
        </w:tc>
        <w:tc>
          <w:tcPr>
            <w:tcW w:w="0" w:type="dxa"/>
            <w:vAlign w:val="bottom"/>
          </w:tcPr>
          <w:p>
            <w:pPr>
              <w:spacing w:after="0"/>
              <w:rPr>
                <w:sz w:val="1"/>
                <w:szCs w:val="1"/>
                <w:color w:val="auto"/>
              </w:rPr>
            </w:pPr>
          </w:p>
        </w:tc>
      </w:tr>
      <w:tr>
        <w:trPr>
          <w:trHeight w:val="280"/>
        </w:trPr>
        <w:tc>
          <w:tcPr>
            <w:tcW w:w="3200" w:type="dxa"/>
            <w:vAlign w:val="bottom"/>
            <w:tcBorders>
              <w:bottom w:val="single" w:sz="8" w:color="00000A"/>
            </w:tcBorders>
          </w:tcPr>
          <w:p>
            <w:pPr>
              <w:spacing w:after="0"/>
              <w:rPr>
                <w:sz w:val="24"/>
                <w:szCs w:val="24"/>
                <w:color w:val="auto"/>
              </w:rPr>
            </w:pPr>
          </w:p>
        </w:tc>
        <w:tc>
          <w:tcPr>
            <w:tcW w:w="4840" w:type="dxa"/>
            <w:vAlign w:val="bottom"/>
            <w:tcBorders>
              <w:bottom w:val="single" w:sz="8" w:color="00000A"/>
            </w:tcBorders>
          </w:tcPr>
          <w:p>
            <w:pPr>
              <w:spacing w:after="0"/>
              <w:rPr>
                <w:sz w:val="24"/>
                <w:szCs w:val="24"/>
                <w:color w:val="auto"/>
              </w:rPr>
            </w:pPr>
          </w:p>
        </w:tc>
        <w:tc>
          <w:tcPr>
            <w:tcW w:w="2220" w:type="dxa"/>
            <w:vAlign w:val="bottom"/>
            <w:tcBorders>
              <w:bottom w:val="single" w:sz="8" w:color="00000A"/>
            </w:tcBorders>
          </w:tcPr>
          <w:p>
            <w:pPr>
              <w:spacing w:after="0"/>
              <w:rPr>
                <w:sz w:val="24"/>
                <w:szCs w:val="24"/>
                <w:color w:val="auto"/>
              </w:rPr>
            </w:pPr>
          </w:p>
        </w:tc>
        <w:tc>
          <w:tcPr>
            <w:tcW w:w="980" w:type="dxa"/>
            <w:vAlign w:val="bottom"/>
            <w:tcBorders>
              <w:bottom w:val="single" w:sz="8" w:color="00000A"/>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260" w:type="dxa"/>
            <w:vAlign w:val="bottom"/>
            <w:tcBorders>
              <w:left w:val="single" w:sz="8" w:color="00000A"/>
              <w:bottom w:val="single" w:sz="8" w:color="00000A"/>
              <w:right w:val="single" w:sz="8" w:color="00000A"/>
            </w:tcBorders>
            <w:gridSpan w:val="3"/>
          </w:tcPr>
          <w:p>
            <w:pPr>
              <w:ind w:left="40"/>
              <w:spacing w:after="0" w:line="237" w:lineRule="exact"/>
              <w:rPr>
                <w:sz w:val="20"/>
                <w:szCs w:val="20"/>
                <w:color w:val="auto"/>
              </w:rPr>
            </w:pPr>
            <w:r>
              <w:rPr>
                <w:rFonts w:ascii="Times New Roman" w:cs="Times New Roman" w:eastAsia="Times New Roman" w:hAnsi="Times New Roman"/>
                <w:sz w:val="22"/>
                <w:szCs w:val="22"/>
                <w:b w:val="1"/>
                <w:bCs w:val="1"/>
                <w:color w:val="auto"/>
              </w:rPr>
              <w:t>Name:</w:t>
            </w:r>
          </w:p>
        </w:tc>
        <w:tc>
          <w:tcPr>
            <w:tcW w:w="980" w:type="dxa"/>
            <w:vAlign w:val="bottom"/>
            <w:tcBorders>
              <w:bottom w:val="single" w:sz="8" w:color="00000A"/>
              <w:right w:val="single" w:sz="8" w:color="00000A"/>
            </w:tcBorders>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200" w:type="dxa"/>
            <w:vAlign w:val="bottom"/>
          </w:tcPr>
          <w:p>
            <w:pPr>
              <w:spacing w:after="0"/>
              <w:rPr>
                <w:sz w:val="24"/>
                <w:szCs w:val="24"/>
                <w:color w:val="auto"/>
              </w:rPr>
            </w:pPr>
          </w:p>
        </w:tc>
        <w:tc>
          <w:tcPr>
            <w:tcW w:w="7060" w:type="dxa"/>
            <w:vAlign w:val="bottom"/>
            <w:gridSpan w:val="2"/>
          </w:tcPr>
          <w:p>
            <w:pPr>
              <w:jc w:val="center"/>
              <w:ind w:right="2220"/>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7060" w:type="dxa"/>
            <w:vAlign w:val="bottom"/>
            <w:gridSpan w:val="2"/>
          </w:tcPr>
          <w:p>
            <w:pPr>
              <w:jc w:val="center"/>
              <w:ind w:right="2200"/>
              <w:spacing w:after="0"/>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7060" w:type="dxa"/>
            <w:vAlign w:val="bottom"/>
            <w:gridSpan w:val="2"/>
          </w:tcPr>
          <w:p>
            <w:pPr>
              <w:jc w:val="center"/>
              <w:ind w:right="2220"/>
              <w:spacing w:after="0" w:line="244" w:lineRule="exact"/>
              <w:rPr>
                <w:sz w:val="20"/>
                <w:szCs w:val="20"/>
                <w:color w:val="auto"/>
              </w:rPr>
            </w:pPr>
            <w:r>
              <w:rPr>
                <w:rFonts w:ascii="Times New Roman" w:cs="Times New Roman" w:eastAsia="Times New Roman" w:hAnsi="Times New Roman"/>
                <w:sz w:val="22"/>
                <w:szCs w:val="22"/>
                <w:color w:val="auto"/>
                <w:w w:val="97"/>
              </w:rPr>
              <w:t>RESTRICTED STOCK UNIT AWARD AGREEMENT</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749"/>
        <w:spacing w:after="0"/>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18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500" w:right="100" w:hanging="743"/>
        <w:spacing w:after="0" w:line="241" w:lineRule="auto"/>
        <w:tabs>
          <w:tab w:leader="none" w:pos="1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90" w:lineRule="exact"/>
        <w:rPr>
          <w:rFonts w:ascii="Times New Roman" w:cs="Times New Roman" w:eastAsia="Times New Roman" w:hAnsi="Times New Roman"/>
          <w:sz w:val="22"/>
          <w:szCs w:val="22"/>
          <w:color w:val="auto"/>
        </w:rPr>
      </w:pPr>
    </w:p>
    <w:p>
      <w:pPr>
        <w:ind w:left="1500" w:right="100" w:hanging="743"/>
        <w:spacing w:after="0" w:line="244" w:lineRule="auto"/>
        <w:tabs>
          <w:tab w:leader="none" w:pos="1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87" w:lineRule="exact"/>
        <w:rPr>
          <w:sz w:val="20"/>
          <w:szCs w:val="20"/>
          <w:color w:val="auto"/>
        </w:rPr>
      </w:pPr>
    </w:p>
    <w:p>
      <w:pPr>
        <w:ind w:left="2260" w:right="100" w:hanging="755"/>
        <w:spacing w:after="0" w:line="250" w:lineRule="auto"/>
        <w:tabs>
          <w:tab w:leader="none" w:pos="22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event of a Covered Transaction (as defined in the Plan) or an Acceleration Event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Settlement Date for the First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First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Settlement Date for</w:t>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6" w:lineRule="exact"/>
        <w:rPr>
          <w:sz w:val="20"/>
          <w:szCs w:val="20"/>
          <w:color w:val="auto"/>
        </w:rPr>
      </w:pPr>
    </w:p>
    <w:p>
      <w:pPr>
        <w:jc w:val="both"/>
        <w:ind w:left="2260" w:right="440"/>
        <w:spacing w:after="0" w:line="239" w:lineRule="auto"/>
        <w:rPr>
          <w:sz w:val="20"/>
          <w:szCs w:val="20"/>
          <w:color w:val="auto"/>
        </w:rPr>
      </w:pPr>
      <w:r>
        <w:rPr>
          <w:rFonts w:ascii="Times New Roman" w:cs="Times New Roman" w:eastAsia="Times New Roman" w:hAnsi="Times New Roman"/>
          <w:sz w:val="22"/>
          <w:szCs w:val="22"/>
          <w:color w:val="auto"/>
        </w:rPr>
        <w:t xml:space="preserve">the Second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Second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Settlement Date for the Third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Third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260" w:right="780" w:hanging="755"/>
        <w:spacing w:after="0" w:line="271" w:lineRule="auto"/>
        <w:tabs>
          <w:tab w:leader="none" w:pos="22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Acceleration Event, the Settlement Date for any RSUs that become vested in connection therewith shall be the date of such Acceleration Event.</w:t>
      </w:r>
    </w:p>
    <w:p>
      <w:pPr>
        <w:spacing w:after="0" w:line="144" w:lineRule="exact"/>
        <w:rPr>
          <w:rFonts w:ascii="Times New Roman" w:cs="Times New Roman" w:eastAsia="Times New Roman" w:hAnsi="Times New Roman"/>
          <w:sz w:val="22"/>
          <w:szCs w:val="22"/>
          <w:color w:val="auto"/>
        </w:rPr>
      </w:pPr>
    </w:p>
    <w:p>
      <w:pPr>
        <w:ind w:left="2260" w:right="40" w:hanging="755"/>
        <w:spacing w:after="0" w:line="255" w:lineRule="auto"/>
        <w:tabs>
          <w:tab w:leader="none" w:pos="22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1"/>
          <w:szCs w:val="21"/>
          <w:u w:val="single" w:color="auto"/>
          <w:color w:val="auto"/>
        </w:rPr>
        <w:t>409A Award Portion</w:t>
      </w:r>
      <w:r>
        <w:rPr>
          <w:rFonts w:ascii="Times New Roman" w:cs="Times New Roman" w:eastAsia="Times New Roman" w:hAnsi="Times New Roman"/>
          <w:sz w:val="21"/>
          <w:szCs w:val="21"/>
          <w:color w:val="auto"/>
        </w:rPr>
        <w:t xml:space="preserve">”) shall be the Scheduled Vesting Date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applicable to the 409A Award Portion.</w:t>
      </w:r>
    </w:p>
    <w:p>
      <w:pPr>
        <w:spacing w:after="0" w:line="161" w:lineRule="exact"/>
        <w:rPr>
          <w:rFonts w:ascii="Times New Roman" w:cs="Times New Roman" w:eastAsia="Times New Roman" w:hAnsi="Times New Roman"/>
          <w:sz w:val="21"/>
          <w:szCs w:val="21"/>
          <w:color w:val="auto"/>
        </w:rPr>
      </w:pPr>
    </w:p>
    <w:p>
      <w:pPr>
        <w:ind w:left="2260" w:right="160" w:hanging="755"/>
        <w:spacing w:after="0"/>
        <w:tabs>
          <w:tab w:leader="none" w:pos="22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749"/>
        <w:spacing w:after="0" w:line="249"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w:t>
      </w:r>
    </w:p>
    <w:p>
      <w:pPr>
        <w:jc w:val="center"/>
        <w:spacing w:after="0" w:line="195"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8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jc w:val="center"/>
        <w:spacing w:after="0" w:line="210"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21"/>
          <w:szCs w:val="21"/>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200" w:firstLine="749"/>
        <w:spacing w:after="0" w:line="243"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17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w:t>
      </w: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531"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w:t>
      </w:r>
      <w:r>
        <w:rPr>
          <w:rFonts w:ascii="Times New Roman" w:cs="Times New Roman" w:eastAsia="Times New Roman" w:hAnsi="Times New Roman"/>
          <w:sz w:val="18"/>
          <w:szCs w:val="18"/>
          <w:b w:val="1"/>
          <w:bCs w:val="1"/>
          <w:color w:val="auto"/>
        </w:rPr>
        <w:t>ndemnification</w:t>
      </w:r>
      <w:r>
        <w:rPr>
          <w:rFonts w:ascii="Times New Roman" w:cs="Times New Roman" w:eastAsia="Times New Roman" w:hAnsi="Times New Roman"/>
          <w:sz w:val="27"/>
          <w:szCs w:val="27"/>
          <w:b w:val="1"/>
          <w:bCs w:val="1"/>
          <w:color w:val="auto"/>
        </w:rPr>
        <w:t xml:space="preserve"> A</w:t>
      </w:r>
      <w:r>
        <w:rPr>
          <w:rFonts w:ascii="Times New Roman" w:cs="Times New Roman" w:eastAsia="Times New Roman" w:hAnsi="Times New Roman"/>
          <w:sz w:val="18"/>
          <w:szCs w:val="18"/>
          <w:b w:val="1"/>
          <w:bCs w:val="1"/>
          <w:color w:val="auto"/>
        </w:rPr>
        <w:t>greement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Agreement, made and entered into this [_________] day of [__________], 2022 (“Agreement”), by and between</w:t>
      </w:r>
    </w:p>
    <w:p>
      <w:pPr>
        <w:spacing w:after="0" w:line="14"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22"/>
          <w:szCs w:val="22"/>
          <w:color w:val="auto"/>
        </w:rPr>
        <w:t>Domino’s Pizza, Inc., a Delaware corporation (“Company”), and [</w:t>
      </w:r>
      <w:r>
        <w:rPr>
          <w:sz w:val="20"/>
          <w:szCs w:val="20"/>
          <w:color w:val="auto"/>
        </w:rPr>
        <w:tab/>
      </w:r>
      <w:r>
        <w:rPr>
          <w:rFonts w:ascii="Times New Roman" w:cs="Times New Roman" w:eastAsia="Times New Roman" w:hAnsi="Times New Roman"/>
          <w:sz w:val="21"/>
          <w:szCs w:val="21"/>
          <w:color w:val="auto"/>
        </w:rPr>
        <w: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-29210</wp:posOffset>
            </wp:positionV>
            <wp:extent cx="4813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62"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to obligate itself to indemnify, and to advance expenses on behalf of, its directors and executive officers to the fullest extent permitted by applicable law so that they will serve or continue to serve the Company free from undue concern that they will not be so indemnified; and</w:t>
      </w:r>
    </w:p>
    <w:p>
      <w:pPr>
        <w:spacing w:after="0" w:line="154" w:lineRule="exact"/>
        <w:rPr>
          <w:sz w:val="20"/>
          <w:szCs w:val="20"/>
          <w:color w:val="auto"/>
        </w:rPr>
      </w:pPr>
    </w:p>
    <w:p>
      <w:pPr>
        <w:ind w:right="160" w:firstLine="749"/>
        <w:spacing w:after="0" w:line="271" w:lineRule="auto"/>
        <w:rPr>
          <w:sz w:val="20"/>
          <w:szCs w:val="20"/>
          <w:color w:val="auto"/>
        </w:rPr>
      </w:pPr>
      <w:r>
        <w:rPr>
          <w:rFonts w:ascii="Times New Roman" w:cs="Times New Roman" w:eastAsia="Times New Roman" w:hAnsi="Times New Roman"/>
          <w:sz w:val="22"/>
          <w:szCs w:val="22"/>
          <w:color w:val="auto"/>
        </w:rPr>
        <w:t>WHEREAS, Indemnitee is willing to serve, continue to serve the Company as a director and/or executive officer and to take on additional service for or on its behalf on the condition that he be so indemnified.</w:t>
      </w:r>
    </w:p>
    <w:p>
      <w:pPr>
        <w:spacing w:after="0" w:line="131"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Indemnitee do hereby covenant and agree as follows:</w:t>
      </w:r>
    </w:p>
    <w:p>
      <w:pPr>
        <w:spacing w:after="0" w:line="131" w:lineRule="exact"/>
        <w:rPr>
          <w:sz w:val="20"/>
          <w:szCs w:val="20"/>
          <w:color w:val="auto"/>
        </w:rPr>
      </w:pPr>
    </w:p>
    <w:p>
      <w:pPr>
        <w:ind w:left="760" w:right="200" w:hanging="752"/>
        <w:spacing w:after="0" w:line="250" w:lineRule="auto"/>
        <w:tabs>
          <w:tab w:leader="none" w:pos="7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 by Indemnitee</w:t>
      </w:r>
      <w:r>
        <w:rPr>
          <w:rFonts w:ascii="Times New Roman" w:cs="Times New Roman" w:eastAsia="Times New Roman" w:hAnsi="Times New Roman"/>
          <w:sz w:val="22"/>
          <w:szCs w:val="22"/>
          <w:color w:val="auto"/>
        </w:rPr>
        <w:t>. Indemnitee agrees to serve as a director and/or executive officer of the Company. Indemnitee may at any time and for any reason resign from such position (subject to any other contractual obligation or any obligation imposed by operation of law).</w:t>
      </w:r>
    </w:p>
    <w:p>
      <w:pPr>
        <w:spacing w:after="0" w:line="181"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 General</w:t>
      </w:r>
      <w:r>
        <w:rPr>
          <w:rFonts w:ascii="Times New Roman" w:cs="Times New Roman" w:eastAsia="Times New Roman" w:hAnsi="Times New Roman"/>
          <w:sz w:val="21"/>
          <w:szCs w:val="21"/>
          <w:color w:val="auto"/>
        </w:rPr>
        <w:t>. The Company shall indemnify, and advance Expenses (as hereinafter defined) to, Indemnitee</w:t>
      </w:r>
    </w:p>
    <w:p>
      <w:pPr>
        <w:spacing w:after="0" w:line="25" w:lineRule="exact"/>
        <w:rPr>
          <w:rFonts w:ascii="Times New Roman" w:cs="Times New Roman" w:eastAsia="Times New Roman" w:hAnsi="Times New Roman"/>
          <w:sz w:val="21"/>
          <w:szCs w:val="21"/>
          <w:color w:val="auto"/>
        </w:rPr>
      </w:pPr>
    </w:p>
    <w:p>
      <w:pPr>
        <w:ind w:left="760" w:right="1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as provided in this Agreement and (b) (subject to the provisions of this Agreement) to the fullest extent permitted by applicable law in effect on the date hereof and as amended from time to time. The rights of Indemnitee provided under the preceding sentence shall include, but shall not be limited to, the rights set forth in the other Sections of this Agreement.</w:t>
      </w:r>
    </w:p>
    <w:p>
      <w:pPr>
        <w:spacing w:after="0" w:line="191" w:lineRule="exact"/>
        <w:rPr>
          <w:rFonts w:ascii="Times New Roman" w:cs="Times New Roman" w:eastAsia="Times New Roman" w:hAnsi="Times New Roman"/>
          <w:sz w:val="21"/>
          <w:szCs w:val="21"/>
          <w:color w:val="auto"/>
        </w:rPr>
      </w:pPr>
    </w:p>
    <w:p>
      <w:pPr>
        <w:ind w:left="760" w:right="140" w:hanging="752"/>
        <w:spacing w:after="0" w:line="249" w:lineRule="auto"/>
        <w:tabs>
          <w:tab w:leader="none" w:pos="7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Other Than Proceedings by or in the Right of the Company</w:t>
      </w:r>
      <w:r>
        <w:rPr>
          <w:rFonts w:ascii="Times New Roman" w:cs="Times New Roman" w:eastAsia="Times New Roman" w:hAnsi="Times New Roman"/>
          <w:sz w:val="21"/>
          <w:szCs w:val="21"/>
          <w:color w:val="auto"/>
        </w:rPr>
        <w:t>. Indemnitee shall be entitled to the rights of indemnification provided in this Section 3 if, by reason of Indemnitee’s Corporate Status (as hereinafter defined), Indemnitee was, is, or is threatened to be made, a party to or a participant in any threatened, pending or completed Proceeding (as hereinafter defined), other than a Proceeding by or in the right of the Company. Pursuant to this Section 3, Company shall, to the fullest extent permitted by law, indemnify Indemnitee with respect to, and hold Indemnitee harmless from and against, all Expenses, judgments, liabilities, losses, penalties, fines and amounts paid in settlement (including all interest, assessments and other charges paid or payable in connection with or in respect of such Expenses, judgments, penalties, fines and amounts paid in settlement) reasonably incurred by Indemnitee or on behalf of Indemnitee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3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760" w:hanging="752"/>
        <w:spacing w:after="0" w:line="251" w:lineRule="auto"/>
        <w:tabs>
          <w:tab w:leader="none" w:pos="7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by or in the Right of the Company</w:t>
      </w:r>
      <w:r>
        <w:rPr>
          <w:rFonts w:ascii="Times New Roman" w:cs="Times New Roman" w:eastAsia="Times New Roman" w:hAnsi="Times New Roman"/>
          <w:sz w:val="21"/>
          <w:szCs w:val="21"/>
          <w:color w:val="auto"/>
        </w:rPr>
        <w:t>. Indemnitee shall be entitled to the rights of indemnification provided in this Section 4 if, by reason of Indemnitee’s Corporate Status, Indemnitee was, is, or is threatened to be made, a party to or a participant in any threatened, pending or completed Proceeding brought by or in the right of the Company to procure a judgment in its favor. Pursuant to this Section 4, Indemnitee shall be indemnified against all Expenses (including all interest, assessments and other charges paid or payable in connection with or in respect of such Expenses) reasonably incurred by Indemnitee or on behalf of Indemnitee in connection with such Proceeding if Indemnitee acted in good faith and in a manner Indemnitee reasonably believed to be in or not opposed to the best interests of the Company.</w:t>
      </w:r>
    </w:p>
    <w:p>
      <w:pPr>
        <w:spacing w:after="0" w:line="165" w:lineRule="exact"/>
        <w:rPr>
          <w:rFonts w:ascii="Times New Roman" w:cs="Times New Roman" w:eastAsia="Times New Roman" w:hAnsi="Times New Roman"/>
          <w:sz w:val="21"/>
          <w:szCs w:val="21"/>
          <w:color w:val="auto"/>
        </w:rPr>
      </w:pPr>
    </w:p>
    <w:p>
      <w:pPr>
        <w:ind w:left="760" w:right="20" w:hanging="752"/>
        <w:spacing w:after="0" w:line="248" w:lineRule="auto"/>
        <w:tabs>
          <w:tab w:leader="none" w:pos="7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Indemnification</w:t>
      </w:r>
      <w:r>
        <w:rPr>
          <w:rFonts w:ascii="Times New Roman" w:cs="Times New Roman" w:eastAsia="Times New Roman" w:hAnsi="Times New Roman"/>
          <w:sz w:val="21"/>
          <w:szCs w:val="21"/>
          <w:color w:val="auto"/>
        </w:rPr>
        <w:t xml:space="preserve">. Notwithstanding any other provision of this Agreement, to the extent that Indemnitee is, by reason of Indemnitee’s Corporate Status, a party to (or a participant in) and is successful, on the merits or otherwise, in defense of any Proceeding, Indemnitee shall be indemnified against all Expenses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indemnify Indemnitee against all Expenses reasonably incurred by Indemnitee or on behalf of Indemnitee in connection with each successfully resolved claim, issue or matter. For purposes of this Section 5 and without limitation, the termination of any claim, issue or matter in such a Proceeding by dismissal, with or without prejudice, shall be deemed to be a successful result as to such claim, issue or matter. In addition, for purposes of this Section 5, settlement of any such claim, issue or matter prior to a final judgment by a court of competent jurisdiction with respect to such Proceeding, shall be deemed to be a successful result as to such claim, issue or matter;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settlement of any claim, issue or matter in such a Proceeding shall not be deemed to be a successful result as to such claim, issue or matter if such settlement is effected by Indemnitee without the Company’s prior written consent. If Indemnitee is entitled under any provision of this Agreement to indemnification by the Company for some or a portion of the Expenses, judgments, penalties, fines and amounts paid in settlement (including all interest, assessments and other charges paid or payable in connection with or in respect of such Expenses, judgments, penalties, fines and amounts paid in settlement) reasonably incurred by Indemnitee or on behalf of Indemnitee in connection with such Proceeding or any claim, issue or matter therein, but not, however, for the total amount thereof, the Company shall nevertheless indemnify Indemnitee for the portion to which Indemnitee is entitled.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7"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for Additional Expenses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500" w:right="240" w:hanging="743"/>
        <w:spacing w:after="0" w:line="250" w:lineRule="auto"/>
        <w:tabs>
          <w:tab w:leader="none" w:pos="15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Indemnitee against any and all Expenses and, if requested by Indemnitee, shall (within seven (7) business days of such request) advance such Expenses to Indemnitee, which are incurred by Indemnitee in connection with any action brought by Indemnitee for (i) indemnification or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left="10312"/>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1492" w:right="20"/>
        <w:spacing w:after="0" w:line="237" w:lineRule="auto"/>
        <w:rPr>
          <w:sz w:val="20"/>
          <w:szCs w:val="20"/>
          <w:color w:val="auto"/>
        </w:rPr>
      </w:pPr>
      <w:r>
        <w:rPr>
          <w:rFonts w:ascii="Times New Roman" w:cs="Times New Roman" w:eastAsia="Times New Roman" w:hAnsi="Times New Roman"/>
          <w:sz w:val="22"/>
          <w:szCs w:val="22"/>
          <w:color w:val="auto"/>
        </w:rPr>
        <w:t>advance payment of Expenses by the Company under this Agreement or any other agreement or by-law of the Company now or hereafter in effect; 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92" w:lineRule="exact"/>
        <w:rPr>
          <w:sz w:val="20"/>
          <w:szCs w:val="20"/>
          <w:color w:val="auto"/>
        </w:rPr>
      </w:pPr>
    </w:p>
    <w:p>
      <w:pPr>
        <w:ind w:left="1492" w:right="80" w:hanging="743"/>
        <w:spacing w:after="0" w:line="244" w:lineRule="auto"/>
        <w:tabs>
          <w:tab w:leader="none" w:pos="149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extent that Indemnitee is, by reason of Indemnitee’s Corporate Status, a witness (or is forced or asked to respond to discovery requests) in any Proceeding to which Indemnitee is not a party, Indemnitee shall be indemnified against all Expenses reasonably incurred by Indemnitee or on behalf of Indemnitee in connection therewith.</w:t>
      </w:r>
    </w:p>
    <w:p>
      <w:pPr>
        <w:spacing w:after="0" w:line="172" w:lineRule="exact"/>
        <w:rPr>
          <w:rFonts w:ascii="Times New Roman" w:cs="Times New Roman" w:eastAsia="Times New Roman" w:hAnsi="Times New Roman"/>
          <w:sz w:val="22"/>
          <w:szCs w:val="22"/>
          <w:color w:val="auto"/>
        </w:rPr>
      </w:pPr>
    </w:p>
    <w:p>
      <w:pPr>
        <w:ind w:left="752" w:right="20" w:hanging="752"/>
        <w:spacing w:after="0" w:line="238" w:lineRule="auto"/>
        <w:tabs>
          <w:tab w:leader="none" w:pos="7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The Company shall advance all reasonable Expenses incurred by or on behalf of Indemnitee in connection with any Proceeding within seven (7)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such Expenses. Indemnitee shall repay such amounts advanced if and to the extent that it shall ultimately be determined in a decision by a court of competent jurisdiction from which no appeal can be taken that Indemnitee is not entitled to be indemnified by the Company for such Expenses. Such repayment obligation shall be unsecured and shall not bear interest. The Company shall not impose on Indemnitee additional conditions to advancement or require from Indemnitee additional undertakings regarding repayment.</w:t>
      </w:r>
    </w:p>
    <w:p>
      <w:pPr>
        <w:spacing w:after="0" w:line="196"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Determination of Entitlement to Indemnification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92" w:right="60" w:hanging="743"/>
        <w:spacing w:after="0" w:line="258" w:lineRule="auto"/>
        <w:tabs>
          <w:tab w:leader="none" w:pos="149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in compliance with Section 20 of this Agreement. The Secretary of the Company shall, promptly upon receipt of such a request for indemnification, advise the Board in writing that Indemnitee has requested indemnification.</w:t>
      </w:r>
    </w:p>
    <w:p>
      <w:pPr>
        <w:spacing w:after="0" w:line="160" w:lineRule="exact"/>
        <w:rPr>
          <w:rFonts w:ascii="Times New Roman" w:cs="Times New Roman" w:eastAsia="Times New Roman" w:hAnsi="Times New Roman"/>
          <w:sz w:val="21"/>
          <w:szCs w:val="21"/>
          <w:color w:val="auto"/>
        </w:rPr>
      </w:pPr>
    </w:p>
    <w:p>
      <w:pPr>
        <w:ind w:left="1492" w:right="200" w:hanging="743"/>
        <w:spacing w:after="0" w:line="241" w:lineRule="auto"/>
        <w:tabs>
          <w:tab w:leader="none" w:pos="149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Indemnitee for indemnification pursuant to the first sentence of Section 8(a) hereof, a determination, if required by applicable law, with respect to Indemnitee’s entitlement thereto shall be made in the specific case: (i) if a Change in Control (as hereinafter defined) shall have occurred, by Independent Counsel (as hereinafter defined) in a written opinion to the Board of Directors, a copy of which shall be delivered to Indemnitee; or (ii) if a Change of Control shall not have occurred, (A) by a majority vote of the Disinterested Directors (as hereinafter defined), even though less than a quorum of the Board,</w:t>
      </w:r>
    </w:p>
    <w:p>
      <w:pPr>
        <w:spacing w:after="0" w:line="393"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41" w:name="page42"/>
    <w:bookmarkEnd w:id="41"/>
    <w:p>
      <w:pPr>
        <w:ind w:left="100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1200" w:right="80"/>
        <w:spacing w:after="0" w:line="249" w:lineRule="auto"/>
        <w:rPr>
          <w:sz w:val="20"/>
          <w:szCs w:val="20"/>
          <w:color w:val="auto"/>
        </w:rPr>
      </w:pPr>
      <w:r>
        <w:rPr>
          <w:rFonts w:ascii="Times New Roman" w:cs="Times New Roman" w:eastAsia="Times New Roman" w:hAnsi="Times New Roman"/>
          <w:sz w:val="21"/>
          <w:szCs w:val="21"/>
          <w:color w:val="auto"/>
        </w:rPr>
        <w:t>or (B) if there are no such Disinterested Directors or, if such Disinterested Directors so direct, by Independent Counsel in a written opinion to the Board, a copy of which shall be delivered to Indemnitee or (C) if so directed by the Board, by the stockholders of the Company; and, if it is so determined that Indemnitee is entitled to indemnification, payment to Indemnitee shall be made within seven (7) days after such determination. The Company and Indemnitee shall each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9" w:lineRule="exact"/>
        <w:rPr>
          <w:sz w:val="20"/>
          <w:szCs w:val="20"/>
          <w:color w:val="auto"/>
        </w:rPr>
      </w:pPr>
    </w:p>
    <w:p>
      <w:pPr>
        <w:ind w:left="1200" w:right="40" w:hanging="743"/>
        <w:spacing w:after="0" w:line="248" w:lineRule="auto"/>
        <w:tabs>
          <w:tab w:leader="none" w:pos="12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 determination of entitlement to indemnification is to be made by Independent Counsel pursuant to Section 8(b) hereof, the Independent Counsel shall be selected as provided in this Section 8(c). If a Change of Control shall not have occurred, the Independent Counsel shall be selected by the Board of Directors, and the Company shall give written notice to Indemnitee advising him of the identity of the Independent Counsel so selected. If a Change of Control shall have occurred,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objection may be asserted only on the ground that the Independent Counsel so selected does not meet the requirements of “Independent Counsel” as defined in Section 17 of this Agreement, and the objection shall set forth with particularity the factual basis of such assertion. If such written objection is so made and substantiated, the Independent Counsel so selected may not serve as Independent Counsel unless and until such objection is withdrawn or a court has determined that such objection is without merit. If, within 20 days after submission by Indemnitee of a written request for indemnification pursuant to Section 8(a) hereof, no Independent Counsel shall have been selected and not objected to, either the Company or Indemnitee may petition the Court of Chancery of the State of Delaware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66675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42" w:name="page43"/>
    <w:bookmarkEnd w:id="42"/>
    <w:p>
      <w:pPr>
        <w:ind w:left="10312"/>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1492" w:right="60"/>
        <w:spacing w:after="0" w:line="236" w:lineRule="auto"/>
        <w:rPr>
          <w:sz w:val="20"/>
          <w:szCs w:val="20"/>
          <w:color w:val="auto"/>
        </w:rPr>
      </w:pPr>
      <w:r>
        <w:rPr>
          <w:rFonts w:ascii="Times New Roman" w:cs="Times New Roman" w:eastAsia="Times New Roman" w:hAnsi="Times New Roman"/>
          <w:sz w:val="22"/>
          <w:szCs w:val="22"/>
          <w:color w:val="auto"/>
        </w:rPr>
        <w:t>Independent Counsel under Section 8(b) hereof. The Company shall pay any and all reasonable fees and expenses of Independent Counsel incurred by such Independent Counsel in connection with acting pursuant to Section 8(b) hereof, and the Company shall pay all reasonable fees and expenses incident to the procedures of this Section 8(c), regardless of the manner in which such Independent Counsel was selected or appointed, and if such Independent Counsel was selected or appointed by Indemnitee or the Court, shall provide such Independent Counsel with such retainer as may requested by such counsel. Upon the due commencement of any judicial proceeding or arbitration pursuant to Section 10(a)(iii) of this Agreement, Independent Counsel shall be discharged and relieved of any further responsibility in such capacity (subject to the applicable standards of professional conduct then prevailing).</w:t>
      </w:r>
    </w:p>
    <w:p>
      <w:pPr>
        <w:spacing w:after="0" w:line="194" w:lineRule="exact"/>
        <w:rPr>
          <w:sz w:val="20"/>
          <w:szCs w:val="20"/>
          <w:color w:val="auto"/>
        </w:rPr>
      </w:pPr>
    </w:p>
    <w:p>
      <w:pPr>
        <w:ind w:left="1492" w:hanging="743"/>
        <w:spacing w:after="0" w:line="237" w:lineRule="auto"/>
        <w:tabs>
          <w:tab w:leader="none" w:pos="14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below, to the extent that it may wish, the Company jointly with any other indemnifying party similarly notified will be entitled to assume the defense thereof, with counsel reasonably satisfactory to Indemnitee. After notice from the Company to Indemnitee of its election so to assume the defense thereof, the Company will not be liable to Indemnitee under this Agreement for any legal or other Expense subsequently incurred by Indemnitee in connection with the defense thereof other than reasonable costs of investigation or as otherwise provided below. Indemnitee shall have the right to employ his or her own counsel in such action, suit or Proceeding, but the Expenses of such counsel incurred after notice from the Company of its assumption of the defense thereof shall be at the expense of Indemnitee unless (i) the employment of counsel by Indemnitee has been authorized by the Company, (ii) Indemnitee shall have reasonably concluded that there may be a conflict of interest between the Company and Indemnitee in the conduct of the defense of such action, or (iii) the Company shall not in fact have employed counsel to assume the defense of such action, in each of which cases the Expenses of counsel shall be at the expense of the Company. The Company shall not be entitled to assume the defense of any action, suit or Proceeding brought by or on behalf of the Company or as to which Indemnitee shall have made the conclusion provided for in (ii) above; and The Company shall not be liable to indemnify any Indemnitee under this Agreement for any amounts paid in settlement of any action or claim affected without the Company’s written consent. The Company shall not settle any action or claim in any manner which would impose any cost, penalty or limitation on Indemnitee without Indemnitee’s written consent. Neither the Company nor Indemnitee will unreasonably withhold their consent to any proposed settlement.</w:t>
      </w:r>
    </w:p>
    <w:p>
      <w:pPr>
        <w:spacing w:after="0" w:line="181"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Presumptions and Effect of Certain Proceedings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492" w:right="140" w:hanging="743"/>
        <w:spacing w:after="0"/>
        <w:tabs>
          <w:tab w:leader="none" w:pos="149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or the advancement of expenses hereunder, the person or persons or entity making such determination shall presume that Indemnitee is entitled to indemnification or advancement of expenses under this Agreement if Indemnitee has submitted a request for indemnification or the advancement of expenses in accordance with Section 8(a) of this Agreement, and the Company shall have the burden of proof</w:t>
      </w:r>
    </w:p>
    <w:p>
      <w:pPr>
        <w:spacing w:after="0" w:line="396"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1200"/>
        <w:spacing w:after="0" w:line="251" w:lineRule="auto"/>
        <w:rPr>
          <w:sz w:val="20"/>
          <w:szCs w:val="20"/>
          <w:color w:val="auto"/>
        </w:rPr>
      </w:pPr>
      <w:r>
        <w:rPr>
          <w:rFonts w:ascii="Times New Roman" w:cs="Times New Roman" w:eastAsia="Times New Roman" w:hAnsi="Times New Roman"/>
          <w:sz w:val="21"/>
          <w:szCs w:val="21"/>
          <w:color w:val="auto"/>
        </w:rPr>
        <w:t>to overcome that presumption in connection with the making by any person, persons or entity of any determination contrary to that presumption. Neither the failure of the Company (including its board of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its board of directors or independent legal counsel) that Indemnitee has not met such applicable standard of conduct, shall be a defense to the action or create a presumption that Indemnitee has not met the applicable standard of conduct.</w:t>
      </w:r>
    </w:p>
    <w:p>
      <w:pPr>
        <w:spacing w:after="0" w:line="166" w:lineRule="exact"/>
        <w:rPr>
          <w:sz w:val="20"/>
          <w:szCs w:val="20"/>
          <w:color w:val="auto"/>
        </w:rPr>
      </w:pPr>
    </w:p>
    <w:p>
      <w:pPr>
        <w:ind w:left="1200" w:hanging="743"/>
        <w:spacing w:after="0" w:line="237" w:lineRule="auto"/>
        <w:tabs>
          <w:tab w:leader="none" w:pos="12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persons or entity empowered or selected under Section 8 of this Agreement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9(b) shall not apply (i) if the determination of entitlement to indemnification is to be made by the stockholders pursuant to Section 8(b) of this Agreement and if (A) within fifteen (15) days after receipt by the Company of the request for such determination the Board of Directors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8(b) of this Agreement.</w:t>
      </w:r>
    </w:p>
    <w:p>
      <w:pPr>
        <w:spacing w:after="0" w:line="181" w:lineRule="exact"/>
        <w:rPr>
          <w:rFonts w:ascii="Times New Roman" w:cs="Times New Roman" w:eastAsia="Times New Roman" w:hAnsi="Times New Roman"/>
          <w:sz w:val="22"/>
          <w:szCs w:val="22"/>
          <w:color w:val="auto"/>
        </w:rPr>
      </w:pPr>
    </w:p>
    <w:p>
      <w:pPr>
        <w:ind w:left="1200" w:right="20" w:hanging="743"/>
        <w:spacing w:after="0" w:line="241" w:lineRule="auto"/>
        <w:tabs>
          <w:tab w:leader="none" w:pos="12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75565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1500" w:right="80" w:hanging="743"/>
        <w:spacing w:after="0" w:line="236" w:lineRule="auto"/>
        <w:tabs>
          <w:tab w:leader="none" w:pos="15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as Safe Harbor</w:t>
      </w:r>
      <w:r>
        <w:rPr>
          <w:rFonts w:ascii="Times New Roman" w:cs="Times New Roman" w:eastAsia="Times New Roman" w:hAnsi="Times New Roman"/>
          <w:sz w:val="22"/>
          <w:szCs w:val="22"/>
          <w:color w:val="auto"/>
        </w:rPr>
        <w:t>. For purposes of any determination of good faith, Indemnitee shall be deemed to have acted in good faith if Indemnitee’s action is based on the records or books of account of the Company or relevant enterprise, including financial statements, or on information supplied to Indemnitee by the officers of the Company or relevant enterprise in the course of their duties, or on the advice of legal counsel for the Company or relevant enterprise or on information or records given in reports made to the Company or relevant enterprise by an independent certified public accountant or by an appraiser or other expert selected with reasonable care by the Company or relevant enterprise. The provisions of this Section 9(d) shall not be deemed to be exclusive or to limit in any way the other circumstances in which Indemnitee may be deemed to have met the applicable standard of conduct set forth in this Agreement.</w:t>
      </w:r>
    </w:p>
    <w:p>
      <w:pPr>
        <w:spacing w:after="0" w:line="194" w:lineRule="exact"/>
        <w:rPr>
          <w:rFonts w:ascii="Times New Roman" w:cs="Times New Roman" w:eastAsia="Times New Roman" w:hAnsi="Times New Roman"/>
          <w:sz w:val="22"/>
          <w:szCs w:val="22"/>
          <w:color w:val="auto"/>
        </w:rPr>
      </w:pPr>
    </w:p>
    <w:p>
      <w:pPr>
        <w:ind w:left="1500" w:right="20" w:hanging="743"/>
        <w:spacing w:after="0" w:line="250" w:lineRule="auto"/>
        <w:tabs>
          <w:tab w:leader="none" w:pos="15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of Others</w:t>
      </w:r>
      <w:r>
        <w:rPr>
          <w:rFonts w:ascii="Times New Roman" w:cs="Times New Roman" w:eastAsia="Times New Roman" w:hAnsi="Times New Roman"/>
          <w:sz w:val="22"/>
          <w:szCs w:val="22"/>
          <w:color w:val="auto"/>
        </w:rPr>
        <w:t>. The knowledge and/or actions, or failure to act, of any director, officer, agent or employee of the Company or relevant enterprise shall not be imputed to Indemnitee for purposes of determining the right to indemnification under this Agreement.</w:t>
      </w:r>
    </w:p>
    <w:p>
      <w:pPr>
        <w:spacing w:after="0" w:line="16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of Indemnitee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right="60" w:hanging="743"/>
        <w:spacing w:after="0" w:line="239" w:lineRule="auto"/>
        <w:tabs>
          <w:tab w:leader="none" w:pos="15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 a determination is made pursuant to Section 8 of this Agreement that Indemnitee is not entitled to indemnification under this Agreement, (ii) advancement of Expenses is not timely made pursuant to Section 7 of this Agreement, (iii) no determination of entitlement to indemnification shall have been made pursuant to Section 8(b) of this Agreement within 90 days after receipt by the Company of the request for indemnification, (iv) payment of indemnification is not made pursuant to Section 6 or 7 of this Agreement within seven (7) days after receipt by the Company of a written request therefor, or (v) payment of indemnification is not made within seven (7) days after a determination has been made that Indemnitee is entitled to indemnification, Indemnitee shall be entitled to an adjudication by the Court of Chancery of the State of Delaware, or any other court of competent jurisdiction,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one hundred eighty (180) days following the date on which Indemnitee first has the right to commence such proceeding pursuant to this Section 10(a);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194" w:lineRule="exact"/>
        <w:rPr>
          <w:rFonts w:ascii="Times New Roman" w:cs="Times New Roman" w:eastAsia="Times New Roman" w:hAnsi="Times New Roman"/>
          <w:sz w:val="22"/>
          <w:szCs w:val="22"/>
          <w:color w:val="auto"/>
        </w:rPr>
      </w:pPr>
    </w:p>
    <w:p>
      <w:pPr>
        <w:ind w:left="1500" w:right="80" w:hanging="743"/>
        <w:spacing w:after="0" w:line="244" w:lineRule="auto"/>
        <w:tabs>
          <w:tab w:leader="none" w:pos="15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 determination shall have been made pursuant to Section 8(b) of this Agreement that Indemnitee is not entitled to indemnification, any judicial proceeding or arbitration commenced pursuant to this Section 10 shall be conducted in all respects as a </w:t>
      </w:r>
      <w:r>
        <w:rPr>
          <w:rFonts w:ascii="Times New Roman" w:cs="Times New Roman" w:eastAsia="Times New Roman" w:hAnsi="Times New Roman"/>
          <w:sz w:val="22"/>
          <w:szCs w:val="22"/>
          <w:u w:val="single" w:color="auto"/>
          <w:color w:val="auto"/>
        </w:rPr>
        <w:t>de novo</w:t>
      </w:r>
      <w:r>
        <w:rPr>
          <w:rFonts w:ascii="Times New Roman" w:cs="Times New Roman" w:eastAsia="Times New Roman" w:hAnsi="Times New Roman"/>
          <w:sz w:val="22"/>
          <w:szCs w:val="22"/>
          <w:color w:val="auto"/>
        </w:rPr>
        <w:t xml:space="preserve"> trial, or arbitration, on the merits and</w:t>
      </w: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10312"/>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jc w:val="both"/>
        <w:ind w:left="1492" w:right="240"/>
        <w:spacing w:after="0" w:line="237" w:lineRule="auto"/>
        <w:rPr>
          <w:sz w:val="20"/>
          <w:szCs w:val="20"/>
          <w:color w:val="auto"/>
        </w:rPr>
      </w:pPr>
      <w:r>
        <w:rPr>
          <w:rFonts w:ascii="Times New Roman" w:cs="Times New Roman" w:eastAsia="Times New Roman" w:hAnsi="Times New Roman"/>
          <w:sz w:val="22"/>
          <w:szCs w:val="22"/>
          <w:color w:val="auto"/>
        </w:rPr>
        <w:t>Indemnitee shall not be prejudiced by reason of that adverse determination. If a Change of Control shall have occurred, in any judicial proceeding or arbitration commenced pursuant to this Section 10, the Company shall have the burden of proving that Indemnitee is not entitled to indemnification or advancement of Expenses, as the case may be.</w:t>
      </w:r>
    </w:p>
    <w:p>
      <w:pPr>
        <w:spacing w:after="0" w:line="192" w:lineRule="exact"/>
        <w:rPr>
          <w:sz w:val="20"/>
          <w:szCs w:val="20"/>
          <w:color w:val="auto"/>
        </w:rPr>
      </w:pPr>
    </w:p>
    <w:p>
      <w:pPr>
        <w:ind w:left="1492" w:hanging="743"/>
        <w:spacing w:after="0" w:line="255" w:lineRule="auto"/>
        <w:tabs>
          <w:tab w:leader="none" w:pos="149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determination shall have been made pursuant to Section 8(b) of this Agreement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5" w:lineRule="exact"/>
        <w:rPr>
          <w:rFonts w:ascii="Times New Roman" w:cs="Times New Roman" w:eastAsia="Times New Roman" w:hAnsi="Times New Roman"/>
          <w:sz w:val="21"/>
          <w:szCs w:val="21"/>
          <w:color w:val="auto"/>
        </w:rPr>
      </w:pPr>
    </w:p>
    <w:p>
      <w:pPr>
        <w:ind w:left="1492" w:right="40" w:hanging="743"/>
        <w:spacing w:after="0" w:line="237" w:lineRule="auto"/>
        <w:tabs>
          <w:tab w:leader="none" w:pos="14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Indemnitee, pursuant to this Section 10, seeks a judicial adjudication of or an award in arbitration to enforce his rights under, or to recover damages for breach of, this Agreement, Indemnitee shall be entitled to recover from the Company, and shall be indemnified by the Company against, any and all expenses (of the types described in the definition of Expenses in Section 17 of this Agreement) reasonably incurred by him in such judicial adjudication or arbitration, but only if he prevails therein. If it shall be determined in said judicial adjudication or arbitration that Indemnitee is entitled to receive part but not all of the indemnification or advancement of expenses sought, the expenses incurred by Indemnitee in connection with such judicial adjudication or arbitration shall be appropriately prorated. The Company shall indemnify Indemnitee against any and all Expenses and, if requested by Indemnitee, shall (within seven (7) days after receipt by the Company of a written request therefor) advance such expenses to Indemnitee, which are incurred by Indemnitee in connection with any action brought by Indemnitee for indemnification or advance of Expenses from the Company under this Agreement or under any directors’ or officers’ liability insurance policies maintained by the Company, regardless of whether Indemnitee ultimately is determined to be entitled to such indemnification, advancement of Expenses or insurance recovery, as the case may be.</w:t>
      </w:r>
    </w:p>
    <w:p>
      <w:pPr>
        <w:spacing w:after="0" w:line="188" w:lineRule="exact"/>
        <w:rPr>
          <w:rFonts w:ascii="Times New Roman" w:cs="Times New Roman" w:eastAsia="Times New Roman" w:hAnsi="Times New Roman"/>
          <w:sz w:val="22"/>
          <w:szCs w:val="22"/>
          <w:color w:val="auto"/>
        </w:rPr>
      </w:pPr>
    </w:p>
    <w:p>
      <w:pPr>
        <w:ind w:left="1492" w:hanging="743"/>
        <w:spacing w:after="0" w:line="244" w:lineRule="auto"/>
        <w:tabs>
          <w:tab w:leader="none" w:pos="14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w:t>
      </w:r>
    </w:p>
    <w:p>
      <w:pPr>
        <w:spacing w:after="0" w:line="186"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Survival of Rights; Insurance; Subrogation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92" w:right="40" w:hanging="743"/>
        <w:spacing w:after="0" w:line="244" w:lineRule="auto"/>
        <w:tabs>
          <w:tab w:leader="none" w:pos="14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w:t>
      </w:r>
    </w:p>
    <w:p>
      <w:pPr>
        <w:spacing w:after="0" w:line="389"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46" w:name="page47"/>
    <w:bookmarkEnd w:id="46"/>
    <w:p>
      <w:pPr>
        <w:ind w:left="100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1200" w:right="40"/>
        <w:spacing w:after="0" w:line="249" w:lineRule="auto"/>
        <w:rPr>
          <w:sz w:val="20"/>
          <w:szCs w:val="20"/>
          <w:color w:val="auto"/>
        </w:rPr>
      </w:pPr>
      <w:r>
        <w:rPr>
          <w:rFonts w:ascii="Times New Roman" w:cs="Times New Roman" w:eastAsia="Times New Roman" w:hAnsi="Times New Roman"/>
          <w:sz w:val="21"/>
          <w:szCs w:val="21"/>
          <w:color w:val="auto"/>
        </w:rPr>
        <w:t>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Delaware General Corporation Law, whether by statute or judicial decision, permits greater indemnification or advancement of Expenses than would be afforded currently under the Company’s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1" w:lineRule="exact"/>
        <w:rPr>
          <w:sz w:val="20"/>
          <w:szCs w:val="20"/>
          <w:color w:val="auto"/>
        </w:rPr>
      </w:pPr>
    </w:p>
    <w:p>
      <w:pPr>
        <w:ind w:left="1200" w:right="40" w:hanging="743"/>
        <w:spacing w:after="0" w:line="250" w:lineRule="auto"/>
        <w:tabs>
          <w:tab w:leader="none" w:pos="12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use its reasonable best efforts to purchase and maintain a policy or policies of insurance with reputable insurance companies with A.M. Best ratings of “A” or better, providing Indemnitee with coverage for any liability asserted against, and incurred by, Indemnitee or on Indemnitee’s behalf by reason of Indemnitee’s Corporate Status, or arising out of Indemnitee’s status as such, whether or not the Company would have the power to indemnify Indemnitee against such liability. Such insurance policies shall have coverage terms and policy limits at least as favorable to Indemnitee as the insurance coverage provided to any other director or officer of the Company. If the Company has such insurance in effect at the time it receives from Indemnitee any notice of the commencement of an action, suit, proceeding or other claim, the Company shall give prompt notice of the commencement of such action, suit, proceeding or other claim to the insurers and take such other actions in accordance with the procedures set forth in the policy as required or appropriate to secure coverage of Indemnitee for such action, suit, proceeding or other claim. The Company shall thereafter take all necessary or desirable action to cause such insurers to pay, on behalf of Indemnitee, all amounts payable as a result of such action, suit, proceeding or other claim in accordance with the terms of such policy. The Company shall continue to provide such insurance coverage to Indemnitee for a period of at least ten (10) years after Indemnitee ceases to serve as a director or an officer or in any other Corporate Status.</w:t>
      </w:r>
    </w:p>
    <w:p>
      <w:pPr>
        <w:spacing w:after="0" w:line="168" w:lineRule="exact"/>
        <w:rPr>
          <w:rFonts w:ascii="Times New Roman" w:cs="Times New Roman" w:eastAsia="Times New Roman" w:hAnsi="Times New Roman"/>
          <w:sz w:val="21"/>
          <w:szCs w:val="21"/>
          <w:color w:val="auto"/>
        </w:rPr>
      </w:pPr>
    </w:p>
    <w:p>
      <w:pPr>
        <w:ind w:left="1200" w:right="80" w:hanging="743"/>
        <w:spacing w:after="0" w:line="244" w:lineRule="auto"/>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or enforce such rights.</w:t>
      </w:r>
    </w:p>
    <w:p>
      <w:pPr>
        <w:spacing w:after="0" w:line="186" w:lineRule="exact"/>
        <w:rPr>
          <w:rFonts w:ascii="Times New Roman" w:cs="Times New Roman" w:eastAsia="Times New Roman" w:hAnsi="Times New Roman"/>
          <w:sz w:val="22"/>
          <w:szCs w:val="22"/>
          <w:color w:val="auto"/>
        </w:rPr>
      </w:pPr>
    </w:p>
    <w:p>
      <w:pPr>
        <w:ind w:left="1200" w:right="540" w:hanging="743"/>
        <w:spacing w:after="0" w:line="244" w:lineRule="auto"/>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75565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1500" w:right="20" w:hanging="743"/>
        <w:spacing w:after="0" w:line="238" w:lineRule="auto"/>
        <w:tabs>
          <w:tab w:leader="none" w:pos="15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7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Agreement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500" w:right="180" w:hanging="743"/>
        <w:spacing w:after="0" w:line="241" w:lineRule="auto"/>
        <w:tabs>
          <w:tab w:leader="none" w:pos="15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continue until and terminate upon the later of: (i) 10 years after the date that Indemnitee shall have ceased to serve as a director and/or executive officer of the Company (or of any other corporation, partnership, joint venture, trust, employee benefit plan or other enterprise which Indemnitee served at the request of the Company); or (ii) the final termination of any Proceeding then pending in respect of which Indemnitee is granted rights of indemnification or advancement of expenses hereunder and of any proceeding commenced by Indemnitee pursuant to Section 10 of this Agreement relating thereto.</w:t>
      </w:r>
    </w:p>
    <w:p>
      <w:pPr>
        <w:spacing w:after="0" w:line="176" w:lineRule="exact"/>
        <w:rPr>
          <w:rFonts w:ascii="Times New Roman" w:cs="Times New Roman" w:eastAsia="Times New Roman" w:hAnsi="Times New Roman"/>
          <w:sz w:val="22"/>
          <w:szCs w:val="22"/>
          <w:color w:val="auto"/>
        </w:rPr>
      </w:pPr>
    </w:p>
    <w:p>
      <w:pPr>
        <w:ind w:left="1500" w:right="120" w:hanging="743"/>
        <w:spacing w:after="0" w:line="238" w:lineRule="auto"/>
        <w:tabs>
          <w:tab w:leader="none" w:pos="15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be deemed an employment contract between the Company (or any of its subsidiaries) and Indemnitee. Indemnitee specifically acknowledges that Indemnitee’s employment with the Company (or any of its subsidiaries), if any, is at will, and Indemnitee may be discharged at any time for any reason, with or without cause, except as may be otherwise provided in any written employment contract between Indemnitee and the Company (or any of its subsidiaries), other applicable formal severance policies duly adopted by the Board, or, with respect to service as a director or officer of the Company, by the Company’s Certificate of Incorporation, By-laws, and Delaware General Corporation Law. The foregoing notwithstanding, this Agreement shall continue in force as provided above after Indemnitee has ceased to serve as a director and/or executive officer of the Company.</w:t>
      </w:r>
    </w:p>
    <w:p>
      <w:pPr>
        <w:spacing w:after="0" w:line="199" w:lineRule="exact"/>
        <w:rPr>
          <w:rFonts w:ascii="Times New Roman" w:cs="Times New Roman" w:eastAsia="Times New Roman" w:hAnsi="Times New Roman"/>
          <w:sz w:val="22"/>
          <w:szCs w:val="22"/>
          <w:color w:val="auto"/>
        </w:rPr>
      </w:pPr>
    </w:p>
    <w:p>
      <w:pPr>
        <w:ind w:left="1500" w:right="60" w:hanging="743"/>
        <w:spacing w:after="0" w:line="258" w:lineRule="auto"/>
        <w:tabs>
          <w:tab w:leader="none" w:pos="15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the Company and its successors and assigns and shall inure to the benefit of Indemnitee and his heirs, executors and administrators.</w:t>
      </w:r>
    </w:p>
    <w:p>
      <w:pPr>
        <w:spacing w:after="0" w:line="158" w:lineRule="exact"/>
        <w:rPr>
          <w:rFonts w:ascii="Times New Roman" w:cs="Times New Roman" w:eastAsia="Times New Roman" w:hAnsi="Times New Roman"/>
          <w:sz w:val="22"/>
          <w:szCs w:val="22"/>
          <w:color w:val="auto"/>
        </w:rPr>
      </w:pPr>
    </w:p>
    <w:p>
      <w:pPr>
        <w:ind w:left="760" w:right="320" w:hanging="752"/>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w:t>
      </w:r>
    </w:p>
    <w:p>
      <w:pPr>
        <w:spacing w:after="0" w:line="3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10312"/>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752" w:right="120"/>
        <w:spacing w:after="0" w:line="248" w:lineRule="auto"/>
        <w:rPr>
          <w:sz w:val="20"/>
          <w:szCs w:val="20"/>
          <w:color w:val="auto"/>
        </w:rPr>
      </w:pPr>
      <w:r>
        <w:rPr>
          <w:rFonts w:ascii="Times New Roman" w:cs="Times New Roman" w:eastAsia="Times New Roman" w:hAnsi="Times New Roman"/>
          <w:sz w:val="22"/>
          <w:szCs w:val="22"/>
          <w:color w:val="auto"/>
        </w:rPr>
        <w:t>invalid, illegal or unenforceable, that is not itself invalid, illegal or unenforceable) shall be construed so as to give effect to the intent manifested thereby.</w:t>
      </w:r>
    </w:p>
    <w:p>
      <w:pPr>
        <w:spacing w:after="0" w:line="169" w:lineRule="exact"/>
        <w:rPr>
          <w:sz w:val="20"/>
          <w:szCs w:val="20"/>
          <w:color w:val="auto"/>
        </w:rPr>
      </w:pPr>
    </w:p>
    <w:p>
      <w:pPr>
        <w:ind w:left="752" w:right="80" w:hanging="752"/>
        <w:spacing w:after="0" w:line="243" w:lineRule="auto"/>
        <w:tabs>
          <w:tab w:leader="none" w:pos="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to Right of Indemnification or Advancement of Expenses</w:t>
      </w:r>
      <w:r>
        <w:rPr>
          <w:rFonts w:ascii="Times New Roman" w:cs="Times New Roman" w:eastAsia="Times New Roman" w:hAnsi="Times New Roman"/>
          <w:sz w:val="22"/>
          <w:szCs w:val="22"/>
          <w:color w:val="auto"/>
        </w:rPr>
        <w:t>. Except as provided in Section 6(a) of this Agreement, Indemnitee shall not be entitled to indemnification or advancement of Expenses under this Agreement with respect to any Proceeding brought by Indemnitee (other than a Proceeding by Indemnitee to enforce his rights under this Agreement), or any claim therein, unless the bringing of such Proceeding or making of such claim shall have been approved by the Board of Directors.</w:t>
      </w:r>
    </w:p>
    <w:p>
      <w:pPr>
        <w:spacing w:after="0" w:line="177" w:lineRule="exact"/>
        <w:rPr>
          <w:rFonts w:ascii="Times New Roman" w:cs="Times New Roman" w:eastAsia="Times New Roman" w:hAnsi="Times New Roman"/>
          <w:sz w:val="22"/>
          <w:szCs w:val="22"/>
          <w:color w:val="auto"/>
        </w:rPr>
      </w:pPr>
    </w:p>
    <w:p>
      <w:pPr>
        <w:ind w:left="752" w:right="220" w:hanging="752"/>
        <w:spacing w:after="0" w:line="244" w:lineRule="auto"/>
        <w:tabs>
          <w:tab w:leader="none" w:pos="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Identical Counterparts</w:t>
      </w:r>
      <w:r>
        <w:rPr>
          <w:rFonts w:ascii="Times New Roman" w:cs="Times New Roman" w:eastAsia="Times New Roman" w:hAnsi="Times New Roman"/>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6" w:lineRule="exact"/>
        <w:rPr>
          <w:rFonts w:ascii="Times New Roman" w:cs="Times New Roman" w:eastAsia="Times New Roman" w:hAnsi="Times New Roman"/>
          <w:sz w:val="22"/>
          <w:szCs w:val="22"/>
          <w:color w:val="auto"/>
        </w:rPr>
      </w:pPr>
    </w:p>
    <w:p>
      <w:pPr>
        <w:ind w:left="752" w:right="100" w:hanging="752"/>
        <w:spacing w:after="0" w:line="258" w:lineRule="auto"/>
        <w:tabs>
          <w:tab w:leader="none" w:pos="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paragraphs of this Agreement are inserted for convenience only and shall not be deemed to constitute part of this Agreement or to affect the construction thereof.</w:t>
      </w:r>
    </w:p>
    <w:p>
      <w:pPr>
        <w:spacing w:after="0" w:line="158"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19" w:lineRule="exact"/>
        <w:rPr>
          <w:rFonts w:ascii="Times New Roman" w:cs="Times New Roman" w:eastAsia="Times New Roman" w:hAnsi="Times New Roman"/>
          <w:sz w:val="22"/>
          <w:szCs w:val="22"/>
          <w:color w:val="auto"/>
        </w:rPr>
      </w:pPr>
    </w:p>
    <w:p>
      <w:pPr>
        <w:ind w:left="7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color w:val="auto"/>
        </w:rPr>
        <w:t>“Change in Control” means:</w:t>
      </w:r>
    </w:p>
    <w:p>
      <w:pPr>
        <w:spacing w:after="0" w:line="206" w:lineRule="exact"/>
        <w:rPr>
          <w:rFonts w:ascii="Times New Roman" w:cs="Times New Roman" w:eastAsia="Times New Roman" w:hAnsi="Times New Roman"/>
          <w:sz w:val="22"/>
          <w:szCs w:val="22"/>
          <w:color w:val="auto"/>
        </w:rPr>
      </w:pPr>
    </w:p>
    <w:p>
      <w:pPr>
        <w:ind w:left="2252" w:right="20" w:hanging="755"/>
        <w:spacing w:after="0" w:line="237" w:lineRule="auto"/>
        <w:tabs>
          <w:tab w:leader="none" w:pos="225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corporation, partnership, limited liability company or other entity (a “Person”, which term shall include a group within the meaning of section 13(d) of the Securities Exchange Act of 1934 (the “Exchange Act”)) of ultimate beneficial ownership (within the meaning of Rule 13d-3 promulgated under the Exchange Act), directly or indirectly of 30% or more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provided, however, that for purposes of this subsection (a), the following acquisitions shall not constitute a Change of Control: (i) any such acquisition directly from the Company, except for acquisition of securities upon conversion of other securities of the Company (ii) any such acquisition by the Company, (iii) any such acquisition by any employee benefit plan (or related trust) sponsored or maintained by the Company or any corporation controlled by the Company or (iv) any such acquisition by any corporation pursuant to a transaction which complies with clauses (1), (2) and (3) of subsection (iii) of this Section 17(a); or</w:t>
      </w:r>
    </w:p>
    <w:p>
      <w:pPr>
        <w:spacing w:after="0" w:line="201" w:lineRule="exact"/>
        <w:rPr>
          <w:rFonts w:ascii="Times New Roman" w:cs="Times New Roman" w:eastAsia="Times New Roman" w:hAnsi="Times New Roman"/>
          <w:sz w:val="22"/>
          <w:szCs w:val="22"/>
          <w:color w:val="auto"/>
        </w:rPr>
      </w:pPr>
    </w:p>
    <w:p>
      <w:pPr>
        <w:ind w:left="2252" w:right="60" w:hanging="755"/>
        <w:spacing w:after="0" w:line="244" w:lineRule="auto"/>
        <w:tabs>
          <w:tab w:leader="none" w:pos="225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Board (the “Incumbent Board”) cease for any reason to constitute at least a majority of the Board; provided, however, that any individual becoming a director</w:t>
      </w:r>
    </w:p>
    <w:p>
      <w:pPr>
        <w:spacing w:after="0" w:line="389"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1960" w:right="40"/>
        <w:spacing w:after="0" w:line="238" w:lineRule="auto"/>
        <w:rPr>
          <w:sz w:val="20"/>
          <w:szCs w:val="20"/>
          <w:color w:val="auto"/>
        </w:rPr>
      </w:pPr>
      <w:r>
        <w:rPr>
          <w:rFonts w:ascii="Times New Roman" w:cs="Times New Roman" w:eastAsia="Times New Roman" w:hAnsi="Times New Roman"/>
          <w:sz w:val="22"/>
          <w:szCs w:val="22"/>
          <w:color w:val="auto"/>
        </w:rPr>
        <w:t>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7" w:lineRule="exact"/>
        <w:rPr>
          <w:sz w:val="20"/>
          <w:szCs w:val="20"/>
          <w:color w:val="auto"/>
        </w:rPr>
      </w:pPr>
    </w:p>
    <w:p>
      <w:pPr>
        <w:ind w:left="1960" w:right="40" w:hanging="755"/>
        <w:spacing w:after="0" w:line="248" w:lineRule="auto"/>
        <w:tabs>
          <w:tab w:leader="none" w:pos="19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or consolidation or sale or other disposition of all or substantially all of the assets of the Company in one or a series of transactions (a “Business Combination”),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immediately following such Business Combination more than 50% of, respectively, the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corporation resulting from such Business Combination or any employee benefit plan (or related trust) of the Company or such corporation resulting from such Business Combination) ultimately beneficially owns, directly or indirectly, 30%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3" w:lineRule="exact"/>
        <w:rPr>
          <w:rFonts w:ascii="Times New Roman" w:cs="Times New Roman" w:eastAsia="Times New Roman" w:hAnsi="Times New Roman"/>
          <w:sz w:val="21"/>
          <w:szCs w:val="21"/>
          <w:color w:val="auto"/>
        </w:rPr>
      </w:pPr>
    </w:p>
    <w:p>
      <w:pPr>
        <w:ind w:left="1960" w:hanging="755"/>
        <w:spacing w:after="0"/>
        <w:tabs>
          <w:tab w:leader="none" w:pos="19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17" w:lineRule="exact"/>
        <w:rPr>
          <w:rFonts w:ascii="Times New Roman" w:cs="Times New Roman" w:eastAsia="Times New Roman" w:hAnsi="Times New Roman"/>
          <w:sz w:val="21"/>
          <w:szCs w:val="21"/>
          <w:color w:val="auto"/>
        </w:rPr>
      </w:pPr>
    </w:p>
    <w:p>
      <w:pPr>
        <w:ind w:left="1200" w:right="500" w:hanging="743"/>
        <w:spacing w:after="0" w:line="258" w:lineRule="auto"/>
        <w:tabs>
          <w:tab w:leader="none" w:pos="12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 person who is or was a director, officer, employee, fiduciary or agent of the Company or of any other corporation,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75565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50" w:name="page51"/>
    <w:bookmarkEnd w:id="50"/>
    <w:p>
      <w:pPr>
        <w:ind w:left="100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jc w:val="both"/>
        <w:ind w:left="1200" w:right="20"/>
        <w:spacing w:after="0" w:line="248" w:lineRule="auto"/>
        <w:rPr>
          <w:sz w:val="20"/>
          <w:szCs w:val="20"/>
          <w:color w:val="auto"/>
        </w:rPr>
      </w:pPr>
      <w:r>
        <w:rPr>
          <w:rFonts w:ascii="Times New Roman" w:cs="Times New Roman" w:eastAsia="Times New Roman" w:hAnsi="Times New Roman"/>
          <w:sz w:val="22"/>
          <w:szCs w:val="22"/>
          <w:color w:val="auto"/>
        </w:rPr>
        <w:t>partnership, joint venture, trust, employee benefit plan or other enterprise which such person is or was serving at the request of the Company.</w:t>
      </w:r>
    </w:p>
    <w:p>
      <w:pPr>
        <w:spacing w:after="0" w:line="169" w:lineRule="exact"/>
        <w:rPr>
          <w:sz w:val="20"/>
          <w:szCs w:val="20"/>
          <w:color w:val="auto"/>
        </w:rPr>
      </w:pPr>
    </w:p>
    <w:p>
      <w:pPr>
        <w:ind w:left="1200" w:right="280" w:hanging="743"/>
        <w:spacing w:after="0" w:line="250" w:lineRule="auto"/>
        <w:tabs>
          <w:tab w:leader="none" w:pos="12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the Proceeding in respect of which indemnification is sought by Indemnitee and does not otherwise have an interest materially adverse to any interest of the Indemnitee.</w:t>
      </w:r>
    </w:p>
    <w:p>
      <w:pPr>
        <w:spacing w:after="0" w:line="167" w:lineRule="exact"/>
        <w:rPr>
          <w:rFonts w:ascii="Times New Roman" w:cs="Times New Roman" w:eastAsia="Times New Roman" w:hAnsi="Times New Roman"/>
          <w:sz w:val="22"/>
          <w:szCs w:val="22"/>
          <w:color w:val="auto"/>
        </w:rPr>
      </w:pPr>
    </w:p>
    <w:p>
      <w:pPr>
        <w:ind w:left="1200" w:hanging="743"/>
        <w:spacing w:after="0"/>
        <w:tabs>
          <w:tab w:leader="none" w:pos="12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[________], 2022.</w:t>
      </w:r>
    </w:p>
    <w:p>
      <w:pPr>
        <w:spacing w:after="0" w:line="219" w:lineRule="exact"/>
        <w:rPr>
          <w:rFonts w:ascii="Times New Roman" w:cs="Times New Roman" w:eastAsia="Times New Roman" w:hAnsi="Times New Roman"/>
          <w:sz w:val="22"/>
          <w:szCs w:val="22"/>
          <w:color w:val="auto"/>
        </w:rPr>
      </w:pPr>
    </w:p>
    <w:p>
      <w:pPr>
        <w:ind w:left="1200" w:right="40" w:hanging="743"/>
        <w:spacing w:after="0" w:line="237" w:lineRule="auto"/>
        <w:tabs>
          <w:tab w:leader="none" w:pos="12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shall mean all direct and indirect costs, fees and expenses of any type or nature whatsoever and shall specifically include, without limitation, all reasonable attorneys’ fees, retainers, court costs, transcript costs, fees and costs of experts, witness fees and costs,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or an appeal resulting from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attorneys’ fees and all other expenses incurred by or on behalf of Indemnitee in connection with preparing and submitting any requests or statements for indemnification, advancement, contribution or any other right provided by this Agreement. Expenses, however, shall not include amounts of judgments or fines against Indemnitee.</w:t>
      </w:r>
    </w:p>
    <w:p>
      <w:pPr>
        <w:spacing w:after="0" w:line="188" w:lineRule="exact"/>
        <w:rPr>
          <w:rFonts w:ascii="Times New Roman" w:cs="Times New Roman" w:eastAsia="Times New Roman" w:hAnsi="Times New Roman"/>
          <w:sz w:val="22"/>
          <w:szCs w:val="22"/>
          <w:color w:val="auto"/>
        </w:rPr>
      </w:pPr>
    </w:p>
    <w:p>
      <w:pPr>
        <w:ind w:left="1200" w:right="300" w:hanging="743"/>
        <w:spacing w:after="0" w:line="251" w:lineRule="auto"/>
        <w:tabs>
          <w:tab w:leader="none" w:pos="12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21"/>
          <w:szCs w:val="21"/>
          <w:color w:val="auto"/>
        </w:rPr>
      </w:pPr>
    </w:p>
    <w:p>
      <w:pPr>
        <w:ind w:left="1200" w:right="20" w:hanging="743"/>
        <w:spacing w:after="0" w:line="244" w:lineRule="auto"/>
        <w:tabs>
          <w:tab w:leader="none" w:pos="12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includes any threatened, pending or completed action, suit, arbitration, alternate dispute resolution mechanism, investigation, inquiry, administrative hearing or any other actual, threatened or completed proceeding,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75565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51" w:name="page52"/>
    <w:bookmarkEnd w:id="51"/>
    <w:p>
      <w:pPr>
        <w:ind w:left="10312"/>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1492" w:right="160"/>
        <w:spacing w:after="0" w:line="248" w:lineRule="auto"/>
        <w:rPr>
          <w:sz w:val="20"/>
          <w:szCs w:val="20"/>
          <w:color w:val="auto"/>
        </w:rPr>
      </w:pPr>
      <w:r>
        <w:rPr>
          <w:rFonts w:ascii="Times New Roman" w:cs="Times New Roman" w:eastAsia="Times New Roman" w:hAnsi="Times New Roman"/>
          <w:sz w:val="21"/>
          <w:szCs w:val="21"/>
          <w:color w:val="auto"/>
        </w:rPr>
        <w:t>whether brought by or in the right of the Company or otherwise and whether civil, criminal, administrative or investigative, in which Indemnitee was, is, may be or will be involved as a party or otherwise, by reason of the fact that Indemnitee is or was a director or officer of the Company, by reason of any action taken by him or of any inaction on his part while acting as director or officer of the Company, or by reason of the fact that he is or was serving at the request of the Company as a director, officer, employee or agent of another corporation, partnership, joint venture, trust or other enterprise; in each case whether or not he is acting or serving in any such capacity at the time any liability or expense is incurred for which indemnification or advancement of expenses can be provided under this Agreement; except one (i) initiated by an Indemnitee pursuant to Section 10 of this Agreement to enforce his right under this Agreement or (ii) pending on or before the Effective Date.</w:t>
      </w:r>
    </w:p>
    <w:p>
      <w:pPr>
        <w:spacing w:after="0" w:line="187" w:lineRule="exact"/>
        <w:rPr>
          <w:sz w:val="20"/>
          <w:szCs w:val="20"/>
          <w:color w:val="auto"/>
        </w:rPr>
      </w:pPr>
    </w:p>
    <w:p>
      <w:pPr>
        <w:ind w:left="752" w:hanging="752"/>
        <w:spacing w:after="0"/>
        <w:tabs>
          <w:tab w:leader="none" w:pos="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92" w:right="560" w:hanging="743"/>
        <w:spacing w:after="0" w:line="244" w:lineRule="auto"/>
        <w:tabs>
          <w:tab w:leader="none" w:pos="14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confirms and agrees that it has entered into this Agreement and assumed the obligations imposed on it hereby in order to induce Indemnitee to serve as a director and/or officer of the Company, and the Company acknowledges that Indemnitee is relying upon this Agreement in serving as a director and/or officer of the Company.</w:t>
      </w:r>
    </w:p>
    <w:p>
      <w:pPr>
        <w:spacing w:after="0" w:line="186" w:lineRule="exact"/>
        <w:rPr>
          <w:rFonts w:ascii="Times New Roman" w:cs="Times New Roman" w:eastAsia="Times New Roman" w:hAnsi="Times New Roman"/>
          <w:sz w:val="22"/>
          <w:szCs w:val="22"/>
          <w:color w:val="auto"/>
        </w:rPr>
      </w:pPr>
    </w:p>
    <w:p>
      <w:pPr>
        <w:jc w:val="both"/>
        <w:ind w:left="1492" w:right="300" w:hanging="743"/>
        <w:spacing w:after="0" w:line="250" w:lineRule="auto"/>
        <w:tabs>
          <w:tab w:leader="none" w:pos="14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7" w:lineRule="exact"/>
        <w:rPr>
          <w:rFonts w:ascii="Times New Roman" w:cs="Times New Roman" w:eastAsia="Times New Roman" w:hAnsi="Times New Roman"/>
          <w:sz w:val="22"/>
          <w:szCs w:val="22"/>
          <w:color w:val="auto"/>
        </w:rPr>
      </w:pPr>
    </w:p>
    <w:p>
      <w:pPr>
        <w:ind w:left="752" w:right="100" w:hanging="752"/>
        <w:spacing w:after="0" w:line="244" w:lineRule="auto"/>
        <w:tabs>
          <w:tab w:leader="none" w:pos="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6" w:lineRule="exact"/>
        <w:rPr>
          <w:rFonts w:ascii="Times New Roman" w:cs="Times New Roman" w:eastAsia="Times New Roman" w:hAnsi="Times New Roman"/>
          <w:sz w:val="22"/>
          <w:szCs w:val="22"/>
          <w:color w:val="auto"/>
        </w:rPr>
      </w:pPr>
    </w:p>
    <w:p>
      <w:pPr>
        <w:ind w:left="752" w:right="40" w:hanging="752"/>
        <w:spacing w:after="0" w:line="238" w:lineRule="auto"/>
        <w:tabs>
          <w:tab w:leader="none" w:pos="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Indemnitee</w:t>
      </w:r>
      <w:r>
        <w:rPr>
          <w:rFonts w:ascii="Times New Roman" w:cs="Times New Roman" w:eastAsia="Times New Roman" w:hAnsi="Times New Roman"/>
          <w:sz w:val="22"/>
          <w:szCs w:val="22"/>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Any failure by Indemnitee to notify the Company will relieve the Company of its advancement or indemnification obligations under this Agreement only to the extent the Company can establish that such omission to notify resulted in actual and material prejudice to it which cannot be reversed or otherwise eliminated without any material negative effect on the Company, and the omission to notify the Company will, in any event, not relieve the Company from any liability which it may have to indemnify Indemnitee otherwise than under this Agreement. If, at the time of receipt of any such notice, the Company has director and officer insurance policies in effect, the Company will promptly notify the relevant insurers in accordance with the procedures and requirements of such policies.</w:t>
      </w:r>
    </w:p>
    <w:p>
      <w:pPr>
        <w:spacing w:after="0" w:line="394"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4" w:lineRule="exact"/>
        <w:rPr>
          <w:sz w:val="20"/>
          <w:szCs w:val="20"/>
          <w:color w:val="auto"/>
        </w:rPr>
      </w:pPr>
    </w:p>
    <w:p>
      <w:pPr>
        <w:ind w:left="760" w:right="60" w:hanging="752"/>
        <w:spacing w:after="0" w:line="237"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or other communications hereunder shall be in writing and shall be deemed to have been duly given if (i) delivered by hand and receipted for by the party to whom said notice or other communication shall have been direct, or (ii) mailed by certified or registered mail with postage prepaid, on the third business day after the date on which it is so mailed:</w:t>
      </w:r>
    </w:p>
    <w:p>
      <w:pPr>
        <w:spacing w:after="0" w:line="192" w:lineRule="exact"/>
        <w:rPr>
          <w:sz w:val="20"/>
          <w:szCs w:val="20"/>
          <w:color w:val="auto"/>
        </w:rPr>
      </w:pPr>
    </w:p>
    <w:p>
      <w:pPr>
        <w:ind w:left="1500" w:hanging="7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[INDEMNITEE’S NAME]</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[ADDRESS]</w:t>
      </w:r>
    </w:p>
    <w:p>
      <w:pPr>
        <w:spacing w:after="0" w:line="385" w:lineRule="exact"/>
        <w:rPr>
          <w:sz w:val="20"/>
          <w:szCs w:val="20"/>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30 Frank Lloyd Wright Drive</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Ann Arbor, Michigan 48106</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760" w:right="240"/>
        <w:spacing w:after="0" w:line="258" w:lineRule="auto"/>
        <w:rPr>
          <w:sz w:val="20"/>
          <w:szCs w:val="20"/>
          <w:color w:val="auto"/>
        </w:rPr>
      </w:pPr>
      <w:r>
        <w:rPr>
          <w:rFonts w:ascii="Times New Roman" w:cs="Times New Roman" w:eastAsia="Times New Roman" w:hAnsi="Times New Roman"/>
          <w:sz w:val="22"/>
          <w:szCs w:val="22"/>
          <w:color w:val="auto"/>
        </w:rPr>
        <w:t>or to such other address as may have been furnished to Indemnitee by the Company or to the Company by Indemnitee, as the case may be.</w:t>
      </w:r>
    </w:p>
    <w:p>
      <w:pPr>
        <w:spacing w:after="0" w:line="158" w:lineRule="exact"/>
        <w:rPr>
          <w:sz w:val="20"/>
          <w:szCs w:val="20"/>
          <w:color w:val="auto"/>
        </w:rPr>
      </w:pPr>
    </w:p>
    <w:p>
      <w:pPr>
        <w:ind w:left="760" w:right="60" w:hanging="752"/>
        <w:spacing w:after="0" w:line="251" w:lineRule="auto"/>
        <w:tabs>
          <w:tab w:leader="none" w:pos="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0" w:lineRule="exact"/>
        <w:rPr>
          <w:rFonts w:ascii="Times New Roman" w:cs="Times New Roman" w:eastAsia="Times New Roman" w:hAnsi="Times New Roman"/>
          <w:sz w:val="21"/>
          <w:szCs w:val="21"/>
          <w:color w:val="auto"/>
        </w:rPr>
      </w:pPr>
    </w:p>
    <w:p>
      <w:pPr>
        <w:ind w:left="760" w:right="300" w:hanging="752"/>
        <w:spacing w:after="0" w:line="238" w:lineRule="auto"/>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Submission to Jurisdiction; Appointment of Agent for Service of Process</w:t>
      </w:r>
      <w:r>
        <w:rPr>
          <w:rFonts w:ascii="Times New Roman" w:cs="Times New Roman" w:eastAsia="Times New Roman" w:hAnsi="Times New Roman"/>
          <w:sz w:val="22"/>
          <w:szCs w:val="22"/>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10(a) of this 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a resident of the State of Delaware, irrevocably [_______________] as its agent in the State of Delaware for acceptance of legal process in connection with any such action or proceeding against such party with the same legal</w:t>
      </w:r>
    </w:p>
    <w:p>
      <w:pPr>
        <w:spacing w:after="0" w:line="3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760" w:right="260"/>
        <w:spacing w:after="0" w:line="237" w:lineRule="auto"/>
        <w:rPr>
          <w:sz w:val="20"/>
          <w:szCs w:val="20"/>
          <w:color w:val="auto"/>
        </w:rPr>
      </w:pPr>
      <w:r>
        <w:rPr>
          <w:rFonts w:ascii="Times New Roman" w:cs="Times New Roman" w:eastAsia="Times New Roman" w:hAnsi="Times New Roman"/>
          <w:sz w:val="22"/>
          <w:szCs w:val="22"/>
          <w:color w:val="auto"/>
        </w:rPr>
        <w:t>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otherwise inconvenient forum.</w:t>
      </w:r>
    </w:p>
    <w:p>
      <w:pPr>
        <w:spacing w:after="0" w:line="192" w:lineRule="exact"/>
        <w:rPr>
          <w:sz w:val="20"/>
          <w:szCs w:val="20"/>
          <w:color w:val="auto"/>
        </w:rPr>
      </w:pPr>
    </w:p>
    <w:p>
      <w:pPr>
        <w:ind w:left="760" w:right="840" w:hanging="752"/>
        <w:spacing w:after="0" w:line="258" w:lineRule="auto"/>
        <w:tabs>
          <w:tab w:leader="none" w:pos="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Use of the masculine pronoun shall be deemed to include usage of the feminine pronoun where appropriate.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ind w:left="100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on the day and year first above written.</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5"/>
          <w:szCs w:val="25"/>
          <w:b w:val="1"/>
          <w:bCs w:val="1"/>
          <w:color w:val="auto"/>
        </w:rPr>
        <w:t>D</w:t>
      </w:r>
      <w:r>
        <w:rPr>
          <w:rFonts w:ascii="Times New Roman" w:cs="Times New Roman" w:eastAsia="Times New Roman" w:hAnsi="Times New Roman"/>
          <w:sz w:val="17"/>
          <w:szCs w:val="17"/>
          <w:b w:val="1"/>
          <w:bCs w:val="1"/>
          <w:color w:val="auto"/>
        </w:rPr>
        <w:t>omino</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izza</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By:____________________________</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w:t>
      </w:r>
    </w:p>
    <w:p>
      <w:pPr>
        <w:ind w:left="4580"/>
        <w:spacing w:after="0"/>
        <w:rPr>
          <w:sz w:val="20"/>
          <w:szCs w:val="20"/>
          <w:color w:val="auto"/>
        </w:rPr>
      </w:pPr>
      <w:r>
        <w:rPr>
          <w:rFonts w:ascii="Times New Roman" w:cs="Times New Roman" w:eastAsia="Times New Roman" w:hAnsi="Times New Roman"/>
          <w:sz w:val="22"/>
          <w:szCs w:val="22"/>
          <w:color w:val="auto"/>
        </w:rPr>
        <w:t>Title:</w:t>
      </w:r>
    </w:p>
    <w:p>
      <w:pPr>
        <w:spacing w:after="0" w:line="3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w:t>
      </w:r>
    </w:p>
    <w:p>
      <w:pPr>
        <w:ind w:left="14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66675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16"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8"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44" w:lineRule="auto"/>
        <w:tabs>
          <w:tab w:leader="none" w:pos="3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4" w:lineRule="auto"/>
        <w:tabs>
          <w:tab w:leader="none" w:pos="7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36" w:lineRule="auto"/>
        <w:tabs>
          <w:tab w:leader="none" w:pos="7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July 21, 2022</w:t>
            </w: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20" w:type="dxa"/>
            <w:vAlign w:val="bottom"/>
          </w:tcPr>
          <w:p>
            <w:pPr>
              <w:spacing w:after="0"/>
              <w:rPr>
                <w:sz w:val="17"/>
                <w:szCs w:val="17"/>
                <w:color w:val="auto"/>
              </w:rPr>
            </w:pPr>
          </w:p>
        </w:tc>
        <w:tc>
          <w:tcPr>
            <w:tcW w:w="10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5820" w:type="dxa"/>
            <w:vAlign w:val="bottom"/>
          </w:tcPr>
          <w:p>
            <w:pPr>
              <w:spacing w:after="0"/>
              <w:rPr>
                <w:sz w:val="17"/>
                <w:szCs w:val="17"/>
                <w:color w:val="auto"/>
              </w:rPr>
            </w:pPr>
          </w:p>
        </w:tc>
        <w:tc>
          <w:tcPr>
            <w:tcW w:w="16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c>
          <w:tcPr>
            <w:tcW w:w="27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514"/>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16"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8"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44" w:lineRule="auto"/>
        <w:tabs>
          <w:tab w:leader="none" w:pos="3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4" w:lineRule="auto"/>
        <w:tabs>
          <w:tab w:leader="none" w:pos="7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36" w:lineRule="auto"/>
        <w:tabs>
          <w:tab w:leader="none" w:pos="7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July 21, 2022</w:t>
            </w: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20" w:type="dxa"/>
            <w:vAlign w:val="bottom"/>
          </w:tcPr>
          <w:p>
            <w:pPr>
              <w:spacing w:after="0"/>
              <w:rPr>
                <w:sz w:val="17"/>
                <w:szCs w:val="17"/>
                <w:color w:val="auto"/>
              </w:rPr>
            </w:pPr>
          </w:p>
        </w:tc>
        <w:tc>
          <w:tcPr>
            <w:tcW w:w="10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6420" w:type="dxa"/>
            <w:vAlign w:val="bottom"/>
          </w:tcPr>
          <w:p>
            <w:pPr>
              <w:spacing w:after="0"/>
              <w:rPr>
                <w:sz w:val="17"/>
                <w:szCs w:val="17"/>
                <w:color w:val="auto"/>
              </w:rPr>
            </w:pPr>
          </w:p>
        </w:tc>
        <w:tc>
          <w:tcPr>
            <w:tcW w:w="14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c>
          <w:tcPr>
            <w:tcW w:w="226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ind w:left="444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85"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19, 2022, as filed with the Securities and Exchange Commission (the “Report”), I, Russell J. Weiner, Chief Executive Officer of the Company, certify, pursuant to 18 U.S.C. § 1350, adopted pursuant to §906 of the Sarbanes-Oxley Act of 2002, that based on my knowledge:</w:t>
      </w:r>
    </w:p>
    <w:p>
      <w:pPr>
        <w:spacing w:after="0" w:line="375" w:lineRule="exact"/>
        <w:rPr>
          <w:sz w:val="20"/>
          <w:szCs w:val="20"/>
          <w:color w:val="auto"/>
        </w:rPr>
      </w:pPr>
    </w:p>
    <w:p>
      <w:pPr>
        <w:ind w:left="760" w:right="400" w:hanging="378"/>
        <w:spacing w:after="0" w:line="271" w:lineRule="auto"/>
        <w:tabs>
          <w:tab w:leader="none" w:pos="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22"/>
          <w:szCs w:val="22"/>
          <w:color w:val="auto"/>
        </w:rPr>
      </w:pPr>
    </w:p>
    <w:p>
      <w:pPr>
        <w:ind w:left="760" w:right="460" w:hanging="378"/>
        <w:spacing w:after="0" w:line="271" w:lineRule="auto"/>
        <w:tabs>
          <w:tab w:leader="none" w:pos="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u w:val="single" w:color="auto"/>
          <w:color w:val="auto"/>
        </w:rPr>
        <w:t>/s/ Russell J. Weiner</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Russell J. Weiner</w:t>
      </w:r>
    </w:p>
    <w:p>
      <w:pPr>
        <w:ind w:left="3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ind w:left="444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8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19, 2022, as filed with the Securities and Exchange Commission (the “Report”), I, Sandeep Reddy, Chief Financial Officer of the Company, certify, pursuant to 18 U.S.C. § 1350, adopted pursuant to §906 of the Sarbanes-Oxley Act of 2002, that based on my knowledge:</w:t>
      </w:r>
    </w:p>
    <w:p>
      <w:pPr>
        <w:spacing w:after="0" w:line="375" w:lineRule="exact"/>
        <w:rPr>
          <w:sz w:val="20"/>
          <w:szCs w:val="20"/>
          <w:color w:val="auto"/>
        </w:rPr>
      </w:pPr>
    </w:p>
    <w:p>
      <w:pPr>
        <w:ind w:left="760" w:right="400" w:hanging="378"/>
        <w:spacing w:after="0" w:line="271"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22"/>
          <w:szCs w:val="22"/>
          <w:color w:val="auto"/>
        </w:rPr>
      </w:pPr>
    </w:p>
    <w:p>
      <w:pPr>
        <w:ind w:left="760" w:right="460" w:hanging="378"/>
        <w:spacing w:after="0" w:line="271"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u w:val="single" w:color="auto"/>
          <w:color w:val="auto"/>
        </w:rPr>
        <w:t>/s/ Sandeep Reddy</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Sandeep Reddy</w:t>
      </w:r>
    </w:p>
    <w:p>
      <w:pPr>
        <w:ind w:left="376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6"/>
    </w:lvl>
  </w:abstractNum>
  <w:abstractNum w:abstractNumId="4">
    <w:nsid w:val="4353D0CD"/>
    <w:multiLevelType w:val="hybridMultilevel"/>
    <w:lvl w:ilvl="0">
      <w:lvlJc w:val="left"/>
      <w:lvlText w:val="%1."/>
      <w:numFmt w:val="decimal"/>
      <w:start w:val="10"/>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04"/>
    </w:lvl>
  </w:abstractNum>
  <w:abstractNum w:abstractNumId="12">
    <w:nsid w:val="3A95F874"/>
    <w:multiLevelType w:val="hybridMultilevel"/>
    <w:lvl w:ilvl="0">
      <w:lvlJc w:val="left"/>
      <w:lvlText w:val="(%1)"/>
      <w:numFmt w:val="lowerLetter"/>
      <w:start w:val="1"/>
    </w:lvl>
    <w:lvl w:ilvl="1">
      <w:lvlJc w:val="left"/>
      <w:lvlText w:val="(%2)"/>
      <w:numFmt w:val="lowerRoman"/>
      <w:start w:val="1"/>
    </w:lvl>
  </w:abstractNum>
  <w:abstractNum w:abstractNumId="13">
    <w:nsid w:val="8138641"/>
    <w:multiLevelType w:val="hybridMultilevel"/>
    <w:lvl w:ilvl="0">
      <w:lvlJc w:val="left"/>
      <w:lvlText w:val="(%1)"/>
      <w:numFmt w:val="lowerRoman"/>
      <w:start w:val="2"/>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1)"/>
      <w:numFmt w:val="lowerRoman"/>
      <w:start w:val="2"/>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4"/>
    </w:lvl>
    <w:lvl w:ilvl="1">
      <w:lvlJc w:val="left"/>
      <w:lvlText w:val="%2."/>
      <w:numFmt w:val="lowerLetter"/>
      <w:start w:val="1"/>
    </w:lvl>
  </w:abstractNum>
  <w:abstractNum w:abstractNumId="19">
    <w:nsid w:val="4516DDE9"/>
    <w:multiLevelType w:val="hybridMultilevel"/>
    <w:lvl w:ilvl="0">
      <w:lvlJc w:val="left"/>
      <w:lvlText w:val="%1"/>
      <w:numFmt w:val="decimal"/>
      <w:start w:val="1"/>
    </w:lvl>
    <w:lvl w:ilvl="1">
      <w:lvlJc w:val="left"/>
      <w:lvlText w:val="%2."/>
      <w:numFmt w:val="lowerLetter"/>
      <w:start w:val="2"/>
    </w:lvl>
  </w:abstractNum>
  <w:abstractNum w:abstractNumId="20">
    <w:nsid w:val="3006C83E"/>
    <w:multiLevelType w:val="hybridMultilevel"/>
    <w:lvl w:ilvl="0">
      <w:lvlJc w:val="left"/>
      <w:lvlText w:val="%1."/>
      <w:numFmt w:val="decimal"/>
      <w:start w:val="7"/>
    </w:lvl>
    <w:lvl w:ilvl="1">
      <w:lvlJc w:val="left"/>
      <w:lvlText w:val="%2."/>
      <w:numFmt w:val="lowerLetter"/>
      <w:start w:val="1"/>
    </w:lvl>
  </w:abstractNum>
  <w:abstractNum w:abstractNumId="21">
    <w:nsid w:val="614FD4A1"/>
    <w:multiLevelType w:val="hybridMultilevel"/>
    <w:lvl w:ilvl="0">
      <w:lvlJc w:val="left"/>
      <w:lvlText w:val="%1."/>
      <w:numFmt w:val="lowerLetter"/>
      <w:start w:val="3"/>
    </w:lvl>
  </w:abstractNum>
  <w:abstractNum w:abstractNumId="22">
    <w:nsid w:val="419AC241"/>
    <w:multiLevelType w:val="hybridMultilevel"/>
    <w:lvl w:ilvl="0">
      <w:lvlJc w:val="left"/>
      <w:lvlText w:val="%1"/>
      <w:numFmt w:val="decimal"/>
      <w:start w:val="1"/>
    </w:lvl>
    <w:lvl w:ilvl="1">
      <w:lvlJc w:val="left"/>
      <w:lvlText w:val="%2."/>
      <w:numFmt w:val="lowerLetter"/>
      <w:start w:val="4"/>
    </w:lvl>
  </w:abstractNum>
  <w:abstractNum w:abstractNumId="23">
    <w:nsid w:val="5577F8E1"/>
    <w:multiLevelType w:val="hybridMultilevel"/>
    <w:lvl w:ilvl="0">
      <w:lvlJc w:val="left"/>
      <w:lvlText w:val="%1."/>
      <w:numFmt w:val="decimal"/>
      <w:start w:val="9"/>
    </w:lvl>
    <w:lvl w:ilvl="1">
      <w:lvlJc w:val="left"/>
      <w:lvlText w:val="%2."/>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decimal"/>
      <w:start w:val="1"/>
    </w:lvl>
    <w:lvl w:ilvl="1">
      <w:lvlJc w:val="left"/>
      <w:lvlText w:val="%2."/>
      <w:numFmt w:val="lowerLetter"/>
      <w:start w:val="4"/>
    </w:lvl>
  </w:abstractNum>
  <w:abstractNum w:abstractNumId="26">
    <w:nsid w:val="3804823E"/>
    <w:multiLevelType w:val="hybridMultilevel"/>
    <w:lvl w:ilvl="0">
      <w:lvlJc w:val="left"/>
      <w:lvlText w:val="%1."/>
      <w:numFmt w:val="decimal"/>
      <w:start w:val="10"/>
    </w:lvl>
    <w:lvl w:ilvl="1">
      <w:lvlJc w:val="left"/>
      <w:lvlText w:val="%2."/>
      <w:numFmt w:val="lowerLetter"/>
      <w:start w:val="1"/>
    </w:lvl>
  </w:abstractNum>
  <w:abstractNum w:abstractNumId="27">
    <w:nsid w:val="77465F01"/>
    <w:multiLevelType w:val="hybridMultilevel"/>
    <w:lvl w:ilvl="0">
      <w:lvlJc w:val="left"/>
      <w:lvlText w:val="%1"/>
      <w:numFmt w:val="decimal"/>
      <w:start w:val="1"/>
    </w:lvl>
    <w:lvl w:ilvl="1">
      <w:lvlJc w:val="left"/>
      <w:lvlText w:val="%2."/>
      <w:numFmt w:val="lowerLetter"/>
      <w:start w:val="3"/>
    </w:lvl>
  </w:abstractNum>
  <w:abstractNum w:abstractNumId="28">
    <w:nsid w:val="7724C67E"/>
    <w:multiLevelType w:val="hybridMultilevel"/>
    <w:lvl w:ilvl="0">
      <w:lvlJc w:val="left"/>
      <w:lvlText w:val="%1."/>
      <w:numFmt w:val="decimal"/>
      <w:start w:val="11"/>
    </w:lvl>
    <w:lvl w:ilvl="1">
      <w:lvlJc w:val="left"/>
      <w:lvlText w:val="%2."/>
      <w:numFmt w:val="lowerLetter"/>
      <w:start w:val="1"/>
    </w:lvl>
  </w:abstractNum>
  <w:abstractNum w:abstractNumId="29">
    <w:nsid w:val="5C482A97"/>
    <w:multiLevelType w:val="hybridMultilevel"/>
    <w:lvl w:ilvl="0">
      <w:lvlJc w:val="left"/>
      <w:lvlText w:val="%1."/>
      <w:numFmt w:val="lowerLetter"/>
      <w:start w:val="2"/>
    </w:lvl>
  </w:abstractNum>
  <w:abstractNum w:abstractNumId="30">
    <w:nsid w:val="2463B9EA"/>
    <w:multiLevelType w:val="hybridMultilevel"/>
    <w:lvl w:ilvl="0">
      <w:lvlJc w:val="left"/>
      <w:lvlText w:val="%1"/>
      <w:numFmt w:val="decimal"/>
      <w:start w:val="1"/>
    </w:lvl>
    <w:lvl w:ilvl="1">
      <w:lvlJc w:val="left"/>
      <w:lvlText w:val="%2."/>
      <w:numFmt w:val="lowerLetter"/>
      <w:start w:val="5"/>
    </w:lvl>
  </w:abstractNum>
  <w:abstractNum w:abstractNumId="31">
    <w:nsid w:val="5E884ADC"/>
    <w:multiLevelType w:val="hybridMultilevel"/>
    <w:lvl w:ilvl="0">
      <w:lvlJc w:val="left"/>
      <w:lvlText w:val="%1."/>
      <w:numFmt w:val="decimal"/>
      <w:start w:val="12"/>
    </w:lvl>
    <w:lvl w:ilvl="1">
      <w:lvlJc w:val="left"/>
      <w:lvlText w:val="%2."/>
      <w:numFmt w:val="lowerLetter"/>
      <w:start w:val="1"/>
    </w:lvl>
  </w:abstractNum>
  <w:abstractNum w:abstractNumId="32">
    <w:nsid w:val="51EAD36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3">
    <w:nsid w:val="2D517796"/>
    <w:multiLevelType w:val="hybridMultilevel"/>
    <w:lvl w:ilvl="0">
      <w:lvlJc w:val="left"/>
      <w:lvlText w:val="%1"/>
      <w:numFmt w:val="lowerLetter"/>
      <w:start w:val="1"/>
    </w:lvl>
    <w:lvl w:ilvl="1">
      <w:lvlJc w:val="left"/>
      <w:lvlText w:val="%2."/>
      <w:numFmt w:val="lowerRoman"/>
      <w:start w:val="3"/>
    </w:lvl>
  </w:abstractNum>
  <w:abstractNum w:abstractNumId="34">
    <w:nsid w:val="580BD78F"/>
    <w:multiLevelType w:val="hybridMultilevel"/>
    <w:lvl w:ilvl="0">
      <w:lvlJc w:val="left"/>
      <w:lvlText w:val="%1."/>
      <w:numFmt w:val="lowerLetter"/>
      <w:start w:val="2"/>
    </w:lvl>
    <w:lvl w:ilvl="1">
      <w:lvlJc w:val="left"/>
      <w:lvlText w:val="%2"/>
      <w:numFmt w:val="lowerRoman"/>
      <w:start w:val="1"/>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decimal"/>
      <w:start w:val="18"/>
    </w:lvl>
    <w:lvl w:ilvl="1">
      <w:lvlJc w:val="left"/>
      <w:lvlText w:val="%2."/>
      <w:numFmt w:val="lowerLetter"/>
      <w:start w:val="1"/>
    </w:lvl>
  </w:abstractNum>
  <w:abstractNum w:abstractNumId="37">
    <w:nsid w:val="70A64E2A"/>
    <w:multiLevelType w:val="hybridMultilevel"/>
    <w:lvl w:ilvl="0">
      <w:lvlJc w:val="left"/>
      <w:lvlText w:val="%1."/>
      <w:numFmt w:val="decimal"/>
      <w:start w:val="2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2"/>
    </w:lvl>
  </w:abstractNum>
  <w:abstractNum w:abstractNumId="40">
    <w:nsid w:val="1D4ED43B"/>
    <w:multiLevelType w:val="hybridMultilevel"/>
    <w:lvl w:ilvl="0">
      <w:lvlJc w:val="left"/>
      <w:lvlText w:val="%1."/>
      <w:numFmt w:val="decimal"/>
      <w:start w:val="22"/>
    </w:lvl>
  </w:abstractNum>
  <w:abstractNum w:abstractNumId="41">
    <w:nsid w:val="725A06FB"/>
    <w:multiLevelType w:val="hybridMultilevel"/>
    <w:lvl w:ilvl="0">
      <w:lvlJc w:val="left"/>
      <w:lvlText w:val="%1."/>
      <w:numFmt w:val="decimal"/>
      <w:start w:val="2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2022-07-21T06:40:29Z</dcterms:created>
  <dcterms:modified xsi:type="dcterms:W3CDTF">2022-07-21T06:40:29Z</dcterms:modified>
</cp:coreProperties>
</file>