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607060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242570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3660" w:right="1420" w:hanging="3653"/>
        <w:spacing w:after="0" w:line="488" w:lineRule="auto"/>
        <w:tabs>
          <w:tab w:leader="none" w:pos="4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28,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8"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6" w:lineRule="exact"/>
        <w:rPr>
          <w:sz w:val="24"/>
          <w:szCs w:val="24"/>
          <w:color w:val="auto"/>
        </w:rPr>
      </w:pPr>
    </w:p>
    <w:tbl>
      <w:tblPr>
        <w:tblLayout w:type="fixed"/>
        <w:tblInd w:w="328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80" w:type="dxa"/>
            <w:vAlign w:val="bottom"/>
            <w:tcBorders>
              <w:bottom w:val="single" w:sz="8" w:color="auto"/>
            </w:tcBorders>
          </w:tcPr>
          <w:p>
            <w:pPr>
              <w:spacing w:after="0"/>
              <w:rPr>
                <w:sz w:val="17"/>
                <w:szCs w:val="17"/>
                <w:color w:val="auto"/>
              </w:rPr>
            </w:pPr>
          </w:p>
        </w:tc>
      </w:tr>
      <w:tr>
        <w:trPr>
          <w:trHeight w:val="447"/>
        </w:trPr>
        <w:tc>
          <w:tcPr>
            <w:tcW w:w="436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230505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Domino’s Pizza,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540" w:type="dxa"/>
        <w:tblCellMar>
          <w:top w:w="0" w:type="dxa"/>
          <w:left w:w="0" w:type="dxa"/>
          <w:bottom w:w="0" w:type="dxa"/>
          <w:right w:w="0" w:type="dxa"/>
        </w:tblCellMar>
      </w:tblPr>
      <w:tr>
        <w:trPr>
          <w:trHeight w:val="210"/>
        </w:trPr>
        <w:tc>
          <w:tcPr>
            <w:tcW w:w="5880" w:type="dxa"/>
            <w:vAlign w:val="bottom"/>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62"/>
              <w:spacing w:after="0"/>
              <w:rPr>
                <w:sz w:val="20"/>
                <w:szCs w:val="20"/>
                <w:color w:val="auto"/>
              </w:rPr>
            </w:pPr>
            <w:r>
              <w:rPr>
                <w:rFonts w:ascii="Arial" w:cs="Arial" w:eastAsia="Arial" w:hAnsi="Arial"/>
                <w:sz w:val="18"/>
                <w:szCs w:val="18"/>
                <w:b w:val="1"/>
                <w:bCs w:val="1"/>
                <w:color w:val="auto"/>
              </w:rPr>
              <w:t>38-2511577</w:t>
            </w:r>
          </w:p>
        </w:tc>
      </w:tr>
      <w:tr>
        <w:trPr>
          <w:trHeight w:val="147"/>
        </w:trPr>
        <w:tc>
          <w:tcPr>
            <w:tcW w:w="5880" w:type="dxa"/>
            <w:vAlign w:val="bottom"/>
          </w:tcPr>
          <w:p>
            <w:pPr>
              <w:jc w:val="center"/>
              <w:ind w:right="336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1420" w:type="dxa"/>
            <w:vAlign w:val="bottom"/>
          </w:tcPr>
          <w:p>
            <w:pPr>
              <w:jc w:val="center"/>
              <w:ind w:left="202"/>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5880" w:type="dxa"/>
            <w:vAlign w:val="bottom"/>
          </w:tcPr>
          <w:p>
            <w:pPr>
              <w:jc w:val="center"/>
              <w:ind w:right="3360"/>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5880" w:type="dxa"/>
            <w:vAlign w:val="bottom"/>
          </w:tcPr>
          <w:p>
            <w:pPr>
              <w:jc w:val="center"/>
              <w:ind w:right="3360"/>
              <w:spacing w:after="0"/>
              <w:rPr>
                <w:sz w:val="20"/>
                <w:szCs w:val="20"/>
                <w:color w:val="auto"/>
              </w:rPr>
            </w:pPr>
            <w:r>
              <w:rPr>
                <w:rFonts w:ascii="Arial" w:cs="Arial" w:eastAsia="Arial" w:hAnsi="Arial"/>
                <w:sz w:val="18"/>
                <w:szCs w:val="18"/>
                <w:b w:val="1"/>
                <w:bCs w:val="1"/>
                <w:color w:val="auto"/>
                <w:w w:val="93"/>
              </w:rPr>
              <w:t>30 Frank Lloyd Wright Drive</w:t>
            </w:r>
          </w:p>
        </w:tc>
        <w:tc>
          <w:tcPr>
            <w:tcW w:w="1420" w:type="dxa"/>
            <w:vAlign w:val="bottom"/>
          </w:tcPr>
          <w:p>
            <w:pPr>
              <w:spacing w:after="0"/>
              <w:rPr>
                <w:sz w:val="24"/>
                <w:szCs w:val="24"/>
                <w:color w:val="auto"/>
              </w:rPr>
            </w:pPr>
          </w:p>
        </w:tc>
      </w:tr>
      <w:tr>
        <w:trPr>
          <w:trHeight w:val="223"/>
        </w:trPr>
        <w:tc>
          <w:tcPr>
            <w:tcW w:w="5880" w:type="dxa"/>
            <w:vAlign w:val="bottom"/>
          </w:tcPr>
          <w:p>
            <w:pPr>
              <w:jc w:val="center"/>
              <w:ind w:right="3360"/>
              <w:spacing w:after="0"/>
              <w:rPr>
                <w:sz w:val="20"/>
                <w:szCs w:val="20"/>
                <w:color w:val="auto"/>
              </w:rPr>
            </w:pPr>
            <w:r>
              <w:rPr>
                <w:rFonts w:ascii="Arial" w:cs="Arial" w:eastAsia="Arial" w:hAnsi="Arial"/>
                <w:sz w:val="18"/>
                <w:szCs w:val="18"/>
                <w:b w:val="1"/>
                <w:bCs w:val="1"/>
                <w:color w:val="auto"/>
                <w:w w:val="92"/>
              </w:rPr>
              <w:t>Ann Arbor, Michigan</w:t>
            </w:r>
          </w:p>
        </w:tc>
        <w:tc>
          <w:tcPr>
            <w:tcW w:w="1420" w:type="dxa"/>
            <w:vAlign w:val="bottom"/>
          </w:tcPr>
          <w:p>
            <w:pPr>
              <w:jc w:val="right"/>
              <w:ind w:right="262"/>
              <w:spacing w:after="0"/>
              <w:rPr>
                <w:sz w:val="20"/>
                <w:szCs w:val="20"/>
                <w:color w:val="auto"/>
              </w:rPr>
            </w:pPr>
            <w:r>
              <w:rPr>
                <w:rFonts w:ascii="Arial" w:cs="Arial" w:eastAsia="Arial" w:hAnsi="Arial"/>
                <w:sz w:val="18"/>
                <w:szCs w:val="18"/>
                <w:b w:val="1"/>
                <w:bCs w:val="1"/>
                <w:color w:val="auto"/>
              </w:rPr>
              <w:t>48105</w:t>
            </w:r>
          </w:p>
        </w:tc>
      </w:tr>
      <w:tr>
        <w:trPr>
          <w:trHeight w:val="185"/>
        </w:trPr>
        <w:tc>
          <w:tcPr>
            <w:tcW w:w="5880" w:type="dxa"/>
            <w:vAlign w:val="bottom"/>
          </w:tcPr>
          <w:p>
            <w:pPr>
              <w:jc w:val="center"/>
              <w:ind w:right="33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5880" w:type="dxa"/>
            <w:vAlign w:val="bottom"/>
          </w:tcPr>
          <w:p>
            <w:pPr>
              <w:jc w:val="right"/>
              <w:ind w:right="1320"/>
              <w:spacing w:after="0"/>
              <w:rPr>
                <w:sz w:val="20"/>
                <w:szCs w:val="20"/>
                <w:color w:val="auto"/>
              </w:rPr>
            </w:pPr>
            <w:r>
              <w:rPr>
                <w:rFonts w:ascii="Arial" w:cs="Arial" w:eastAsia="Arial" w:hAnsi="Arial"/>
                <w:sz w:val="18"/>
                <w:szCs w:val="18"/>
                <w:b w:val="1"/>
                <w:bCs w:val="1"/>
                <w:color w:val="auto"/>
              </w:rPr>
              <w:t>(734) 930-3030</w:t>
            </w:r>
          </w:p>
        </w:tc>
        <w:tc>
          <w:tcPr>
            <w:tcW w:w="1420" w:type="dxa"/>
            <w:vAlign w:val="bottom"/>
          </w:tcPr>
          <w:p>
            <w:pPr>
              <w:spacing w:after="0"/>
              <w:rPr>
                <w:sz w:val="24"/>
                <w:szCs w:val="24"/>
                <w:color w:val="auto"/>
              </w:rPr>
            </w:pPr>
          </w:p>
        </w:tc>
      </w:tr>
      <w:tr>
        <w:trPr>
          <w:trHeight w:val="185"/>
        </w:trPr>
        <w:tc>
          <w:tcPr>
            <w:tcW w:w="5880" w:type="dxa"/>
            <w:vAlign w:val="bottom"/>
          </w:tcPr>
          <w:p>
            <w:pPr>
              <w:jc w:val="center"/>
              <w:ind w:left="1880"/>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210820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3"/>
        </w:trPr>
        <w:tc>
          <w:tcPr>
            <w:tcW w:w="3960" w:type="dxa"/>
            <w:vAlign w:val="bottom"/>
            <w:gridSpan w:val="2"/>
            <w:vMerge w:val="continue"/>
          </w:tcPr>
          <w:p>
            <w:pPr>
              <w:spacing w:after="0"/>
              <w:rPr>
                <w:sz w:val="15"/>
                <w:szCs w:val="15"/>
                <w:color w:val="auto"/>
              </w:rPr>
            </w:pPr>
          </w:p>
        </w:tc>
        <w:tc>
          <w:tcPr>
            <w:tcW w:w="3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Symbol</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89"/>
        </w:trPr>
        <w:tc>
          <w:tcPr>
            <w:tcW w:w="38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Domino’s Pizza, Inc. Common Stock, $0.01 par</w:t>
            </w:r>
          </w:p>
        </w:tc>
        <w:tc>
          <w:tcPr>
            <w:tcW w:w="120" w:type="dxa"/>
            <w:vAlign w:val="bottom"/>
          </w:tcPr>
          <w:p>
            <w:pPr>
              <w:spacing w:after="0"/>
              <w:rPr>
                <w:sz w:val="16"/>
                <w:szCs w:val="16"/>
                <w:color w:val="auto"/>
              </w:rPr>
            </w:pPr>
          </w:p>
        </w:tc>
        <w:tc>
          <w:tcPr>
            <w:tcW w:w="34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DPZ</w:t>
            </w:r>
          </w:p>
        </w:tc>
        <w:tc>
          <w:tcPr>
            <w:tcW w:w="120" w:type="dxa"/>
            <w:vAlign w:val="bottom"/>
          </w:tcPr>
          <w:p>
            <w:pPr>
              <w:spacing w:after="0"/>
              <w:rPr>
                <w:sz w:val="16"/>
                <w:szCs w:val="16"/>
                <w:color w:val="auto"/>
              </w:rPr>
            </w:pPr>
          </w:p>
        </w:tc>
        <w:tc>
          <w:tcPr>
            <w:tcW w:w="3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1"/>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value</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registrant (1) has filed all reports required to be filed by Section 13 or 15(d) of the Securities Exchange Act of</w:t>
      </w:r>
    </w:p>
    <w:p>
      <w:pPr>
        <w:spacing w:after="0" w:line="43" w:lineRule="exact"/>
        <w:rPr>
          <w:sz w:val="24"/>
          <w:szCs w:val="24"/>
          <w:color w:val="auto"/>
        </w:rPr>
      </w:pPr>
    </w:p>
    <w:p>
      <w:pPr>
        <w:ind w:right="280"/>
        <w:spacing w:after="0" w:line="224"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20" w:firstLine="43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1" w:lineRule="exact"/>
        <w:rPr>
          <w:sz w:val="24"/>
          <w:szCs w:val="24"/>
          <w:color w:val="auto"/>
        </w:rPr>
      </w:pPr>
    </w:p>
    <w:p>
      <w:pPr>
        <w:ind w:right="160" w:firstLine="436"/>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left="440"/>
        <w:spacing w:after="0" w:line="207" w:lineRule="exact"/>
        <w:tabs>
          <w:tab w:leader="none" w:pos="8700" w:val="left"/>
          <w:tab w:leader="none" w:pos="93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0920"/>
          </w:cols>
          <w:pgMar w:left="480" w:top="1075" w:right="49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April 22, 2021, Domino’s Pizza, Inc. had 38,828,393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172720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215265</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539"/>
          </w:cols>
          <w:pgMar w:left="920" w:top="125" w:right="1440" w:bottom="1440" w:gutter="0" w:footer="0" w:header="0"/>
        </w:sectPr>
      </w:pPr>
    </w:p>
    <w:bookmarkStart w:id="2" w:name="page3"/>
    <w:bookmarkEnd w:id="2"/>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Domino’s Pizza, Inc.</w:t>
      </w: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206"/>
        </w:trPr>
        <w:tc>
          <w:tcPr>
            <w:tcW w:w="10640" w:type="dxa"/>
            <w:vAlign w:val="bottom"/>
            <w:gridSpan w:val="19"/>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 – As of March 28, 2021 and January 3, 2021</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Income (Unaudited) – Fiscal quarters ended March 28, 2021 and March 22, 2020</w:t>
              </w:r>
            </w:hyperlink>
          </w:p>
        </w:tc>
        <w:tc>
          <w:tcPr>
            <w:tcW w:w="126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 (Unaudited) – Fiscal quarters ended March 28, 2021 and March 22, 2020</w:t>
              </w:r>
            </w:hyperlink>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(Unaudited) – Fiscal quarters ended March 28, 2021 and March 22, 2020</w:t>
              </w:r>
            </w:hyperlink>
          </w:p>
        </w:tc>
        <w:tc>
          <w:tcPr>
            <w:tcW w:w="96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600" w:type="dxa"/>
            <w:vAlign w:val="bottom"/>
            <w:tcBorders>
              <w:left w:val="single" w:sz="8" w:color="0000EE"/>
            </w:tcBorders>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9900" w:type="dxa"/>
            <w:vAlign w:val="bottom"/>
            <w:gridSpan w:val="16"/>
          </w:tcPr>
          <w:p>
            <w:pPr>
              <w:spacing w:after="0"/>
              <w:rPr>
                <w:sz w:val="20"/>
                <w:szCs w:val="20"/>
                <w:color w:val="auto"/>
              </w:rPr>
            </w:pPr>
            <w:r>
              <w:rPr>
                <w:rFonts w:ascii="Arial" w:cs="Arial" w:eastAsia="Arial" w:hAnsi="Arial"/>
                <w:sz w:val="18"/>
                <w:szCs w:val="18"/>
                <w:color w:val="auto"/>
              </w:rPr>
              <w:t>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4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9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6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220" w:type="dxa"/>
            <w:vAlign w:val="bottom"/>
            <w:gridSpan w:val="2"/>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30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SIGNATURES</w:t>
              </w:r>
            </w:hyperlink>
          </w:p>
        </w:tc>
        <w:tc>
          <w:tcPr>
            <w:tcW w:w="9540" w:type="dxa"/>
            <w:vAlign w:val="bottom"/>
            <w:gridSpan w:val="1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8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10"/>
          </w:tcPr>
          <w:p>
            <w:pPr>
              <w:ind w:left="468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480" w:top="29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28, 2021</w:t>
            </w:r>
          </w:p>
        </w:tc>
        <w:tc>
          <w:tcPr>
            <w:tcW w:w="2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January 3, 2021 (1)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176,029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217,453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63,775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66,683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Advertising fund assets, restricted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162,118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147,698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and buildings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88,468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Leasehold and other improvements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187,896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186,456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585,443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(292,074)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(282,625)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15,034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software,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Investments (Note 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82,500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400,420</w:t>
            </w:r>
          </w:p>
        </w:tc>
        <w:tc>
          <w:tcPr>
            <w:tcW w:w="0" w:type="dxa"/>
            <w:vAlign w:val="bottom"/>
          </w:tcPr>
          <w:p>
            <w:pPr>
              <w:spacing w:after="0"/>
              <w:rPr>
                <w:sz w:val="1"/>
                <w:szCs w:val="1"/>
                <w:color w:val="auto"/>
              </w:rPr>
            </w:pPr>
          </w:p>
        </w:tc>
      </w:tr>
      <w:tr>
        <w:trPr>
          <w:trHeight w:val="220"/>
        </w:trPr>
        <w:tc>
          <w:tcPr>
            <w:tcW w:w="8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1,662,832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95,042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94,499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Insurance reserves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26,971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Advertising fund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154,963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141,175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169,323</w:t>
            </w:r>
          </w:p>
        </w:tc>
        <w:tc>
          <w:tcPr>
            <w:tcW w:w="0" w:type="dxa"/>
            <w:vAlign w:val="bottom"/>
          </w:tcPr>
          <w:p>
            <w:pPr>
              <w:spacing w:after="0"/>
              <w:rPr>
                <w:sz w:val="1"/>
                <w:szCs w:val="1"/>
                <w:color w:val="auto"/>
              </w:rPr>
            </w:pPr>
          </w:p>
        </w:tc>
      </w:tr>
      <w:tr>
        <w:trPr>
          <w:trHeight w:val="227"/>
        </w:trPr>
        <w:tc>
          <w:tcPr>
            <w:tcW w:w="81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4,116,858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4,116,018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Insurance reserves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4,397,077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4,396,754</w:t>
            </w:r>
          </w:p>
        </w:tc>
        <w:tc>
          <w:tcPr>
            <w:tcW w:w="0" w:type="dxa"/>
            <w:vAlign w:val="bottom"/>
          </w:tcPr>
          <w:p>
            <w:pPr>
              <w:spacing w:after="0"/>
              <w:rPr>
                <w:sz w:val="1"/>
                <w:szCs w:val="1"/>
                <w:color w:val="auto"/>
              </w:rPr>
            </w:pPr>
          </w:p>
        </w:tc>
      </w:tr>
      <w:tr>
        <w:trPr>
          <w:trHeight w:val="220"/>
        </w:trPr>
        <w:tc>
          <w:tcPr>
            <w:tcW w:w="818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(3,240,842)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(3,303,492)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(3,236,080)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(3,300,405)</w:t>
            </w:r>
          </w:p>
        </w:tc>
        <w:tc>
          <w:tcPr>
            <w:tcW w:w="0" w:type="dxa"/>
            <w:vAlign w:val="bottom"/>
          </w:tcPr>
          <w:p>
            <w:pPr>
              <w:spacing w:after="0"/>
              <w:rPr>
                <w:sz w:val="1"/>
                <w:szCs w:val="1"/>
                <w:color w:val="auto"/>
              </w:rPr>
            </w:pPr>
          </w:p>
        </w:tc>
      </w:tr>
      <w:tr>
        <w:trPr>
          <w:trHeight w:val="220"/>
        </w:trPr>
        <w:tc>
          <w:tcPr>
            <w:tcW w:w="8180" w:type="dxa"/>
            <w:vAlign w:val="bottom"/>
            <w:gridSpan w:val="2"/>
          </w:tcPr>
          <w:p>
            <w:pPr>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1,662,832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40" w:right="260" w:hanging="433"/>
        <w:spacing w:after="0" w:line="335"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January 3, 2021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0920"/>
          </w:cols>
          <w:pgMar w:left="480" w:top="295" w:right="49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920"/>
          </w:cols>
          <w:pgMar w:left="480" w:top="295" w:right="4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Domino’s Pizza,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Fiscal Quarter Ended</w:t>
            </w:r>
          </w:p>
        </w:tc>
        <w:tc>
          <w:tcPr>
            <w:tcW w:w="0" w:type="dxa"/>
            <w:vAlign w:val="bottom"/>
          </w:tcPr>
          <w:p>
            <w:pPr>
              <w:spacing w:after="0"/>
              <w:rPr>
                <w:sz w:val="1"/>
                <w:szCs w:val="1"/>
                <w:color w:val="auto"/>
              </w:rPr>
            </w:pPr>
          </w:p>
        </w:tc>
      </w:tr>
      <w:tr>
        <w:trPr>
          <w:trHeight w:val="118"/>
        </w:trPr>
        <w:tc>
          <w:tcPr>
            <w:tcW w:w="63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7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20"/>
              <w:spacing w:after="0" w:line="118" w:lineRule="exact"/>
              <w:rPr>
                <w:sz w:val="20"/>
                <w:szCs w:val="20"/>
                <w:color w:val="auto"/>
              </w:rPr>
            </w:pPr>
            <w:r>
              <w:rPr>
                <w:rFonts w:ascii="Arial" w:cs="Arial" w:eastAsia="Arial" w:hAnsi="Arial"/>
                <w:sz w:val="13"/>
                <w:szCs w:val="13"/>
                <w:b w:val="1"/>
                <w:bCs w:val="1"/>
                <w:color w:val="auto"/>
              </w:rPr>
              <w:t>March 28,</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8"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380" w:type="dxa"/>
            <w:vAlign w:val="bottom"/>
            <w:gridSpan w:val="2"/>
            <w:vMerge w:val="continue"/>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U.S. Company-owned stores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112,744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102,326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franchise royalties and fees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124,486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104,746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Supply chain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568,338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512,700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franchise royalties and fees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U.S. franchise advertising</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111,360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983,698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873,102</w:t>
            </w:r>
          </w:p>
        </w:tc>
        <w:tc>
          <w:tcPr>
            <w:tcW w:w="0" w:type="dxa"/>
            <w:vAlign w:val="bottom"/>
          </w:tcPr>
          <w:p>
            <w:pPr>
              <w:spacing w:after="0"/>
              <w:rPr>
                <w:sz w:val="1"/>
                <w:szCs w:val="1"/>
                <w:color w:val="auto"/>
              </w:rPr>
            </w:pPr>
          </w:p>
        </w:tc>
      </w:tr>
      <w:tr>
        <w:trPr>
          <w:trHeight w:val="220"/>
        </w:trPr>
        <w:tc>
          <w:tcPr>
            <w:tcW w:w="63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Company-owned stores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Supply chain</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508,805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453,557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594,547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532,945</w:t>
            </w:r>
          </w:p>
        </w:tc>
        <w:tc>
          <w:tcPr>
            <w:tcW w:w="0" w:type="dxa"/>
            <w:vAlign w:val="bottom"/>
          </w:tcPr>
          <w:p>
            <w:pPr>
              <w:spacing w:after="0"/>
              <w:rPr>
                <w:sz w:val="1"/>
                <w:szCs w:val="1"/>
                <w:color w:val="auto"/>
              </w:rPr>
            </w:pPr>
          </w:p>
        </w:tc>
      </w:tr>
      <w:tr>
        <w:trPr>
          <w:trHeight w:val="227"/>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389,151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340,157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U.S. franchise advertising</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111,360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186,538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155,834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(39,422)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(39,470)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149,638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117,761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121,602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 basic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Common stock - diluted</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95"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Domino’s Pizza,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8"/>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6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160"/>
              <w:spacing w:after="0" w:line="118" w:lineRule="exact"/>
              <w:rPr>
                <w:sz w:val="20"/>
                <w:szCs w:val="20"/>
                <w:color w:val="auto"/>
              </w:rPr>
            </w:pPr>
            <w:r>
              <w:rPr>
                <w:rFonts w:ascii="Arial" w:cs="Arial" w:eastAsia="Arial" w:hAnsi="Arial"/>
                <w:sz w:val="13"/>
                <w:szCs w:val="13"/>
                <w:b w:val="1"/>
                <w:bCs w:val="1"/>
                <w:color w:val="auto"/>
              </w:rPr>
              <w:t>March 28,</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740" w:type="dxa"/>
            <w:vAlign w:val="bottom"/>
            <w:gridSpan w:val="2"/>
            <w:vMerge w:val="continue"/>
          </w:tcPr>
          <w:p>
            <w:pPr>
              <w:spacing w:after="0"/>
              <w:rPr>
                <w:sz w:val="14"/>
                <w:szCs w:val="14"/>
                <w:color w:val="auto"/>
              </w:rPr>
            </w:pPr>
          </w:p>
        </w:tc>
        <w:tc>
          <w:tcPr>
            <w:tcW w:w="412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4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117,947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119,276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723"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Domino’s Pizza,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8"/>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20"/>
              <w:spacing w:after="0" w:line="118" w:lineRule="exact"/>
              <w:rPr>
                <w:sz w:val="20"/>
                <w:szCs w:val="20"/>
                <w:color w:val="auto"/>
              </w:rPr>
            </w:pPr>
            <w:r>
              <w:rPr>
                <w:rFonts w:ascii="Arial" w:cs="Arial" w:eastAsia="Arial" w:hAnsi="Arial"/>
                <w:sz w:val="13"/>
                <w:szCs w:val="13"/>
                <w:b w:val="1"/>
                <w:bCs w:val="1"/>
                <w:color w:val="auto"/>
              </w:rPr>
              <w:t>March 28,</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940" w:type="dxa"/>
            <w:vAlign w:val="bottom"/>
            <w:gridSpan w:val="2"/>
            <w:vMerge w:val="continue"/>
          </w:tcPr>
          <w:p>
            <w:pPr>
              <w:spacing w:after="0"/>
              <w:rPr>
                <w:sz w:val="14"/>
                <w:szCs w:val="14"/>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$ 117,761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$121,602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16,465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sale/disposal of assets</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1,203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deferred income taxes</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Non-cash equity-based compensation expense</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5,204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Excess tax benefits from equity-based compensation</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Provision for losses on accounts and notes receivable</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180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on investments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(1,634)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(23,119)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advertising fund assets and liabilities, restricted</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15,347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27"/>
        </w:trPr>
        <w:tc>
          <w:tcPr>
            <w:tcW w:w="89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(16,561)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investments (Note 6)</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(17,893)</w:t>
            </w:r>
          </w:p>
        </w:tc>
        <w:tc>
          <w:tcPr>
            <w:tcW w:w="0" w:type="dxa"/>
            <w:vAlign w:val="bottom"/>
          </w:tcPr>
          <w:p>
            <w:pPr>
              <w:spacing w:after="0"/>
              <w:rPr>
                <w:sz w:val="1"/>
                <w:szCs w:val="1"/>
                <w:color w:val="auto"/>
              </w:rPr>
            </w:pPr>
          </w:p>
        </w:tc>
      </w:tr>
      <w:tr>
        <w:trPr>
          <w:trHeight w:val="220"/>
        </w:trPr>
        <w:tc>
          <w:tcPr>
            <w:tcW w:w="8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debt and finance lease obligations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3,693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common stock</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(79,590)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Tax payments for restricted stock upon vesting</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(1,044)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common stock dividends and equivalents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(23,119)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(82,058)</w:t>
            </w:r>
          </w:p>
        </w:tc>
        <w:tc>
          <w:tcPr>
            <w:tcW w:w="0" w:type="dxa"/>
            <w:vAlign w:val="bottom"/>
          </w:tcPr>
          <w:p>
            <w:pPr>
              <w:spacing w:after="0"/>
              <w:rPr>
                <w:sz w:val="1"/>
                <w:szCs w:val="1"/>
                <w:color w:val="auto"/>
              </w:rPr>
            </w:pPr>
          </w:p>
        </w:tc>
      </w:tr>
      <w:tr>
        <w:trPr>
          <w:trHeight w:val="227"/>
        </w:trPr>
        <w:tc>
          <w:tcPr>
            <w:tcW w:w="89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168,821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beginning of period</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217,453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included in advertising fund assets, restricted, beginning of period</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115,872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84,040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Cash and cash equivalents, restricted cash and cash equivalents and cash and cash equivalents included in advertising fund</w:t>
            </w:r>
          </w:p>
        </w:tc>
        <w:tc>
          <w:tcPr>
            <w:tcW w:w="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restricted, beginning of period</w:t>
            </w:r>
          </w:p>
        </w:tc>
        <w:tc>
          <w:tcPr>
            <w:tcW w:w="1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502,146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end of period</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176,029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189,370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included in advertising fund assets, restricted, end of period</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131,851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88,199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Cash and cash equivalents, restricted cash and cash equivalents and cash and cash equivalents included in advertising fund</w:t>
            </w:r>
          </w:p>
        </w:tc>
        <w:tc>
          <w:tcPr>
            <w:tcW w:w="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restricted, end of period</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575,599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1231"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Domino’s Pizza,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 and Updates to Significant Accounting Policies</w:t>
      </w:r>
    </w:p>
    <w:p>
      <w:pPr>
        <w:spacing w:after="0" w:line="114"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3, 2021 included in the Company’s 2020 Annual Report on Form 10-K, filed with the Securities and Exchange Commission on February 25, 2021 (the “2020 Form 10-K”).</w:t>
      </w:r>
    </w:p>
    <w:p>
      <w:pPr>
        <w:spacing w:after="0" w:line="161"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ended March 28, 2021 are not necessarily indicative of the results that may be expected for the fiscal year ending January 2,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2. Segment Information</w:t>
      </w:r>
    </w:p>
    <w:p>
      <w:pPr>
        <w:spacing w:after="0" w:line="114"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The following table summarizes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4"/>
          </w:tcPr>
          <w:p>
            <w:pPr>
              <w:ind w:left="80"/>
              <w:spacing w:after="0"/>
              <w:rPr>
                <w:sz w:val="20"/>
                <w:szCs w:val="20"/>
                <w:color w:val="auto"/>
              </w:rPr>
            </w:pPr>
            <w:r>
              <w:rPr>
                <w:rFonts w:ascii="Arial" w:cs="Arial" w:eastAsia="Arial" w:hAnsi="Arial"/>
                <w:sz w:val="14"/>
                <w:szCs w:val="14"/>
                <w:b w:val="1"/>
                <w:bCs w:val="1"/>
                <w:color w:val="auto"/>
              </w:rPr>
              <w:t>Fiscal Quarters Ended March 28, 2021 and March 22, 2020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2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840" w:type="dxa"/>
            <w:vAlign w:val="bottom"/>
            <w:gridSpan w:val="2"/>
          </w:tcPr>
          <w:p>
            <w:pPr>
              <w:jc w:val="right"/>
              <w:ind w:right="380"/>
              <w:spacing w:after="0" w:line="118" w:lineRule="exact"/>
              <w:rPr>
                <w:sz w:val="20"/>
                <w:szCs w:val="20"/>
                <w:color w:val="auto"/>
              </w:rPr>
            </w:pPr>
            <w:r>
              <w:rPr>
                <w:rFonts w:ascii="Arial" w:cs="Arial" w:eastAsia="Arial" w:hAnsi="Arial"/>
                <w:sz w:val="13"/>
                <w:szCs w:val="13"/>
                <w:b w:val="1"/>
                <w:bCs w:val="1"/>
                <w:color w:val="auto"/>
              </w:rPr>
              <w:t>Supply</w:t>
            </w:r>
          </w:p>
        </w:tc>
        <w:tc>
          <w:tcPr>
            <w:tcW w:w="940" w:type="dxa"/>
            <w:vAlign w:val="bottom"/>
            <w:gridSpan w:val="3"/>
          </w:tcPr>
          <w:p>
            <w:pPr>
              <w:jc w:val="right"/>
              <w:ind w:right="120"/>
              <w:spacing w:after="0" w:line="118" w:lineRule="exact"/>
              <w:rPr>
                <w:sz w:val="20"/>
                <w:szCs w:val="20"/>
                <w:color w:val="auto"/>
              </w:rPr>
            </w:pPr>
            <w:r>
              <w:rPr>
                <w:rFonts w:ascii="Arial" w:cs="Arial" w:eastAsia="Arial" w:hAnsi="Arial"/>
                <w:sz w:val="13"/>
                <w:szCs w:val="13"/>
                <w:b w:val="1"/>
                <w:bCs w:val="1"/>
                <w:color w:val="auto"/>
              </w:rPr>
              <w:t>International</w:t>
            </w:r>
          </w:p>
        </w:tc>
        <w:tc>
          <w:tcPr>
            <w:tcW w:w="140" w:type="dxa"/>
            <w:vAlign w:val="bottom"/>
          </w:tcPr>
          <w:p>
            <w:pPr>
              <w:spacing w:after="0"/>
              <w:rPr>
                <w:sz w:val="10"/>
                <w:szCs w:val="10"/>
                <w:color w:val="auto"/>
              </w:rPr>
            </w:pPr>
          </w:p>
        </w:tc>
        <w:tc>
          <w:tcPr>
            <w:tcW w:w="1000" w:type="dxa"/>
            <w:vAlign w:val="bottom"/>
            <w:gridSpan w:val="3"/>
          </w:tcPr>
          <w:p>
            <w:pPr>
              <w:jc w:val="right"/>
              <w:ind w:right="200"/>
              <w:spacing w:after="0" w:line="118" w:lineRule="exact"/>
              <w:rPr>
                <w:sz w:val="20"/>
                <w:szCs w:val="20"/>
                <w:color w:val="auto"/>
              </w:rPr>
            </w:pPr>
            <w:r>
              <w:rPr>
                <w:rFonts w:ascii="Arial" w:cs="Arial" w:eastAsia="Arial" w:hAnsi="Arial"/>
                <w:sz w:val="13"/>
                <w:szCs w:val="13"/>
                <w:b w:val="1"/>
                <w:bCs w:val="1"/>
                <w:color w:val="auto"/>
                <w:w w:val="95"/>
              </w:rPr>
              <w:t>Intersegment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Stores</w:t>
            </w: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Chain</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jc w:val="right"/>
              <w:ind w:right="2431"/>
              <w:spacing w:after="0"/>
              <w:rPr>
                <w:sz w:val="20"/>
                <w:szCs w:val="20"/>
                <w:color w:val="auto"/>
              </w:rPr>
            </w:pPr>
            <w:r>
              <w:rPr>
                <w:rFonts w:ascii="Arial" w:cs="Arial" w:eastAsia="Arial" w:hAnsi="Arial"/>
                <w:sz w:val="18"/>
                <w:szCs w:val="18"/>
                <w:color w:val="auto"/>
              </w:rPr>
              <w:t>2021</w:t>
            </w:r>
          </w:p>
        </w:tc>
        <w:tc>
          <w:tcPr>
            <w:tcW w:w="2940" w:type="dxa"/>
            <w:vAlign w:val="bottom"/>
            <w:gridSpan w:val="3"/>
          </w:tcPr>
          <w:p>
            <w:pPr>
              <w:jc w:val="right"/>
              <w:ind w:right="240"/>
              <w:spacing w:after="0"/>
              <w:rPr>
                <w:sz w:val="20"/>
                <w:szCs w:val="20"/>
                <w:color w:val="auto"/>
              </w:rPr>
            </w:pPr>
            <w:r>
              <w:rPr>
                <w:rFonts w:ascii="Arial" w:cs="Arial" w:eastAsia="Arial" w:hAnsi="Arial"/>
                <w:sz w:val="18"/>
                <w:szCs w:val="18"/>
                <w:color w:val="auto"/>
              </w:rPr>
              <w:t>$348,590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599,177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(30,839)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$983,698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jc w:val="right"/>
              <w:ind w:right="2431"/>
              <w:spacing w:after="0"/>
              <w:rPr>
                <w:sz w:val="20"/>
                <w:szCs w:val="20"/>
                <w:color w:val="auto"/>
              </w:rPr>
            </w:pPr>
            <w:r>
              <w:rPr>
                <w:rFonts w:ascii="Arial" w:cs="Arial" w:eastAsia="Arial" w:hAnsi="Arial"/>
                <w:sz w:val="18"/>
                <w:szCs w:val="18"/>
                <w:color w:val="auto"/>
              </w:rPr>
              <w:t>2020</w:t>
            </w:r>
          </w:p>
        </w:tc>
        <w:tc>
          <w:tcPr>
            <w:tcW w:w="2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302,906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541,639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8"/>
                <w:szCs w:val="18"/>
                <w:color w:val="auto"/>
              </w:rPr>
              <w:t>Segment Income</w:t>
            </w: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jc w:val="right"/>
              <w:ind w:right="2431"/>
              <w:spacing w:after="0"/>
              <w:rPr>
                <w:sz w:val="20"/>
                <w:szCs w:val="20"/>
                <w:color w:val="auto"/>
              </w:rPr>
            </w:pPr>
            <w:r>
              <w:rPr>
                <w:rFonts w:ascii="Arial" w:cs="Arial" w:eastAsia="Arial" w:hAnsi="Arial"/>
                <w:sz w:val="18"/>
                <w:szCs w:val="18"/>
                <w:color w:val="auto"/>
              </w:rPr>
              <w:t>2021</w:t>
            </w:r>
          </w:p>
        </w:tc>
        <w:tc>
          <w:tcPr>
            <w:tcW w:w="2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$107,436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jc w:val="right"/>
              <w:ind w:right="2431"/>
              <w:spacing w:after="0"/>
              <w:rPr>
                <w:sz w:val="20"/>
                <w:szCs w:val="20"/>
                <w:color w:val="auto"/>
              </w:rPr>
            </w:pPr>
            <w:r>
              <w:rPr>
                <w:rFonts w:ascii="Arial" w:cs="Arial" w:eastAsia="Arial" w:hAnsi="Arial"/>
                <w:sz w:val="18"/>
                <w:szCs w:val="18"/>
                <w:color w:val="auto"/>
              </w:rPr>
              <w:t>2020</w:t>
            </w:r>
          </w:p>
        </w:tc>
        <w:tc>
          <w:tcPr>
            <w:tcW w:w="2940" w:type="dxa"/>
            <w:vAlign w:val="bottom"/>
            <w:gridSpan w:val="3"/>
          </w:tcPr>
          <w:p>
            <w:pPr>
              <w:jc w:val="right"/>
              <w:ind w:right="240"/>
              <w:spacing w:after="0"/>
              <w:rPr>
                <w:sz w:val="20"/>
                <w:szCs w:val="20"/>
                <w:color w:val="auto"/>
              </w:rPr>
            </w:pPr>
            <w:r>
              <w:rPr>
                <w:rFonts w:ascii="Arial" w:cs="Arial" w:eastAsia="Arial" w:hAnsi="Arial"/>
                <w:sz w:val="18"/>
                <w:szCs w:val="18"/>
                <w:color w:val="auto"/>
              </w:rPr>
              <w:t>88,277</w:t>
            </w: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51,437</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43,504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(8,132)</w:t>
            </w:r>
          </w:p>
        </w:tc>
        <w:tc>
          <w:tcPr>
            <w:tcW w:w="680" w:type="dxa"/>
            <w:vAlign w:val="bottom"/>
          </w:tcPr>
          <w:p>
            <w:pPr>
              <w:jc w:val="right"/>
              <w:spacing w:after="0"/>
              <w:rPr>
                <w:sz w:val="20"/>
                <w:szCs w:val="20"/>
                <w:color w:val="auto"/>
              </w:rPr>
            </w:pPr>
            <w:r>
              <w:rPr>
                <w:rFonts w:ascii="Arial" w:cs="Arial" w:eastAsia="Arial" w:hAnsi="Arial"/>
                <w:sz w:val="18"/>
                <w:szCs w:val="18"/>
                <w:color w:val="auto"/>
              </w:rPr>
              <w:t>175,086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Total Segment Income to consolidated income before provision (benefit) for income taxes.</w:t>
      </w:r>
    </w:p>
    <w:p>
      <w:pPr>
        <w:spacing w:after="0" w:line="25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8"/>
        </w:trPr>
        <w:tc>
          <w:tcPr>
            <w:tcW w:w="38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40"/>
              <w:spacing w:after="0" w:line="118" w:lineRule="exact"/>
              <w:rPr>
                <w:sz w:val="20"/>
                <w:szCs w:val="20"/>
                <w:color w:val="auto"/>
              </w:rPr>
            </w:pPr>
            <w:r>
              <w:rPr>
                <w:rFonts w:ascii="Arial" w:cs="Arial" w:eastAsia="Arial" w:hAnsi="Arial"/>
                <w:sz w:val="13"/>
                <w:szCs w:val="13"/>
                <w:b w:val="1"/>
                <w:bCs w:val="1"/>
                <w:color w:val="auto"/>
              </w:rPr>
              <w:t>March 28,</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80" w:type="dxa"/>
            <w:vAlign w:val="bottom"/>
          </w:tcPr>
          <w:p>
            <w:pPr>
              <w:spacing w:after="0"/>
              <w:rPr>
                <w:sz w:val="14"/>
                <w:szCs w:val="14"/>
                <w:color w:val="auto"/>
              </w:rPr>
            </w:pPr>
          </w:p>
        </w:tc>
        <w:tc>
          <w:tcPr>
            <w:tcW w:w="328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2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$208,368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$175,086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80" w:type="dxa"/>
            <w:vAlign w:val="bottom"/>
            <w:gridSpan w:val="3"/>
          </w:tcPr>
          <w:p>
            <w:pPr>
              <w:jc w:val="right"/>
              <w:ind w:right="140"/>
              <w:spacing w:after="0"/>
              <w:rPr>
                <w:sz w:val="20"/>
                <w:szCs w:val="20"/>
                <w:color w:val="auto"/>
              </w:rPr>
            </w:pPr>
            <w:r>
              <w:rPr>
                <w:rFonts w:ascii="Arial" w:cs="Arial" w:eastAsia="Arial" w:hAnsi="Arial"/>
                <w:sz w:val="18"/>
                <w:szCs w:val="18"/>
                <w:color w:val="auto"/>
              </w:rPr>
              <w:t>(16,465)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Loss on sale/disposal of assets</w:t>
            </w:r>
          </w:p>
        </w:tc>
        <w:tc>
          <w:tcPr>
            <w:tcW w:w="3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26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(5,204)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155,834</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480" w:type="dxa"/>
            <w:vAlign w:val="bottom"/>
            <w:gridSpan w:val="3"/>
          </w:tcPr>
          <w:p>
            <w:pPr>
              <w:jc w:val="right"/>
              <w:ind w:right="20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26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(39,422)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before provision (benefit) for income taxes</w:t>
            </w:r>
          </w:p>
        </w:tc>
        <w:tc>
          <w:tcPr>
            <w:tcW w:w="3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149,638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117,296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0" w:type="dxa"/>
            <w:vAlign w:val="bottom"/>
            <w:vMerge w:val="restart"/>
          </w:tcPr>
          <w:p>
            <w:pPr>
              <w:jc w:val="right"/>
              <w:ind w:right="2213"/>
              <w:spacing w:after="0"/>
              <w:rPr>
                <w:sz w:val="20"/>
                <w:szCs w:val="20"/>
                <w:color w:val="auto"/>
              </w:rPr>
            </w:pPr>
            <w:r>
              <w:rPr>
                <w:rFonts w:ascii="Arial" w:cs="Arial" w:eastAsia="Arial" w:hAnsi="Arial"/>
                <w:sz w:val="18"/>
                <w:szCs w:val="18"/>
                <w:color w:val="auto"/>
              </w:rPr>
              <w:t>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8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1231"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3. Earnings Per Share</w:t>
      </w:r>
    </w:p>
    <w:p>
      <w:pPr>
        <w:spacing w:after="0" w:line="25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8"/>
        </w:trPr>
        <w:tc>
          <w:tcPr>
            <w:tcW w:w="5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40"/>
              <w:spacing w:after="0" w:line="118"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7"/>
              <w:spacing w:after="0" w:line="118" w:lineRule="exact"/>
              <w:rPr>
                <w:sz w:val="20"/>
                <w:szCs w:val="20"/>
                <w:color w:val="auto"/>
              </w:rPr>
            </w:pPr>
            <w:r>
              <w:rPr>
                <w:rFonts w:ascii="Arial" w:cs="Arial" w:eastAsia="Arial" w:hAnsi="Arial"/>
                <w:sz w:val="13"/>
                <w:szCs w:val="13"/>
                <w:b w:val="1"/>
                <w:bCs w:val="1"/>
                <w:color w:val="auto"/>
              </w:rPr>
              <w:t>March 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117,761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Basic weighted average number of shares</w:t>
            </w: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38,700,225</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38,665,924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Diluted weighted average number of shares</w:t>
            </w: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39,208,383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39,633,404</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280" w:firstLine="436"/>
        <w:spacing w:after="0" w:line="307" w:lineRule="auto"/>
        <w:rPr>
          <w:sz w:val="20"/>
          <w:szCs w:val="20"/>
          <w:color w:val="auto"/>
        </w:rPr>
      </w:pPr>
      <w:r>
        <w:rPr>
          <w:rFonts w:ascii="Arial" w:cs="Arial" w:eastAsia="Arial" w:hAnsi="Arial"/>
          <w:sz w:val="16"/>
          <w:szCs w:val="16"/>
          <w:color w:val="auto"/>
        </w:rPr>
        <w:t>The denominator used in calculating diluted earnings per share for the first quarter of 2021 does not include 51,490 options to purchase common stock as the effect of including these options would have been anti-dilutive. The denominator used in calculating diluted earnings per share for the first quarter of 2021 does not include 65,967 restricted performance shares, as the performance targets for these awards had not yet been met.</w:t>
      </w:r>
    </w:p>
    <w:p>
      <w:pPr>
        <w:spacing w:after="0" w:line="150" w:lineRule="exact"/>
        <w:rPr>
          <w:sz w:val="20"/>
          <w:szCs w:val="20"/>
          <w:color w:val="auto"/>
        </w:rPr>
      </w:pPr>
    </w:p>
    <w:p>
      <w:pPr>
        <w:jc w:val="both"/>
        <w:ind w:right="180" w:firstLine="436"/>
        <w:spacing w:after="0" w:line="307" w:lineRule="auto"/>
        <w:rPr>
          <w:sz w:val="20"/>
          <w:szCs w:val="20"/>
          <w:color w:val="auto"/>
        </w:rPr>
      </w:pPr>
      <w:r>
        <w:rPr>
          <w:rFonts w:ascii="Arial" w:cs="Arial" w:eastAsia="Arial" w:hAnsi="Arial"/>
          <w:sz w:val="16"/>
          <w:szCs w:val="16"/>
          <w:color w:val="auto"/>
        </w:rPr>
        <w:t>The denominator used in calculating diluted earnings per share for the first quarter of 2020 does not include 128,280 options to purchase common stock as the effect of including these options would have been anti-dilutive. The denominator used in calculating diluted earnings per share for the first quarter of 2020 does not include 84,765 restricted performance shares, as the performance targets for these awards had not yet been met.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4. Stockholders’ Deficit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in stockholders’ deficit for the first quarter of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1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16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91"/>
              </w:rPr>
              <w:t>Retained</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4"/>
        </w:trPr>
        <w:tc>
          <w:tcPr>
            <w:tcW w:w="5800" w:type="dxa"/>
            <w:vAlign w:val="bottom"/>
          </w:tcPr>
          <w:p>
            <w:pPr>
              <w:spacing w:after="0"/>
              <w:rPr>
                <w:sz w:val="13"/>
                <w:szCs w:val="13"/>
                <w:color w:val="auto"/>
              </w:rPr>
            </w:pPr>
          </w:p>
        </w:tc>
        <w:tc>
          <w:tcPr>
            <w:tcW w:w="1040" w:type="dxa"/>
            <w:vAlign w:val="bottom"/>
            <w:gridSpan w:val="3"/>
          </w:tcPr>
          <w:p>
            <w:pPr>
              <w:jc w:val="right"/>
              <w:ind w:right="400"/>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52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1160" w:type="dxa"/>
            <w:vAlign w:val="bottom"/>
            <w:gridSpan w:val="2"/>
          </w:tcPr>
          <w:p>
            <w:pPr>
              <w:jc w:val="center"/>
              <w:ind w:right="202"/>
              <w:spacing w:after="0" w:line="154"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7"/>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38,868,350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389</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$(3,303,492)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7"/>
              </w:rPr>
              <w:t>(2,424)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2"/>
              <w:spacing w:after="0"/>
              <w:rPr>
                <w:sz w:val="20"/>
                <w:szCs w:val="20"/>
                <w:color w:val="auto"/>
              </w:rPr>
            </w:pPr>
            <w:r>
              <w:rPr>
                <w:rFonts w:ascii="Arial" w:cs="Arial" w:eastAsia="Arial" w:hAnsi="Arial"/>
                <w:sz w:val="18"/>
                <w:szCs w:val="18"/>
                <w:color w:val="auto"/>
              </w:rPr>
              <w:t>117,761</w:t>
            </w:r>
          </w:p>
        </w:tc>
        <w:tc>
          <w:tcPr>
            <w:tcW w:w="20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stock and equivalents ($0.94 per share)</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(36,475)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(65,870)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(6,363)</w:t>
            </w:r>
          </w:p>
        </w:tc>
        <w:tc>
          <w:tcPr>
            <w:tcW w:w="1280" w:type="dxa"/>
            <w:vAlign w:val="bottom"/>
            <w:gridSpan w:val="3"/>
          </w:tcPr>
          <w:p>
            <w:pPr>
              <w:jc w:val="right"/>
              <w:ind w:right="162"/>
              <w:spacing w:after="0"/>
              <w:rPr>
                <w:sz w:val="20"/>
                <w:szCs w:val="20"/>
                <w:color w:val="auto"/>
              </w:rPr>
            </w:pPr>
            <w:r>
              <w:rPr>
                <w:rFonts w:ascii="Arial" w:cs="Arial" w:eastAsia="Arial" w:hAnsi="Arial"/>
                <w:sz w:val="18"/>
                <w:szCs w:val="18"/>
                <w:color w:val="auto"/>
              </w:rPr>
              <w:t>(18,636)</w:t>
            </w:r>
          </w:p>
        </w:tc>
        <w:tc>
          <w:tcPr>
            <w:tcW w:w="20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18"/>
                <w:szCs w:val="18"/>
                <w:color w:val="auto"/>
              </w:rPr>
            </w:pPr>
          </w:p>
        </w:tc>
        <w:tc>
          <w:tcPr>
            <w:tcW w:w="11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0"/>
        </w:trPr>
        <w:tc>
          <w:tcPr>
            <w:tcW w:w="5800" w:type="dxa"/>
            <w:vAlign w:val="bottom"/>
          </w:tcPr>
          <w:p>
            <w:pPr>
              <w:spacing w:after="0"/>
              <w:rPr>
                <w:sz w:val="20"/>
                <w:szCs w:val="20"/>
                <w:color w:val="auto"/>
              </w:rPr>
            </w:pPr>
            <w:r>
              <w:rPr>
                <w:rFonts w:ascii="Arial" w:cs="Arial" w:eastAsia="Arial" w:hAnsi="Arial"/>
                <w:sz w:val="18"/>
                <w:szCs w:val="18"/>
                <w:color w:val="auto"/>
              </w:rPr>
              <w:t>Balance at March 28,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38,818,197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388</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(3,240,842</w:t>
            </w:r>
          </w:p>
        </w:tc>
        <w:tc>
          <w:tcPr>
            <w:tcW w:w="300" w:type="dxa"/>
            <w:vAlign w:val="bottom"/>
          </w:tcPr>
          <w:p>
            <w:pPr>
              <w:jc w:val="right"/>
              <w:ind w:right="16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7"/>
              </w:rPr>
              <w:t>(2,238)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60" w:firstLine="436"/>
        <w:spacing w:after="0" w:line="271" w:lineRule="auto"/>
        <w:rPr>
          <w:sz w:val="20"/>
          <w:szCs w:val="20"/>
          <w:color w:val="auto"/>
        </w:rPr>
      </w:pPr>
      <w:r>
        <w:rPr>
          <w:rFonts w:ascii="Arial" w:cs="Arial" w:eastAsia="Arial" w:hAnsi="Arial"/>
          <w:sz w:val="18"/>
          <w:szCs w:val="18"/>
          <w:color w:val="auto"/>
        </w:rPr>
        <w:t>Subsequent to the first quarter, on April 27, 2021, the Company’s Board of Directors declared a $0.94 per share quarterly dividend on its outstanding common stock for shareholders of record as of June 15, 2021, to be paid on June 30, 2021.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in stockholders’ deficit for the first quarter of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2"/>
          </w:tcPr>
          <w:p>
            <w:pPr>
              <w:jc w:val="right"/>
              <w:ind w:right="500"/>
              <w:spacing w:after="0" w:line="154"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1180" w:type="dxa"/>
            <w:vAlign w:val="bottom"/>
            <w:gridSpan w:val="2"/>
          </w:tcPr>
          <w:p>
            <w:pPr>
              <w:jc w:val="right"/>
              <w:ind w:right="540"/>
              <w:spacing w:after="0" w:line="154"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38,934,009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389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$(3,412,649)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121,602</w:t>
            </w:r>
          </w:p>
        </w:tc>
        <w:tc>
          <w:tcPr>
            <w:tcW w:w="200" w:type="dxa"/>
            <w:vAlign w:val="bottom"/>
          </w:tcPr>
          <w:p>
            <w:pPr>
              <w:spacing w:after="0"/>
              <w:rPr>
                <w:sz w:val="18"/>
                <w:szCs w:val="18"/>
                <w:color w:val="auto"/>
              </w:rPr>
            </w:pPr>
          </w:p>
        </w:tc>
        <w:tc>
          <w:tcPr>
            <w:tcW w:w="860" w:type="dxa"/>
            <w:vAlign w:val="bottom"/>
            <w:gridSpan w:val="2"/>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0"/>
              </w:rPr>
              <w:t>Dividends declared on common stock and equivalents ($0.78 per share)</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(30,442)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(5,929)</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(271,064)</w:t>
            </w:r>
          </w:p>
        </w:tc>
        <w:tc>
          <w:tcPr>
            <w:tcW w:w="2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(78,599)</w:t>
            </w:r>
          </w:p>
        </w:tc>
        <w:tc>
          <w:tcPr>
            <w:tcW w:w="200" w:type="dxa"/>
            <w:vAlign w:val="bottom"/>
          </w:tcPr>
          <w:p>
            <w:pPr>
              <w:spacing w:after="0"/>
              <w:rPr>
                <w:sz w:val="18"/>
                <w:szCs w:val="18"/>
                <w:color w:val="auto"/>
              </w:rPr>
            </w:pPr>
          </w:p>
        </w:tc>
        <w:tc>
          <w:tcPr>
            <w:tcW w:w="860" w:type="dxa"/>
            <w:vAlign w:val="bottom"/>
            <w:gridSpan w:val="2"/>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380,938</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Non-cash equity-based compensation expense</w:t>
            </w:r>
          </w:p>
        </w:tc>
        <w:tc>
          <w:tcPr>
            <w:tcW w:w="5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Adoption of credit losses standard</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5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left="174"/>
              <w:spacing w:after="0"/>
              <w:rPr>
                <w:sz w:val="20"/>
                <w:szCs w:val="20"/>
                <w:color w:val="auto"/>
              </w:rPr>
            </w:pPr>
            <w:r>
              <w:rPr>
                <w:rFonts w:ascii="Arial" w:cs="Arial" w:eastAsia="Arial" w:hAnsi="Arial"/>
                <w:sz w:val="18"/>
                <w:szCs w:val="18"/>
                <w:color w:val="auto"/>
                <w:w w:val="91"/>
              </w:rPr>
              <w:t>(2,326)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22, 2020</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39,039,599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(3,398,986)</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1"/>
              </w:rPr>
              <w:t>(6,068)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vMerge w:val="restart"/>
          </w:tcPr>
          <w:p>
            <w:pPr>
              <w:jc w:val="right"/>
              <w:ind w:right="291"/>
              <w:spacing w:after="0"/>
              <w:rPr>
                <w:sz w:val="20"/>
                <w:szCs w:val="20"/>
                <w:color w:val="auto"/>
              </w:rPr>
            </w:pPr>
            <w:r>
              <w:rPr>
                <w:rFonts w:ascii="Arial" w:cs="Arial" w:eastAsia="Arial" w:hAnsi="Arial"/>
                <w:sz w:val="18"/>
                <w:szCs w:val="18"/>
                <w:color w:val="auto"/>
              </w:rPr>
              <w:t>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23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5. Recapitalization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Subsequent to the end of the first quarter of 2021, on April 16, 2021 (the “closing date”), the Company completed a recapitalization (the “2021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Recapitalization”) in which certain of the Company’s subsidiaries issued new notes pursuant to an asset-backed securitization. The new notes consist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$850.0 million Series 2021-1 2.662% Fixed Rate Senior Secured Notes, Class A-2-I with an anticipated term of 7.5 years (the “2021 A-2-I Fixed Rate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Notes”), and $1.0 billion Series 2021-1 3.151% Fixed Rate Senior Secured Notes, Class A-2-II with an anticipated term of 10 years (the “2021 A-2-II</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Fixed Rate Notes” and, collectively with the 2021 A-2-I Fixed Rate Notes, the “2021 Notes”) in an offering exempt from registration under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2021 Notes have scheduled principal payments of $9.3 million in 2021, $18.5 million in each of 2022 through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2027, $804.8 million in 2028, $10.0 million in each of 2029 and 2030 and $905.0 million in 2031. Gross proceeds from the issuance of the 2021 Notes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were $1.85 billion.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Concurrently, certain of the Company’s subsidiaries also issued a new variable funding note facility which allows for advances of up to</w:t>
      </w:r>
    </w:p>
    <w:p>
      <w:pPr>
        <w:spacing w:after="0" w:line="31"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$200.0 million of Series 2021-1 Variable Funding Senior Secured Notes, Class A-1 Notes and certain other credit instruments, including letters of credit (the “2021 Variable Funding Notes”). The 2021 Variable Funding Notes were undrawn on the closing date. In connection with the issuance of the 2021 Variable Funding Notes, the Company’s previous $200.0 million variable funding note facility was canceled.</w:t>
      </w:r>
    </w:p>
    <w:p>
      <w:pPr>
        <w:spacing w:after="0" w:line="174"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A portion of proceeds from the 2021 Recapitalization was used to repay the remaining $291.0 million in outstanding principal under the Company’s 2017 five-year floating rate notes and $582.0 million in outstanding principal under the Company’s 2017 five-year fixed rate notes, prefund a portion of the interest payable on the 2021 Notes and pay transaction fees and expenses. In connection with the repayment of the 2017 five-year floating rate notes and 2017 five-year fixed rate notes, the Company expensed approximately $2.0 million for the remaining unamortized debt issuance costs associated with these notes. Additionally, in connection with the 2021 Recapitalization, the Company capitalized $14.9 million of debt issuance costs, which are being amortized into interest expense over the 7.5 and 10-year expected terms of the 2021 Notes.</w:t>
      </w:r>
    </w:p>
    <w:p>
      <w:pPr>
        <w:spacing w:after="0" w:line="164" w:lineRule="exact"/>
        <w:rPr>
          <w:sz w:val="20"/>
          <w:szCs w:val="20"/>
          <w:color w:val="auto"/>
        </w:rPr>
      </w:pPr>
    </w:p>
    <w:p>
      <w:pPr>
        <w:ind w:right="60" w:firstLine="436"/>
        <w:spacing w:after="0" w:line="272" w:lineRule="auto"/>
        <w:rPr>
          <w:sz w:val="20"/>
          <w:szCs w:val="20"/>
          <w:color w:val="auto"/>
        </w:rPr>
      </w:pPr>
      <w:r>
        <w:rPr>
          <w:rFonts w:ascii="Arial" w:cs="Arial" w:eastAsia="Arial" w:hAnsi="Arial"/>
          <w:sz w:val="17"/>
          <w:szCs w:val="17"/>
          <w:color w:val="auto"/>
        </w:rPr>
        <w:t>As of the first quarter of 2021 and the fourth quarter of 2020, the Company had a leverage ratio of less than 5.0x, and accordingly, did not make the previously scheduled debt amortization payment for its then outstanding notes beginning in the first quarter of 2021. Accordingly, all principal amounts of the Company’s outstanding notes have been classified as long-term debt in the consolidated balance sheet as of March 28, 2021 and January 3, 2021. Subsequent to the closing of the 2021 Recapitalization, the Company had a leverage ratio of greater than 5.0x and, accordingly, the Company resumed making the scheduled amortization payments on its notes in the second quarter of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6. Fair Value Measurements</w:t>
      </w:r>
    </w:p>
    <w:p>
      <w:pPr>
        <w:spacing w:after="0" w:line="114"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Fair Value of Cash Equivalents and Investments</w:t>
      </w:r>
    </w:p>
    <w:p>
      <w:pPr>
        <w:spacing w:after="0" w:line="114" w:lineRule="exact"/>
        <w:rPr>
          <w:sz w:val="20"/>
          <w:szCs w:val="20"/>
          <w:color w:val="auto"/>
        </w:rPr>
      </w:pPr>
    </w:p>
    <w:p>
      <w:pPr>
        <w:ind w:right="140" w:firstLine="436"/>
        <w:spacing w:after="0" w:line="275" w:lineRule="auto"/>
        <w:rPr>
          <w:sz w:val="20"/>
          <w:szCs w:val="20"/>
          <w:color w:val="auto"/>
        </w:rPr>
      </w:pPr>
      <w:r>
        <w:rPr>
          <w:rFonts w:ascii="Arial" w:cs="Arial" w:eastAsia="Arial" w:hAnsi="Arial"/>
          <w:sz w:val="17"/>
          <w:szCs w:val="17"/>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 The following tables summarize the carrying amounts and fair values of certain assets at March 28, 2021 and January 3, 2021:</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At March 28, 2021</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560" w:type="dxa"/>
            <w:vAlign w:val="bottom"/>
            <w:tcBorders>
              <w:bottom w:val="single" w:sz="8" w:color="auto"/>
            </w:tcBorders>
            <w:gridSpan w:val="5"/>
          </w:tcPr>
          <w:p>
            <w:pPr>
              <w:jc w:val="right"/>
              <w:ind w:right="358"/>
              <w:spacing w:after="0" w:line="154" w:lineRule="exact"/>
              <w:rPr>
                <w:sz w:val="20"/>
                <w:szCs w:val="20"/>
                <w:color w:val="auto"/>
              </w:rPr>
            </w:pPr>
            <w:r>
              <w:rPr>
                <w:rFonts w:ascii="Arial" w:cs="Arial" w:eastAsia="Arial" w:hAnsi="Arial"/>
                <w:sz w:val="14"/>
                <w:szCs w:val="14"/>
                <w:b w:val="1"/>
                <w:bCs w:val="1"/>
                <w:color w:val="auto"/>
              </w:rPr>
              <w:t>Fair Value Estimated Using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00" w:type="dxa"/>
            <w:vAlign w:val="bottom"/>
            <w:gridSpan w:val="2"/>
          </w:tcPr>
          <w:p>
            <w:pPr>
              <w:jc w:val="right"/>
              <w:ind w:right="540"/>
              <w:spacing w:after="0" w:line="118" w:lineRule="exact"/>
              <w:rPr>
                <w:sz w:val="20"/>
                <w:szCs w:val="20"/>
                <w:color w:val="auto"/>
              </w:rPr>
            </w:pPr>
            <w:r>
              <w:rPr>
                <w:rFonts w:ascii="Arial" w:cs="Arial" w:eastAsia="Arial" w:hAnsi="Arial"/>
                <w:sz w:val="13"/>
                <w:szCs w:val="13"/>
                <w:b w:val="1"/>
                <w:bCs w:val="1"/>
                <w:color w:val="auto"/>
              </w:rPr>
              <w:t>Level 1</w:t>
            </w:r>
          </w:p>
        </w:tc>
        <w:tc>
          <w:tcPr>
            <w:tcW w:w="4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5"/>
              </w:rPr>
              <w:t>Level 2</w:t>
            </w:r>
          </w:p>
        </w:tc>
        <w:tc>
          <w:tcPr>
            <w:tcW w:w="44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7"/>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$194,325</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$194,325</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3340" w:type="dxa"/>
            <w:vAlign w:val="bottom"/>
            <w:gridSpan w:val="3"/>
          </w:tcPr>
          <w:p>
            <w:pPr>
              <w:jc w:val="right"/>
              <w:ind w:right="420"/>
              <w:spacing w:after="0"/>
              <w:rPr>
                <w:sz w:val="20"/>
                <w:szCs w:val="20"/>
                <w:color w:val="auto"/>
              </w:rPr>
            </w:pPr>
            <w:r>
              <w:rPr>
                <w:rFonts w:ascii="Arial" w:cs="Arial" w:eastAsia="Arial" w:hAnsi="Arial"/>
                <w:sz w:val="18"/>
                <w:szCs w:val="18"/>
                <w:color w:val="auto"/>
              </w:rPr>
              <w:t>104,232</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104,232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13,384</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13,384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3340" w:type="dxa"/>
            <w:vAlign w:val="bottom"/>
            <w:gridSpan w:val="3"/>
          </w:tcPr>
          <w:p>
            <w:pPr>
              <w:jc w:val="right"/>
              <w:ind w:right="420"/>
              <w:spacing w:after="0"/>
              <w:rPr>
                <w:sz w:val="20"/>
                <w:szCs w:val="20"/>
                <w:color w:val="auto"/>
              </w:rPr>
            </w:pPr>
            <w:r>
              <w:rPr>
                <w:rFonts w:ascii="Arial" w:cs="Arial" w:eastAsia="Arial" w:hAnsi="Arial"/>
                <w:sz w:val="18"/>
                <w:szCs w:val="18"/>
                <w:color w:val="auto"/>
              </w:rPr>
              <w:t>113,384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113,384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82,500</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82,500</w:t>
            </w:r>
          </w:p>
        </w:tc>
        <w:tc>
          <w:tcPr>
            <w:tcW w:w="0" w:type="dxa"/>
            <w:vAlign w:val="bottom"/>
          </w:tcPr>
          <w:p>
            <w:pPr>
              <w:spacing w:after="0"/>
              <w:rPr>
                <w:sz w:val="1"/>
                <w:szCs w:val="1"/>
                <w:color w:val="auto"/>
              </w:rPr>
            </w:pPr>
          </w:p>
        </w:tc>
      </w:tr>
      <w:tr>
        <w:trPr>
          <w:trHeight w:val="360"/>
        </w:trPr>
        <w:tc>
          <w:tcPr>
            <w:tcW w:w="4080" w:type="dxa"/>
            <w:vAlign w:val="bottom"/>
          </w:tcPr>
          <w:p>
            <w:pPr>
              <w:spacing w:after="0"/>
              <w:rPr>
                <w:sz w:val="24"/>
                <w:szCs w:val="24"/>
                <w:color w:val="auto"/>
              </w:rPr>
            </w:pPr>
          </w:p>
        </w:tc>
        <w:tc>
          <w:tcPr>
            <w:tcW w:w="2220" w:type="dxa"/>
            <w:vAlign w:val="bottom"/>
          </w:tcPr>
          <w:p>
            <w:pPr>
              <w:jc w:val="right"/>
              <w:ind w:right="1151"/>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80" w:top="1235" w:right="5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At January 3, 2021</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560" w:type="dxa"/>
            <w:vAlign w:val="bottom"/>
            <w:tcBorders>
              <w:bottom w:val="single" w:sz="8" w:color="auto"/>
            </w:tcBorders>
            <w:gridSpan w:val="5"/>
          </w:tcPr>
          <w:p>
            <w:pPr>
              <w:jc w:val="right"/>
              <w:ind w:right="358"/>
              <w:spacing w:after="0" w:line="154" w:lineRule="exact"/>
              <w:rPr>
                <w:sz w:val="20"/>
                <w:szCs w:val="20"/>
                <w:color w:val="auto"/>
              </w:rPr>
            </w:pPr>
            <w:r>
              <w:rPr>
                <w:rFonts w:ascii="Arial" w:cs="Arial" w:eastAsia="Arial" w:hAnsi="Arial"/>
                <w:sz w:val="14"/>
                <w:szCs w:val="14"/>
                <w:b w:val="1"/>
                <w:bCs w:val="1"/>
                <w:color w:val="auto"/>
              </w:rPr>
              <w:t>Fair Value Estimated Using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00" w:type="dxa"/>
            <w:vAlign w:val="bottom"/>
            <w:gridSpan w:val="2"/>
          </w:tcPr>
          <w:p>
            <w:pPr>
              <w:jc w:val="right"/>
              <w:ind w:right="540"/>
              <w:spacing w:after="0" w:line="118" w:lineRule="exact"/>
              <w:rPr>
                <w:sz w:val="20"/>
                <w:szCs w:val="20"/>
                <w:color w:val="auto"/>
              </w:rPr>
            </w:pPr>
            <w:r>
              <w:rPr>
                <w:rFonts w:ascii="Arial" w:cs="Arial" w:eastAsia="Arial" w:hAnsi="Arial"/>
                <w:sz w:val="13"/>
                <w:szCs w:val="13"/>
                <w:b w:val="1"/>
                <w:bCs w:val="1"/>
                <w:color w:val="auto"/>
              </w:rPr>
              <w:t>Level 1</w:t>
            </w:r>
          </w:p>
        </w:tc>
        <w:tc>
          <w:tcPr>
            <w:tcW w:w="4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5"/>
              </w:rPr>
              <w:t>Level 2</w:t>
            </w:r>
          </w:p>
        </w:tc>
        <w:tc>
          <w:tcPr>
            <w:tcW w:w="44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7"/>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$151,502</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$151,502</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2680" w:type="dxa"/>
            <w:vAlign w:val="bottom"/>
            <w:gridSpan w:val="3"/>
          </w:tcPr>
          <w:p>
            <w:pPr>
              <w:jc w:val="right"/>
              <w:ind w:right="420"/>
              <w:spacing w:after="0"/>
              <w:rPr>
                <w:sz w:val="20"/>
                <w:szCs w:val="20"/>
                <w:color w:val="auto"/>
              </w:rPr>
            </w:pPr>
            <w:r>
              <w:rPr>
                <w:rFonts w:ascii="Arial" w:cs="Arial" w:eastAsia="Arial" w:hAnsi="Arial"/>
                <w:sz w:val="18"/>
                <w:szCs w:val="18"/>
                <w:color w:val="auto"/>
              </w:rPr>
              <w:t>126,595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126,595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2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13,251</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2680" w:type="dxa"/>
            <w:vAlign w:val="bottom"/>
            <w:gridSpan w:val="3"/>
          </w:tcPr>
          <w:p>
            <w:pPr>
              <w:jc w:val="right"/>
              <w:ind w:right="420"/>
              <w:spacing w:after="0"/>
              <w:rPr>
                <w:sz w:val="20"/>
                <w:szCs w:val="20"/>
                <w:color w:val="auto"/>
              </w:rPr>
            </w:pPr>
            <w:r>
              <w:rPr>
                <w:rFonts w:ascii="Arial" w:cs="Arial" w:eastAsia="Arial" w:hAnsi="Arial"/>
                <w:sz w:val="18"/>
                <w:szCs w:val="18"/>
                <w:color w:val="auto"/>
              </w:rPr>
              <w:t>104,197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104,197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40,000</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40,000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During the second quarter of 2020, a subsidiary of the Company acquired a non-controlling interest in Dash Brands Ltd., a privately-held business company limited by shares incorporated with limited liability under the laws of the British Virgin Islands (“Dash Brands”), for $40.0 million. Through its subsidiaries, Dash Brands serves as the Company’s master franchisee in China that owns and operates Domino’s Pizza stores in that market. The Company’s investment in Dash Brands’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78"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In the first quarter of 2021, the Company invested an additional $40.0 million in Dash Brands based on Dash Brands’ achievement of certain preestablished performance conditions. In the first quarter of 2021, the Company recorded a positive adjustment of $2.5 million to the original carrying amount of $40.0 million resulting from the observable change in price from the valuation of the additional investment. This amount was recorded in other income in the Company’s condensed consolidated statements of income.</w:t>
      </w:r>
    </w:p>
    <w:p>
      <w:pPr>
        <w:spacing w:after="0" w:line="190"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The following table summarizes the reconciliation of the carrying amount of the Company’s investment in Dash Brands from the opening balance at January 3, 2021 to the closing balance at March 28, 2021.</w:t>
      </w:r>
    </w:p>
    <w:p>
      <w:pPr>
        <w:spacing w:after="0" w:line="19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First Quarter</w:t>
      </w:r>
    </w:p>
    <w:p>
      <w:pPr>
        <w:jc w:val="center"/>
        <w:ind w:left="6060"/>
        <w:spacing w:after="0" w:line="232" w:lineRule="auto"/>
        <w:rPr>
          <w:sz w:val="20"/>
          <w:szCs w:val="20"/>
          <w:color w:val="auto"/>
        </w:rPr>
      </w:pPr>
      <w:r>
        <w:rPr>
          <w:rFonts w:ascii="Arial" w:cs="Arial" w:eastAsia="Arial" w:hAnsi="Arial"/>
          <w:sz w:val="14"/>
          <w:szCs w:val="14"/>
          <w:b w:val="1"/>
          <w:bCs w:val="1"/>
          <w:color w:val="auto"/>
        </w:rPr>
        <w:t>of 2021</w:t>
      </w:r>
    </w:p>
    <w:tbl>
      <w:tblPr>
        <w:tblLayout w:type="fixed"/>
        <w:tblInd w:w="440" w:type="dxa"/>
        <w:tblCellMar>
          <w:top w:w="0" w:type="dxa"/>
          <w:left w:w="0" w:type="dxa"/>
          <w:bottom w:w="0" w:type="dxa"/>
          <w:right w:w="0" w:type="dxa"/>
        </w:tblCellMar>
      </w:tblPr>
      <w:tr>
        <w:trPr>
          <w:trHeight w:val="118"/>
        </w:trPr>
        <w:tc>
          <w:tcPr>
            <w:tcW w:w="35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40"/>
              <w:spacing w:after="0" w:line="118" w:lineRule="exact"/>
              <w:rPr>
                <w:sz w:val="20"/>
                <w:szCs w:val="20"/>
                <w:color w:val="auto"/>
              </w:rPr>
            </w:pPr>
            <w:r>
              <w:rPr>
                <w:rFonts w:ascii="Arial" w:cs="Arial" w:eastAsia="Arial" w:hAnsi="Arial"/>
                <w:sz w:val="13"/>
                <w:szCs w:val="13"/>
                <w:b w:val="1"/>
                <w:bCs w:val="1"/>
                <w:color w:val="auto"/>
              </w:rPr>
              <w:t>Carrying</w:t>
            </w: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9"/>
              </w:rPr>
              <w:t>January 3,</w:t>
            </w:r>
          </w:p>
        </w:tc>
        <w:tc>
          <w:tcPr>
            <w:tcW w:w="44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Purchases</w:t>
            </w: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March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328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Gain</w:t>
            </w:r>
          </w:p>
        </w:tc>
        <w:tc>
          <w:tcPr>
            <w:tcW w:w="620" w:type="dxa"/>
            <w:vAlign w:val="bottom"/>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2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$ 40,000</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$ 40,000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2,500</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$ 82,500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Fair Value of Debt</w:t>
      </w:r>
    </w:p>
    <w:p>
      <w:pPr>
        <w:spacing w:after="0" w:line="114"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The estimated fair values of the Company’s fixed and floating rate notes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above.</w:t>
      </w:r>
    </w:p>
    <w:p>
      <w:pPr>
        <w:spacing w:after="0" w:line="178"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Management estimated the approximate fair values of the 2015 fixed rate notes, the 2017 fixed and floating rate notes, the 2018 fixed rate notes and the 2019 fixed rate notes as follows:</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28, 2021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 2021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3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620" w:type="dxa"/>
            <w:vAlign w:val="bottom"/>
            <w:gridSpan w:val="3"/>
          </w:tcPr>
          <w:p>
            <w:pPr>
              <w:jc w:val="right"/>
              <w:ind w:right="540"/>
              <w:spacing w:after="0" w:line="154" w:lineRule="exact"/>
              <w:rPr>
                <w:sz w:val="20"/>
                <w:szCs w:val="20"/>
                <w:color w:val="auto"/>
              </w:rPr>
            </w:pPr>
            <w:r>
              <w:rPr>
                <w:rFonts w:ascii="Arial" w:cs="Arial" w:eastAsia="Arial" w:hAnsi="Arial"/>
                <w:sz w:val="14"/>
                <w:szCs w:val="14"/>
                <w:b w:val="1"/>
                <w:bCs w:val="1"/>
                <w:color w:val="auto"/>
                <w:w w:val="91"/>
              </w:rPr>
              <w:t>Principal Amount</w:t>
            </w:r>
          </w:p>
        </w:tc>
        <w:tc>
          <w:tcPr>
            <w:tcW w:w="10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520"/>
              <w:spacing w:after="0" w:line="154" w:lineRule="exact"/>
              <w:rPr>
                <w:sz w:val="20"/>
                <w:szCs w:val="20"/>
                <w:color w:val="auto"/>
              </w:rPr>
            </w:pPr>
            <w:r>
              <w:rPr>
                <w:rFonts w:ascii="Arial" w:cs="Arial" w:eastAsia="Arial" w:hAnsi="Arial"/>
                <w:sz w:val="14"/>
                <w:szCs w:val="14"/>
                <w:b w:val="1"/>
                <w:bCs w:val="1"/>
                <w:color w:val="auto"/>
                <w:w w:val="93"/>
              </w:rPr>
              <w:t>Principal Amount</w:t>
            </w:r>
          </w:p>
        </w:tc>
        <w:tc>
          <w:tcPr>
            <w:tcW w:w="10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2"/>
              </w:rPr>
              <w:t>Fair Value</w:t>
            </w:r>
          </w:p>
        </w:tc>
        <w:tc>
          <w:tcPr>
            <w:tcW w:w="60" w:type="dxa"/>
            <w:vAlign w:val="bottom"/>
          </w:tcPr>
          <w:p>
            <w:pPr>
              <w:spacing w:after="0"/>
              <w:rPr>
                <w:sz w:val="13"/>
                <w:szCs w:val="13"/>
                <w:color w:val="auto"/>
              </w:rPr>
            </w:pPr>
          </w:p>
        </w:tc>
      </w:tr>
      <w:tr>
        <w:trPr>
          <w:trHeight w:val="207"/>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808,896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4180" w:type="dxa"/>
            <w:vAlign w:val="bottom"/>
          </w:tcPr>
          <w:p>
            <w:pPr>
              <w:ind w:left="20"/>
              <w:spacing w:after="0"/>
              <w:rPr>
                <w:sz w:val="20"/>
                <w:szCs w:val="20"/>
                <w:color w:val="auto"/>
              </w:rPr>
            </w:pPr>
            <w:r>
              <w:rPr>
                <w:rFonts w:ascii="Arial" w:cs="Arial" w:eastAsia="Arial" w:hAnsi="Arial"/>
                <w:sz w:val="18"/>
                <w:szCs w:val="18"/>
                <w:color w:val="auto"/>
              </w:rPr>
              <w:t>Five-Year Fixed Rate Notes</w:t>
            </w:r>
          </w:p>
        </w:tc>
        <w:tc>
          <w:tcPr>
            <w:tcW w:w="3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582,000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583,164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582,000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582,582</w:t>
            </w:r>
          </w:p>
        </w:tc>
      </w:tr>
      <w:tr>
        <w:trPr>
          <w:trHeight w:val="214"/>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1,034,020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1,035,960</w:t>
            </w:r>
          </w:p>
        </w:tc>
      </w:tr>
      <w:tr>
        <w:trPr>
          <w:trHeight w:val="214"/>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4180" w:type="dxa"/>
            <w:vAlign w:val="bottom"/>
          </w:tcPr>
          <w:p>
            <w:pPr>
              <w:ind w:left="20"/>
              <w:spacing w:after="0"/>
              <w:rPr>
                <w:sz w:val="20"/>
                <w:szCs w:val="20"/>
                <w:color w:val="auto"/>
              </w:rPr>
            </w:pPr>
            <w:r>
              <w:rPr>
                <w:rFonts w:ascii="Arial" w:cs="Arial" w:eastAsia="Arial" w:hAnsi="Arial"/>
                <w:sz w:val="18"/>
                <w:szCs w:val="18"/>
                <w:color w:val="auto"/>
              </w:rPr>
              <w:t>Five-Year Floating Rate Notes</w:t>
            </w:r>
          </w:p>
        </w:tc>
        <w:tc>
          <w:tcPr>
            <w:tcW w:w="3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291,291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291,000</w:t>
            </w:r>
          </w:p>
        </w:tc>
      </w:tr>
      <w:tr>
        <w:trPr>
          <w:trHeight w:val="214"/>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7.5-Year Fixed Rate Notes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415,438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436,625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415,438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437,456</w:t>
            </w:r>
          </w:p>
        </w:tc>
      </w:tr>
      <w:tr>
        <w:trPr>
          <w:trHeight w:val="214"/>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4180" w:type="dxa"/>
            <w:vAlign w:val="bottom"/>
          </w:tcPr>
          <w:p>
            <w:pPr>
              <w:ind w:left="20"/>
              <w:spacing w:after="0"/>
              <w:rPr>
                <w:sz w:val="20"/>
                <w:szCs w:val="20"/>
                <w:color w:val="auto"/>
              </w:rPr>
            </w:pPr>
            <w:r>
              <w:rPr>
                <w:rFonts w:ascii="Arial" w:cs="Arial" w:eastAsia="Arial" w:hAnsi="Arial"/>
                <w:sz w:val="18"/>
                <w:szCs w:val="18"/>
                <w:color w:val="auto"/>
              </w:rPr>
              <w:t>9.25-Year Fixed Rate Notes</w:t>
            </w:r>
          </w:p>
        </w:tc>
        <w:tc>
          <w:tcPr>
            <w:tcW w:w="3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391,000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422,671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391,000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422,280</w:t>
            </w:r>
          </w:p>
        </w:tc>
      </w:tr>
      <w:tr>
        <w:trPr>
          <w:trHeight w:val="214"/>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668,250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703,667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668,250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712,355</w:t>
            </w:r>
          </w:p>
        </w:tc>
      </w:tr>
    </w:tbl>
    <w:p>
      <w:pPr>
        <w:spacing w:after="0" w:line="200" w:lineRule="exact"/>
        <w:rPr>
          <w:sz w:val="20"/>
          <w:szCs w:val="20"/>
          <w:color w:val="auto"/>
        </w:rPr>
      </w:pPr>
    </w:p>
    <w:p>
      <w:pPr>
        <w:jc w:val="both"/>
        <w:ind w:right="300" w:firstLine="436"/>
        <w:spacing w:after="0" w:line="307" w:lineRule="auto"/>
        <w:rPr>
          <w:sz w:val="20"/>
          <w:szCs w:val="20"/>
          <w:color w:val="auto"/>
        </w:rPr>
      </w:pPr>
      <w:r>
        <w:rPr>
          <w:rFonts w:ascii="Arial" w:cs="Arial" w:eastAsia="Arial" w:hAnsi="Arial"/>
          <w:sz w:val="16"/>
          <w:szCs w:val="16"/>
          <w:color w:val="auto"/>
        </w:rPr>
        <w:t>The Company’s variable funding notes are a variable rate loan, and the fair value of this loan approximates book value based on the borrowing rates currently available for variable rate loans obtained from third party lending institutions. This fair value represents a Level 2 measurement. The Company did not have any outstanding borrowings under its variable funding notes at March 28, 2021 or January 3, 2021.</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491" w:right="499" w:bottom="1440" w:gutter="0" w:footer="0" w:header="0"/>
        </w:sectPr>
      </w:pPr>
    </w:p>
    <w:bookmarkStart w:id="11" w:name="page12"/>
    <w:bookmarkEnd w:id="11"/>
    <w:p>
      <w:pPr>
        <w:ind w:left="440" w:right="9080" w:hanging="433"/>
        <w:spacing w:after="0" w:line="418" w:lineRule="auto"/>
        <w:tabs>
          <w:tab w:leader="none" w:pos="182"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 xml:space="preserve">Revenue Disclosures </w:t>
      </w:r>
      <w:r>
        <w:rPr>
          <w:rFonts w:ascii="Arial" w:cs="Arial" w:eastAsia="Arial" w:hAnsi="Arial"/>
          <w:sz w:val="16"/>
          <w:szCs w:val="16"/>
          <w:u w:val="single" w:color="auto"/>
          <w:color w:val="auto"/>
        </w:rPr>
        <w:t>Contract Liabilities</w:t>
      </w:r>
    </w:p>
    <w:p>
      <w:pPr>
        <w:spacing w:after="0" w:line="1" w:lineRule="exact"/>
        <w:rPr>
          <w:sz w:val="20"/>
          <w:szCs w:val="20"/>
          <w:color w:val="auto"/>
        </w:rPr>
      </w:pPr>
    </w:p>
    <w:p>
      <w:pPr>
        <w:ind w:left="440" w:right="520" w:firstLine="419"/>
        <w:spacing w:after="0" w:line="271" w:lineRule="auto"/>
        <w:rPr>
          <w:sz w:val="20"/>
          <w:szCs w:val="20"/>
          <w:color w:val="auto"/>
        </w:rPr>
      </w:pPr>
      <w:r>
        <w:rPr>
          <w:rFonts w:ascii="Arial" w:cs="Arial" w:eastAsia="Arial" w:hAnsi="Arial"/>
          <w:sz w:val="18"/>
          <w:szCs w:val="18"/>
          <w:color w:val="auto"/>
        </w:rPr>
        <w:t>Contract liabilities primarily consist of deferred franchise fees and deferred development fees. Changes in deferred franchise fees and deferred development fees for the first quarter of 2021 and the first quarter of 2020 were as follows:</w:t>
      </w: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Fiscal Quarter Ended</w:t>
            </w:r>
          </w:p>
        </w:tc>
      </w:tr>
      <w:tr>
        <w:trPr>
          <w:trHeight w:val="118"/>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60"/>
              <w:spacing w:after="0" w:line="118" w:lineRule="exact"/>
              <w:rPr>
                <w:sz w:val="20"/>
                <w:szCs w:val="20"/>
                <w:color w:val="auto"/>
              </w:rPr>
            </w:pPr>
            <w:r>
              <w:rPr>
                <w:rFonts w:ascii="Arial" w:cs="Arial" w:eastAsia="Arial" w:hAnsi="Arial"/>
                <w:sz w:val="13"/>
                <w:szCs w:val="13"/>
                <w:b w:val="1"/>
                <w:bCs w:val="1"/>
                <w:color w:val="auto"/>
                <w:w w:val="96"/>
              </w:rPr>
              <w:t>March 28,</w:t>
            </w:r>
          </w:p>
        </w:tc>
        <w:tc>
          <w:tcPr>
            <w:tcW w:w="62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10"/>
                <w:szCs w:val="10"/>
                <w:color w:val="auto"/>
              </w:rPr>
            </w:pPr>
          </w:p>
        </w:tc>
      </w:tr>
      <w:tr>
        <w:trPr>
          <w:trHeight w:val="170"/>
        </w:trPr>
        <w:tc>
          <w:tcPr>
            <w:tcW w:w="6580" w:type="dxa"/>
            <w:vAlign w:val="bottom"/>
          </w:tcPr>
          <w:p>
            <w:pPr>
              <w:spacing w:after="0"/>
              <w:rPr>
                <w:sz w:val="14"/>
                <w:szCs w:val="14"/>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7"/>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franchise fees and deferred development fees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$ 19,090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$ 20,463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658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(1,390)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(1,417)</w:t>
            </w:r>
          </w:p>
        </w:tc>
      </w:tr>
      <w:tr>
        <w:trPr>
          <w:trHeight w:val="214"/>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New deferrals due to cash received and other</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r>
      <w:tr>
        <w:trPr>
          <w:trHeight w:val="220"/>
        </w:trPr>
        <w:tc>
          <w:tcPr>
            <w:tcW w:w="658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at end of period</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$ 18,503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$ 19,770</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Advertising Fund Assets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of March 28, 2021, advertising fund assets, restricted of $162.1 million consisted of $131.9 million of cash and cash equivalents,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$28.8 million of accounts receivable and $1.4 million of prepaid expenses. As of March 28, 2021, advertising fund cash and cash equivalents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included $7.2 million of cash contributed from U.S. Company-owned stores that had not yet been expended.</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of January 3, 2021, advertising fund assets, restricted of $147.7 million consisted of $115.9 million of cash and cash equivalents,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$27.0 million of accounts receivable and $4.8 million of prepaid expenses. As of January 3, 2021, advertising fund cash and cash equivalents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included $6.5 million of cash contributed from U.S. Company-owned stores that had not yet been expended.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8. Leases</w:t>
      </w:r>
    </w:p>
    <w:p>
      <w:pPr>
        <w:spacing w:after="0" w:line="114"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with expiration dates through 2041.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operating and finance lease cost for the first quarter of 2021 and the first quarter of 2020 were as follows:</w:t>
      </w:r>
    </w:p>
    <w:p>
      <w:pPr>
        <w:spacing w:after="0" w:line="25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rPr>
              <w:t>Fiscal Quarter Ended</w:t>
            </w:r>
          </w:p>
        </w:tc>
      </w:tr>
      <w:tr>
        <w:trPr>
          <w:trHeight w:val="118"/>
        </w:trPr>
        <w:tc>
          <w:tcPr>
            <w:tcW w:w="652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3"/>
                <w:szCs w:val="13"/>
                <w:b w:val="1"/>
                <w:bCs w:val="1"/>
                <w:color w:val="auto"/>
              </w:rPr>
              <w:t>March 28,</w:t>
            </w: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8" w:lineRule="exact"/>
              <w:rPr>
                <w:sz w:val="20"/>
                <w:szCs w:val="20"/>
                <w:color w:val="auto"/>
              </w:rPr>
            </w:pPr>
            <w:r>
              <w:rPr>
                <w:rFonts w:ascii="Arial" w:cs="Arial" w:eastAsia="Arial" w:hAnsi="Arial"/>
                <w:sz w:val="13"/>
                <w:szCs w:val="13"/>
                <w:b w:val="1"/>
                <w:bCs w:val="1"/>
                <w:color w:val="auto"/>
                <w:w w:val="99"/>
              </w:rPr>
              <w:t>March 22,</w:t>
            </w:r>
          </w:p>
        </w:tc>
        <w:tc>
          <w:tcPr>
            <w:tcW w:w="40" w:type="dxa"/>
            <w:vAlign w:val="bottom"/>
          </w:tcPr>
          <w:p>
            <w:pPr>
              <w:spacing w:after="0"/>
              <w:rPr>
                <w:sz w:val="10"/>
                <w:szCs w:val="10"/>
                <w:color w:val="auto"/>
              </w:rPr>
            </w:pPr>
          </w:p>
        </w:tc>
      </w:tr>
      <w:tr>
        <w:trPr>
          <w:trHeight w:val="170"/>
        </w:trPr>
        <w:tc>
          <w:tcPr>
            <w:tcW w:w="6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4"/>
                <w:szCs w:val="14"/>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4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r>
      <w:tr>
        <w:trPr>
          <w:trHeight w:val="221"/>
        </w:trPr>
        <w:tc>
          <w:tcPr>
            <w:tcW w:w="652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9"/>
                <w:szCs w:val="19"/>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Rent expense totaled $18.2 million and $16.4 million in the first quarter of 2021 and the first quarter of 2020,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Variable rent expense and rent expense for short-term leases were immaterial in both the first quarter of 2021 and the first quarter of 2020.</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Supplemental balance sheet information related to the Company’s finance leases as of March 28, 2021 and January 3, 2021 was as follows:</w:t>
      </w:r>
    </w:p>
    <w:p>
      <w:pPr>
        <w:spacing w:after="0" w:line="24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28,</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w:t>
            </w:r>
          </w:p>
        </w:tc>
        <w:tc>
          <w:tcPr>
            <w:tcW w:w="0" w:type="dxa"/>
            <w:vAlign w:val="bottom"/>
          </w:tcPr>
          <w:p>
            <w:pPr>
              <w:spacing w:after="0"/>
              <w:rPr>
                <w:sz w:val="1"/>
                <w:szCs w:val="1"/>
                <w:color w:val="auto"/>
              </w:rPr>
            </w:pPr>
          </w:p>
        </w:tc>
      </w:tr>
      <w:tr>
        <w:trPr>
          <w:trHeight w:val="170"/>
        </w:trPr>
        <w:tc>
          <w:tcPr>
            <w:tcW w:w="366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68,489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(10,973)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(10,049)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assets, net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58,035</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Current portion of long-term debt</w:t>
            </w: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2,931</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57,338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57,700</w:t>
            </w: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8"/>
                <w:szCs w:val="18"/>
                <w:color w:val="auto"/>
              </w:rPr>
              <w:t>Total principal payable on finance leases</w:t>
            </w:r>
          </w:p>
        </w:tc>
        <w:tc>
          <w:tcPr>
            <w:tcW w:w="2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60,269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60" w:type="dxa"/>
            <w:vAlign w:val="bottom"/>
            <w:vMerge w:val="restart"/>
          </w:tcPr>
          <w:p>
            <w:pPr>
              <w:jc w:val="right"/>
              <w:ind w:right="22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6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80" w:top="486" w:right="519" w:bottom="1440" w:gutter="0" w:footer="0" w:header="0"/>
        </w:sectPr>
      </w:pPr>
    </w:p>
    <w:bookmarkStart w:id="12" w:name="page13"/>
    <w:bookmarkEnd w:id="12"/>
    <w:p>
      <w:pPr>
        <w:ind w:right="3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72300"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2300" cy="55245"/>
                    </a:xfrm>
                    <a:prstGeom prst="rect">
                      <a:avLst/>
                    </a:prstGeom>
                    <a:noFill/>
                  </pic:spPr>
                </pic:pic>
              </a:graphicData>
            </a:graphic>
          </wp:anchor>
        </w:drawing>
        <w:t>As of March 28, 2021 and January 3, 2021, the weighted average remaining lease term and weighted average discount rate for the Company’s operating and finance leases were as follows:</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2200" w:type="dxa"/>
            <w:vAlign w:val="bottom"/>
            <w:gridSpan w:val="4"/>
          </w:tcPr>
          <w:p>
            <w:pPr>
              <w:ind w:left="400"/>
              <w:spacing w:after="0"/>
              <w:rPr>
                <w:sz w:val="20"/>
                <w:szCs w:val="20"/>
                <w:color w:val="auto"/>
              </w:rPr>
            </w:pPr>
            <w:r>
              <w:rPr>
                <w:rFonts w:ascii="Arial" w:cs="Arial" w:eastAsia="Arial" w:hAnsi="Arial"/>
                <w:sz w:val="14"/>
                <w:szCs w:val="14"/>
                <w:b w:val="1"/>
                <w:bCs w:val="1"/>
                <w:color w:val="auto"/>
              </w:rPr>
              <w:t>March 28, 2021</w:t>
            </w: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January 3, 2021</w:t>
            </w:r>
          </w:p>
        </w:tc>
      </w:tr>
      <w:tr>
        <w:trPr>
          <w:trHeight w:val="118"/>
        </w:trPr>
        <w:tc>
          <w:tcPr>
            <w:tcW w:w="59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440"/>
              <w:spacing w:after="0" w:line="118" w:lineRule="exact"/>
              <w:rPr>
                <w:sz w:val="20"/>
                <w:szCs w:val="20"/>
                <w:color w:val="auto"/>
              </w:rPr>
            </w:pPr>
            <w:r>
              <w:rPr>
                <w:rFonts w:ascii="Arial" w:cs="Arial" w:eastAsia="Arial" w:hAnsi="Arial"/>
                <w:sz w:val="13"/>
                <w:szCs w:val="13"/>
                <w:b w:val="1"/>
                <w:bCs w:val="1"/>
                <w:color w:val="auto"/>
              </w:rPr>
              <w:t>Operating</w:t>
            </w:r>
          </w:p>
        </w:tc>
        <w:tc>
          <w:tcPr>
            <w:tcW w:w="6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7"/>
              </w:rPr>
              <w:t>Finance</w:t>
            </w:r>
          </w:p>
        </w:tc>
        <w:tc>
          <w:tcPr>
            <w:tcW w:w="46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rPr>
              <w:t>Operating</w:t>
            </w:r>
          </w:p>
        </w:tc>
        <w:tc>
          <w:tcPr>
            <w:tcW w:w="6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Finance</w:t>
            </w:r>
          </w:p>
        </w:tc>
        <w:tc>
          <w:tcPr>
            <w:tcW w:w="200" w:type="dxa"/>
            <w:vAlign w:val="bottom"/>
          </w:tcPr>
          <w:p>
            <w:pPr>
              <w:spacing w:after="0"/>
              <w:rPr>
                <w:sz w:val="10"/>
                <w:szCs w:val="10"/>
                <w:color w:val="auto"/>
              </w:rPr>
            </w:pPr>
          </w:p>
        </w:tc>
      </w:tr>
      <w:tr>
        <w:trPr>
          <w:trHeight w:val="170"/>
        </w:trPr>
        <w:tc>
          <w:tcPr>
            <w:tcW w:w="59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Leases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Leases</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Leases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Leases</w:t>
            </w:r>
          </w:p>
        </w:tc>
      </w:tr>
      <w:tr>
        <w:trPr>
          <w:trHeight w:val="207"/>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16 years</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1"/>
              </w:rPr>
              <w:t>7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16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27"/>
        </w:trPr>
        <w:tc>
          <w:tcPr>
            <w:tcW w:w="59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related to leases for the first quarter of 2021 and the first quarter of 2020 was as follows:</w:t>
      </w:r>
    </w:p>
    <w:p>
      <w:pPr>
        <w:spacing w:after="0" w:line="25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18" w:lineRule="exact"/>
              <w:rPr>
                <w:sz w:val="20"/>
                <w:szCs w:val="20"/>
                <w:color w:val="auto"/>
              </w:rPr>
            </w:pPr>
            <w:r>
              <w:rPr>
                <w:rFonts w:ascii="Arial" w:cs="Arial" w:eastAsia="Arial" w:hAnsi="Arial"/>
                <w:sz w:val="13"/>
                <w:szCs w:val="13"/>
                <w:b w:val="1"/>
                <w:bCs w:val="1"/>
                <w:color w:val="auto"/>
              </w:rPr>
              <w:t>March 28,</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March 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2680" w:type="dxa"/>
            <w:vAlign w:val="bottom"/>
            <w:gridSpan w:val="5"/>
          </w:tcPr>
          <w:p>
            <w:pPr>
              <w:jc w:val="right"/>
              <w:ind w:right="340"/>
              <w:spacing w:after="0"/>
              <w:rPr>
                <w:sz w:val="20"/>
                <w:szCs w:val="20"/>
                <w:color w:val="auto"/>
              </w:rPr>
            </w:pPr>
            <w:r>
              <w:rPr>
                <w:rFonts w:ascii="Arial" w:cs="Arial" w:eastAsia="Arial" w:hAnsi="Arial"/>
                <w:sz w:val="18"/>
                <w:szCs w:val="18"/>
                <w:color w:val="auto"/>
              </w:rPr>
              <w:t>$ 10,187</w:t>
            </w:r>
          </w:p>
        </w:tc>
        <w:tc>
          <w:tcPr>
            <w:tcW w:w="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$ 10,119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 from finance leases</w:t>
            </w:r>
          </w:p>
        </w:tc>
        <w:tc>
          <w:tcPr>
            <w:tcW w:w="26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Financing cash flows from finance leases</w:t>
            </w:r>
          </w:p>
        </w:tc>
        <w:tc>
          <w:tcPr>
            <w:tcW w:w="2680" w:type="dxa"/>
            <w:vAlign w:val="bottom"/>
            <w:gridSpan w:val="5"/>
          </w:tcPr>
          <w:p>
            <w:pPr>
              <w:jc w:val="right"/>
              <w:ind w:right="34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2680" w:type="dxa"/>
            <w:vAlign w:val="bottom"/>
            <w:gridSpan w:val="5"/>
          </w:tcPr>
          <w:p>
            <w:pPr>
              <w:jc w:val="right"/>
              <w:ind w:right="340"/>
              <w:spacing w:after="0"/>
              <w:rPr>
                <w:sz w:val="20"/>
                <w:szCs w:val="20"/>
                <w:color w:val="auto"/>
              </w:rPr>
            </w:pPr>
            <w:r>
              <w:rPr>
                <w:rFonts w:ascii="Arial" w:cs="Arial" w:eastAsia="Arial" w:hAnsi="Arial"/>
                <w:sz w:val="18"/>
                <w:szCs w:val="18"/>
                <w:color w:val="auto"/>
              </w:rPr>
              <w:t>4,672</w:t>
            </w:r>
          </w:p>
        </w:tc>
        <w:tc>
          <w:tcPr>
            <w:tcW w:w="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26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658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March 28, 2021 were as follows: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$ 34,764</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2340" w:type="dxa"/>
            <w:vAlign w:val="bottom"/>
            <w:gridSpan w:val="4"/>
          </w:tcPr>
          <w:p>
            <w:pPr>
              <w:jc w:val="right"/>
              <w:ind w:right="160"/>
              <w:spacing w:after="0"/>
              <w:rPr>
                <w:sz w:val="20"/>
                <w:szCs w:val="20"/>
                <w:color w:val="auto"/>
              </w:rPr>
            </w:pPr>
            <w:r>
              <w:rPr>
                <w:rFonts w:ascii="Arial" w:cs="Arial" w:eastAsia="Arial" w:hAnsi="Arial"/>
                <w:sz w:val="18"/>
                <w:szCs w:val="18"/>
                <w:color w:val="auto"/>
              </w:rPr>
              <w:t>43,209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37,620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2340" w:type="dxa"/>
            <w:vAlign w:val="bottom"/>
            <w:gridSpan w:val="4"/>
          </w:tcPr>
          <w:p>
            <w:pPr>
              <w:jc w:val="right"/>
              <w:ind w:right="160"/>
              <w:spacing w:after="0"/>
              <w:rPr>
                <w:sz w:val="20"/>
                <w:szCs w:val="20"/>
                <w:color w:val="auto"/>
              </w:rPr>
            </w:pPr>
            <w:r>
              <w:rPr>
                <w:rFonts w:ascii="Arial" w:cs="Arial" w:eastAsia="Arial" w:hAnsi="Arial"/>
                <w:sz w:val="18"/>
                <w:szCs w:val="18"/>
                <w:color w:val="auto"/>
              </w:rPr>
              <w:t>36,260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29,559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87,007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69,983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2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268,419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100,890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 amounts representing interest</w:t>
            </w:r>
          </w:p>
        </w:tc>
        <w:tc>
          <w:tcPr>
            <w:tcW w:w="15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(33,721)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(40,621)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234,698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As of March 28, 2021, the Company has additional leases for certain supply chain tractors and trailers that had not yet commenced with estimated future minimum rental commitments of approximately $15.7 million. These leases are expected to commence in 2021 with lease terms of up to 9 years. These undiscounted amounts are not included in the table above.</w:t>
      </w:r>
    </w:p>
    <w:p>
      <w:pPr>
        <w:spacing w:after="0" w:line="186" w:lineRule="exact"/>
        <w:rPr>
          <w:sz w:val="20"/>
          <w:szCs w:val="20"/>
          <w:color w:val="auto"/>
        </w:rPr>
      </w:pPr>
    </w:p>
    <w:p>
      <w:pPr>
        <w:jc w:val="center"/>
        <w:ind w:right="140"/>
        <w:spacing w:after="0" w:line="307" w:lineRule="auto"/>
        <w:rPr>
          <w:sz w:val="20"/>
          <w:szCs w:val="20"/>
          <w:color w:val="auto"/>
        </w:rPr>
      </w:pPr>
      <w:r>
        <w:rPr>
          <w:rFonts w:ascii="Arial" w:cs="Arial" w:eastAsia="Arial" w:hAnsi="Arial"/>
          <w:sz w:val="16"/>
          <w:szCs w:val="16"/>
          <w:color w:val="auto"/>
        </w:rPr>
        <w:t>The Company has guaranteed lease payments related to certain franchisees’ lease arrangements. The maximum amount of potential future payments under these guarantees was $12.0 million and $12.6 million as of March 28, 2021 and January 3, 2021, respectively. The Company does not believe these arrangements have or are likely to have a material effect on its results of operations, financial condition, revenues, expenses or liquidity.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9. Supplemental Disclosures of Cash Flow Information</w:t>
      </w:r>
    </w:p>
    <w:p>
      <w:pPr>
        <w:spacing w:after="0" w:line="114"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The Company had non-cash investing activities related to accruals for capital expenditures of $3.1 million at March 28, 2021 and $4.3 million at January 3, 2021.</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480" w:top="299"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10. New Accounting Pronouncements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Recently Adopted Accounting Standard</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Accounting Standards Update (“ASU”) 2019-12, Income Taxes – Simplifying the Accounting for Income Taxes (Topic 740)</w:t>
      </w:r>
    </w:p>
    <w:p>
      <w:pPr>
        <w:spacing w:after="0" w:line="114" w:lineRule="exact"/>
        <w:rPr>
          <w:sz w:val="20"/>
          <w:szCs w:val="20"/>
          <w:color w:val="auto"/>
        </w:rPr>
      </w:pPr>
    </w:p>
    <w:p>
      <w:pPr>
        <w:ind w:left="980" w:right="120" w:firstLine="397"/>
        <w:spacing w:after="0" w:line="297"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 (“ASU 2019-12”)</w:t>
      </w:r>
      <w:r>
        <w:rPr>
          <w:rFonts w:ascii="Arial" w:cs="Arial" w:eastAsia="Arial" w:hAnsi="Arial"/>
          <w:sz w:val="16"/>
          <w:szCs w:val="16"/>
          <w:color w:val="auto"/>
        </w:rPr>
        <w:t>, which simplifies the accounting for income taxes. ASU 2019-12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beginning after December 15, 2020, including applicable interim periods. The Company adopted this accounting standard in the first quarter of 2021, and it did not have a material impact on its condensed consolidated financial statements.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14" w:lineRule="exact"/>
        <w:rPr>
          <w:sz w:val="20"/>
          <w:szCs w:val="20"/>
          <w:color w:val="auto"/>
        </w:rPr>
      </w:pPr>
    </w:p>
    <w:p>
      <w:pPr>
        <w:ind w:left="440" w:right="160" w:firstLine="419"/>
        <w:spacing w:after="0" w:line="271" w:lineRule="auto"/>
        <w:rPr>
          <w:sz w:val="20"/>
          <w:szCs w:val="20"/>
          <w:color w:val="auto"/>
        </w:rPr>
      </w:pPr>
      <w:r>
        <w:rPr>
          <w:rFonts w:ascii="Arial" w:cs="Arial" w:eastAsia="Arial" w:hAnsi="Arial"/>
          <w:sz w:val="18"/>
          <w:szCs w:val="18"/>
          <w:color w:val="auto"/>
        </w:rPr>
        <w:t>The Company has considered all new accounting standards issued by the FASB. The Company has not yet completed its assessment of the following standard.</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ASU 2020-04, Facilitation of the Effects of Reference Rate Reform on Financial Reporting (Topic 848)</w:t>
      </w:r>
    </w:p>
    <w:p>
      <w:pPr>
        <w:spacing w:after="0" w:line="114" w:lineRule="exact"/>
        <w:rPr>
          <w:sz w:val="20"/>
          <w:szCs w:val="20"/>
          <w:color w:val="auto"/>
        </w:rPr>
      </w:pPr>
    </w:p>
    <w:p>
      <w:pPr>
        <w:ind w:left="980" w:firstLine="397"/>
        <w:spacing w:after="0" w:line="28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 (“ASU 2020-04”)</w:t>
      </w:r>
      <w:r>
        <w:rPr>
          <w:rFonts w:ascii="Arial" w:cs="Arial" w:eastAsia="Arial" w:hAnsi="Arial"/>
          <w:sz w:val="16"/>
          <w:szCs w:val="16"/>
          <w:color w:val="auto"/>
        </w:rPr>
        <w:t>, which provides temporary optional expedients and exceptions for applying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accounting principles to contracts, hedging relationships and other transactions affected by reference rate reform. Subsequent to the closing of the 2021 Recapitalization, the Company’s 2021 Variable Funding Notes bear interest at fluctuating interest rates based on LIBOR and the associated loan documents contemplate a transition from LIBOR to secured overnight financing rate (“SOFR”) in the event that LIBOR ceases to exist. If the Company further needs to renegotiate its loan documents, the Company cannot predict what alternative index would be negotiated with its lenders. ASU 2020-04 is currently effective and upon adoption may be applied prospectively to contract modifications made on or before December 31, 2022. The Company is currently assessing the impact of adopting this standard but does not expect the adoption of this guidance to have a material impact on its condensed consolidated financial statements.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1235"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2. Management’s Discussion and Analysis of Financial Condition and Results of Operations.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01"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The 2021 and 2020 first quarters referenced herein represent the twelve-week periods ended March 28, 2021 and March 22, 2020, respectively. In this section, we discuss the results of our operations for the first quarter of 2021 as compared to the first quarter of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right="80" w:firstLine="436"/>
        <w:spacing w:after="0" w:line="269" w:lineRule="auto"/>
        <w:rPr>
          <w:sz w:val="20"/>
          <w:szCs w:val="20"/>
          <w:color w:val="auto"/>
        </w:rPr>
      </w:pPr>
      <w:r>
        <w:rPr>
          <w:rFonts w:ascii="Arial" w:cs="Arial" w:eastAsia="Arial" w:hAnsi="Arial"/>
          <w:sz w:val="17"/>
          <w:szCs w:val="17"/>
          <w:color w:val="auto"/>
        </w:rPr>
        <w:t>Domino’s is the largest pizza company in the world based on global retail sales, with a significant business in both delivery and carryout, and more than 17,800 locations in over 90 markets around the world as of March 28, 2021. Founded in 1960, our roots are in convenient pizza delivery, while a significant amount of our sales also come from carryout customers. We are a highly recognized global brand, and we focus on serving neighborhoods locally through our large global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178"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86" w:lineRule="exact"/>
        <w:rPr>
          <w:sz w:val="20"/>
          <w:szCs w:val="20"/>
          <w:color w:val="auto"/>
        </w:rPr>
      </w:pPr>
    </w:p>
    <w:p>
      <w:pPr>
        <w:ind w:right="40" w:firstLine="436"/>
        <w:spacing w:after="0" w:line="256" w:lineRule="auto"/>
        <w:rPr>
          <w:sz w:val="20"/>
          <w:szCs w:val="20"/>
          <w:color w:val="auto"/>
        </w:rPr>
      </w:pPr>
      <w:r>
        <w:rPr>
          <w:rFonts w:ascii="Arial" w:cs="Arial" w:eastAsia="Arial" w:hAnsi="Arial"/>
          <w:sz w:val="16"/>
          <w:szCs w:val="16"/>
          <w:color w:val="auto"/>
        </w:rPr>
        <w:t>Domino’s generates revenues and earnings by charging royalties and fees to our franchisees. Royalties are ongoing percent-of-sales fees for use of the Domino’s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marks. We also generate revenues and earnings by selling food, equipment and supplies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91" w:lineRule="exact"/>
        <w:rPr>
          <w:sz w:val="20"/>
          <w:szCs w:val="20"/>
          <w:color w:val="auto"/>
        </w:rPr>
      </w:pPr>
    </w:p>
    <w:p>
      <w:pPr>
        <w:jc w:val="both"/>
        <w:ind w:right="100" w:firstLine="436"/>
        <w:spacing w:after="0" w:line="255" w:lineRule="auto"/>
        <w:rPr>
          <w:sz w:val="20"/>
          <w:szCs w:val="20"/>
          <w:color w:val="auto"/>
        </w:rPr>
      </w:pPr>
      <w:r>
        <w:rPr>
          <w:rFonts w:ascii="Arial" w:cs="Arial" w:eastAsia="Arial" w:hAnsi="Arial"/>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These factors emphasize our focus on our stakeholders, including our customers, team members, franchisees, communities and shareholders.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2021 Highlights</w:t>
      </w:r>
    </w:p>
    <w:p>
      <w:pPr>
        <w:spacing w:after="0" w:line="131" w:lineRule="exact"/>
        <w:rPr>
          <w:sz w:val="20"/>
          <w:szCs w:val="20"/>
          <w:color w:val="auto"/>
        </w:rPr>
      </w:pPr>
    </w:p>
    <w:p>
      <w:pPr>
        <w:ind w:left="980" w:right="540" w:hanging="438"/>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14.0% as compared to 2020. U.S. retail sales increased 15.3% and international retail sales, excluding foreign currency impact, increased 12.8% as compared to 2020.</w:t>
      </w:r>
    </w:p>
    <w:p>
      <w:pPr>
        <w:spacing w:after="0" w:line="92" w:lineRule="exact"/>
        <w:rPr>
          <w:rFonts w:ascii="Arial" w:cs="Arial" w:eastAsia="Arial" w:hAnsi="Arial"/>
          <w:sz w:val="18"/>
          <w:szCs w:val="18"/>
          <w:color w:val="auto"/>
        </w:rPr>
      </w:pPr>
    </w:p>
    <w:p>
      <w:pPr>
        <w:ind w:left="980" w:hanging="43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store sales increased 13.4% in our U.S. stores and increased 11.8% in our international stores.</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increased 12.7%</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increased 19.7%.</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3.2%.</w:t>
      </w:r>
    </w:p>
    <w:p>
      <w:pPr>
        <w:spacing w:after="0" w:line="127" w:lineRule="exact"/>
        <w:rPr>
          <w:rFonts w:ascii="Arial" w:cs="Arial" w:eastAsia="Arial" w:hAnsi="Arial"/>
          <w:sz w:val="18"/>
          <w:szCs w:val="18"/>
          <w:color w:val="auto"/>
        </w:rPr>
      </w:pPr>
    </w:p>
    <w:p>
      <w:pPr>
        <w:ind w:left="980" w:hanging="43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decreased 2.3%.</w:t>
      </w:r>
    </w:p>
    <w:p>
      <w:pPr>
        <w:spacing w:after="0" w:line="221"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During the first quarter of 2021, we experienced global retail sales growth and U.S. and international same store sales growth. We believe our commitment to value, convenience, quality and new products continues to keep consumers engaged with the brand. We also continued our strong U.S. and international same store sales performance with 40 straight quarters of positive U.S. same store sales and 109 straight quarters of positive international same store sales. Changes in consumer ordering behavior due to the COVID-19 pandemic resulted in a significant increase in U.S. and international same store sales during the first quarter of 2021. Additionally, our U.S. supply chain experienced higher volumes from the increases in U.S. store sales. Our U.S. and international same store sales growth has been pressured by our fortressing strategy, which includes increasing store concentration in certain markets where we compete, as well as from aggressive competitive activity.</w:t>
      </w:r>
    </w:p>
    <w:p>
      <w:pPr>
        <w:spacing w:after="0" w:line="178"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We continued our global expansion with the opening of 175 net stores in the first quarter of 2021. We had 36 net stores open in the U.S. and 139 net stores open internationally during the first quarter of 2021.</w:t>
      </w:r>
    </w:p>
    <w:p>
      <w:pPr>
        <w:spacing w:after="0" w:line="175"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Overall, we believe our continued global store growth, along with our sales growth, emphasis on technology, operations, and marketing initiatives, have combined to strengthen our brand.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990"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Statistical Measures</w:t>
      </w:r>
    </w:p>
    <w:p>
      <w:pPr>
        <w:spacing w:after="0" w:line="118"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118" w:lineRule="exact"/>
        <w:rPr>
          <w:sz w:val="20"/>
          <w:szCs w:val="20"/>
          <w:color w:val="auto"/>
        </w:rPr>
      </w:pPr>
    </w:p>
    <w:p>
      <w:pPr>
        <w:ind w:right="60" w:firstLine="436"/>
        <w:spacing w:after="0" w:line="288" w:lineRule="auto"/>
        <w:rPr>
          <w:sz w:val="20"/>
          <w:szCs w:val="20"/>
          <w:color w:val="auto"/>
        </w:rPr>
      </w:pPr>
      <w:r>
        <w:rPr>
          <w:rFonts w:ascii="Arial" w:cs="Arial" w:eastAsia="Arial" w:hAnsi="Arial"/>
          <w:sz w:val="16"/>
          <w:szCs w:val="16"/>
          <w:color w:val="auto"/>
        </w:rPr>
        <w:t>Global retail sales growth (excluding foreign currency impact) is a commonly used statistical measure in the quick-service restaurant industry that is important to understanding performance. Global retail sales growth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First Quarter</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First Quarter</w:t>
            </w:r>
          </w:p>
        </w:tc>
      </w:tr>
      <w:tr>
        <w:trPr>
          <w:trHeight w:val="170"/>
        </w:trPr>
        <w:tc>
          <w:tcPr>
            <w:tcW w:w="5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7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200" w:type="dxa"/>
            <w:vAlign w:val="bottom"/>
            <w:tcBorders>
              <w:bottom w:val="single" w:sz="8" w:color="CCEEFF"/>
            </w:tcBorders>
          </w:tcPr>
          <w:p>
            <w:pPr>
              <w:spacing w:after="0"/>
              <w:rPr>
                <w:sz w:val="14"/>
                <w:szCs w:val="14"/>
                <w:color w:val="auto"/>
              </w:rPr>
            </w:pPr>
          </w:p>
        </w:tc>
      </w:tr>
      <w:tr>
        <w:trPr>
          <w:trHeight w:val="20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 stores</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International stores (excluding foreign currency impact)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7"/>
        </w:trPr>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(excluding foreign currency impact)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118" w:lineRule="exact"/>
        <w:rPr>
          <w:sz w:val="20"/>
          <w:szCs w:val="20"/>
          <w:color w:val="auto"/>
        </w:rPr>
      </w:pPr>
    </w:p>
    <w:p>
      <w:pPr>
        <w:ind w:right="100" w:firstLine="436"/>
        <w:spacing w:after="0" w:line="275" w:lineRule="auto"/>
        <w:rPr>
          <w:sz w:val="20"/>
          <w:szCs w:val="20"/>
          <w:color w:val="auto"/>
        </w:rPr>
      </w:pPr>
      <w:r>
        <w:rPr>
          <w:rFonts w:ascii="Arial" w:cs="Arial" w:eastAsia="Arial" w:hAnsi="Arial"/>
          <w:sz w:val="17"/>
          <w:szCs w:val="17"/>
          <w:color w:val="auto"/>
        </w:rPr>
        <w:t>Same store sales growth is a commonly used statistical measure in the quick-service restaurant industry that is important to understanding performance. Same store sales growth is calculated by including only sales from stores that also had sales in the comparable weeks of both years. International same store sales growth is calculated similarly to U.S. same store sales growth. Changes in international same store sales are reported on a constant dollar basis which reflects changes in international local currency sales.</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First Quarter</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First Quarter</w:t>
            </w:r>
          </w:p>
        </w:tc>
      </w:tr>
      <w:tr>
        <w:trPr>
          <w:trHeight w:val="170"/>
        </w:trPr>
        <w:tc>
          <w:tcPr>
            <w:tcW w:w="5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7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200" w:type="dxa"/>
            <w:vAlign w:val="bottom"/>
            <w:tcBorders>
              <w:bottom w:val="single" w:sz="8" w:color="CCEEFF"/>
            </w:tcBorders>
          </w:tcPr>
          <w:p>
            <w:pPr>
              <w:spacing w:after="0"/>
              <w:rPr>
                <w:sz w:val="14"/>
                <w:szCs w:val="14"/>
                <w:color w:val="auto"/>
              </w:rPr>
            </w:pPr>
          </w:p>
        </w:tc>
      </w:tr>
      <w:tr>
        <w:trPr>
          <w:trHeight w:val="20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U.S. franchise stores</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+13.9%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 stores</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7"/>
        </w:trPr>
        <w:tc>
          <w:tcPr>
            <w:tcW w:w="5640" w:type="dxa"/>
            <w:vAlign w:val="bottom"/>
          </w:tcPr>
          <w:p>
            <w:pPr>
              <w:spacing w:after="0"/>
              <w:rPr>
                <w:sz w:val="20"/>
                <w:szCs w:val="20"/>
                <w:color w:val="auto"/>
              </w:rPr>
            </w:pPr>
            <w:r>
              <w:rPr>
                <w:rFonts w:ascii="Arial" w:cs="Arial" w:eastAsia="Arial" w:hAnsi="Arial"/>
                <w:sz w:val="18"/>
                <w:szCs w:val="18"/>
                <w:color w:val="auto"/>
              </w:rPr>
              <w:t>International stores (excluding foreign currency impact)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+11.8%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Growth Activity</w:t>
      </w:r>
    </w:p>
    <w:p>
      <w:pPr>
        <w:spacing w:after="0" w:line="118" w:lineRule="exact"/>
        <w:rPr>
          <w:sz w:val="20"/>
          <w:szCs w:val="20"/>
          <w:color w:val="auto"/>
        </w:rPr>
      </w:pPr>
    </w:p>
    <w:p>
      <w:pPr>
        <w:ind w:right="900" w:firstLine="436"/>
        <w:spacing w:after="0" w:line="271" w:lineRule="auto"/>
        <w:rPr>
          <w:sz w:val="20"/>
          <w:szCs w:val="20"/>
          <w:color w:val="auto"/>
        </w:rPr>
      </w:pPr>
      <w:r>
        <w:rPr>
          <w:rFonts w:ascii="Arial" w:cs="Arial" w:eastAsia="Arial" w:hAnsi="Arial"/>
          <w:sz w:val="18"/>
          <w:szCs w:val="18"/>
          <w:color w:val="auto"/>
        </w:rPr>
        <w:t>Store counts and net store growth are commonly used statistical measures in the quick-service restaurant industry that are important to understanding performance.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Company-</w:t>
            </w:r>
          </w:p>
        </w:tc>
        <w:tc>
          <w:tcPr>
            <w:tcW w:w="8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International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owned</w:t>
            </w:r>
          </w:p>
        </w:tc>
        <w:tc>
          <w:tcPr>
            <w:tcW w:w="8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Franchise</w:t>
            </w:r>
          </w:p>
        </w:tc>
        <w:tc>
          <w:tcPr>
            <w:tcW w:w="7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U.S.</w:t>
            </w:r>
          </w:p>
        </w:tc>
        <w:tc>
          <w:tcPr>
            <w:tcW w:w="11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Stores</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Stores</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Stores</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Stores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January 3, 2021</w:t>
            </w:r>
          </w:p>
        </w:tc>
        <w:tc>
          <w:tcPr>
            <w:tcW w:w="2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6,355</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Openings</w:t>
            </w:r>
          </w:p>
        </w:tc>
        <w:tc>
          <w:tcPr>
            <w:tcW w:w="346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3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Store count at March 28, 2021</w:t>
            </w:r>
          </w:p>
        </w:tc>
        <w:tc>
          <w:tcPr>
            <w:tcW w:w="2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6,027</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6,391</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2021 net store growth</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Trailing four quarters net store growth</w:t>
            </w:r>
          </w:p>
        </w:tc>
        <w:tc>
          <w:tcPr>
            <w:tcW w:w="2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6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20" w:type="dxa"/>
            <w:vAlign w:val="bottom"/>
            <w:vMerge w:val="restart"/>
          </w:tcPr>
          <w:p>
            <w:pPr>
              <w:jc w:val="right"/>
              <w:ind w:right="931"/>
              <w:spacing w:after="0"/>
              <w:rPr>
                <w:sz w:val="20"/>
                <w:szCs w:val="20"/>
                <w:color w:val="auto"/>
              </w:rPr>
            </w:pPr>
            <w:r>
              <w:rPr>
                <w:rFonts w:ascii="Arial" w:cs="Arial" w:eastAsia="Arial" w:hAnsi="Arial"/>
                <w:sz w:val="18"/>
                <w:szCs w:val="18"/>
                <w:color w:val="auto"/>
              </w:rPr>
              <w:t>15</w:t>
            </w: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990"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Income Statement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First Quarter</w:t>
            </w:r>
          </w:p>
        </w:tc>
        <w:tc>
          <w:tcPr>
            <w:tcW w:w="1480" w:type="dxa"/>
            <w:vAlign w:val="bottom"/>
            <w:gridSpan w:val="7"/>
          </w:tcPr>
          <w:p>
            <w:pPr>
              <w:ind w:left="18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of 2021</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6"/>
              </w:rPr>
              <w:t>of 2020</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$112.7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$102.3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U.S. franchise royalties and fees</w:t>
            </w: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w:t>
            </w:r>
          </w:p>
        </w:tc>
        <w:tc>
          <w:tcPr>
            <w:tcW w:w="1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International franchise royalties and fees</w:t>
            </w: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14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1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100.0%</w:t>
            </w:r>
          </w:p>
        </w:tc>
        <w:tc>
          <w:tcPr>
            <w:tcW w:w="480" w:type="dxa"/>
            <w:vAlign w:val="bottom"/>
          </w:tcPr>
          <w:p>
            <w:pPr>
              <w:jc w:val="right"/>
              <w:spacing w:after="0"/>
              <w:rPr>
                <w:sz w:val="20"/>
                <w:szCs w:val="20"/>
                <w:color w:val="auto"/>
              </w:rPr>
            </w:pPr>
            <w:r>
              <w:rPr>
                <w:rFonts w:ascii="Arial" w:cs="Arial" w:eastAsia="Arial" w:hAnsi="Arial"/>
                <w:sz w:val="18"/>
                <w:szCs w:val="18"/>
                <w:color w:val="auto"/>
              </w:rPr>
              <w:t>873.1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Supply chain</w:t>
            </w:r>
          </w:p>
        </w:tc>
        <w:tc>
          <w:tcPr>
            <w:tcW w:w="14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cost of sales</w:t>
            </w:r>
          </w:p>
        </w:tc>
        <w:tc>
          <w:tcPr>
            <w:tcW w:w="1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60.4%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160" w:type="dxa"/>
            <w:vAlign w:val="bottom"/>
            <w:vMerge w:val="restart"/>
          </w:tcPr>
          <w:p>
            <w:pPr>
              <w:ind w:left="80"/>
              <w:spacing w:after="0"/>
              <w:rPr>
                <w:sz w:val="20"/>
                <w:szCs w:val="20"/>
                <w:color w:val="auto"/>
              </w:rPr>
            </w:pPr>
            <w:r>
              <w:rPr>
                <w:rFonts w:ascii="Arial" w:cs="Arial" w:eastAsia="Arial" w:hAnsi="Arial"/>
                <w:sz w:val="18"/>
                <w:szCs w:val="18"/>
                <w:color w:val="auto"/>
              </w:rPr>
              <w:t>Operating margin</w:t>
            </w:r>
          </w:p>
        </w:tc>
        <w:tc>
          <w:tcPr>
            <w:tcW w:w="14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51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389.2</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rPr>
              <w:t>39.6%</w:t>
            </w:r>
          </w:p>
        </w:tc>
        <w:tc>
          <w:tcPr>
            <w:tcW w:w="480" w:type="dxa"/>
            <w:vAlign w:val="bottom"/>
          </w:tcPr>
          <w:p>
            <w:pPr>
              <w:jc w:val="right"/>
              <w:spacing w:after="0"/>
              <w:rPr>
                <w:sz w:val="20"/>
                <w:szCs w:val="20"/>
                <w:color w:val="auto"/>
              </w:rPr>
            </w:pPr>
            <w:r>
              <w:rPr>
                <w:rFonts w:ascii="Arial" w:cs="Arial" w:eastAsia="Arial" w:hAnsi="Arial"/>
                <w:sz w:val="18"/>
                <w:szCs w:val="18"/>
                <w:color w:val="auto"/>
              </w:rPr>
              <w:t>340.2</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U.S. franchise advertising</w:t>
            </w:r>
          </w:p>
        </w:tc>
        <w:tc>
          <w:tcPr>
            <w:tcW w:w="1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rPr>
              <w:t>11.3%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rPr>
              <w:t>0.2%</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920" w:type="dxa"/>
            <w:vAlign w:val="bottom"/>
            <w:tcBorders>
              <w:left w:val="single" w:sz="8" w:color="CCEEFF"/>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160" w:type="dxa"/>
            <w:vAlign w:val="bottom"/>
            <w:vMerge w:val="restart"/>
          </w:tcPr>
          <w:p>
            <w:pPr>
              <w:ind w:left="80"/>
              <w:spacing w:after="0"/>
              <w:rPr>
                <w:sz w:val="20"/>
                <w:szCs w:val="20"/>
                <w:color w:val="auto"/>
              </w:rPr>
            </w:pPr>
            <w:r>
              <w:rPr>
                <w:rFonts w:ascii="Arial" w:cs="Arial" w:eastAsia="Arial" w:hAnsi="Arial"/>
                <w:sz w:val="18"/>
                <w:szCs w:val="18"/>
                <w:color w:val="auto"/>
              </w:rPr>
              <w:t>Income before provision (benefit) for income taxes</w:t>
            </w:r>
          </w:p>
        </w:tc>
        <w:tc>
          <w:tcPr>
            <w:tcW w:w="14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51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149.6</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rPr>
              <w:t>15.2%</w:t>
            </w:r>
          </w:p>
        </w:tc>
        <w:tc>
          <w:tcPr>
            <w:tcW w:w="480" w:type="dxa"/>
            <w:vAlign w:val="bottom"/>
          </w:tcPr>
          <w:p>
            <w:pPr>
              <w:jc w:val="right"/>
              <w:spacing w:after="0"/>
              <w:rPr>
                <w:sz w:val="20"/>
                <w:szCs w:val="20"/>
                <w:color w:val="auto"/>
              </w:rPr>
            </w:pPr>
            <w:r>
              <w:rPr>
                <w:rFonts w:ascii="Arial" w:cs="Arial" w:eastAsia="Arial" w:hAnsi="Arial"/>
                <w:sz w:val="18"/>
                <w:szCs w:val="18"/>
                <w:color w:val="auto"/>
              </w:rPr>
              <w:t>117.3</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160" w:type="dxa"/>
            <w:vAlign w:val="bottom"/>
            <w:vMerge w:val="restart"/>
          </w:tcPr>
          <w:p>
            <w:pPr>
              <w:ind w:left="80"/>
              <w:spacing w:after="0"/>
              <w:rPr>
                <w:sz w:val="20"/>
                <w:szCs w:val="20"/>
                <w:color w:val="auto"/>
              </w:rPr>
            </w:pPr>
            <w:r>
              <w:rPr>
                <w:rFonts w:ascii="Arial" w:cs="Arial" w:eastAsia="Arial" w:hAnsi="Arial"/>
                <w:sz w:val="18"/>
                <w:szCs w:val="18"/>
                <w:color w:val="auto"/>
              </w:rPr>
              <w:t>Net income</w:t>
            </w:r>
          </w:p>
        </w:tc>
        <w:tc>
          <w:tcPr>
            <w:tcW w:w="14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51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117.8</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rPr>
              <w:t>12.0%</w:t>
            </w: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121.6</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1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88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6"/>
              </w:rPr>
              <w:t>First Quarter</w:t>
            </w: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9"/>
              </w:rPr>
              <w:t>First Quarter</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of 2021</w:t>
            </w:r>
          </w:p>
        </w:tc>
        <w:tc>
          <w:tcPr>
            <w:tcW w:w="4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of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440" w:type="dxa"/>
            <w:vAlign w:val="bottom"/>
            <w:gridSpan w:val="2"/>
            <w:shd w:val="clear" w:color="auto" w:fill="CCEEFF"/>
          </w:tcPr>
          <w:p>
            <w:pPr>
              <w:spacing w:after="0"/>
              <w:rPr>
                <w:sz w:val="18"/>
                <w:szCs w:val="18"/>
                <w:color w:val="auto"/>
              </w:rPr>
            </w:pPr>
          </w:p>
        </w:tc>
        <w:tc>
          <w:tcPr>
            <w:tcW w:w="7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7"/>
              </w:rPr>
              <w:t>$112.7</w:t>
            </w:r>
          </w:p>
        </w:tc>
        <w:tc>
          <w:tcPr>
            <w:tcW w:w="920" w:type="dxa"/>
            <w:vAlign w:val="bottom"/>
            <w:tcBorders>
              <w:left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3"/>
              </w:rPr>
              <w:t>$102.3</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U.S. franchise royalties and fees</w:t>
            </w:r>
          </w:p>
        </w:tc>
        <w:tc>
          <w:tcPr>
            <w:tcW w:w="1960" w:type="dxa"/>
            <w:vAlign w:val="bottom"/>
            <w:gridSpan w:val="5"/>
          </w:tcPr>
          <w:p>
            <w:pPr>
              <w:jc w:val="right"/>
              <w:ind w:right="20"/>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12.7%</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w:t>
            </w:r>
          </w:p>
        </w:tc>
        <w:tc>
          <w:tcPr>
            <w:tcW w:w="1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568.3</w:t>
            </w:r>
          </w:p>
        </w:tc>
        <w:tc>
          <w:tcPr>
            <w:tcW w:w="240" w:type="dxa"/>
            <w:vAlign w:val="bottom"/>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512.7</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International franchise royalties and fees</w:t>
            </w:r>
          </w:p>
        </w:tc>
        <w:tc>
          <w:tcPr>
            <w:tcW w:w="2200" w:type="dxa"/>
            <w:vAlign w:val="bottom"/>
            <w:gridSpan w:val="6"/>
          </w:tcPr>
          <w:p>
            <w:pPr>
              <w:jc w:val="right"/>
              <w:ind w:right="260"/>
              <w:spacing w:after="0"/>
              <w:rPr>
                <w:sz w:val="20"/>
                <w:szCs w:val="20"/>
                <w:color w:val="auto"/>
              </w:rPr>
            </w:pPr>
            <w:r>
              <w:rPr>
                <w:rFonts w:ascii="Arial" w:cs="Arial" w:eastAsia="Arial" w:hAnsi="Arial"/>
                <w:sz w:val="18"/>
                <w:szCs w:val="18"/>
                <w:color w:val="auto"/>
              </w:rPr>
              <w:t>66.8</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6.8%</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144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gridSpan w:val="2"/>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95.8</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160" w:type="dxa"/>
            <w:vAlign w:val="bottom"/>
            <w:vMerge w:val="restart"/>
          </w:tcPr>
          <w:p>
            <w:pPr>
              <w:ind w:left="80"/>
              <w:spacing w:after="0"/>
              <w:rPr>
                <w:sz w:val="20"/>
                <w:szCs w:val="20"/>
                <w:color w:val="auto"/>
              </w:rPr>
            </w:pPr>
            <w:r>
              <w:rPr>
                <w:rFonts w:ascii="Arial" w:cs="Arial" w:eastAsia="Arial" w:hAnsi="Arial"/>
                <w:sz w:val="18"/>
                <w:szCs w:val="18"/>
                <w:color w:val="auto"/>
              </w:rPr>
              <w:t>Total revenues</w:t>
            </w:r>
          </w:p>
        </w:tc>
        <w:tc>
          <w:tcPr>
            <w:tcW w:w="1440" w:type="dxa"/>
            <w:vAlign w:val="bottom"/>
            <w:gridSpan w:val="2"/>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5160" w:type="dxa"/>
            <w:vAlign w:val="bottom"/>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983.7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100.0%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873.1</w:t>
            </w:r>
          </w:p>
        </w:tc>
        <w:tc>
          <w:tcPr>
            <w:tcW w:w="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 Revenues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5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First Quarter</w:t>
            </w:r>
          </w:p>
        </w:tc>
        <w:tc>
          <w:tcPr>
            <w:tcW w:w="12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70"/>
        </w:trPr>
        <w:tc>
          <w:tcPr>
            <w:tcW w:w="68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of 2021</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 2020</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$112.7</w:t>
            </w:r>
          </w:p>
        </w:tc>
        <w:tc>
          <w:tcPr>
            <w:tcW w:w="7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$102.3</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4"/>
        </w:trPr>
        <w:tc>
          <w:tcPr>
            <w:tcW w:w="688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124.5</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104.7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4"/>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340" w:type="dxa"/>
            <w:vAlign w:val="bottom"/>
            <w:gridSpan w:val="2"/>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95.8</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360"/>
              <w:spacing w:after="0"/>
              <w:rPr>
                <w:sz w:val="20"/>
                <w:szCs w:val="20"/>
                <w:color w:val="auto"/>
              </w:rPr>
            </w:pPr>
            <w:r>
              <w:rPr>
                <w:rFonts w:ascii="Arial" w:cs="Arial" w:eastAsia="Arial" w:hAnsi="Arial"/>
                <w:sz w:val="18"/>
                <w:szCs w:val="18"/>
                <w:color w:val="auto"/>
              </w:rPr>
              <w:t>U.S. stores</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348.6</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302.9</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Company-Owned Stores</w:t>
      </w:r>
    </w:p>
    <w:p>
      <w:pPr>
        <w:spacing w:after="0" w:line="114" w:lineRule="exact"/>
        <w:rPr>
          <w:sz w:val="20"/>
          <w:szCs w:val="20"/>
          <w:color w:val="auto"/>
        </w:rPr>
      </w:pPr>
    </w:p>
    <w:p>
      <w:pPr>
        <w:jc w:val="both"/>
        <w:ind w:right="40" w:firstLine="436"/>
        <w:spacing w:after="0" w:line="281" w:lineRule="auto"/>
        <w:rPr>
          <w:sz w:val="20"/>
          <w:szCs w:val="20"/>
          <w:color w:val="auto"/>
        </w:rPr>
      </w:pPr>
      <w:r>
        <w:rPr>
          <w:rFonts w:ascii="Arial" w:cs="Arial" w:eastAsia="Arial" w:hAnsi="Arial"/>
          <w:sz w:val="17"/>
          <w:szCs w:val="17"/>
          <w:color w:val="auto"/>
        </w:rPr>
        <w:t>Revenues from U.S. Company-owned store operations increased $10.4 million, or 10.2%, in the first quarter of 2021 due primarily to same store sales growth and an increase in the average number of U.S. Company-owned stores open during the period, resulting from net store growth. Company-owned same store sales increased 6.3% in the first quarter of 2021 and 3.9% in the first quarter of 2020.</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0"/>
          </w:cols>
          <w:pgMar w:left="480" w:top="295" w:right="59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U.S. Franchise Royalties and Fees</w:t>
      </w:r>
    </w:p>
    <w:p>
      <w:pPr>
        <w:spacing w:after="0" w:line="114" w:lineRule="exact"/>
        <w:rPr>
          <w:sz w:val="20"/>
          <w:szCs w:val="20"/>
          <w:color w:val="auto"/>
        </w:rPr>
      </w:pPr>
    </w:p>
    <w:p>
      <w:pPr>
        <w:ind w:right="140" w:firstLine="436"/>
        <w:spacing w:after="0" w:line="275" w:lineRule="auto"/>
        <w:rPr>
          <w:sz w:val="20"/>
          <w:szCs w:val="20"/>
          <w:color w:val="auto"/>
        </w:rPr>
      </w:pPr>
      <w:r>
        <w:rPr>
          <w:rFonts w:ascii="Arial" w:cs="Arial" w:eastAsia="Arial" w:hAnsi="Arial"/>
          <w:sz w:val="17"/>
          <w:szCs w:val="17"/>
          <w:color w:val="auto"/>
        </w:rPr>
        <w:t>Revenues from U.S. franchise royalties and fees increased $19.8 million, or 18.8%, in the first quarter of 2021 due primarily to same store sales growth and an increase in the average number of U.S. franchised stores open during the period, resulting from net store growth. U.S. franchise same store sales increased 13.9% in the first quarter of 2021 and 1.5% in the first quarter of 2020. U.S. franchise royalties and fees further benefited from an increase in revenues from fees paid by franchisees for the use of our technology platforms.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Advertising</w:t>
      </w:r>
    </w:p>
    <w:p>
      <w:pPr>
        <w:spacing w:after="0" w:line="114" w:lineRule="exact"/>
        <w:rPr>
          <w:sz w:val="20"/>
          <w:szCs w:val="20"/>
          <w:color w:val="auto"/>
        </w:rPr>
      </w:pPr>
    </w:p>
    <w:p>
      <w:pPr>
        <w:ind w:right="120" w:firstLine="436"/>
        <w:spacing w:after="0" w:line="301" w:lineRule="auto"/>
        <w:rPr>
          <w:sz w:val="20"/>
          <w:szCs w:val="20"/>
          <w:color w:val="auto"/>
        </w:rPr>
      </w:pPr>
      <w:r>
        <w:rPr>
          <w:rFonts w:ascii="Arial" w:cs="Arial" w:eastAsia="Arial" w:hAnsi="Arial"/>
          <w:sz w:val="17"/>
          <w:szCs w:val="17"/>
          <w:color w:val="auto"/>
        </w:rPr>
        <w:t>Revenues from U.S. franchise advertising increased $15.6 million, or 16.2%, in the first quarter of 2021 due primarily to same store sales growth and an increase in the average number of U.S. franchised stores open during the period, resulting from net store growth.</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14"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Supply chain revenues increased $55.6 million, or 10.9%, in the first quarter of 2021 due primarily to higher volumes from increased orders resulting from U.S. franchise retail sales growth. Our market basket pricing to stores increased 0.3% during the first quarter of 2021, which resulted in an estimated $2.0 million increase in supply chain revenue.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Royalties and Fee Revenues</w:t>
      </w:r>
    </w:p>
    <w:p>
      <w:pPr>
        <w:spacing w:after="0" w:line="114"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Revenues from international franchise royalties and fees increased $9.3 million, or 16.1%, in the first quarter of 2021 due primarily to same store sales growth and an increase in the average number of international franchised stores open during the period due to net store growth. Excluding the impact of foreign currency exchange rates, international franchise same store sales increased 11.8% in the first quarter of 2021 and increased 1.5% in the first quarter of 2020. The positive impact of changes in foreign currency exchange rates of $2.1 million also contributed to the increase in international franchise royalties and fees revenues in the first quarter of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Sales / Operating Margin</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First Quarter</w:t>
            </w:r>
          </w:p>
        </w:tc>
        <w:tc>
          <w:tcPr>
            <w:tcW w:w="12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First Quarter</w:t>
            </w:r>
          </w:p>
        </w:tc>
      </w:tr>
      <w:tr>
        <w:trPr>
          <w:trHeight w:val="170"/>
        </w:trPr>
        <w:tc>
          <w:tcPr>
            <w:tcW w:w="68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ind w:left="318"/>
              <w:spacing w:after="0"/>
              <w:rPr>
                <w:sz w:val="20"/>
                <w:szCs w:val="20"/>
                <w:color w:val="auto"/>
              </w:rPr>
            </w:pPr>
            <w:r>
              <w:rPr>
                <w:rFonts w:ascii="Arial" w:cs="Arial" w:eastAsia="Arial" w:hAnsi="Arial"/>
                <w:sz w:val="14"/>
                <w:szCs w:val="14"/>
                <w:b w:val="1"/>
                <w:bCs w:val="1"/>
                <w:color w:val="auto"/>
                <w:w w:val="91"/>
              </w:rPr>
              <w:t>of 2021</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 2020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8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$983.7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$873.1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4"/>
        </w:trPr>
        <w:tc>
          <w:tcPr>
            <w:tcW w:w="688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500" w:type="dxa"/>
            <w:vAlign w:val="bottom"/>
          </w:tcPr>
          <w:p>
            <w:pPr>
              <w:jc w:val="right"/>
              <w:spacing w:after="0"/>
              <w:rPr>
                <w:sz w:val="20"/>
                <w:szCs w:val="20"/>
                <w:color w:val="auto"/>
              </w:rPr>
            </w:pPr>
            <w:r>
              <w:rPr>
                <w:rFonts w:ascii="Arial" w:cs="Arial" w:eastAsia="Arial" w:hAnsi="Arial"/>
                <w:sz w:val="18"/>
                <w:szCs w:val="18"/>
                <w:color w:val="auto"/>
              </w:rPr>
              <w:t>594.5</w:t>
            </w: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532.9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r>
      <w:tr>
        <w:trPr>
          <w:trHeight w:val="27"/>
        </w:trPr>
        <w:tc>
          <w:tcPr>
            <w:tcW w:w="6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margin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389.2</w:t>
            </w: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9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Consolidated cost of sales consists primarily of U.S. Company-owned store and supply chain costs incurred to generate related revenues.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consolidated cost of sales primarily include food, labor, delivery and occupancy costs.</w:t>
      </w:r>
    </w:p>
    <w:p>
      <w:pPr>
        <w:spacing w:after="0" w:line="208"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Consolidated operating margin (which we define as revenues less cost of sales) increased $49.0 million, or 14.4%, in the first quarter of 2021 due primarily to higher global franchise revenues. Franchise revenues do not have a cost of sales component, so changes in these revenues have a disproportionate effect on the operating margin.</w:t>
      </w:r>
    </w:p>
    <w:p>
      <w:pPr>
        <w:spacing w:after="0" w:line="186"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As a percentage of revenues, the consolidated operating margin increased 0.6 percentage points in the first quarter of 2021. U.S. Company-owned store operating margin increased 1.5 percentage points in the first quarter of 2021 and supply chain operating margin decreased 1.0 percentage point in the first quarter of 2021. These changes in margin are described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Company-Owned Store Operating Margin</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First 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First Quarter</w:t>
            </w:r>
          </w:p>
        </w:tc>
      </w:tr>
      <w:tr>
        <w:trPr>
          <w:trHeight w:val="170"/>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4"/>
                <w:szCs w:val="14"/>
                <w:b w:val="1"/>
                <w:bCs w:val="1"/>
                <w:color w:val="auto"/>
                <w:w w:val="91"/>
              </w:rPr>
              <w:t>of 2021</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 2020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112.7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102.3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4"/>
        </w:trPr>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85.7</w:t>
            </w: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79.4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520" w:firstLine="436"/>
        <w:spacing w:after="0" w:line="281" w:lineRule="auto"/>
        <w:rPr>
          <w:sz w:val="20"/>
          <w:szCs w:val="20"/>
          <w:color w:val="auto"/>
        </w:rPr>
      </w:pPr>
      <w:r>
        <w:rPr>
          <w:rFonts w:ascii="Arial" w:cs="Arial" w:eastAsia="Arial" w:hAnsi="Arial"/>
          <w:sz w:val="17"/>
          <w:szCs w:val="17"/>
          <w:color w:val="auto"/>
        </w:rPr>
        <w:t>U.S. Company-owned store operating margin (which does not include certain store-level costs such as royalties and advertising) increased $4.1 million, or 17.7%, in the first quarter of 2021 due primarily to higher same store sales. As a percentage of store revenues, the store operating margin increased 1.5 percentage points in the first quarter of 2021, as discussed in more detail below.</w:t>
      </w:r>
    </w:p>
    <w:p>
      <w:pPr>
        <w:spacing w:after="0" w:line="76" w:lineRule="exact"/>
        <w:rPr>
          <w:sz w:val="20"/>
          <w:szCs w:val="20"/>
          <w:color w:val="auto"/>
        </w:rPr>
      </w:pPr>
    </w:p>
    <w:p>
      <w:pPr>
        <w:ind w:left="980" w:hanging="43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Food costs decreased 0.7 percentage points to 27.1% in the first quarter of 2021, due primarily to the leveraging of higher same store sales.</w:t>
      </w:r>
    </w:p>
    <w:p>
      <w:pPr>
        <w:spacing w:after="0" w:line="150" w:lineRule="exact"/>
        <w:rPr>
          <w:rFonts w:ascii="Arial" w:cs="Arial" w:eastAsia="Arial" w:hAnsi="Arial"/>
          <w:sz w:val="16"/>
          <w:szCs w:val="16"/>
          <w:color w:val="auto"/>
        </w:rPr>
      </w:pPr>
    </w:p>
    <w:p>
      <w:pPr>
        <w:ind w:left="5380" w:hanging="4838"/>
        <w:spacing w:after="0" w:line="441" w:lineRule="auto"/>
        <w:tabs>
          <w:tab w:leader="none" w:pos="976"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Labor costs decreased 0.6 percentage points to 28.4% in the first quarter of 2021 due primarily to the leveraging of higher same store sales. 17</w:t>
      </w:r>
    </w:p>
    <w:p>
      <w:pPr>
        <w:sectPr>
          <w:pgSz w:w="11900" w:h="16838" w:orient="portrait"/>
          <w:cols w:equalWidth="0" w:num="1">
            <w:col w:w="10900"/>
          </w:cols>
          <w:pgMar w:left="480" w:top="299"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Supply Chain Operating Margin</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First 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First Quarter</w:t>
            </w:r>
          </w:p>
        </w:tc>
      </w:tr>
      <w:tr>
        <w:trPr>
          <w:trHeight w:val="170"/>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4"/>
                <w:szCs w:val="14"/>
                <w:b w:val="1"/>
                <w:bCs w:val="1"/>
                <w:color w:val="auto"/>
                <w:w w:val="91"/>
              </w:rPr>
              <w:t>of 2021</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 2020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568.3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512.7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4"/>
        </w:trPr>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508.8</w:t>
            </w: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453.6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Supply chain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5</w:t>
            </w: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300" w:firstLine="436"/>
        <w:spacing w:after="0" w:line="255" w:lineRule="auto"/>
        <w:rPr>
          <w:sz w:val="20"/>
          <w:szCs w:val="20"/>
          <w:color w:val="auto"/>
        </w:rPr>
      </w:pPr>
      <w:r>
        <w:rPr>
          <w:rFonts w:ascii="Arial" w:cs="Arial" w:eastAsia="Arial" w:hAnsi="Arial"/>
          <w:sz w:val="18"/>
          <w:szCs w:val="18"/>
          <w:color w:val="auto"/>
        </w:rPr>
        <w:t>Supply chain operating margin increased $0.4 million, or 0.7%, in the first quarter of 2021, primarily driven by higher volumes from increased store orders. As a percentage of supply chain revenues, the supply chain operating margin decreased 1.0 percentage point in the first quarter of 2021, primarily due to higher operating costs, including depreciation and amortization, labor and insurance expense as a result of the two new supply chain centers and new thin crust facility that were opened in fiscal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and Administrative Expenses</w:t>
      </w:r>
    </w:p>
    <w:p>
      <w:pPr>
        <w:spacing w:after="0" w:line="114" w:lineRule="exact"/>
        <w:rPr>
          <w:sz w:val="20"/>
          <w:szCs w:val="20"/>
          <w:color w:val="auto"/>
        </w:rPr>
      </w:pPr>
    </w:p>
    <w:p>
      <w:pPr>
        <w:ind w:right="40" w:firstLine="436"/>
        <w:spacing w:after="0" w:line="335" w:lineRule="auto"/>
        <w:rPr>
          <w:sz w:val="20"/>
          <w:szCs w:val="20"/>
          <w:color w:val="auto"/>
        </w:rPr>
      </w:pPr>
      <w:r>
        <w:rPr>
          <w:rFonts w:ascii="Arial" w:cs="Arial" w:eastAsia="Arial" w:hAnsi="Arial"/>
          <w:sz w:val="16"/>
          <w:szCs w:val="16"/>
          <w:color w:val="auto"/>
        </w:rPr>
        <w:t>General and administrative expenses increased $2.8 million, or 3.1%, in the first quarter of 2021, driven primarily by higher advertising expense and labor costs. These increases were partially offset by lower travel expense resulting from travel restrictions associated with the COVID-19 pandemic.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Franchise Advertising Expenses</w:t>
      </w:r>
    </w:p>
    <w:p>
      <w:pPr>
        <w:spacing w:after="0" w:line="114"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U.S. franchise advertising expenses increased $15.6 million, or 16.2%, in the first quarter of 2021, consistent with the increase in U.S. franchise advertising revenues.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w:t>
      </w:r>
    </w:p>
    <w:p>
      <w:pPr>
        <w:spacing w:after="0" w:line="114"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Other income was $2.5 million in the first quarter of 2021, representing the unrealized gain recorded on the Company’s investment in Dash Brands (Note 6) resulting from the observable change in price from the valuation of the additional $40.0 million investment made in the first quarter of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14" w:lineRule="exact"/>
        <w:rPr>
          <w:sz w:val="20"/>
          <w:szCs w:val="20"/>
          <w:color w:val="auto"/>
        </w:rPr>
      </w:pPr>
    </w:p>
    <w:p>
      <w:pPr>
        <w:ind w:right="520" w:firstLine="436"/>
        <w:spacing w:after="0" w:line="301" w:lineRule="auto"/>
        <w:rPr>
          <w:sz w:val="20"/>
          <w:szCs w:val="20"/>
          <w:color w:val="auto"/>
        </w:rPr>
      </w:pPr>
      <w:r>
        <w:rPr>
          <w:rFonts w:ascii="Arial" w:cs="Arial" w:eastAsia="Arial" w:hAnsi="Arial"/>
          <w:sz w:val="17"/>
          <w:szCs w:val="17"/>
          <w:color w:val="auto"/>
        </w:rPr>
        <w:t>Interest expense, net increased $0.9 million, or 2.2%, in the first quarter of 2021 driven primarily by lower interest income. The Company’s weighted average borrowing rate decreased to 3.9% in the first quarter of 2021, from 4.0% in the first quarter of 2020.</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114"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Income tax expense increased $36.2 million, or 840.3%, in the first quarter of 2021 due primarily to lower excess tax benefits on equity-based compensation, which are recorded as a reduction to the income tax provision, as well as higher pre-tax income. The Company recognized $0.9 million in excess tax benefits in the first quarter of 2021 as compared to $30.4 million in the first quarter of 2020, resulting from a significant decrease in stock options exercised in the first quarter of 2021 as compared to the first quarter of 2020. The effective tax rate increased to 21.3% during the first quarter of 2021 as compared to negative 3.7% in the first quarter of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Income</w:t>
      </w:r>
    </w:p>
    <w:p>
      <w:pPr>
        <w:spacing w:after="0" w:line="114" w:lineRule="exact"/>
        <w:rPr>
          <w:sz w:val="20"/>
          <w:szCs w:val="20"/>
          <w:color w:val="auto"/>
        </w:rPr>
      </w:pPr>
    </w:p>
    <w:p>
      <w:pPr>
        <w:ind w:right="240" w:firstLine="436"/>
        <w:spacing w:after="0" w:line="275"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an operating segment, including labor, computer expenses, professional fees, travel and entertainment, rent, insurance and other corporate administrative costs.</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r>
      <w:tr>
        <w:trPr>
          <w:trHeight w:val="170"/>
        </w:trPr>
        <w:tc>
          <w:tcPr>
            <w:tcW w:w="2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9"/>
              </w:rPr>
              <w:t>of 2021</w:t>
            </w: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of 2020</w:t>
            </w:r>
          </w:p>
        </w:tc>
      </w:tr>
      <w:tr>
        <w:trPr>
          <w:trHeight w:val="207"/>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Stores</w:t>
            </w:r>
          </w:p>
        </w:tc>
        <w:tc>
          <w:tcPr>
            <w:tcW w:w="3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860" w:type="dxa"/>
            <w:vAlign w:val="bottom"/>
          </w:tcPr>
          <w:p>
            <w:pPr>
              <w:spacing w:after="0"/>
              <w:rPr>
                <w:sz w:val="20"/>
                <w:szCs w:val="20"/>
                <w:color w:val="auto"/>
              </w:rPr>
            </w:pPr>
            <w:r>
              <w:rPr>
                <w:rFonts w:ascii="Arial" w:cs="Arial" w:eastAsia="Arial" w:hAnsi="Arial"/>
                <w:sz w:val="18"/>
                <w:szCs w:val="18"/>
                <w:color w:val="auto"/>
              </w:rPr>
              <w:t>Supply Chain</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r>
      <w:tr>
        <w:trPr>
          <w:trHeight w:val="214"/>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Franchise</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r>
      <w:tr>
        <w:trPr>
          <w:trHeight w:val="227"/>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347"/>
        </w:trPr>
        <w:tc>
          <w:tcPr>
            <w:tcW w:w="2860" w:type="dxa"/>
            <w:vAlign w:val="bottom"/>
          </w:tcPr>
          <w:p>
            <w:pPr>
              <w:spacing w:after="0"/>
              <w:rPr>
                <w:sz w:val="24"/>
                <w:szCs w:val="24"/>
                <w:color w:val="auto"/>
              </w:rPr>
            </w:pPr>
          </w:p>
        </w:tc>
        <w:tc>
          <w:tcPr>
            <w:tcW w:w="3000" w:type="dxa"/>
            <w:vAlign w:val="bottom"/>
          </w:tcPr>
          <w:p>
            <w:pPr>
              <w:jc w:val="right"/>
              <w:ind w:right="153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20"/>
          </w:cols>
          <w:pgMar w:left="480" w:top="29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U.S. Stores</w:t>
      </w:r>
    </w:p>
    <w:p>
      <w:pPr>
        <w:spacing w:after="0" w:line="114"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U.S. stores Segment Income increased $19.2 million, or 21.7%, in the first quarter of 2021, primarily due to a $19.8 million increase in U.S. franchise royalties and fees revenues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 The $4.1 million increase in U.S. Company-owned store operating margin discussed above also contributed to the increase in U.S. stores Segment Income. The increase in U.S. stores Segment Income was partially offset by increased investments in technological initiatives.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14"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Supply chain Segment Income increased $1.1 million, or 2.2%, in the first quarter of 2021, primarily due to the $0.4 million increase in operating margin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w:t>
      </w:r>
    </w:p>
    <w:p>
      <w:pPr>
        <w:spacing w:after="0" w:line="114" w:lineRule="exact"/>
        <w:rPr>
          <w:sz w:val="20"/>
          <w:szCs w:val="20"/>
          <w:color w:val="auto"/>
        </w:rPr>
      </w:pPr>
    </w:p>
    <w:p>
      <w:pPr>
        <w:ind w:right="20" w:firstLine="436"/>
        <w:spacing w:after="0" w:line="297" w:lineRule="auto"/>
        <w:rPr>
          <w:sz w:val="20"/>
          <w:szCs w:val="20"/>
          <w:color w:val="auto"/>
        </w:rPr>
      </w:pPr>
      <w:r>
        <w:rPr>
          <w:rFonts w:ascii="Arial" w:cs="Arial" w:eastAsia="Arial" w:hAnsi="Arial"/>
          <w:sz w:val="16"/>
          <w:szCs w:val="16"/>
          <w:color w:val="auto"/>
        </w:rPr>
        <w:t>International franchise Segment Income increased $11.0 million, or 25.2%, in the first quarter of 2021, due primarily to the $9.3 million increase in international franchise royalties and fees revenues discussed above. International franchise revenues do not have a cost of sales component, so changes in these revenues have a disproportionate effect on international franchise Segment Income. Lower bad debt expense and lower travel expenses, primarily due to travel restrictions associated with the COVID-19 pandemic, also contributed to the increase in international franchise Segment Income.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4" w:lineRule="exact"/>
        <w:rPr>
          <w:sz w:val="20"/>
          <w:szCs w:val="20"/>
          <w:color w:val="auto"/>
        </w:rPr>
      </w:pPr>
    </w:p>
    <w:p>
      <w:pPr>
        <w:ind w:right="80" w:firstLine="436"/>
        <w:spacing w:after="0" w:line="297" w:lineRule="auto"/>
        <w:rPr>
          <w:sz w:val="20"/>
          <w:szCs w:val="20"/>
          <w:color w:val="auto"/>
        </w:rPr>
      </w:pPr>
      <w:r>
        <w:rPr>
          <w:rFonts w:ascii="Arial" w:cs="Arial" w:eastAsia="Arial" w:hAnsi="Arial"/>
          <w:sz w:val="16"/>
          <w:szCs w:val="16"/>
          <w:color w:val="auto"/>
        </w:rPr>
        <w:t>Other Segment Income increased $2.0 million, or 25.1%, in the first quarter of 2021, due primarily to higher corporate administrative costs allocated to our segments as compared to 2020. The increase in allocated costs in the first quarter of 2021 was due primarily to higher investments in technological initiatives to support technology for our U.S. and international franchise stores. Lower travel expenses, primarily due to travel restrictions resulting from the COVID-19 pandemic, as well as lower professional fees, also contributed to the increase in other Segment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multiple inventory turns per month. In addition, our sales are not typically seasonal, which further limits our working capital requirements. These factors, coupled with the use of our ongoing cash flows from operations to service our debt obligations, invest in our business, pay dividends and repurchase our common stock, reduce our working capital amounts. As of March 28, 2021, we had working capital of $240.8 million, excluding restricted cash and cash equivalents of $176.0 million, advertising fund assets, restricted, of $162.1 million and advertising fund liabilities of $155.0 million. Working capital includes total unrestricted cash and cash equivalents of $267.7 million.</w:t>
      </w:r>
    </w:p>
    <w:p>
      <w:pPr>
        <w:spacing w:after="0" w:line="166" w:lineRule="exact"/>
        <w:rPr>
          <w:sz w:val="20"/>
          <w:szCs w:val="20"/>
          <w:color w:val="auto"/>
        </w:rPr>
      </w:pPr>
    </w:p>
    <w:p>
      <w:pPr>
        <w:ind w:right="160" w:firstLine="436"/>
        <w:spacing w:after="0" w:line="268" w:lineRule="auto"/>
        <w:rPr>
          <w:sz w:val="20"/>
          <w:szCs w:val="20"/>
          <w:color w:val="auto"/>
        </w:rPr>
      </w:pPr>
      <w:r>
        <w:rPr>
          <w:rFonts w:ascii="Arial" w:cs="Arial" w:eastAsia="Arial" w:hAnsi="Arial"/>
          <w:sz w:val="17"/>
          <w:szCs w:val="17"/>
          <w:color w:val="auto"/>
        </w:rPr>
        <w:t>Our primary source of liquidity is cash flows from operations and availability of borrowings under our variable funding notes. During the first quarter of 2021, we experienced increases in both U.S. and international same store sales versus the comparable periods in the prior year. Additionally, our U.S. and international businesses grew store counts in the first quarter of 2021. These factors contributed to our continued ability to generate positive operating cash flows. As of March 28, 2021, we had a variable funding note facility which allowed for advances of up to $200.0 million of Series 2019-1 Variable Funding Senior Secured Notes, Class A-1 Notes and certain other credit instruments, including letters of credit (the “2019 Variable Funding Notes”). The letters of credit are primarily related to our casualty insurance programs and certain supply chain center leases. As of March 28, 2021, we had no outstanding borrowings and $157.5 million of available borrowing capacity under our 2019 Variable Funding Notes, net of letters of credit issued of $42.5 million.</w:t>
      </w:r>
    </w:p>
    <w:p>
      <w:pPr>
        <w:spacing w:after="0" w:line="180" w:lineRule="exact"/>
        <w:rPr>
          <w:sz w:val="20"/>
          <w:szCs w:val="20"/>
          <w:color w:val="auto"/>
        </w:rPr>
      </w:pPr>
    </w:p>
    <w:p>
      <w:pPr>
        <w:ind w:right="320" w:firstLine="436"/>
        <w:spacing w:after="0" w:line="259" w:lineRule="auto"/>
        <w:rPr>
          <w:sz w:val="20"/>
          <w:szCs w:val="20"/>
          <w:color w:val="auto"/>
        </w:rPr>
      </w:pPr>
      <w:r>
        <w:rPr>
          <w:rFonts w:ascii="Arial" w:cs="Arial" w:eastAsia="Arial" w:hAnsi="Arial"/>
          <w:sz w:val="18"/>
          <w:szCs w:val="18"/>
          <w:color w:val="auto"/>
        </w:rPr>
        <w:t>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shares of our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99" w:right="499" w:bottom="1440" w:gutter="0" w:footer="0" w:header="0"/>
        </w:sectPr>
      </w:pPr>
    </w:p>
    <w:bookmarkStart w:id="20" w:name="page21"/>
    <w:bookmarkEnd w:id="20"/>
    <w:p>
      <w:pPr>
        <w:ind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Our ability to continue to fund these items and continue to service our debt could be adversely affected by the occurrence of any of the events described under “Risk Factors” in our filings with the Securities and Exchange Commission. There can be no assurance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our outstanding senior notes and to service, extend or refinance our variable funding notes will be subject to future economic conditions and to financial, business and other factors, many of which are beyond our control.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4"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As of March 28, 2021, we had approximately $136.1 million of restricted cash held for future principal and interest payments and other working capital requirements of our asset-backed securitization structure, $39.6 million of restricted cash held in a three-month interest reserve as required by the related debt agreements and $0.3 million of other restricted cash for a total of $176.0 million of restricted cash and cash equivalents. As of March 28, 2021, we also held $131.9 million of advertising fund restricted cash and cash equivalents, which can only be used for activities that promote the Domino’s brand.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14" w:lineRule="exact"/>
        <w:rPr>
          <w:sz w:val="20"/>
          <w:szCs w:val="20"/>
          <w:color w:val="auto"/>
        </w:rPr>
      </w:pPr>
    </w:p>
    <w:p>
      <w:pPr>
        <w:ind w:right="60" w:firstLine="436"/>
        <w:spacing w:after="0" w:line="270" w:lineRule="auto"/>
        <w:rPr>
          <w:sz w:val="20"/>
          <w:szCs w:val="20"/>
          <w:color w:val="auto"/>
        </w:rPr>
      </w:pPr>
      <w:r>
        <w:rPr>
          <w:rFonts w:ascii="Arial" w:cs="Arial" w:eastAsia="Arial" w:hAnsi="Arial"/>
          <w:sz w:val="17"/>
          <w:szCs w:val="17"/>
          <w:color w:val="auto"/>
        </w:rPr>
        <w:t>As of March 28, 2021, we had approximately $4.12 billion of long-term debt, of which $2.9 million was classified as a current liability. Our fixed and floating rate notes from the recapitalizations we completed in 2019, 2018, 2017 and 2015 had original scheduled principal payments of</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$42.0 million in 2021, $897.0 million in 2022, $33.0 million in each of 2023 and 2024, $1.15 billion in 2025, $20.8 million in 2026, $1.28 billion in 2027, $6.8 million in 2028 and $614.3 million in 2029. However, in accordance with our debt agreements, the payment of principal on the outstanding senior notes may be suspended if our leverage ratio is less than or equal to 5.0x total debt to adjusted EBITDA, as defined in the related agreements, and no catch-up provisions are applicable.</w:t>
      </w:r>
    </w:p>
    <w:p>
      <w:pPr>
        <w:spacing w:after="0" w:line="195" w:lineRule="exact"/>
        <w:rPr>
          <w:sz w:val="20"/>
          <w:szCs w:val="20"/>
          <w:color w:val="auto"/>
        </w:rPr>
      </w:pPr>
    </w:p>
    <w:p>
      <w:pPr>
        <w:ind w:right="140" w:firstLine="436"/>
        <w:spacing w:after="0" w:line="307" w:lineRule="auto"/>
        <w:rPr>
          <w:sz w:val="20"/>
          <w:szCs w:val="20"/>
          <w:color w:val="auto"/>
        </w:rPr>
      </w:pPr>
      <w:r>
        <w:rPr>
          <w:rFonts w:ascii="Arial" w:cs="Arial" w:eastAsia="Arial" w:hAnsi="Arial"/>
          <w:sz w:val="16"/>
          <w:szCs w:val="16"/>
          <w:color w:val="auto"/>
        </w:rPr>
        <w:t>As of the first quarter of 2021 and fourth quarter of 2020, we had a leverage ratio of less than 5.0x, and accordingly, did not make the previously scheduled debt amortization payment on our then outstanding notes beginning in the first quarter of 2021. Accordingly, all principal amounts of our outstanding notes have been classified as long-term debt in the consolidated balance sheet as of March 28, 2021 and January 3,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Recapitalization</w:t>
      </w:r>
    </w:p>
    <w:p>
      <w:pPr>
        <w:spacing w:after="0" w:line="114" w:lineRule="exact"/>
        <w:rPr>
          <w:sz w:val="20"/>
          <w:szCs w:val="20"/>
          <w:color w:val="auto"/>
        </w:rPr>
      </w:pPr>
    </w:p>
    <w:p>
      <w:pPr>
        <w:ind w:right="100" w:firstLine="436"/>
        <w:spacing w:after="0" w:line="251" w:lineRule="auto"/>
        <w:rPr>
          <w:sz w:val="20"/>
          <w:szCs w:val="20"/>
          <w:color w:val="auto"/>
        </w:rPr>
      </w:pPr>
      <w:r>
        <w:rPr>
          <w:rFonts w:ascii="Arial" w:cs="Arial" w:eastAsia="Arial" w:hAnsi="Arial"/>
          <w:sz w:val="18"/>
          <w:szCs w:val="18"/>
          <w:color w:val="auto"/>
        </w:rPr>
        <w:t>Subsequent to the end of the first quarter of 2021, on April 16, 2021 (the “closing date”), we completed a recapitalization (the “2021 Recapitalization”) in which certain of our subsidiaries issued new notes pursuant to our asset-backed securitization structure. The new notes consist of $850.0 million Series 2021-1 2.662% Fixed Rate Senior Secured Notes, Class A-2-I with an anticipated term of 7.5 years (the “2021 A-2-I Fixed Rate Notes”), and $1.0 billion Series 2021-1 3.151% Fixed Rate Senior Secured Notes, Class A-2-II with an anticipated term of 10 years (the “2021 A-2-II Fixed Rate Notes” and, collectively with the 2021 A-2-I Fixed Rate Notes, the “2021 Notes”) in an offering exempt from registration under the Securities Act of 1933, as amended. The 2021 Notes have scheduled principal payments of $9.3 million in 2021, $18.5 million in each of 2022 through 2027, $804.8 million in 2028, $10.0 million in each of 2029 and 2030 and $905.0 million in 2031. Gross proceeds from the issuance of the 2021 Notes were $1.85 billion.</w:t>
      </w:r>
    </w:p>
    <w:p>
      <w:pPr>
        <w:spacing w:after="0" w:line="194" w:lineRule="exact"/>
        <w:rPr>
          <w:sz w:val="20"/>
          <w:szCs w:val="20"/>
          <w:color w:val="auto"/>
        </w:rPr>
      </w:pPr>
    </w:p>
    <w:p>
      <w:pPr>
        <w:ind w:right="260" w:firstLine="436"/>
        <w:spacing w:after="0" w:line="255" w:lineRule="auto"/>
        <w:rPr>
          <w:sz w:val="20"/>
          <w:szCs w:val="20"/>
          <w:color w:val="auto"/>
        </w:rPr>
      </w:pPr>
      <w:r>
        <w:rPr>
          <w:rFonts w:ascii="Arial" w:cs="Arial" w:eastAsia="Arial" w:hAnsi="Arial"/>
          <w:sz w:val="18"/>
          <w:szCs w:val="18"/>
          <w:color w:val="auto"/>
        </w:rPr>
        <w:t>Concurrently, certain of our subsidiaries also issued a new variable funding note facility which allows for advances of up to $200.0 million of Series 2021-1 Variable Funding Senior Secured Notes, Class A-1 Notes and certain other credit instruments, including letters of credit (the “2021 Variable Funding Notes”). The 2021 Variable Funding Notes were undrawn on the closing date. In connection with the issuance of our 2021 Variable Funding Notes, our 2019 Variable Funding Notes were canceled.</w:t>
      </w:r>
    </w:p>
    <w:p>
      <w:pPr>
        <w:spacing w:after="0" w:line="190"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A portion of proceeds from the 2021 Recapitalization was used to repay the remaining $291.0 million in outstanding principal under our 2017 five-year floating rate notes and $582.0 million in outstanding principal under our 2017 five-year fixed rate notes. The proceeds were also used to pre-fund a portion of the interest payable on the 2021 Notes and pay transaction fees and expenses. We expect to use the remaining proceeds for general corporate purposes, which may include distributions to holders of our common stock, other equivalent payments and/or stock repurchases.</w:t>
      </w:r>
    </w:p>
    <w:p>
      <w:pPr>
        <w:spacing w:after="0" w:line="159" w:lineRule="exact"/>
        <w:rPr>
          <w:sz w:val="20"/>
          <w:szCs w:val="20"/>
          <w:color w:val="auto"/>
        </w:rPr>
      </w:pPr>
    </w:p>
    <w:p>
      <w:pPr>
        <w:ind w:right="380" w:firstLine="436"/>
        <w:spacing w:after="0" w:line="271" w:lineRule="auto"/>
        <w:rPr>
          <w:sz w:val="20"/>
          <w:szCs w:val="20"/>
          <w:color w:val="auto"/>
        </w:rPr>
      </w:pPr>
      <w:r>
        <w:rPr>
          <w:rFonts w:ascii="Arial" w:cs="Arial" w:eastAsia="Arial" w:hAnsi="Arial"/>
          <w:sz w:val="18"/>
          <w:szCs w:val="18"/>
          <w:color w:val="auto"/>
        </w:rPr>
        <w:t>Subsequent to the closing of the 2021 Recapitalization, we had a leverage ratio of greater than 5.0x and, accordingly, we resumed making the scheduled amortization payments on our notes in the second quarter of 2021.</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99"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Share Repurchase Programs</w:t>
      </w:r>
    </w:p>
    <w:p>
      <w:pPr>
        <w:spacing w:after="0" w:line="114" w:lineRule="exact"/>
        <w:rPr>
          <w:sz w:val="20"/>
          <w:szCs w:val="20"/>
          <w:color w:val="auto"/>
        </w:rPr>
      </w:pPr>
    </w:p>
    <w:p>
      <w:pPr>
        <w:ind w:right="760" w:firstLine="436"/>
        <w:spacing w:after="0" w:line="271"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w:t>
      </w:r>
    </w:p>
    <w:p>
      <w:pPr>
        <w:spacing w:after="0" w:line="175" w:lineRule="exact"/>
        <w:rPr>
          <w:sz w:val="20"/>
          <w:szCs w:val="20"/>
          <w:color w:val="auto"/>
        </w:rPr>
      </w:pPr>
    </w:p>
    <w:p>
      <w:pPr>
        <w:ind w:right="100" w:firstLine="436"/>
        <w:spacing w:after="0" w:line="283" w:lineRule="auto"/>
        <w:rPr>
          <w:sz w:val="20"/>
          <w:szCs w:val="20"/>
          <w:color w:val="auto"/>
        </w:rPr>
      </w:pPr>
      <w:r>
        <w:rPr>
          <w:rFonts w:ascii="Arial" w:cs="Arial" w:eastAsia="Arial" w:hAnsi="Arial"/>
          <w:sz w:val="16"/>
          <w:szCs w:val="16"/>
          <w:color w:val="auto"/>
        </w:rPr>
        <w:t>During the first quarter of 2021, we repurchased and retired 65,870 shares of our common stock under our Board of Directors-approved share repurchase program for a total of approximately $25.0 million. Our Board of Directors authorized a new share repurchase program to repurchase up to $1.0 billion of our common stock on February 24, 2021 which replaced the remaining availability of approximately $76.6 million under our previously approved $1.0 billion share repurchase program. As of March 28, 2021, we had a total remaining authorized amount for share repurchases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 billion.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4"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On February 24, 2021, our Board of Directors declared a $0.94 per share quarterly dividend on our outstanding common stock for shareholders of record as of March 15, 2021, which was paid on March 30, 2021. We had approximately $37.1 million accrued for common stock dividends at March 28, 2021.</w:t>
      </w:r>
    </w:p>
    <w:p>
      <w:pPr>
        <w:spacing w:after="0" w:line="186" w:lineRule="exact"/>
        <w:rPr>
          <w:sz w:val="20"/>
          <w:szCs w:val="20"/>
          <w:color w:val="auto"/>
        </w:rPr>
      </w:pPr>
    </w:p>
    <w:p>
      <w:pPr>
        <w:ind w:right="580" w:firstLine="436"/>
        <w:spacing w:after="0" w:line="271" w:lineRule="auto"/>
        <w:rPr>
          <w:sz w:val="20"/>
          <w:szCs w:val="20"/>
          <w:color w:val="auto"/>
        </w:rPr>
      </w:pPr>
      <w:r>
        <w:rPr>
          <w:rFonts w:ascii="Arial" w:cs="Arial" w:eastAsia="Arial" w:hAnsi="Arial"/>
          <w:sz w:val="18"/>
          <w:szCs w:val="18"/>
          <w:color w:val="auto"/>
        </w:rPr>
        <w:t>Subsequent to the first quarter, on April 27, 2021, our Board of Directors declared a $0.94 per share quarterly dividend on our outstanding common stock for shareholders of record as of June 15, 2021, to be paid on June 30, 2021.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70"/>
        </w:trPr>
        <w:tc>
          <w:tcPr>
            <w:tcW w:w="5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9"/>
              </w:rPr>
              <w:t>of 2021</w:t>
            </w: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of 2020</w:t>
            </w:r>
          </w:p>
        </w:tc>
        <w:tc>
          <w:tcPr>
            <w:tcW w:w="0" w:type="dxa"/>
            <w:vAlign w:val="bottom"/>
          </w:tcPr>
          <w:p>
            <w:pPr>
              <w:spacing w:after="0"/>
              <w:rPr>
                <w:sz w:val="1"/>
                <w:szCs w:val="1"/>
                <w:color w:val="auto"/>
              </w:rPr>
            </w:pPr>
          </w:p>
        </w:tc>
      </w:tr>
      <w:tr>
        <w:trPr>
          <w:trHeight w:val="194"/>
        </w:trPr>
        <w:tc>
          <w:tcPr>
            <w:tcW w:w="5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Cash Flows Provided By (Used In)</w:t>
            </w: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152.9</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6"/>
        </w:trPr>
        <w:tc>
          <w:tcPr>
            <w:tcW w:w="5860" w:type="dxa"/>
            <w:vAlign w:val="bottom"/>
          </w:tcPr>
          <w:p>
            <w:pPr>
              <w:spacing w:after="0"/>
              <w:rPr>
                <w:sz w:val="20"/>
                <w:szCs w:val="20"/>
                <w:color w:val="auto"/>
              </w:rPr>
            </w:pPr>
            <w:r>
              <w:rPr>
                <w:rFonts w:ascii="Arial" w:cs="Arial" w:eastAsia="Arial" w:hAnsi="Arial"/>
                <w:sz w:val="18"/>
                <w:szCs w:val="18"/>
                <w:color w:val="auto"/>
              </w:rPr>
              <w:t>Change in cash and cash equivalents, restricted cash and cash</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73.5</w:t>
            </w:r>
          </w:p>
        </w:tc>
        <w:tc>
          <w:tcPr>
            <w:tcW w:w="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4"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Cash provided by operating activities increased $57.5 million in the first quarter of 2021 primarily due to the positive impact of changes in operating assets and liabilities of $51.0 million. The positive impact of changes in operating assets and liabilities was primarily related to the timing of collections on accounts receivable in 2021 as compared to 2020, and to a lesser extent, the timing of payments on accounts payable and accrued liabilities. The increase in cash provided by operating activities was also due to a $10.9 million positive impact of changes in advertising fund assets and liabilities, restricted, in 2021 as compared to 2020 due to the receipt of advertising contributions outpacing payments for advertising activities. These increases were partially offset by a decrease in net income of $3.8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4"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Cash used in investing activities was $56.4 million in the first quarter of 2021, which primarily consisted of an additional investment in Dash Brands (Note 6) of $40.0 million and $16.6 million of capital expenditures (driven primarily by investments in technological initiatives, corporate store operations and supply chain centers).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4"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Cash used in financing activities was $23.1 million in the first quarter of 2021, primarily related to the repurchase of approximately $25.0 million in common stock under our Board of Directors-approved share repurchase program, tax payments for restricted stock upon vesting of $1.0 million and repayments of finance lease obligations of $0.7 million. These uses of cash were partially offset by proceeds from the exercise of stock options of $3.7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right="100" w:firstLine="436"/>
        <w:spacing w:after="0" w:line="275" w:lineRule="auto"/>
        <w:rPr>
          <w:sz w:val="20"/>
          <w:szCs w:val="20"/>
          <w:color w:val="auto"/>
        </w:rPr>
      </w:pPr>
      <w:r>
        <w:rPr>
          <w:rFonts w:ascii="Arial" w:cs="Arial" w:eastAsia="Arial" w:hAnsi="Arial"/>
          <w:sz w:val="17"/>
          <w:szCs w:val="17"/>
          <w:color w:val="auto"/>
        </w:rPr>
        <w:t>For a description of the Company’s critical accounting policies and estimates, refer to “Part II—Item 7—Management’s Discussion and Analysis of Financial Condition and Results of Operations” in the Company’s 2020 Form 10-K. The Company considers its most significant accounting policies and estimates to be revenue recognition, long-lived assets, insurance and legal matters, share-based payments and income taxes. There have been no material changes to the Company’s critical accounting policies and estimates since January 3, 2021.</w:t>
      </w:r>
    </w:p>
    <w:p>
      <w:pPr>
        <w:sectPr>
          <w:pgSz w:w="11900" w:h="16838" w:orient="portrait"/>
          <w:cols w:equalWidth="0" w:num="1">
            <w:col w:w="10880"/>
          </w:cols>
          <w:pgMar w:left="480" w:top="299" w:right="539" w:bottom="1440" w:gutter="0" w:footer="0" w:header="0"/>
        </w:sectPr>
      </w:pP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880"/>
          </w:cols>
          <w:pgMar w:left="480" w:top="299" w:right="5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Forward-Looking Statements</w:t>
      </w:r>
    </w:p>
    <w:p>
      <w:pPr>
        <w:spacing w:after="0" w:line="11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2020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COVID-19 pandemic and the effects of COVID-19 on our business and supply chain; the effectiveness of our advertising, operations and promotional initiatives;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95"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3. Quantitative and Qualitative Disclosures About Market Risk.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4" w:lineRule="exact"/>
        <w:rPr>
          <w:sz w:val="20"/>
          <w:szCs w:val="20"/>
          <w:color w:val="auto"/>
        </w:rPr>
      </w:pPr>
    </w:p>
    <w:p>
      <w:pPr>
        <w:ind w:right="280" w:firstLine="436"/>
        <w:spacing w:after="0" w:line="253" w:lineRule="auto"/>
        <w:rPr>
          <w:sz w:val="20"/>
          <w:szCs w:val="20"/>
          <w:color w:val="auto"/>
        </w:rPr>
      </w:pPr>
      <w:r>
        <w:rPr>
          <w:rFonts w:ascii="Arial" w:cs="Arial" w:eastAsia="Arial" w:hAnsi="Arial"/>
          <w:sz w:val="18"/>
          <w:szCs w:val="18"/>
          <w:color w:val="auto"/>
        </w:rPr>
        <w:t>We do not engage in speculative transactions nor do we hold or issue financial instruments for trading purposes. In connection with the recapitalizations of our business, we have issued fixed and floating rate notes and entered into variable funding notes and, at March 28, 2021, we are exposed to interest rate risk on borrowings under our floating rate notes and variable funding notes. As of March 28, 2021, we had no outstanding borrowings under our variable funding notes. Our floating rate notes and our variable funding notes bear interest at fluctuating interest rates based on LIBOR.</w:t>
      </w:r>
    </w:p>
    <w:p>
      <w:pPr>
        <w:spacing w:after="0" w:line="193" w:lineRule="exact"/>
        <w:rPr>
          <w:sz w:val="20"/>
          <w:szCs w:val="20"/>
          <w:color w:val="auto"/>
        </w:rPr>
      </w:pPr>
    </w:p>
    <w:p>
      <w:pPr>
        <w:ind w:right="60" w:firstLine="436"/>
        <w:spacing w:after="0" w:line="252" w:lineRule="auto"/>
        <w:rPr>
          <w:sz w:val="20"/>
          <w:szCs w:val="20"/>
          <w:color w:val="auto"/>
        </w:rPr>
      </w:pPr>
      <w:r>
        <w:rPr>
          <w:rFonts w:ascii="Arial" w:cs="Arial" w:eastAsia="Arial" w:hAnsi="Arial"/>
          <w:sz w:val="18"/>
          <w:szCs w:val="18"/>
          <w:color w:val="auto"/>
        </w:rPr>
        <w:t>There is currently uncertainty around whether LIBOR will continue to exist after 2023. Subsequent to the first quarter of 2021, in connection with the 2021 Recapitalization, our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w:t>
      </w:r>
    </w:p>
    <w:p>
      <w:pPr>
        <w:spacing w:after="0" w:line="194"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75"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93"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have exposure to various foreign currency exchange rate fluctuations for revenues generated by our operations outside the U.S., which can adversely impact our net income and cash flows. Approximately 6.8% of our total revenues in the first quarter of 2021 and approximately 6.6% of our total revenues in the first quarter of 2020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$6.0 million in the first quarter of 2021.</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8" w:lineRule="exact"/>
        <w:rPr>
          <w:sz w:val="20"/>
          <w:szCs w:val="20"/>
          <w:color w:val="auto"/>
        </w:rPr>
      </w:pPr>
    </w:p>
    <w:p>
      <w:pPr>
        <w:ind w:right="280" w:firstLine="436"/>
        <w:spacing w:after="0" w:line="297" w:lineRule="auto"/>
        <w:rPr>
          <w:sz w:val="20"/>
          <w:szCs w:val="20"/>
          <w:color w:val="auto"/>
        </w:rPr>
      </w:pPr>
      <w:r>
        <w:rPr>
          <w:rFonts w:ascii="Arial" w:cs="Arial" w:eastAsia="Arial" w:hAnsi="Arial"/>
          <w:sz w:val="16"/>
          <w:szCs w:val="16"/>
          <w:color w:val="auto"/>
        </w:rPr>
        <w:t>Management, with the participation of the Company’s Chief Executive Officer, Richard E. Allison, Jr., and Executive Vice President and Chief Financial Officer, Stuart A. Levy,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and Mr. Levy concluded that the Company’s disclosure controls and procedures were effective.</w:t>
      </w:r>
    </w:p>
    <w:p>
      <w:pPr>
        <w:spacing w:after="0" w:line="159"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During the quarterly period ended March 28, 2021,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95"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PART II.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86"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material changes with respect to those risk factors previously disclosed in Item 1A “Risk Factors” in Part I of our 2020 Form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Total Number of Shares</w:t>
            </w:r>
          </w:p>
        </w:tc>
        <w:tc>
          <w:tcPr>
            <w:tcW w:w="14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0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3"/>
              </w:rPr>
              <w:t>Total Number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4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Average Price Paid</w:t>
            </w:r>
          </w:p>
        </w:tc>
        <w:tc>
          <w:tcPr>
            <w:tcW w:w="212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0"/>
              </w:rPr>
              <w:t>Purchased as Part of</w:t>
            </w:r>
          </w:p>
        </w:tc>
        <w:tc>
          <w:tcPr>
            <w:tcW w:w="14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May Yet Be Purchased</w:t>
            </w:r>
          </w:p>
        </w:tc>
        <w:tc>
          <w:tcPr>
            <w:tcW w:w="0" w:type="dxa"/>
            <w:vAlign w:val="bottom"/>
          </w:tcPr>
          <w:p>
            <w:pPr>
              <w:spacing w:after="0"/>
              <w:rPr>
                <w:sz w:val="1"/>
                <w:szCs w:val="1"/>
                <w:color w:val="auto"/>
              </w:rPr>
            </w:pPr>
          </w:p>
        </w:tc>
      </w:tr>
      <w:tr>
        <w:trPr>
          <w:trHeight w:val="147"/>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00" w:type="dxa"/>
            <w:vAlign w:val="bottom"/>
            <w:gridSpan w:val="3"/>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of Shares</w:t>
            </w:r>
          </w:p>
        </w:tc>
        <w:tc>
          <w:tcPr>
            <w:tcW w:w="1820" w:type="dxa"/>
            <w:vAlign w:val="bottom"/>
            <w:gridSpan w:val="3"/>
            <w:vMerge w:val="continue"/>
          </w:tcPr>
          <w:p>
            <w:pPr>
              <w:spacing w:after="0"/>
              <w:rPr>
                <w:sz w:val="12"/>
                <w:szCs w:val="12"/>
                <w:color w:val="auto"/>
              </w:rPr>
            </w:pPr>
          </w:p>
        </w:tc>
        <w:tc>
          <w:tcPr>
            <w:tcW w:w="212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0"/>
              </w:rPr>
              <w:t>Publicly Announced</w:t>
            </w:r>
          </w:p>
        </w:tc>
        <w:tc>
          <w:tcPr>
            <w:tcW w:w="100" w:type="dxa"/>
            <w:vAlign w:val="bottom"/>
          </w:tcPr>
          <w:p>
            <w:pPr>
              <w:spacing w:after="0"/>
              <w:rPr>
                <w:sz w:val="12"/>
                <w:szCs w:val="12"/>
                <w:color w:val="auto"/>
              </w:rPr>
            </w:pPr>
          </w:p>
        </w:tc>
        <w:tc>
          <w:tcPr>
            <w:tcW w:w="13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143"/>
        </w:trPr>
        <w:tc>
          <w:tcPr>
            <w:tcW w:w="3160" w:type="dxa"/>
            <w:vAlign w:val="bottom"/>
            <w:gridSpan w:val="2"/>
            <w:vMerge w:val="continue"/>
          </w:tcPr>
          <w:p>
            <w:pPr>
              <w:spacing w:after="0"/>
              <w:rPr>
                <w:sz w:val="12"/>
                <w:szCs w:val="12"/>
                <w:color w:val="auto"/>
              </w:rPr>
            </w:pPr>
          </w:p>
        </w:tc>
        <w:tc>
          <w:tcPr>
            <w:tcW w:w="1500" w:type="dxa"/>
            <w:vAlign w:val="bottom"/>
            <w:gridSpan w:val="3"/>
          </w:tcPr>
          <w:p>
            <w:pPr>
              <w:jc w:val="center"/>
              <w:ind w:right="660"/>
              <w:spacing w:after="0" w:line="123" w:lineRule="exact"/>
              <w:rPr>
                <w:sz w:val="20"/>
                <w:szCs w:val="20"/>
                <w:color w:val="auto"/>
              </w:rPr>
            </w:pPr>
            <w:r>
              <w:rPr>
                <w:rFonts w:ascii="Arial" w:cs="Arial" w:eastAsia="Arial" w:hAnsi="Arial"/>
                <w:sz w:val="14"/>
                <w:szCs w:val="14"/>
                <w:b w:val="1"/>
                <w:bCs w:val="1"/>
                <w:color w:val="auto"/>
                <w:w w:val="90"/>
              </w:rPr>
              <w:t>Purchased (1)</w:t>
            </w:r>
          </w:p>
        </w:tc>
        <w:tc>
          <w:tcPr>
            <w:tcW w:w="180" w:type="dxa"/>
            <w:vAlign w:val="bottom"/>
          </w:tcPr>
          <w:p>
            <w:pPr>
              <w:spacing w:after="0"/>
              <w:rPr>
                <w:sz w:val="12"/>
                <w:szCs w:val="12"/>
                <w:color w:val="auto"/>
              </w:rPr>
            </w:pPr>
          </w:p>
        </w:tc>
        <w:tc>
          <w:tcPr>
            <w:tcW w:w="1640" w:type="dxa"/>
            <w:vAlign w:val="bottom"/>
            <w:gridSpan w:val="2"/>
          </w:tcPr>
          <w:p>
            <w:pPr>
              <w:jc w:val="right"/>
              <w:ind w:right="940"/>
              <w:spacing w:after="0" w:line="123" w:lineRule="exact"/>
              <w:rPr>
                <w:sz w:val="20"/>
                <w:szCs w:val="20"/>
                <w:color w:val="auto"/>
              </w:rPr>
            </w:pPr>
            <w:r>
              <w:rPr>
                <w:rFonts w:ascii="Arial" w:cs="Arial" w:eastAsia="Arial" w:hAnsi="Arial"/>
                <w:sz w:val="14"/>
                <w:szCs w:val="14"/>
                <w:b w:val="1"/>
                <w:bCs w:val="1"/>
                <w:color w:val="auto"/>
              </w:rPr>
              <w:t>Per Share</w:t>
            </w:r>
          </w:p>
        </w:tc>
        <w:tc>
          <w:tcPr>
            <w:tcW w:w="2120" w:type="dxa"/>
            <w:vAlign w:val="bottom"/>
            <w:gridSpan w:val="2"/>
          </w:tcPr>
          <w:p>
            <w:pPr>
              <w:jc w:val="center"/>
              <w:ind w:right="660"/>
              <w:spacing w:after="0" w:line="123" w:lineRule="exact"/>
              <w:rPr>
                <w:sz w:val="20"/>
                <w:szCs w:val="20"/>
                <w:color w:val="auto"/>
              </w:rPr>
            </w:pPr>
            <w:r>
              <w:rPr>
                <w:rFonts w:ascii="Arial" w:cs="Arial" w:eastAsia="Arial" w:hAnsi="Arial"/>
                <w:sz w:val="14"/>
                <w:szCs w:val="14"/>
                <w:b w:val="1"/>
                <w:bCs w:val="1"/>
                <w:color w:val="auto"/>
                <w:w w:val="94"/>
              </w:rPr>
              <w:t>Program (2)</w:t>
            </w:r>
          </w:p>
        </w:tc>
        <w:tc>
          <w:tcPr>
            <w:tcW w:w="100" w:type="dxa"/>
            <w:vAlign w:val="bottom"/>
          </w:tcPr>
          <w:p>
            <w:pPr>
              <w:spacing w:after="0"/>
              <w:rPr>
                <w:sz w:val="12"/>
                <w:szCs w:val="12"/>
                <w:color w:val="auto"/>
              </w:rPr>
            </w:pPr>
          </w:p>
        </w:tc>
        <w:tc>
          <w:tcPr>
            <w:tcW w:w="1340" w:type="dxa"/>
            <w:vAlign w:val="bottom"/>
            <w:gridSpan w:val="2"/>
          </w:tcPr>
          <w:p>
            <w:pPr>
              <w:jc w:val="center"/>
              <w:ind w:right="140"/>
              <w:spacing w:after="0" w:line="123"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60" w:type="dxa"/>
            <w:vAlign w:val="bottom"/>
            <w:gridSpan w:val="2"/>
            <w:shd w:val="clear" w:color="auto" w:fill="CCEEFF"/>
          </w:tcPr>
          <w:p>
            <w:pPr>
              <w:spacing w:after="0" w:line="166" w:lineRule="exact"/>
              <w:rPr>
                <w:sz w:val="20"/>
                <w:szCs w:val="20"/>
                <w:color w:val="auto"/>
              </w:rPr>
            </w:pPr>
            <w:r>
              <w:rPr>
                <w:rFonts w:ascii="Arial" w:cs="Arial" w:eastAsia="Arial" w:hAnsi="Arial"/>
                <w:sz w:val="18"/>
                <w:szCs w:val="18"/>
                <w:color w:val="auto"/>
              </w:rPr>
              <w:t>Period #1 (January 4, 2021 to</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 31, 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67,407</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379.58</w:t>
            </w: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76,553</w:t>
            </w:r>
          </w:p>
        </w:tc>
        <w:tc>
          <w:tcPr>
            <w:tcW w:w="0" w:type="dxa"/>
            <w:vAlign w:val="bottom"/>
          </w:tcPr>
          <w:p>
            <w:pPr>
              <w:spacing w:after="0"/>
              <w:rPr>
                <w:sz w:val="1"/>
                <w:szCs w:val="1"/>
                <w:color w:val="auto"/>
              </w:rPr>
            </w:pPr>
          </w:p>
        </w:tc>
      </w:tr>
      <w:tr>
        <w:trPr>
          <w:trHeight w:val="200"/>
        </w:trPr>
        <w:tc>
          <w:tcPr>
            <w:tcW w:w="3160" w:type="dxa"/>
            <w:vAlign w:val="bottom"/>
            <w:gridSpan w:val="2"/>
          </w:tcPr>
          <w:p>
            <w:pPr>
              <w:spacing w:after="0" w:line="200" w:lineRule="exact"/>
              <w:rPr>
                <w:sz w:val="20"/>
                <w:szCs w:val="20"/>
                <w:color w:val="auto"/>
              </w:rPr>
            </w:pPr>
            <w:r>
              <w:rPr>
                <w:rFonts w:ascii="Arial" w:cs="Arial" w:eastAsia="Arial" w:hAnsi="Arial"/>
                <w:sz w:val="18"/>
                <w:szCs w:val="18"/>
                <w:color w:val="auto"/>
              </w:rPr>
              <w:t>Period #2 (February 1, 2021 to</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February 28, 2021)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377.02</w:t>
            </w:r>
          </w:p>
        </w:tc>
        <w:tc>
          <w:tcPr>
            <w:tcW w:w="21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1"/>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Period #3 (March 1, 2021 to</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28, 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4,046</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341.77</w:t>
            </w:r>
          </w:p>
        </w:tc>
        <w:tc>
          <w:tcPr>
            <w:tcW w:w="21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0"/>
        </w:trPr>
        <w:tc>
          <w:tcPr>
            <w:tcW w:w="3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72,769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377.44</w:t>
            </w:r>
          </w:p>
        </w:tc>
        <w:tc>
          <w:tcPr>
            <w:tcW w:w="6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65,870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40" w:right="100" w:hanging="433"/>
        <w:spacing w:after="0" w:line="271"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6,899 shares in the first quarter of 2021 were purchased as part of the Company’s employee stock payroll deduction plan. During the first quarter, the shares were purchased at an average price of $357.43.</w:t>
      </w:r>
    </w:p>
    <w:p>
      <w:pPr>
        <w:spacing w:after="0" w:line="67" w:lineRule="exact"/>
        <w:rPr>
          <w:rFonts w:ascii="Arial" w:cs="Arial" w:eastAsia="Arial" w:hAnsi="Arial"/>
          <w:sz w:val="18"/>
          <w:szCs w:val="18"/>
          <w:color w:val="auto"/>
        </w:rPr>
      </w:pPr>
    </w:p>
    <w:p>
      <w:pPr>
        <w:ind w:left="440" w:right="340" w:hanging="433"/>
        <w:spacing w:after="0" w:line="25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February 24, 2021, the Company’s Board of Directors authorized a new share repurchase program to repurchase up to $1.0 billion of the Company’s common stock. This repurchase program replaced the remaining availability of approximately $76.6 million under the Company’s previously approved $1.0 billion share repurchase program.</w:t>
      </w:r>
    </w:p>
    <w:p>
      <w:pPr>
        <w:spacing w:after="0" w:line="78" w:lineRule="exact"/>
        <w:rPr>
          <w:rFonts w:ascii="Arial" w:cs="Arial" w:eastAsia="Arial" w:hAnsi="Arial"/>
          <w:sz w:val="18"/>
          <w:szCs w:val="18"/>
          <w:color w:val="auto"/>
        </w:rPr>
      </w:pPr>
    </w:p>
    <w:p>
      <w:pPr>
        <w:ind w:left="440"/>
        <w:spacing w:after="0" w:line="255" w:lineRule="auto"/>
        <w:rPr>
          <w:rFonts w:ascii="Arial" w:cs="Arial" w:eastAsia="Arial" w:hAnsi="Arial"/>
          <w:sz w:val="18"/>
          <w:szCs w:val="18"/>
          <w:color w:val="auto"/>
        </w:rPr>
      </w:pPr>
      <w:r>
        <w:rPr>
          <w:rFonts w:ascii="Arial" w:cs="Arial" w:eastAsia="Arial" w:hAnsi="Arial"/>
          <w:sz w:val="18"/>
          <w:szCs w:val="18"/>
          <w:color w:val="auto"/>
        </w:rPr>
        <w:t>As of March 28, 2021, $1.0 billion remained available for future purchases of the Company’s common stock under the Company’s Board of Directors approved share repurchase program. 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95"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6.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0"/>
        </w:trPr>
        <w:tc>
          <w:tcPr>
            <w:tcW w:w="140" w:type="dxa"/>
            <w:vAlign w:val="bottom"/>
          </w:tcPr>
          <w:p>
            <w:pPr>
              <w:spacing w:after="0"/>
              <w:rPr>
                <w:sz w:val="14"/>
                <w:szCs w:val="14"/>
                <w:color w:val="auto"/>
              </w:rPr>
            </w:pPr>
          </w:p>
        </w:tc>
        <w:tc>
          <w:tcPr>
            <w:tcW w:w="960" w:type="dxa"/>
            <w:vAlign w:val="bottom"/>
            <w:gridSpan w:val="2"/>
          </w:tcPr>
          <w:p>
            <w:pPr>
              <w:jc w:val="center"/>
              <w:ind w:right="460"/>
              <w:spacing w:after="0" w:line="150" w:lineRule="exact"/>
              <w:rPr>
                <w:sz w:val="20"/>
                <w:szCs w:val="20"/>
                <w:color w:val="auto"/>
              </w:rPr>
            </w:pPr>
            <w:r>
              <w:rPr>
                <w:rFonts w:ascii="Arial" w:cs="Arial" w:eastAsia="Arial" w:hAnsi="Arial"/>
                <w:sz w:val="14"/>
                <w:szCs w:val="14"/>
                <w:b w:val="1"/>
                <w:bCs w:val="1"/>
                <w:color w:val="auto"/>
                <w:w w:val="94"/>
              </w:rPr>
              <w:t>Number</w:t>
            </w:r>
          </w:p>
        </w:tc>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60" w:type="dxa"/>
            <w:vAlign w:val="bottom"/>
            <w:gridSpan w:val="7"/>
          </w:tcPr>
          <w:p>
            <w:pPr>
              <w:ind w:left="860"/>
              <w:spacing w:after="0" w:line="150"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760" w:type="dxa"/>
            <w:vAlign w:val="bottom"/>
            <w:gridSpan w:val="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by Richard E. Allison, Jr. pursuant to Rule 13a-14(a) and 15d-14(a), as adopted pursuant to Section 302 of the Sarbanes-</w:t>
              </w:r>
            </w:hyperlink>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Oxley Act of 2002, relating to Domino’s Pizza, Inc.</w:t>
              </w:r>
            </w:hyperlink>
          </w:p>
        </w:tc>
        <w:tc>
          <w:tcPr>
            <w:tcW w:w="5840" w:type="dxa"/>
            <w:vAlign w:val="bottom"/>
            <w:tcBorders>
              <w:top w:val="single" w:sz="8" w:color="0000EE"/>
            </w:tcBorders>
            <w:gridSpan w:val="6"/>
          </w:tcPr>
          <w:p>
            <w:pPr>
              <w:spacing w:after="0"/>
              <w:rPr>
                <w:sz w:val="16"/>
                <w:szCs w:val="16"/>
                <w:color w:val="auto"/>
              </w:rPr>
            </w:pPr>
          </w:p>
        </w:tc>
        <w:tc>
          <w:tcPr>
            <w:tcW w:w="220" w:type="dxa"/>
            <w:vAlign w:val="bottom"/>
          </w:tcPr>
          <w:p>
            <w:pPr>
              <w:spacing w:after="0"/>
              <w:rPr>
                <w:sz w:val="16"/>
                <w:szCs w:val="16"/>
                <w:color w:val="auto"/>
              </w:rPr>
            </w:pPr>
          </w:p>
        </w:tc>
      </w:tr>
      <w:tr>
        <w:trPr>
          <w:trHeight w:val="30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Certification by Stuart A. Levy pursuant to Rule 13a-14(a) and 15d-14(a), as adopted pursuant to Section 302 of the Sarbanes-Oxley Act</w:t>
              </w:r>
            </w:hyperlink>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tcBorders>
              <w:bottom w:val="single" w:sz="8" w:color="0000EE"/>
            </w:tcBorders>
          </w:tcPr>
          <w:p>
            <w:pPr>
              <w:spacing w:after="0" w:line="194"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of 2002, relating to Domino’s Pizza, Inc.</w:t>
              </w:r>
            </w:hyperlink>
          </w:p>
        </w:tc>
        <w:tc>
          <w:tcPr>
            <w:tcW w:w="6840" w:type="dxa"/>
            <w:vAlign w:val="bottom"/>
            <w:gridSpan w:val="8"/>
          </w:tcPr>
          <w:p>
            <w:pPr>
              <w:spacing w:after="0"/>
              <w:rPr>
                <w:sz w:val="16"/>
                <w:szCs w:val="16"/>
                <w:color w:val="auto"/>
              </w:rPr>
            </w:pPr>
          </w:p>
        </w:tc>
      </w:tr>
      <w:tr>
        <w:trPr>
          <w:trHeight w:val="30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4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Certification by Richard E. Allison, Jr. pursuant to Section 1350, Chapter 63 of Title 18, United States Code, as adopted pursuant to</w:t>
              </w:r>
            </w:hyperlink>
          </w:p>
        </w:tc>
        <w:tc>
          <w:tcPr>
            <w:tcW w:w="360" w:type="dxa"/>
            <w:vAlign w:val="bottom"/>
            <w:gridSpan w:val="2"/>
          </w:tcPr>
          <w:p>
            <w:pPr>
              <w:spacing w:after="0"/>
              <w:rPr>
                <w:sz w:val="24"/>
                <w:szCs w:val="24"/>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760" w:type="dxa"/>
            <w:vAlign w:val="bottom"/>
            <w:gridSpan w:val="9"/>
          </w:tcPr>
          <w:p>
            <w:pPr>
              <w:spacing w:after="0" w:line="194" w:lineRule="exact"/>
              <w:rPr>
                <w:rFonts w:ascii="Arial" w:cs="Arial" w:eastAsia="Arial" w:hAnsi="Arial"/>
                <w:sz w:val="18"/>
                <w:szCs w:val="18"/>
                <w:color w:val="0000EE"/>
              </w:rPr>
            </w:pPr>
            <w:hyperlink w:anchor="page30">
              <w:r>
                <w:rPr>
                  <w:rFonts w:ascii="Arial" w:cs="Arial" w:eastAsia="Arial" w:hAnsi="Arial"/>
                  <w:sz w:val="18"/>
                  <w:szCs w:val="18"/>
                  <w:color w:val="0000EE"/>
                </w:rPr>
                <w:t>Section 906 of the Sarbanes-Oxley Act of 2002, relating to Domino’s Pizza, Inc.</w:t>
              </w:r>
            </w:hyperlink>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r>
      <w:tr>
        <w:trPr>
          <w:trHeight w:val="30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Certification by Stuart A. Levy pursuant to Section 1350, Chapter 63 of Title 18, United States Code, as adopted pursuant to Section 906</w:t>
              </w:r>
            </w:hyperlink>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60" w:type="dxa"/>
            <w:vAlign w:val="bottom"/>
            <w:tcBorders>
              <w:bottom w:val="single" w:sz="8" w:color="0000EE"/>
            </w:tcBorders>
            <w:gridSpan w:val="4"/>
          </w:tcPr>
          <w:p>
            <w:pPr>
              <w:spacing w:after="0" w:line="194"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of the Sarbanes-Oxley Act of 2002, relating to Domino’s Pizza, Inc.</w:t>
              </w:r>
            </w:hyperlink>
          </w:p>
        </w:tc>
        <w:tc>
          <w:tcPr>
            <w:tcW w:w="4900" w:type="dxa"/>
            <w:vAlign w:val="bottom"/>
            <w:gridSpan w:val="5"/>
          </w:tcPr>
          <w:p>
            <w:pPr>
              <w:spacing w:after="0"/>
              <w:rPr>
                <w:sz w:val="16"/>
                <w:szCs w:val="16"/>
                <w:color w:val="auto"/>
              </w:rPr>
            </w:pPr>
          </w:p>
        </w:tc>
      </w:tr>
      <w:tr>
        <w:trPr>
          <w:trHeight w:val="327"/>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9"/>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27"/>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321"/>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1"/>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1"/>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1"/>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1"/>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94" w:lineRule="exact"/>
        <w:rPr>
          <w:sz w:val="20"/>
          <w:szCs w:val="20"/>
          <w:color w:val="auto"/>
        </w:rPr>
      </w:pPr>
    </w:p>
    <w:p>
      <w:pPr>
        <w:ind w:left="5380" w:right="3280" w:hanging="5373"/>
        <w:spacing w:after="0" w:line="441" w:lineRule="auto"/>
        <w:tabs>
          <w:tab w:leader="none" w:pos="1109"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25</w:t>
      </w:r>
    </w:p>
    <w:p>
      <w:pPr>
        <w:sectPr>
          <w:pgSz w:w="11900" w:h="16838" w:orient="portrait"/>
          <w:cols w:equalWidth="0" w:num="1">
            <w:col w:w="10860"/>
          </w:cols>
          <w:pgMar w:left="480" w:top="295" w:right="559" w:bottom="1440" w:gutter="0" w:footer="0" w:header="0"/>
        </w:sectPr>
      </w:pPr>
    </w:p>
    <w:bookmarkStart w:id="26" w:name="page27"/>
    <w:bookmarkEnd w:id="26"/>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SIGNATURES</w:t>
      </w:r>
    </w:p>
    <w:p>
      <w:pPr>
        <w:spacing w:after="0" w:line="225"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DOMINO’S PIZZA, INC.</w:t>
      </w:r>
    </w:p>
    <w:p>
      <w:pPr>
        <w:spacing w:after="0" w:line="2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2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6"/>
          <w:szCs w:val="16"/>
          <w:color w:val="auto"/>
        </w:rPr>
        <w:t>/s/ Stuart 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13335</wp:posOffset>
            </wp:positionV>
            <wp:extent cx="3184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Stuart A. Levy</w:t>
      </w:r>
    </w:p>
    <w:p>
      <w:pPr>
        <w:spacing w:after="0" w:line="2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Executive Vice President, Chief Financial Officer</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20"/>
          </w:cols>
          <w:pgMar w:left="480" w:top="295" w:right="7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CERTIFICATION OF CHIEF EXECUTIVE OFFICER, DOMINO’S PIZZA,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Richard E. Allison, Jr., certify that:</w:t>
      </w:r>
    </w:p>
    <w:p>
      <w:pPr>
        <w:spacing w:after="0" w:line="127" w:lineRule="exact"/>
        <w:rPr>
          <w:sz w:val="20"/>
          <w:szCs w:val="20"/>
          <w:color w:val="auto"/>
        </w:rPr>
      </w:pPr>
    </w:p>
    <w:p>
      <w:pPr>
        <w:ind w:left="440" w:hanging="43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127" w:lineRule="exact"/>
        <w:rPr>
          <w:rFonts w:ascii="Arial" w:cs="Arial" w:eastAsia="Arial" w:hAnsi="Arial"/>
          <w:sz w:val="18"/>
          <w:szCs w:val="18"/>
          <w:color w:val="auto"/>
        </w:rPr>
      </w:pPr>
    </w:p>
    <w:p>
      <w:pPr>
        <w:jc w:val="both"/>
        <w:ind w:left="440" w:right="120" w:hanging="433"/>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8"/>
          <w:szCs w:val="18"/>
          <w:color w:val="auto"/>
        </w:rPr>
      </w:pPr>
    </w:p>
    <w:p>
      <w:pPr>
        <w:ind w:left="440" w:right="80" w:hanging="433"/>
        <w:spacing w:after="0" w:line="301"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7"/>
          <w:szCs w:val="17"/>
          <w:color w:val="auto"/>
        </w:rPr>
      </w:pPr>
    </w:p>
    <w:p>
      <w:pPr>
        <w:ind w:left="440" w:right="120" w:hanging="433"/>
        <w:spacing w:after="0" w:line="287"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4" w:lineRule="exact"/>
        <w:rPr>
          <w:rFonts w:ascii="Arial" w:cs="Arial" w:eastAsia="Arial" w:hAnsi="Arial"/>
          <w:sz w:val="16"/>
          <w:szCs w:val="16"/>
          <w:color w:val="auto"/>
        </w:rPr>
      </w:pPr>
    </w:p>
    <w:p>
      <w:pPr>
        <w:ind w:left="980" w:right="20" w:hanging="545"/>
        <w:spacing w:after="0" w:line="259"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ind w:left="980" w:right="140" w:hanging="545"/>
        <w:spacing w:after="0" w:line="259"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8"/>
          <w:szCs w:val="18"/>
          <w:color w:val="auto"/>
        </w:rPr>
      </w:pPr>
    </w:p>
    <w:p>
      <w:pPr>
        <w:jc w:val="both"/>
        <w:ind w:left="980" w:right="320" w:hanging="545"/>
        <w:spacing w:after="0" w:line="408" w:lineRule="auto"/>
        <w:tabs>
          <w:tab w:leader="none" w:pos="980" w:val="left"/>
        </w:tabs>
        <w:numPr>
          <w:ilvl w:val="1"/>
          <w:numId w:val="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20" w:hanging="545"/>
        <w:spacing w:after="0" w:line="259"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8"/>
          <w:szCs w:val="18"/>
          <w:color w:val="auto"/>
        </w:rPr>
      </w:pPr>
    </w:p>
    <w:p>
      <w:pPr>
        <w:ind w:left="440" w:right="80" w:hanging="433"/>
        <w:spacing w:after="0" w:line="335"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6"/>
          <w:szCs w:val="16"/>
          <w:color w:val="auto"/>
        </w:rPr>
      </w:pPr>
    </w:p>
    <w:p>
      <w:pPr>
        <w:ind w:left="980" w:right="560" w:hanging="545"/>
        <w:spacing w:after="0" w:line="335"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6"/>
          <w:szCs w:val="16"/>
          <w:color w:val="auto"/>
        </w:rPr>
      </w:pPr>
    </w:p>
    <w:p>
      <w:pPr>
        <w:ind w:left="980" w:right="240" w:hanging="545"/>
        <w:spacing w:after="0" w:line="271"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00" w:type="dxa"/>
            <w:vAlign w:val="bottom"/>
          </w:tcPr>
          <w:p>
            <w:pPr>
              <w:spacing w:after="0"/>
              <w:rPr>
                <w:sz w:val="20"/>
                <w:szCs w:val="20"/>
                <w:color w:val="auto"/>
              </w:rPr>
            </w:pPr>
            <w:r>
              <w:rPr>
                <w:rFonts w:ascii="Arial" w:cs="Arial" w:eastAsia="Arial" w:hAnsi="Arial"/>
                <w:sz w:val="18"/>
                <w:szCs w:val="18"/>
                <w:color w:val="auto"/>
              </w:rPr>
              <w:t>April 29, 2021</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Allison, Jr.</w:t>
            </w:r>
          </w:p>
        </w:tc>
      </w:tr>
      <w:tr>
        <w:trPr>
          <w:trHeight w:val="208"/>
        </w:trPr>
        <w:tc>
          <w:tcPr>
            <w:tcW w:w="590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Richard E. Allison, Jr.</w:t>
            </w:r>
          </w:p>
        </w:tc>
      </w:tr>
      <w:tr>
        <w:trPr>
          <w:trHeight w:val="227"/>
        </w:trPr>
        <w:tc>
          <w:tcPr>
            <w:tcW w:w="59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480" w:top="125" w:right="4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DOMINO’S PIZZA,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Stuart A. Levy, certify that:</w:t>
      </w:r>
    </w:p>
    <w:p>
      <w:pPr>
        <w:spacing w:after="0" w:line="127" w:lineRule="exact"/>
        <w:rPr>
          <w:sz w:val="20"/>
          <w:szCs w:val="20"/>
          <w:color w:val="auto"/>
        </w:rPr>
      </w:pPr>
    </w:p>
    <w:p>
      <w:pPr>
        <w:ind w:left="440" w:hanging="433"/>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127" w:lineRule="exact"/>
        <w:rPr>
          <w:rFonts w:ascii="Arial" w:cs="Arial" w:eastAsia="Arial" w:hAnsi="Arial"/>
          <w:sz w:val="18"/>
          <w:szCs w:val="18"/>
          <w:color w:val="auto"/>
        </w:rPr>
      </w:pPr>
    </w:p>
    <w:p>
      <w:pPr>
        <w:jc w:val="both"/>
        <w:ind w:left="440" w:right="120" w:hanging="433"/>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8"/>
          <w:szCs w:val="18"/>
          <w:color w:val="auto"/>
        </w:rPr>
      </w:pPr>
    </w:p>
    <w:p>
      <w:pPr>
        <w:ind w:left="440" w:right="80" w:hanging="433"/>
        <w:spacing w:after="0" w:line="301"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7"/>
          <w:szCs w:val="17"/>
          <w:color w:val="auto"/>
        </w:rPr>
      </w:pPr>
    </w:p>
    <w:p>
      <w:pPr>
        <w:ind w:left="440" w:right="120" w:hanging="433"/>
        <w:spacing w:after="0" w:line="287"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4" w:lineRule="exact"/>
        <w:rPr>
          <w:rFonts w:ascii="Arial" w:cs="Arial" w:eastAsia="Arial" w:hAnsi="Arial"/>
          <w:sz w:val="16"/>
          <w:szCs w:val="16"/>
          <w:color w:val="auto"/>
        </w:rPr>
      </w:pPr>
    </w:p>
    <w:p>
      <w:pPr>
        <w:ind w:left="980" w:right="20" w:hanging="545"/>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ind w:left="980" w:right="140" w:hanging="545"/>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8"/>
          <w:szCs w:val="18"/>
          <w:color w:val="auto"/>
        </w:rPr>
      </w:pPr>
    </w:p>
    <w:p>
      <w:pPr>
        <w:jc w:val="both"/>
        <w:ind w:left="980" w:right="320" w:hanging="545"/>
        <w:spacing w:after="0" w:line="408" w:lineRule="auto"/>
        <w:tabs>
          <w:tab w:leader="none" w:pos="9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20" w:hanging="545"/>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8"/>
          <w:szCs w:val="18"/>
          <w:color w:val="auto"/>
        </w:rPr>
      </w:pPr>
    </w:p>
    <w:p>
      <w:pPr>
        <w:ind w:left="440" w:right="80" w:hanging="433"/>
        <w:spacing w:after="0" w:line="335"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6"/>
          <w:szCs w:val="16"/>
          <w:color w:val="auto"/>
        </w:rPr>
      </w:pPr>
    </w:p>
    <w:p>
      <w:pPr>
        <w:ind w:left="980" w:right="560" w:hanging="545"/>
        <w:spacing w:after="0" w:line="335"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6"/>
          <w:szCs w:val="16"/>
          <w:color w:val="auto"/>
        </w:rPr>
      </w:pPr>
    </w:p>
    <w:p>
      <w:pPr>
        <w:ind w:left="980" w:right="240" w:hanging="545"/>
        <w:spacing w:after="0" w:line="271"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00" w:type="dxa"/>
            <w:vAlign w:val="bottom"/>
          </w:tcPr>
          <w:p>
            <w:pPr>
              <w:spacing w:after="0"/>
              <w:rPr>
                <w:sz w:val="20"/>
                <w:szCs w:val="20"/>
                <w:color w:val="auto"/>
              </w:rPr>
            </w:pPr>
            <w:r>
              <w:rPr>
                <w:rFonts w:ascii="Arial" w:cs="Arial" w:eastAsia="Arial" w:hAnsi="Arial"/>
                <w:sz w:val="18"/>
                <w:szCs w:val="18"/>
                <w:color w:val="auto"/>
              </w:rPr>
              <w:t>April 29, 2021</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A. Levy</w:t>
            </w:r>
          </w:p>
        </w:tc>
      </w:tr>
      <w:tr>
        <w:trPr>
          <w:trHeight w:val="208"/>
        </w:trPr>
        <w:tc>
          <w:tcPr>
            <w:tcW w:w="590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Stuart A. Levy</w:t>
            </w:r>
          </w:p>
        </w:tc>
      </w:tr>
      <w:tr>
        <w:trPr>
          <w:trHeight w:val="227"/>
        </w:trPr>
        <w:tc>
          <w:tcPr>
            <w:tcW w:w="59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920"/>
          </w:cols>
          <w:pgMar w:left="480" w:top="125" w:right="4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March 28, 2021,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92" w:lineRule="exact"/>
        <w:rPr>
          <w:sz w:val="20"/>
          <w:szCs w:val="20"/>
          <w:color w:val="auto"/>
        </w:rPr>
      </w:pPr>
    </w:p>
    <w:p>
      <w:pPr>
        <w:ind w:left="980" w:hanging="545"/>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38" w:lineRule="exact"/>
        <w:rPr>
          <w:rFonts w:ascii="Arial" w:cs="Arial" w:eastAsia="Arial" w:hAnsi="Arial"/>
          <w:sz w:val="17"/>
          <w:szCs w:val="17"/>
          <w:color w:val="auto"/>
        </w:rPr>
      </w:pPr>
    </w:p>
    <w:p>
      <w:pPr>
        <w:ind w:left="980" w:right="440" w:hanging="545"/>
        <w:spacing w:after="0" w:line="27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13335</wp:posOffset>
            </wp:positionV>
            <wp:extent cx="2768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Richard E. Allison, Jr.</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2021</w:t>
      </w:r>
    </w:p>
    <w:p>
      <w:pPr>
        <w:spacing w:after="0" w:line="221"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0920"/>
          </w:cols>
          <w:pgMar w:left="480" w:top="125" w:right="4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March 28, 2021, as filed with the Securities and Exchange Commission (the “Report”), I, Stuart A. Levy, Chief Financial Officer of the Company, certify, pursuant to 18 U.S.C. § 1350, adopted pursuant to §906 of the Sarbanes-Oxley Act of 2002, that based on my knowledge:</w:t>
      </w:r>
    </w:p>
    <w:p>
      <w:pPr>
        <w:spacing w:after="0" w:line="92" w:lineRule="exact"/>
        <w:rPr>
          <w:sz w:val="20"/>
          <w:szCs w:val="20"/>
          <w:color w:val="auto"/>
        </w:rPr>
      </w:pPr>
    </w:p>
    <w:p>
      <w:pPr>
        <w:ind w:left="980" w:hanging="545"/>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38" w:lineRule="exact"/>
        <w:rPr>
          <w:rFonts w:ascii="Arial" w:cs="Arial" w:eastAsia="Arial" w:hAnsi="Arial"/>
          <w:sz w:val="17"/>
          <w:szCs w:val="17"/>
          <w:color w:val="auto"/>
        </w:rPr>
      </w:pPr>
    </w:p>
    <w:p>
      <w:pPr>
        <w:ind w:left="980" w:right="440" w:hanging="545"/>
        <w:spacing w:after="0" w:line="27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Stuart 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13335</wp:posOffset>
            </wp:positionV>
            <wp:extent cx="2768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Stuart A. Levy</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2021</w:t>
      </w:r>
    </w:p>
    <w:p>
      <w:pPr>
        <w:spacing w:after="0" w:line="221"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0920"/>
      </w:cols>
      <w:pgMar w:left="48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7"/>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2021-04-29T06:40:49Z</dcterms:created>
  <dcterms:modified xsi:type="dcterms:W3CDTF">2021-04-29T06:40:49Z</dcterms:modified>
</cp:coreProperties>
</file>