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1"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169545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5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3780" w:right="1600" w:hanging="3772"/>
        <w:spacing w:after="0" w:line="401" w:lineRule="auto"/>
        <w:tabs>
          <w:tab w:leader="none" w:pos="431"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27, 2022</w:t>
      </w:r>
    </w:p>
    <w:p>
      <w:pPr>
        <w:spacing w:after="0" w:line="27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04" w:lineRule="exact"/>
        <w:rPr>
          <w:sz w:val="24"/>
          <w:szCs w:val="24"/>
          <w:color w:val="auto"/>
        </w:rPr>
      </w:pPr>
    </w:p>
    <w:tbl>
      <w:tblPr>
        <w:tblLayout w:type="fixed"/>
        <w:tblInd w:w="364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720" w:type="dxa"/>
            <w:vAlign w:val="bottom"/>
            <w:tcBorders>
              <w:bottom w:val="single" w:sz="8" w:color="auto"/>
            </w:tcBorders>
          </w:tcPr>
          <w:p>
            <w:pPr>
              <w:spacing w:after="0"/>
              <w:rPr>
                <w:sz w:val="17"/>
                <w:szCs w:val="17"/>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to</w:t>
            </w:r>
          </w:p>
        </w:tc>
      </w:tr>
      <w:tr>
        <w:trPr>
          <w:trHeight w:val="331"/>
        </w:trPr>
        <w:tc>
          <w:tcPr>
            <w:tcW w:w="3340" w:type="dxa"/>
            <w:vAlign w:val="bottom"/>
            <w:gridSpan w:val="3"/>
          </w:tcPr>
          <w:p>
            <w:pPr>
              <w:ind w:left="580"/>
              <w:spacing w:after="0"/>
              <w:rPr>
                <w:sz w:val="20"/>
                <w:szCs w:val="20"/>
                <w:color w:val="auto"/>
              </w:rPr>
            </w:pPr>
            <w:r>
              <w:rPr>
                <w:rFonts w:ascii="Arial" w:cs="Arial" w:eastAsia="Arial" w:hAnsi="Arial"/>
                <w:sz w:val="18"/>
                <w:szCs w:val="18"/>
                <w:b w:val="1"/>
                <w:bCs w:val="1"/>
                <w:color w:val="auto"/>
                <w:w w:val="89"/>
              </w:rPr>
              <w:t>Commission file number: 001-32242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137160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9" w:lineRule="exact"/>
        <w:rPr>
          <w:sz w:val="24"/>
          <w:szCs w:val="24"/>
          <w:color w:val="auto"/>
        </w:rPr>
      </w:pPr>
    </w:p>
    <w:p>
      <w:pPr>
        <w:jc w:val="center"/>
        <w:ind w:right="20"/>
        <w:spacing w:after="0"/>
        <w:rPr>
          <w:sz w:val="20"/>
          <w:szCs w:val="20"/>
          <w:color w:val="auto"/>
        </w:rPr>
      </w:pPr>
      <w:r>
        <w:rPr>
          <w:rFonts w:ascii="Arial" w:cs="Arial" w:eastAsia="Arial" w:hAnsi="Arial"/>
          <w:sz w:val="36"/>
          <w:szCs w:val="36"/>
          <w:b w:val="1"/>
          <w:bCs w:val="1"/>
          <w:color w:val="auto"/>
        </w:rPr>
        <w:t>Domino’s Pizza, Inc.</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90" w:lineRule="exact"/>
        <w:rPr>
          <w:sz w:val="24"/>
          <w:szCs w:val="24"/>
          <w:color w:val="auto"/>
        </w:rPr>
      </w:pPr>
    </w:p>
    <w:tbl>
      <w:tblPr>
        <w:tblLayout w:type="fixed"/>
        <w:tblInd w:w="1540" w:type="dxa"/>
        <w:tblCellMar>
          <w:top w:w="0" w:type="dxa"/>
          <w:left w:w="0" w:type="dxa"/>
          <w:bottom w:w="0" w:type="dxa"/>
          <w:right w:w="0" w:type="dxa"/>
        </w:tblCellMar>
      </w:tblPr>
      <w:tr>
        <w:trPr>
          <w:trHeight w:val="180"/>
        </w:trPr>
        <w:tc>
          <w:tcPr>
            <w:tcW w:w="2960" w:type="dxa"/>
            <w:vAlign w:val="bottom"/>
          </w:tcPr>
          <w:p>
            <w:pPr>
              <w:jc w:val="center"/>
              <w:ind w:right="439"/>
              <w:spacing w:after="0" w:line="180" w:lineRule="exact"/>
              <w:rPr>
                <w:sz w:val="20"/>
                <w:szCs w:val="20"/>
                <w:color w:val="auto"/>
              </w:rPr>
            </w:pPr>
            <w:r>
              <w:rPr>
                <w:rFonts w:ascii="Arial" w:cs="Arial" w:eastAsia="Arial" w:hAnsi="Arial"/>
                <w:sz w:val="18"/>
                <w:szCs w:val="18"/>
                <w:b w:val="1"/>
                <w:bCs w:val="1"/>
                <w:color w:val="auto"/>
                <w:w w:val="91"/>
              </w:rPr>
              <w:t>Delaware</w:t>
            </w:r>
          </w:p>
        </w:tc>
        <w:tc>
          <w:tcPr>
            <w:tcW w:w="2240" w:type="dxa"/>
            <w:vAlign w:val="bottom"/>
            <w:tcBorders>
              <w:top w:val="single" w:sz="8" w:color="auto"/>
            </w:tcBorders>
          </w:tcPr>
          <w:p>
            <w:pPr>
              <w:spacing w:after="0"/>
              <w:rPr>
                <w:sz w:val="15"/>
                <w:szCs w:val="15"/>
                <w:color w:val="auto"/>
              </w:rPr>
            </w:pPr>
          </w:p>
        </w:tc>
        <w:tc>
          <w:tcPr>
            <w:tcW w:w="880" w:type="dxa"/>
            <w:vAlign w:val="bottom"/>
          </w:tcPr>
          <w:p>
            <w:pPr>
              <w:spacing w:after="0"/>
              <w:rPr>
                <w:sz w:val="15"/>
                <w:szCs w:val="15"/>
                <w:color w:val="auto"/>
              </w:rPr>
            </w:pPr>
          </w:p>
        </w:tc>
        <w:tc>
          <w:tcPr>
            <w:tcW w:w="1440" w:type="dxa"/>
            <w:vAlign w:val="bottom"/>
          </w:tcPr>
          <w:p>
            <w:pPr>
              <w:jc w:val="right"/>
              <w:ind w:right="61"/>
              <w:spacing w:after="0" w:line="180" w:lineRule="exact"/>
              <w:rPr>
                <w:sz w:val="20"/>
                <w:szCs w:val="20"/>
                <w:color w:val="auto"/>
              </w:rPr>
            </w:pPr>
            <w:r>
              <w:rPr>
                <w:rFonts w:ascii="Arial" w:cs="Arial" w:eastAsia="Arial" w:hAnsi="Arial"/>
                <w:sz w:val="18"/>
                <w:szCs w:val="18"/>
                <w:b w:val="1"/>
                <w:bCs w:val="1"/>
                <w:color w:val="auto"/>
              </w:rPr>
              <w:t>38-2511577</w:t>
            </w:r>
          </w:p>
        </w:tc>
      </w:tr>
      <w:tr>
        <w:trPr>
          <w:trHeight w:val="148"/>
        </w:trPr>
        <w:tc>
          <w:tcPr>
            <w:tcW w:w="6080" w:type="dxa"/>
            <w:vAlign w:val="bottom"/>
            <w:gridSpan w:val="3"/>
          </w:tcPr>
          <w:p>
            <w:pPr>
              <w:jc w:val="center"/>
              <w:ind w:right="362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440" w:type="dxa"/>
            <w:vAlign w:val="bottom"/>
          </w:tcPr>
          <w:p>
            <w:pPr>
              <w:jc w:val="center"/>
              <w:ind w:left="2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66"/>
        </w:trPr>
        <w:tc>
          <w:tcPr>
            <w:tcW w:w="6080" w:type="dxa"/>
            <w:vAlign w:val="bottom"/>
            <w:gridSpan w:val="3"/>
          </w:tcPr>
          <w:p>
            <w:pPr>
              <w:jc w:val="center"/>
              <w:ind w:right="3640"/>
              <w:spacing w:after="0"/>
              <w:rPr>
                <w:sz w:val="20"/>
                <w:szCs w:val="20"/>
                <w:color w:val="auto"/>
              </w:rPr>
            </w:pPr>
            <w:r>
              <w:rPr>
                <w:rFonts w:ascii="Arial" w:cs="Arial" w:eastAsia="Arial" w:hAnsi="Arial"/>
                <w:sz w:val="14"/>
                <w:szCs w:val="14"/>
                <w:b w:val="1"/>
                <w:bCs w:val="1"/>
                <w:color w:val="auto"/>
                <w:w w:val="94"/>
              </w:rPr>
              <w:t>Incorporation or Organization)</w:t>
            </w:r>
          </w:p>
        </w:tc>
        <w:tc>
          <w:tcPr>
            <w:tcW w:w="1440" w:type="dxa"/>
            <w:vAlign w:val="bottom"/>
          </w:tcPr>
          <w:p>
            <w:pPr>
              <w:jc w:val="center"/>
              <w:ind w:left="221"/>
              <w:spacing w:after="0"/>
              <w:rPr>
                <w:sz w:val="20"/>
                <w:szCs w:val="20"/>
                <w:color w:val="auto"/>
              </w:rPr>
            </w:pPr>
            <w:r>
              <w:rPr>
                <w:rFonts w:ascii="Arial" w:cs="Arial" w:eastAsia="Arial" w:hAnsi="Arial"/>
                <w:sz w:val="14"/>
                <w:szCs w:val="14"/>
                <w:b w:val="1"/>
                <w:bCs w:val="1"/>
                <w:color w:val="auto"/>
                <w:w w:val="96"/>
              </w:rPr>
              <w:t>Identification No.)</w:t>
            </w:r>
          </w:p>
        </w:tc>
      </w:tr>
      <w:tr>
        <w:trPr>
          <w:trHeight w:val="180"/>
        </w:trPr>
        <w:tc>
          <w:tcPr>
            <w:tcW w:w="6080" w:type="dxa"/>
            <w:vAlign w:val="bottom"/>
            <w:gridSpan w:val="3"/>
          </w:tcPr>
          <w:p>
            <w:pPr>
              <w:jc w:val="center"/>
              <w:ind w:right="3640"/>
              <w:spacing w:after="0" w:line="181" w:lineRule="exact"/>
              <w:rPr>
                <w:sz w:val="20"/>
                <w:szCs w:val="20"/>
                <w:color w:val="auto"/>
              </w:rPr>
            </w:pPr>
            <w:r>
              <w:rPr>
                <w:rFonts w:ascii="Arial" w:cs="Arial" w:eastAsia="Arial" w:hAnsi="Arial"/>
                <w:sz w:val="18"/>
                <w:szCs w:val="18"/>
                <w:b w:val="1"/>
                <w:bCs w:val="1"/>
                <w:color w:val="auto"/>
                <w:w w:val="95"/>
              </w:rPr>
              <w:t>30 Frank Lloyd Wright Drive</w:t>
            </w:r>
          </w:p>
        </w:tc>
        <w:tc>
          <w:tcPr>
            <w:tcW w:w="1440" w:type="dxa"/>
            <w:vAlign w:val="bottom"/>
          </w:tcPr>
          <w:p>
            <w:pPr>
              <w:spacing w:after="0"/>
              <w:rPr>
                <w:sz w:val="15"/>
                <w:szCs w:val="15"/>
                <w:color w:val="auto"/>
              </w:rPr>
            </w:pPr>
          </w:p>
        </w:tc>
      </w:tr>
      <w:tr>
        <w:trPr>
          <w:trHeight w:val="207"/>
        </w:trPr>
        <w:tc>
          <w:tcPr>
            <w:tcW w:w="6080" w:type="dxa"/>
            <w:vAlign w:val="bottom"/>
            <w:gridSpan w:val="3"/>
          </w:tcPr>
          <w:p>
            <w:pPr>
              <w:jc w:val="center"/>
              <w:ind w:right="3640"/>
              <w:spacing w:after="0"/>
              <w:rPr>
                <w:sz w:val="20"/>
                <w:szCs w:val="20"/>
                <w:color w:val="auto"/>
              </w:rPr>
            </w:pPr>
            <w:r>
              <w:rPr>
                <w:rFonts w:ascii="Arial" w:cs="Arial" w:eastAsia="Arial" w:hAnsi="Arial"/>
                <w:sz w:val="18"/>
                <w:szCs w:val="18"/>
                <w:b w:val="1"/>
                <w:bCs w:val="1"/>
                <w:color w:val="auto"/>
                <w:w w:val="94"/>
              </w:rPr>
              <w:t>Ann Arbor, Michigan</w:t>
            </w:r>
          </w:p>
        </w:tc>
        <w:tc>
          <w:tcPr>
            <w:tcW w:w="1440" w:type="dxa"/>
            <w:vAlign w:val="bottom"/>
          </w:tcPr>
          <w:p>
            <w:pPr>
              <w:jc w:val="right"/>
              <w:ind w:right="261"/>
              <w:spacing w:after="0"/>
              <w:rPr>
                <w:sz w:val="20"/>
                <w:szCs w:val="20"/>
                <w:color w:val="auto"/>
              </w:rPr>
            </w:pPr>
            <w:r>
              <w:rPr>
                <w:rFonts w:ascii="Arial" w:cs="Arial" w:eastAsia="Arial" w:hAnsi="Arial"/>
                <w:sz w:val="18"/>
                <w:szCs w:val="18"/>
                <w:b w:val="1"/>
                <w:bCs w:val="1"/>
                <w:color w:val="auto"/>
              </w:rPr>
              <w:t>48105</w:t>
            </w:r>
          </w:p>
        </w:tc>
      </w:tr>
      <w:tr>
        <w:trPr>
          <w:trHeight w:val="186"/>
        </w:trPr>
        <w:tc>
          <w:tcPr>
            <w:tcW w:w="6080" w:type="dxa"/>
            <w:vAlign w:val="bottom"/>
            <w:gridSpan w:val="3"/>
          </w:tcPr>
          <w:p>
            <w:pPr>
              <w:jc w:val="center"/>
              <w:ind w:right="3620"/>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440" w:type="dxa"/>
            <w:vAlign w:val="bottom"/>
          </w:tcPr>
          <w:p>
            <w:pPr>
              <w:jc w:val="center"/>
              <w:ind w:left="221"/>
              <w:spacing w:after="0"/>
              <w:rPr>
                <w:sz w:val="20"/>
                <w:szCs w:val="20"/>
                <w:color w:val="auto"/>
              </w:rPr>
            </w:pPr>
            <w:r>
              <w:rPr>
                <w:rFonts w:ascii="Arial" w:cs="Arial" w:eastAsia="Arial" w:hAnsi="Arial"/>
                <w:sz w:val="14"/>
                <w:szCs w:val="14"/>
                <w:b w:val="1"/>
                <w:bCs w:val="1"/>
                <w:color w:val="auto"/>
                <w:w w:val="95"/>
              </w:rPr>
              <w:t>(Zip Code)</w:t>
            </w:r>
          </w:p>
        </w:tc>
      </w:tr>
      <w:tr>
        <w:trPr>
          <w:trHeight w:val="286"/>
        </w:trPr>
        <w:tc>
          <w:tcPr>
            <w:tcW w:w="52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(734) 930-3030</w:t>
            </w:r>
          </w:p>
        </w:tc>
        <w:tc>
          <w:tcPr>
            <w:tcW w:w="8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86"/>
        </w:trPr>
        <w:tc>
          <w:tcPr>
            <w:tcW w:w="6080" w:type="dxa"/>
            <w:vAlign w:val="bottom"/>
            <w:gridSpan w:val="3"/>
          </w:tcPr>
          <w:p>
            <w:pPr>
              <w:jc w:val="center"/>
              <w:ind w:left="1959"/>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4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144780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8" w:lineRule="exact"/>
        <w:rPr>
          <w:sz w:val="24"/>
          <w:szCs w:val="24"/>
          <w:color w:val="auto"/>
        </w:rPr>
      </w:pPr>
    </w:p>
    <w:p>
      <w:pPr>
        <w:jc w:val="center"/>
        <w:ind w:right="-319"/>
        <w:spacing w:after="0"/>
        <w:rPr>
          <w:sz w:val="20"/>
          <w:szCs w:val="20"/>
          <w:color w:val="auto"/>
        </w:rPr>
      </w:pPr>
      <w:r>
        <w:rPr>
          <w:rFonts w:ascii="Arial" w:cs="Arial" w:eastAsia="Arial" w:hAnsi="Arial"/>
          <w:sz w:val="18"/>
          <w:szCs w:val="18"/>
          <w:color w:val="auto"/>
        </w:rPr>
        <w:t>Securities registered pursuant to Section 12(b) of the Exchange Act:</w:t>
      </w:r>
    </w:p>
    <w:p>
      <w:pPr>
        <w:spacing w:after="0" w:line="86" w:lineRule="exact"/>
        <w:rPr>
          <w:sz w:val="24"/>
          <w:szCs w:val="24"/>
          <w:color w:val="auto"/>
        </w:rPr>
      </w:pPr>
    </w:p>
    <w:tbl>
      <w:tblPr>
        <w:tblLayout w:type="fixed"/>
        <w:tblInd w:w="560" w:type="dxa"/>
        <w:tblCellMar>
          <w:top w:w="0" w:type="dxa"/>
          <w:left w:w="0" w:type="dxa"/>
          <w:bottom w:w="0" w:type="dxa"/>
          <w:right w:w="0" w:type="dxa"/>
        </w:tblCellMar>
      </w:tblPr>
      <w:tr>
        <w:trPr>
          <w:trHeight w:val="207"/>
        </w:trPr>
        <w:tc>
          <w:tcPr>
            <w:tcW w:w="428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89"/>
              </w:rPr>
              <w:t>Title of Each Class</w:t>
            </w:r>
          </w:p>
        </w:tc>
        <w:tc>
          <w:tcPr>
            <w:tcW w:w="20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Trading Symbol</w:t>
            </w:r>
          </w:p>
        </w:tc>
        <w:tc>
          <w:tcPr>
            <w:tcW w:w="3900" w:type="dxa"/>
            <w:vAlign w:val="bottom"/>
            <w:gridSpan w:val="2"/>
          </w:tcPr>
          <w:p>
            <w:pPr>
              <w:jc w:val="center"/>
              <w:ind w:left="290"/>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0"/>
        </w:trPr>
        <w:tc>
          <w:tcPr>
            <w:tcW w:w="12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r>
      <w:tr>
        <w:trPr>
          <w:trHeight w:val="331"/>
        </w:trPr>
        <w:tc>
          <w:tcPr>
            <w:tcW w:w="4280" w:type="dxa"/>
            <w:vAlign w:val="bottom"/>
            <w:gridSpan w:val="3"/>
          </w:tcPr>
          <w:p>
            <w:pPr>
              <w:jc w:val="center"/>
              <w:ind w:right="400"/>
              <w:spacing w:after="0"/>
              <w:rPr>
                <w:sz w:val="20"/>
                <w:szCs w:val="20"/>
                <w:color w:val="auto"/>
              </w:rPr>
            </w:pPr>
            <w:r>
              <w:rPr>
                <w:rFonts w:ascii="Arial" w:cs="Arial" w:eastAsia="Arial" w:hAnsi="Arial"/>
                <w:sz w:val="18"/>
                <w:szCs w:val="18"/>
                <w:color w:val="auto"/>
                <w:w w:val="91"/>
              </w:rPr>
              <w:t>Domino’s Pizza, Inc. Common Stock, $0.01 par value</w:t>
            </w:r>
          </w:p>
        </w:tc>
        <w:tc>
          <w:tcPr>
            <w:tcW w:w="400" w:type="dxa"/>
            <w:vAlign w:val="bottom"/>
          </w:tcPr>
          <w:p>
            <w:pPr>
              <w:spacing w:after="0"/>
              <w:rPr>
                <w:sz w:val="24"/>
                <w:szCs w:val="24"/>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DPZ</w:t>
            </w:r>
          </w:p>
        </w:tc>
        <w:tc>
          <w:tcPr>
            <w:tcW w:w="38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80" w:lineRule="exact"/>
        <w:rPr>
          <w:sz w:val="24"/>
          <w:szCs w:val="24"/>
          <w:color w:val="auto"/>
        </w:rPr>
      </w:pPr>
    </w:p>
    <w:p>
      <w:pPr>
        <w:ind w:right="240" w:firstLine="255"/>
        <w:spacing w:after="0" w:line="219" w:lineRule="exact"/>
        <w:rPr>
          <w:sz w:val="20"/>
          <w:szCs w:val="20"/>
          <w:color w:val="auto"/>
        </w:rPr>
      </w:pPr>
      <w:r>
        <w:rPr>
          <w:rFonts w:ascii="Arial" w:cs="Arial" w:eastAsia="Arial" w:hAnsi="Arial"/>
          <w:sz w:val="18"/>
          <w:szCs w:val="18"/>
          <w:color w:val="auto"/>
        </w:rPr>
        <w:t xml:space="preserve">Indicate by check mark whether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1" w:lineRule="exact"/>
        <w:rPr>
          <w:sz w:val="24"/>
          <w:szCs w:val="24"/>
          <w:color w:val="auto"/>
        </w:rPr>
      </w:pPr>
    </w:p>
    <w:p>
      <w:pPr>
        <w:jc w:val="both"/>
        <w:ind w:right="40" w:firstLine="255"/>
        <w:spacing w:after="0" w:line="219"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1" w:lineRule="exact"/>
        <w:rPr>
          <w:sz w:val="24"/>
          <w:szCs w:val="24"/>
          <w:color w:val="auto"/>
        </w:rPr>
      </w:pPr>
    </w:p>
    <w:p>
      <w:pPr>
        <w:ind w:firstLine="255"/>
        <w:spacing w:after="0" w:line="24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2" w:lineRule="exact"/>
        <w:rPr>
          <w:sz w:val="24"/>
          <w:szCs w:val="24"/>
          <w:color w:val="auto"/>
        </w:rPr>
      </w:pPr>
    </w:p>
    <w:tbl>
      <w:tblPr>
        <w:tblLayout w:type="fixed"/>
        <w:tblInd w:w="20" w:type="dxa"/>
        <w:tblCellMar>
          <w:top w:w="0" w:type="dxa"/>
          <w:left w:w="0" w:type="dxa"/>
          <w:bottom w:w="0" w:type="dxa"/>
          <w:right w:w="0" w:type="dxa"/>
        </w:tblCellMar>
      </w:tblPr>
      <w:tr>
        <w:trPr>
          <w:trHeight w:val="209"/>
        </w:trPr>
        <w:tc>
          <w:tcPr>
            <w:tcW w:w="24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2260"/>
              <w:spacing w:after="0"/>
              <w:rPr>
                <w:sz w:val="20"/>
                <w:szCs w:val="20"/>
                <w:color w:val="auto"/>
              </w:rPr>
            </w:pPr>
            <w:r>
              <w:rPr>
                <w:rFonts w:ascii="Arial" w:cs="Arial" w:eastAsia="Arial" w:hAnsi="Arial"/>
                <w:sz w:val="18"/>
                <w:szCs w:val="18"/>
                <w:color w:val="auto"/>
              </w:rPr>
              <w:t>Accelerated filer</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189"/>
        </w:trPr>
        <w:tc>
          <w:tcPr>
            <w:tcW w:w="2440" w:type="dxa"/>
            <w:vAlign w:val="bottom"/>
          </w:tcPr>
          <w:p>
            <w:pPr>
              <w:spacing w:after="0" w:line="189" w:lineRule="exact"/>
              <w:rPr>
                <w:sz w:val="20"/>
                <w:szCs w:val="20"/>
                <w:color w:val="auto"/>
              </w:rPr>
            </w:pPr>
            <w:r>
              <w:rPr>
                <w:rFonts w:ascii="Arial" w:cs="Arial" w:eastAsia="Arial" w:hAnsi="Arial"/>
                <w:sz w:val="18"/>
                <w:szCs w:val="18"/>
                <w:color w:val="auto"/>
              </w:rPr>
              <w:t>Non-accelerated filer</w:t>
            </w:r>
          </w:p>
        </w:tc>
        <w:tc>
          <w:tcPr>
            <w:tcW w:w="29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2260"/>
              <w:spacing w:after="0" w:line="189" w:lineRule="exact"/>
              <w:rPr>
                <w:sz w:val="20"/>
                <w:szCs w:val="20"/>
                <w:color w:val="auto"/>
              </w:rPr>
            </w:pPr>
            <w:r>
              <w:rPr>
                <w:rFonts w:ascii="Arial" w:cs="Arial" w:eastAsia="Arial" w:hAnsi="Arial"/>
                <w:sz w:val="18"/>
                <w:szCs w:val="18"/>
                <w:color w:val="auto"/>
              </w:rPr>
              <w:t>Smaller reporting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9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line="40" w:lineRule="exact"/>
        <w:rPr>
          <w:sz w:val="24"/>
          <w:szCs w:val="24"/>
          <w:color w:val="auto"/>
        </w:rPr>
      </w:pPr>
    </w:p>
    <w:p>
      <w:pPr>
        <w:jc w:val="both"/>
        <w:ind w:right="200" w:firstLine="255"/>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8" w:lineRule="exact"/>
        <w:rPr>
          <w:sz w:val="24"/>
          <w:szCs w:val="24"/>
          <w:color w:val="auto"/>
        </w:rPr>
      </w:pPr>
    </w:p>
    <w:p>
      <w:pPr>
        <w:ind w:left="260" w:right="1480"/>
        <w:spacing w:after="0" w:line="28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April 21, 2022, Domino’s Pizza, Inc. had 36,045,067 shares of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07" w:right="39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Domino’s Pizza, Inc.</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9420" w:type="dxa"/>
            <w:vAlign w:val="bottom"/>
            <w:gridSpan w:val="20"/>
            <w:vMerge w:val="restart"/>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FINANCIAL INFORMATION</w:t>
              </w:r>
            </w:hyperlink>
          </w:p>
        </w:tc>
        <w:tc>
          <w:tcPr>
            <w:tcW w:w="7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156"/>
        </w:trPr>
        <w:tc>
          <w:tcPr>
            <w:tcW w:w="1040" w:type="dxa"/>
            <w:vAlign w:val="bottom"/>
            <w:gridSpan w:val="2"/>
            <w:vMerge w:val="continue"/>
          </w:tcPr>
          <w:p>
            <w:pPr>
              <w:spacing w:after="0"/>
              <w:rPr>
                <w:sz w:val="13"/>
                <w:szCs w:val="13"/>
                <w:color w:val="auto"/>
              </w:rPr>
            </w:pPr>
          </w:p>
        </w:tc>
        <w:tc>
          <w:tcPr>
            <w:tcW w:w="9420" w:type="dxa"/>
            <w:vAlign w:val="bottom"/>
            <w:gridSpan w:val="20"/>
            <w:vMerge w:val="continue"/>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Item 1.</w:t>
            </w:r>
          </w:p>
        </w:tc>
        <w:tc>
          <w:tcPr>
            <w:tcW w:w="1520" w:type="dxa"/>
            <w:vAlign w:val="bottom"/>
            <w:tcBorders>
              <w:bottom w:val="single" w:sz="8" w:color="0000EE"/>
            </w:tcBorders>
            <w:gridSpan w:val="8"/>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Financial Statements</w:t>
              </w:r>
            </w:hyperlink>
          </w:p>
        </w:tc>
        <w:tc>
          <w:tcPr>
            <w:tcW w:w="7900" w:type="dxa"/>
            <w:vAlign w:val="bottom"/>
            <w:gridSpan w:val="12"/>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120" w:type="dxa"/>
            <w:vAlign w:val="bottom"/>
            <w:tcBorders>
              <w:bottom w:val="single" w:sz="8" w:color="0000EE"/>
            </w:tcBorders>
            <w:gridSpan w:val="16"/>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Condensed Consolidated Balance Sheets (Unaudited) – As of March 27, 2022 and January 2, 2022</w:t>
              </w:r>
            </w:hyperlink>
          </w:p>
        </w:tc>
        <w:tc>
          <w:tcPr>
            <w:tcW w:w="2300" w:type="dxa"/>
            <w:vAlign w:val="bottom"/>
            <w:gridSpan w:val="4"/>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20" w:type="dxa"/>
            <w:vAlign w:val="bottom"/>
            <w:gridSpan w:val="20"/>
          </w:tcPr>
          <w:p>
            <w:pPr>
              <w:spacing w:after="0"/>
              <w:rPr>
                <w:rFonts w:ascii="Arial" w:cs="Arial" w:eastAsia="Arial" w:hAnsi="Arial"/>
                <w:sz w:val="18"/>
                <w:szCs w:val="18"/>
                <w:color w:val="0000FF"/>
                <w:w w:val="96"/>
              </w:rPr>
            </w:pPr>
            <w:hyperlink w:anchor="page4">
              <w:r>
                <w:rPr>
                  <w:rFonts w:ascii="Arial" w:cs="Arial" w:eastAsia="Arial" w:hAnsi="Arial"/>
                  <w:sz w:val="18"/>
                  <w:szCs w:val="18"/>
                  <w:color w:val="0000FF"/>
                  <w:w w:val="96"/>
                </w:rPr>
                <w:t>Condensed Consolidated Statements of Income (Unaudited) – Fiscal quarters ended March 27, 2022 and March 28, 2021</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720" w:type="dxa"/>
            <w:vAlign w:val="bottom"/>
            <w:tcBorders>
              <w:top w:val="single" w:sz="8" w:color="0000EE"/>
            </w:tcBorders>
            <w:gridSpan w:val="17"/>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Condensed Consolidated Statements of Comprehensive Income (Unaudited) – Fiscal quarters ended March 27, 2022 and</w:t>
              </w:r>
            </w:hyperlink>
          </w:p>
        </w:tc>
        <w:tc>
          <w:tcPr>
            <w:tcW w:w="700" w:type="dxa"/>
            <w:vAlign w:val="bottom"/>
            <w:gridSpan w:val="3"/>
          </w:tcPr>
          <w:p>
            <w:pPr>
              <w:spacing w:after="0"/>
              <w:rPr>
                <w:sz w:val="24"/>
                <w:szCs w:val="24"/>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1140" w:type="dxa"/>
            <w:vAlign w:val="bottom"/>
            <w:tcBorders>
              <w:top w:val="single" w:sz="8" w:color="0000EE"/>
              <w:bottom w:val="single" w:sz="8" w:color="0000EE"/>
            </w:tcBorders>
            <w:gridSpan w:val="4"/>
          </w:tcPr>
          <w:p>
            <w:pPr>
              <w:spacing w:after="0" w:line="156" w:lineRule="exact"/>
              <w:rPr>
                <w:rFonts w:ascii="Arial" w:cs="Arial" w:eastAsia="Arial" w:hAnsi="Arial"/>
                <w:sz w:val="18"/>
                <w:szCs w:val="18"/>
                <w:color w:val="0000FF"/>
                <w:w w:val="89"/>
              </w:rPr>
            </w:pPr>
            <w:hyperlink w:anchor="page5">
              <w:r>
                <w:rPr>
                  <w:rFonts w:ascii="Arial" w:cs="Arial" w:eastAsia="Arial" w:hAnsi="Arial"/>
                  <w:sz w:val="18"/>
                  <w:szCs w:val="18"/>
                  <w:color w:val="0000FF"/>
                  <w:w w:val="89"/>
                </w:rPr>
                <w:t>March 28, 2021</w:t>
              </w:r>
            </w:hyperlink>
          </w:p>
        </w:tc>
        <w:tc>
          <w:tcPr>
            <w:tcW w:w="7600" w:type="dxa"/>
            <w:vAlign w:val="bottom"/>
            <w:tcBorders>
              <w:top w:val="single" w:sz="8" w:color="0000EE"/>
            </w:tcBorders>
            <w:gridSpan w:val="13"/>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20" w:type="dxa"/>
            <w:vAlign w:val="bottom"/>
            <w:gridSpan w:val="20"/>
          </w:tcPr>
          <w:p>
            <w:pPr>
              <w:spacing w:after="0"/>
              <w:rPr>
                <w:rFonts w:ascii="Arial" w:cs="Arial" w:eastAsia="Arial" w:hAnsi="Arial"/>
                <w:sz w:val="18"/>
                <w:szCs w:val="18"/>
                <w:color w:val="0000FF"/>
                <w:w w:val="93"/>
              </w:rPr>
            </w:pPr>
            <w:hyperlink w:anchor="page6">
              <w:r>
                <w:rPr>
                  <w:rFonts w:ascii="Arial" w:cs="Arial" w:eastAsia="Arial" w:hAnsi="Arial"/>
                  <w:sz w:val="18"/>
                  <w:szCs w:val="18"/>
                  <w:color w:val="0000FF"/>
                  <w:w w:val="93"/>
                </w:rPr>
                <w:t>Condensed Consolidated Statements of Cash Flows (Unaudited) – Fiscal quarters ended March 27, 2022 and March 28, 2021</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920" w:type="dxa"/>
            <w:vAlign w:val="bottom"/>
            <w:tcBorders>
              <w:top w:val="single" w:sz="8" w:color="0000EE"/>
              <w:bottom w:val="single" w:sz="8" w:color="0000EE"/>
            </w:tcBorders>
            <w:gridSpan w:val="14"/>
          </w:tcPr>
          <w:p>
            <w:pPr>
              <w:spacing w:after="0"/>
              <w:rPr>
                <w:rFonts w:ascii="Arial" w:cs="Arial" w:eastAsia="Arial" w:hAnsi="Arial"/>
                <w:sz w:val="18"/>
                <w:szCs w:val="18"/>
                <w:color w:val="0000FF"/>
                <w:w w:val="89"/>
              </w:rPr>
            </w:pPr>
            <w:hyperlink w:anchor="page7">
              <w:r>
                <w:rPr>
                  <w:rFonts w:ascii="Arial" w:cs="Arial" w:eastAsia="Arial" w:hAnsi="Arial"/>
                  <w:sz w:val="18"/>
                  <w:szCs w:val="18"/>
                  <w:color w:val="0000FF"/>
                  <w:w w:val="89"/>
                </w:rPr>
                <w:t>Notes to Condensed Consolidated Financial Statements (Unaudited)</w:t>
              </w:r>
            </w:hyperlink>
          </w:p>
        </w:tc>
        <w:tc>
          <w:tcPr>
            <w:tcW w:w="4100" w:type="dxa"/>
            <w:vAlign w:val="bottom"/>
            <w:tcBorders>
              <w:top w:val="single" w:sz="8" w:color="0000EE"/>
            </w:tcBorders>
            <w:gridSpan w:val="5"/>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90"/>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Item 2.</w:t>
            </w:r>
          </w:p>
        </w:tc>
        <w:tc>
          <w:tcPr>
            <w:tcW w:w="9420" w:type="dxa"/>
            <w:vAlign w:val="bottom"/>
            <w:gridSpan w:val="20"/>
          </w:tcPr>
          <w:p>
            <w:pPr>
              <w:spacing w:after="0"/>
              <w:rPr>
                <w:rFonts w:ascii="Arial" w:cs="Arial" w:eastAsia="Arial" w:hAnsi="Arial"/>
                <w:sz w:val="18"/>
                <w:szCs w:val="18"/>
                <w:color w:val="0000FF"/>
              </w:rPr>
            </w:pPr>
            <w:hyperlink w:anchor="page13">
              <w:r>
                <w:rPr>
                  <w:rFonts w:ascii="Arial" w:cs="Arial" w:eastAsia="Arial" w:hAnsi="Arial"/>
                  <w:sz w:val="18"/>
                  <w:szCs w:val="18"/>
                  <w:color w:val="0000FF"/>
                </w:rPr>
                <w:t>Management’s Discussion and Analysis of Financial Condition and Results of Operations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91"/>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3"/>
          </w:tcPr>
          <w:p>
            <w:pPr>
              <w:spacing w:after="0"/>
              <w:rPr>
                <w:rFonts w:ascii="Arial" w:cs="Arial" w:eastAsia="Arial" w:hAnsi="Arial"/>
                <w:sz w:val="18"/>
                <w:szCs w:val="18"/>
                <w:color w:val="0000FF"/>
                <w:w w:val="92"/>
              </w:rPr>
            </w:pPr>
            <w:hyperlink w:anchor="page22">
              <w:r>
                <w:rPr>
                  <w:rFonts w:ascii="Arial" w:cs="Arial" w:eastAsia="Arial" w:hAnsi="Arial"/>
                  <w:sz w:val="18"/>
                  <w:szCs w:val="18"/>
                  <w:color w:val="0000FF"/>
                  <w:w w:val="92"/>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2960" w:type="dxa"/>
            <w:vAlign w:val="bottom"/>
            <w:gridSpan w:val="5"/>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90"/>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9"/>
          </w:tcPr>
          <w:p>
            <w:pPr>
              <w:spacing w:after="0"/>
              <w:rPr>
                <w:rFonts w:ascii="Arial" w:cs="Arial" w:eastAsia="Arial" w:hAnsi="Arial"/>
                <w:sz w:val="18"/>
                <w:szCs w:val="18"/>
                <w:color w:val="0000FF"/>
                <w:w w:val="88"/>
              </w:rPr>
            </w:pPr>
            <w:hyperlink w:anchor="page22">
              <w:r>
                <w:rPr>
                  <w:rFonts w:ascii="Arial" w:cs="Arial" w:eastAsia="Arial" w:hAnsi="Arial"/>
                  <w:sz w:val="18"/>
                  <w:szCs w:val="18"/>
                  <w:color w:val="0000FF"/>
                  <w:w w:val="88"/>
                </w:rPr>
                <w:t>Controls and Procedures</w:t>
              </w:r>
            </w:hyperlink>
          </w:p>
        </w:tc>
        <w:tc>
          <w:tcPr>
            <w:tcW w:w="7640" w:type="dxa"/>
            <w:vAlign w:val="bottom"/>
            <w:gridSpan w:val="11"/>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91"/>
        </w:trPr>
        <w:tc>
          <w:tcPr>
            <w:tcW w:w="1040" w:type="dxa"/>
            <w:vAlign w:val="bottom"/>
            <w:gridSpan w:val="2"/>
          </w:tcPr>
          <w:p>
            <w:pPr>
              <w:ind w:left="20"/>
              <w:spacing w:after="0"/>
              <w:rPr>
                <w:sz w:val="20"/>
                <w:szCs w:val="20"/>
                <w:color w:val="auto"/>
              </w:rPr>
            </w:pPr>
            <w:r>
              <w:rPr>
                <w:rFonts w:ascii="Arial" w:cs="Arial" w:eastAsia="Arial" w:hAnsi="Arial"/>
                <w:sz w:val="18"/>
                <w:szCs w:val="18"/>
                <w:b w:val="1"/>
                <w:bCs w:val="1"/>
                <w:color w:val="auto"/>
              </w:rPr>
              <w:t>PART II.</w:t>
            </w:r>
          </w:p>
        </w:tc>
        <w:tc>
          <w:tcPr>
            <w:tcW w:w="9420" w:type="dxa"/>
            <w:vAlign w:val="bottom"/>
            <w:gridSpan w:val="20"/>
          </w:tcPr>
          <w:p>
            <w:pPr>
              <w:spacing w:after="0"/>
              <w:rPr>
                <w:rFonts w:ascii="Arial" w:cs="Arial" w:eastAsia="Arial" w:hAnsi="Arial"/>
                <w:sz w:val="18"/>
                <w:szCs w:val="18"/>
                <w:b w:val="1"/>
                <w:bCs w:val="1"/>
                <w:color w:val="0000FF"/>
              </w:rPr>
            </w:pPr>
            <w:hyperlink w:anchor="page23">
              <w:r>
                <w:rPr>
                  <w:rFonts w:ascii="Arial" w:cs="Arial" w:eastAsia="Arial" w:hAnsi="Arial"/>
                  <w:sz w:val="18"/>
                  <w:szCs w:val="18"/>
                  <w:b w:val="1"/>
                  <w:bCs w:val="1"/>
                  <w:color w:val="0000FF"/>
                </w:rPr>
                <w:t>OTHER INFORMATION</w:t>
              </w:r>
            </w:hyperlink>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Item 1.</w:t>
            </w:r>
          </w:p>
        </w:tc>
        <w:tc>
          <w:tcPr>
            <w:tcW w:w="2020" w:type="dxa"/>
            <w:vAlign w:val="bottom"/>
            <w:tcBorders>
              <w:top w:val="single" w:sz="8" w:color="0000EE"/>
            </w:tcBorders>
            <w:gridSpan w:val="10"/>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Legal Proceedings</w:t>
              </w:r>
            </w:hyperlink>
          </w:p>
        </w:tc>
        <w:tc>
          <w:tcPr>
            <w:tcW w:w="7400" w:type="dxa"/>
            <w:vAlign w:val="bottom"/>
            <w:gridSpan w:val="10"/>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90"/>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4"/>
          </w:tcPr>
          <w:p>
            <w:pPr>
              <w:spacing w:after="0"/>
              <w:rPr>
                <w:rFonts w:ascii="Arial" w:cs="Arial" w:eastAsia="Arial" w:hAnsi="Arial"/>
                <w:sz w:val="18"/>
                <w:szCs w:val="18"/>
                <w:color w:val="0000FF"/>
                <w:w w:val="89"/>
              </w:rPr>
            </w:pPr>
            <w:hyperlink w:anchor="page23">
              <w:r>
                <w:rPr>
                  <w:rFonts w:ascii="Arial" w:cs="Arial" w:eastAsia="Arial" w:hAnsi="Arial"/>
                  <w:sz w:val="18"/>
                  <w:szCs w:val="18"/>
                  <w:color w:val="0000FF"/>
                  <w:w w:val="89"/>
                </w:rPr>
                <w:t>Risk Factors</w:t>
              </w:r>
            </w:hyperlink>
          </w:p>
        </w:tc>
        <w:tc>
          <w:tcPr>
            <w:tcW w:w="420" w:type="dxa"/>
            <w:vAlign w:val="bottom"/>
            <w:tcBorders>
              <w:top w:val="single" w:sz="8" w:color="0000EE"/>
            </w:tcBorders>
            <w:gridSpan w:val="3"/>
          </w:tcPr>
          <w:p>
            <w:pPr>
              <w:spacing w:after="0"/>
              <w:rPr>
                <w:sz w:val="24"/>
                <w:szCs w:val="24"/>
                <w:color w:val="auto"/>
              </w:rPr>
            </w:pPr>
          </w:p>
        </w:tc>
        <w:tc>
          <w:tcPr>
            <w:tcW w:w="8080" w:type="dxa"/>
            <w:vAlign w:val="bottom"/>
            <w:gridSpan w:val="13"/>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91"/>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2"/>
          </w:tcPr>
          <w:p>
            <w:pPr>
              <w:spacing w:after="0"/>
              <w:rPr>
                <w:rFonts w:ascii="Arial" w:cs="Arial" w:eastAsia="Arial" w:hAnsi="Arial"/>
                <w:sz w:val="18"/>
                <w:szCs w:val="18"/>
                <w:color w:val="0000FF"/>
                <w:w w:val="89"/>
              </w:rPr>
            </w:pPr>
            <w:hyperlink w:anchor="page23">
              <w:r>
                <w:rPr>
                  <w:rFonts w:ascii="Arial" w:cs="Arial" w:eastAsia="Arial" w:hAnsi="Arial"/>
                  <w:sz w:val="18"/>
                  <w:szCs w:val="18"/>
                  <w:color w:val="0000FF"/>
                  <w:w w:val="89"/>
                </w:rPr>
                <w:t>Unregistered Sales of Equity Securities and Use of Proceeds</w:t>
              </w:r>
            </w:hyperlink>
          </w:p>
        </w:tc>
        <w:tc>
          <w:tcPr>
            <w:tcW w:w="5060" w:type="dxa"/>
            <w:vAlign w:val="bottom"/>
            <w:gridSpan w:val="8"/>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90"/>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Item 3.</w:t>
            </w:r>
          </w:p>
        </w:tc>
        <w:tc>
          <w:tcPr>
            <w:tcW w:w="2400" w:type="dxa"/>
            <w:vAlign w:val="bottom"/>
            <w:tcBorders>
              <w:bottom w:val="single" w:sz="8" w:color="0000EE"/>
            </w:tcBorders>
            <w:gridSpan w:val="11"/>
          </w:tcPr>
          <w:p>
            <w:pPr>
              <w:spacing w:after="0"/>
              <w:rPr>
                <w:rFonts w:ascii="Arial" w:cs="Arial" w:eastAsia="Arial" w:hAnsi="Arial"/>
                <w:sz w:val="18"/>
                <w:szCs w:val="18"/>
                <w:color w:val="0000FF"/>
                <w:w w:val="92"/>
              </w:rPr>
            </w:pPr>
            <w:hyperlink w:anchor="page23">
              <w:r>
                <w:rPr>
                  <w:rFonts w:ascii="Arial" w:cs="Arial" w:eastAsia="Arial" w:hAnsi="Arial"/>
                  <w:sz w:val="18"/>
                  <w:szCs w:val="18"/>
                  <w:color w:val="0000FF"/>
                  <w:w w:val="92"/>
                </w:rPr>
                <w:t>Defaults Upon Senior Securities</w:t>
              </w:r>
            </w:hyperlink>
          </w:p>
        </w:tc>
        <w:tc>
          <w:tcPr>
            <w:tcW w:w="7020" w:type="dxa"/>
            <w:vAlign w:val="bottom"/>
            <w:gridSpan w:val="9"/>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91"/>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9"/>
          </w:tcPr>
          <w:p>
            <w:pPr>
              <w:spacing w:after="0"/>
              <w:rPr>
                <w:rFonts w:ascii="Arial" w:cs="Arial" w:eastAsia="Arial" w:hAnsi="Arial"/>
                <w:sz w:val="18"/>
                <w:szCs w:val="18"/>
                <w:color w:val="0000FF"/>
                <w:w w:val="91"/>
              </w:rPr>
            </w:pPr>
            <w:hyperlink w:anchor="page23">
              <w:r>
                <w:rPr>
                  <w:rFonts w:ascii="Arial" w:cs="Arial" w:eastAsia="Arial" w:hAnsi="Arial"/>
                  <w:sz w:val="18"/>
                  <w:szCs w:val="18"/>
                  <w:color w:val="0000FF"/>
                  <w:w w:val="91"/>
                </w:rPr>
                <w:t>Mine Safety Disclosures</w:t>
              </w:r>
            </w:hyperlink>
          </w:p>
        </w:tc>
        <w:tc>
          <w:tcPr>
            <w:tcW w:w="7640" w:type="dxa"/>
            <w:vAlign w:val="bottom"/>
            <w:gridSpan w:val="11"/>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90"/>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Item 5.</w:t>
            </w:r>
          </w:p>
        </w:tc>
        <w:tc>
          <w:tcPr>
            <w:tcW w:w="9420" w:type="dxa"/>
            <w:vAlign w:val="bottom"/>
            <w:gridSpan w:val="20"/>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Other Information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90"/>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6"/>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Exhibits</w:t>
              </w:r>
            </w:hyperlink>
          </w:p>
        </w:tc>
        <w:tc>
          <w:tcPr>
            <w:tcW w:w="8100" w:type="dxa"/>
            <w:vAlign w:val="bottom"/>
            <w:gridSpan w:val="14"/>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820" w:type="dxa"/>
            <w:vAlign w:val="bottom"/>
            <w:gridSpan w:val="1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1160" w:type="dxa"/>
            <w:vAlign w:val="bottom"/>
            <w:tcBorders>
              <w:bottom w:val="single" w:sz="8" w:color="0000EE"/>
            </w:tcBorders>
            <w:gridSpan w:val="3"/>
          </w:tcPr>
          <w:p>
            <w:pPr>
              <w:spacing w:after="0"/>
              <w:rPr>
                <w:rFonts w:ascii="Arial" w:cs="Arial" w:eastAsia="Arial" w:hAnsi="Arial"/>
                <w:sz w:val="18"/>
                <w:szCs w:val="18"/>
                <w:b w:val="1"/>
                <w:bCs w:val="1"/>
                <w:color w:val="0000FF"/>
                <w:w w:val="96"/>
              </w:rPr>
            </w:pPr>
            <w:hyperlink w:anchor="page25">
              <w:r>
                <w:rPr>
                  <w:rFonts w:ascii="Arial" w:cs="Arial" w:eastAsia="Arial" w:hAnsi="Arial"/>
                  <w:sz w:val="18"/>
                  <w:szCs w:val="18"/>
                  <w:b w:val="1"/>
                  <w:bCs w:val="1"/>
                  <w:color w:val="0000FF"/>
                  <w:w w:val="96"/>
                </w:rPr>
                <w:t>SIGNATURES</w:t>
              </w:r>
            </w:hyperlink>
          </w:p>
        </w:tc>
        <w:tc>
          <w:tcPr>
            <w:tcW w:w="9280" w:type="dxa"/>
            <w:vAlign w:val="bottom"/>
            <w:gridSpan w:val="18"/>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920" w:type="dxa"/>
            <w:vAlign w:val="bottom"/>
            <w:gridSpan w:val="14"/>
          </w:tcPr>
          <w:p>
            <w:pPr>
              <w:ind w:left="4540"/>
              <w:spacing w:after="0"/>
              <w:rPr>
                <w:sz w:val="20"/>
                <w:szCs w:val="20"/>
                <w:color w:val="auto"/>
              </w:rPr>
            </w:pPr>
            <w:r>
              <w:rPr>
                <w:rFonts w:ascii="Arial" w:cs="Arial" w:eastAsia="Arial" w:hAnsi="Arial"/>
                <w:sz w:val="18"/>
                <w:szCs w:val="18"/>
                <w:color w:val="auto"/>
              </w:rPr>
              <w:t>2</w:t>
            </w:r>
          </w:p>
        </w:tc>
        <w:tc>
          <w:tcPr>
            <w:tcW w:w="1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9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6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jc w:val="center"/>
        <w:ind w:right="40"/>
        <w:spacing w:after="0" w:line="187" w:lineRule="auto"/>
        <w:rPr>
          <w:sz w:val="20"/>
          <w:szCs w:val="20"/>
          <w:color w:val="auto"/>
        </w:rPr>
      </w:pPr>
      <w:r>
        <w:rPr>
          <w:rFonts w:ascii="Arial" w:cs="Arial" w:eastAsia="Arial" w:hAnsi="Arial"/>
          <w:sz w:val="16"/>
          <w:szCs w:val="16"/>
          <w:b w:val="1"/>
          <w:bCs w:val="1"/>
          <w:color w:val="auto"/>
        </w:rPr>
        <w:t>Domino’s Pizza, Inc. and Subsidiaries</w:t>
      </w:r>
    </w:p>
    <w:p>
      <w:pPr>
        <w:jc w:val="center"/>
        <w:ind w:right="40"/>
        <w:spacing w:after="0" w:line="219" w:lineRule="auto"/>
        <w:rPr>
          <w:sz w:val="20"/>
          <w:szCs w:val="20"/>
          <w:color w:val="auto"/>
        </w:rPr>
      </w:pPr>
      <w:r>
        <w:rPr>
          <w:rFonts w:ascii="Arial" w:cs="Arial" w:eastAsia="Arial" w:hAnsi="Arial"/>
          <w:sz w:val="18"/>
          <w:szCs w:val="18"/>
          <w:b w:val="1"/>
          <w:bCs w:val="1"/>
          <w:color w:val="auto"/>
        </w:rPr>
        <w:t>Condensed Consolidated Balance Sheets</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28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4"/>
                <w:szCs w:val="14"/>
                <w:color w:val="auto"/>
              </w:rPr>
            </w:pPr>
          </w:p>
        </w:tc>
        <w:tc>
          <w:tcPr>
            <w:tcW w:w="1740" w:type="dxa"/>
            <w:vAlign w:val="bottom"/>
            <w:gridSpan w:val="2"/>
          </w:tcPr>
          <w:p>
            <w:pPr>
              <w:jc w:val="right"/>
              <w:ind w:right="581"/>
              <w:spacing w:after="0"/>
              <w:rPr>
                <w:sz w:val="20"/>
                <w:szCs w:val="20"/>
                <w:color w:val="auto"/>
              </w:rPr>
            </w:pPr>
            <w:r>
              <w:rPr>
                <w:rFonts w:ascii="Arial" w:cs="Arial" w:eastAsia="Arial" w:hAnsi="Arial"/>
                <w:sz w:val="14"/>
                <w:szCs w:val="14"/>
                <w:b w:val="1"/>
                <w:bCs w:val="1"/>
                <w:color w:val="auto"/>
              </w:rPr>
              <w:t>March 27, 2022</w:t>
            </w:r>
          </w:p>
        </w:tc>
        <w:tc>
          <w:tcPr>
            <w:tcW w:w="220" w:type="dxa"/>
            <w:vAlign w:val="bottom"/>
          </w:tcPr>
          <w:p>
            <w:pPr>
              <w:spacing w:after="0"/>
              <w:rPr>
                <w:sz w:val="14"/>
                <w:szCs w:val="14"/>
                <w:color w:val="auto"/>
              </w:rPr>
            </w:pPr>
          </w:p>
        </w:tc>
        <w:tc>
          <w:tcPr>
            <w:tcW w:w="1760" w:type="dxa"/>
            <w:vAlign w:val="bottom"/>
            <w:gridSpan w:val="2"/>
          </w:tcPr>
          <w:p>
            <w:pPr>
              <w:jc w:val="right"/>
              <w:ind w:right="381"/>
              <w:spacing w:after="0"/>
              <w:rPr>
                <w:sz w:val="20"/>
                <w:szCs w:val="20"/>
                <w:color w:val="auto"/>
              </w:rPr>
            </w:pPr>
            <w:r>
              <w:rPr>
                <w:rFonts w:ascii="Arial" w:cs="Arial" w:eastAsia="Arial" w:hAnsi="Arial"/>
                <w:sz w:val="14"/>
                <w:szCs w:val="14"/>
                <w:b w:val="1"/>
                <w:bCs w:val="1"/>
                <w:color w:val="auto"/>
              </w:rPr>
              <w:t>January 2, 2022 (1)</w:t>
            </w:r>
          </w:p>
        </w:tc>
      </w:tr>
      <w:tr>
        <w:trPr>
          <w:trHeight w:val="196"/>
        </w:trPr>
        <w:tc>
          <w:tcPr>
            <w:tcW w:w="72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Assets</w:t>
            </w:r>
          </w:p>
        </w:tc>
        <w:tc>
          <w:tcPr>
            <w:tcW w:w="240" w:type="dxa"/>
            <w:vAlign w:val="bottom"/>
            <w:tcBorders>
              <w:top w:val="single" w:sz="8" w:color="auto"/>
            </w:tcBorders>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6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28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2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164,962</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148,160</w:t>
            </w:r>
          </w:p>
        </w:tc>
        <w:tc>
          <w:tcPr>
            <w:tcW w:w="100" w:type="dxa"/>
            <w:vAlign w:val="bottom"/>
            <w:shd w:val="clear" w:color="auto" w:fill="CFF0FC"/>
          </w:tcPr>
          <w:p>
            <w:pPr>
              <w:spacing w:after="0"/>
              <w:rPr>
                <w:sz w:val="17"/>
                <w:szCs w:val="17"/>
                <w:color w:val="auto"/>
              </w:rPr>
            </w:pPr>
          </w:p>
        </w:tc>
      </w:tr>
      <w:tr>
        <w:trPr>
          <w:trHeight w:val="203"/>
        </w:trPr>
        <w:tc>
          <w:tcPr>
            <w:tcW w:w="7280" w:type="dxa"/>
            <w:vAlign w:val="bottom"/>
          </w:tcPr>
          <w:p>
            <w:pPr>
              <w:ind w:left="200"/>
              <w:spacing w:after="0" w:line="202" w:lineRule="exact"/>
              <w:rPr>
                <w:sz w:val="20"/>
                <w:szCs w:val="20"/>
                <w:color w:val="auto"/>
              </w:rPr>
            </w:pPr>
            <w:r>
              <w:rPr>
                <w:rFonts w:ascii="Arial" w:cs="Arial" w:eastAsia="Arial" w:hAnsi="Arial"/>
                <w:sz w:val="18"/>
                <w:szCs w:val="18"/>
                <w:color w:val="auto"/>
              </w:rPr>
              <w:t>Restricted cash and cash equivalents</w:t>
            </w:r>
          </w:p>
        </w:tc>
        <w:tc>
          <w:tcPr>
            <w:tcW w:w="24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168,241</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180,579</w:t>
            </w:r>
          </w:p>
        </w:tc>
        <w:tc>
          <w:tcPr>
            <w:tcW w:w="100" w:type="dxa"/>
            <w:vAlign w:val="bottom"/>
          </w:tcPr>
          <w:p>
            <w:pPr>
              <w:spacing w:after="0"/>
              <w:rPr>
                <w:sz w:val="17"/>
                <w:szCs w:val="17"/>
                <w:color w:val="auto"/>
              </w:rPr>
            </w:pPr>
          </w:p>
        </w:tc>
      </w:tr>
      <w:tr>
        <w:trPr>
          <w:trHeight w:val="203"/>
        </w:trPr>
        <w:tc>
          <w:tcPr>
            <w:tcW w:w="72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Accounts receivable, net</w:t>
            </w: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246,978</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255,327</w:t>
            </w:r>
          </w:p>
        </w:tc>
        <w:tc>
          <w:tcPr>
            <w:tcW w:w="100" w:type="dxa"/>
            <w:vAlign w:val="bottom"/>
            <w:shd w:val="clear" w:color="auto" w:fill="CFF0FC"/>
          </w:tcPr>
          <w:p>
            <w:pPr>
              <w:spacing w:after="0"/>
              <w:rPr>
                <w:sz w:val="17"/>
                <w:szCs w:val="17"/>
                <w:color w:val="auto"/>
              </w:rPr>
            </w:pPr>
          </w:p>
        </w:tc>
      </w:tr>
      <w:tr>
        <w:trPr>
          <w:trHeight w:val="203"/>
        </w:trPr>
        <w:tc>
          <w:tcPr>
            <w:tcW w:w="7280" w:type="dxa"/>
            <w:vAlign w:val="bottom"/>
          </w:tcPr>
          <w:p>
            <w:pPr>
              <w:ind w:left="200"/>
              <w:spacing w:after="0" w:line="202" w:lineRule="exact"/>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77,711</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68,328</w:t>
            </w:r>
          </w:p>
        </w:tc>
        <w:tc>
          <w:tcPr>
            <w:tcW w:w="100" w:type="dxa"/>
            <w:vAlign w:val="bottom"/>
          </w:tcPr>
          <w:p>
            <w:pPr>
              <w:spacing w:after="0"/>
              <w:rPr>
                <w:sz w:val="17"/>
                <w:szCs w:val="17"/>
                <w:color w:val="auto"/>
              </w:rPr>
            </w:pPr>
          </w:p>
        </w:tc>
      </w:tr>
      <w:tr>
        <w:trPr>
          <w:trHeight w:val="203"/>
        </w:trPr>
        <w:tc>
          <w:tcPr>
            <w:tcW w:w="72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Prepaid expenses and other</w:t>
            </w: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27,857</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27,242</w:t>
            </w:r>
          </w:p>
        </w:tc>
        <w:tc>
          <w:tcPr>
            <w:tcW w:w="100" w:type="dxa"/>
            <w:vAlign w:val="bottom"/>
            <w:shd w:val="clear" w:color="auto" w:fill="CFF0FC"/>
          </w:tcPr>
          <w:p>
            <w:pPr>
              <w:spacing w:after="0"/>
              <w:rPr>
                <w:sz w:val="17"/>
                <w:szCs w:val="17"/>
                <w:color w:val="auto"/>
              </w:rPr>
            </w:pPr>
          </w:p>
        </w:tc>
      </w:tr>
      <w:tr>
        <w:trPr>
          <w:trHeight w:val="203"/>
        </w:trPr>
        <w:tc>
          <w:tcPr>
            <w:tcW w:w="7280" w:type="dxa"/>
            <w:vAlign w:val="bottom"/>
          </w:tcPr>
          <w:p>
            <w:pPr>
              <w:ind w:left="200"/>
              <w:spacing w:after="0" w:line="202" w:lineRule="exact"/>
              <w:rPr>
                <w:sz w:val="20"/>
                <w:szCs w:val="20"/>
                <w:color w:val="auto"/>
              </w:rPr>
            </w:pPr>
            <w:r>
              <w:rPr>
                <w:rFonts w:ascii="Arial" w:cs="Arial" w:eastAsia="Arial" w:hAnsi="Arial"/>
                <w:sz w:val="18"/>
                <w:szCs w:val="18"/>
                <w:color w:val="auto"/>
              </w:rPr>
              <w:t>Advertising fund assets, restricted</w:t>
            </w: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175,488</w:t>
            </w:r>
          </w:p>
        </w:tc>
        <w:tc>
          <w:tcPr>
            <w:tcW w:w="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180,904</w:t>
            </w:r>
          </w:p>
        </w:tc>
        <w:tc>
          <w:tcPr>
            <w:tcW w:w="100" w:type="dxa"/>
            <w:vAlign w:val="bottom"/>
          </w:tcPr>
          <w:p>
            <w:pPr>
              <w:spacing w:after="0"/>
              <w:rPr>
                <w:sz w:val="17"/>
                <w:szCs w:val="17"/>
                <w:color w:val="auto"/>
              </w:rPr>
            </w:pPr>
          </w:p>
        </w:tc>
      </w:tr>
      <w:tr>
        <w:trPr>
          <w:trHeight w:val="196"/>
        </w:trPr>
        <w:tc>
          <w:tcPr>
            <w:tcW w:w="72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861,237</w:t>
            </w:r>
          </w:p>
        </w:tc>
        <w:tc>
          <w:tcPr>
            <w:tcW w:w="2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6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860,540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280" w:type="dxa"/>
            <w:vAlign w:val="bottom"/>
          </w:tcPr>
          <w:p>
            <w:pPr>
              <w:ind w:left="20"/>
              <w:spacing w:after="0" w:line="196" w:lineRule="exact"/>
              <w:rPr>
                <w:sz w:val="20"/>
                <w:szCs w:val="20"/>
                <w:color w:val="auto"/>
              </w:rPr>
            </w:pPr>
            <w:r>
              <w:rPr>
                <w:rFonts w:ascii="Arial" w:cs="Arial" w:eastAsia="Arial" w:hAnsi="Arial"/>
                <w:sz w:val="18"/>
                <w:szCs w:val="18"/>
                <w:color w:val="auto"/>
              </w:rPr>
              <w:t>Property, plant and equipment:</w:t>
            </w: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2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Land and buildings</w:t>
            </w: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108,426</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108,372</w:t>
            </w:r>
          </w:p>
        </w:tc>
        <w:tc>
          <w:tcPr>
            <w:tcW w:w="100" w:type="dxa"/>
            <w:vAlign w:val="bottom"/>
            <w:shd w:val="clear" w:color="auto" w:fill="CFF0FC"/>
          </w:tcPr>
          <w:p>
            <w:pPr>
              <w:spacing w:after="0"/>
              <w:rPr>
                <w:sz w:val="17"/>
                <w:szCs w:val="17"/>
                <w:color w:val="auto"/>
              </w:rPr>
            </w:pPr>
          </w:p>
        </w:tc>
      </w:tr>
      <w:tr>
        <w:trPr>
          <w:trHeight w:val="203"/>
        </w:trPr>
        <w:tc>
          <w:tcPr>
            <w:tcW w:w="7280" w:type="dxa"/>
            <w:vAlign w:val="bottom"/>
          </w:tcPr>
          <w:p>
            <w:pPr>
              <w:ind w:left="200"/>
              <w:spacing w:after="0" w:line="202" w:lineRule="exact"/>
              <w:rPr>
                <w:sz w:val="20"/>
                <w:szCs w:val="20"/>
                <w:color w:val="auto"/>
              </w:rPr>
            </w:pPr>
            <w:r>
              <w:rPr>
                <w:rFonts w:ascii="Arial" w:cs="Arial" w:eastAsia="Arial" w:hAnsi="Arial"/>
                <w:sz w:val="18"/>
                <w:szCs w:val="18"/>
                <w:color w:val="auto"/>
              </w:rPr>
              <w:t>Leasehold and other improvements</w:t>
            </w:r>
          </w:p>
        </w:tc>
        <w:tc>
          <w:tcPr>
            <w:tcW w:w="24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195,355</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193,572</w:t>
            </w:r>
          </w:p>
        </w:tc>
        <w:tc>
          <w:tcPr>
            <w:tcW w:w="100" w:type="dxa"/>
            <w:vAlign w:val="bottom"/>
          </w:tcPr>
          <w:p>
            <w:pPr>
              <w:spacing w:after="0"/>
              <w:rPr>
                <w:sz w:val="17"/>
                <w:szCs w:val="17"/>
                <w:color w:val="auto"/>
              </w:rPr>
            </w:pPr>
          </w:p>
        </w:tc>
      </w:tr>
      <w:tr>
        <w:trPr>
          <w:trHeight w:val="203"/>
        </w:trPr>
        <w:tc>
          <w:tcPr>
            <w:tcW w:w="72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Equipment</w:t>
            </w: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318,504</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312,772</w:t>
            </w:r>
          </w:p>
        </w:tc>
        <w:tc>
          <w:tcPr>
            <w:tcW w:w="100" w:type="dxa"/>
            <w:vAlign w:val="bottom"/>
            <w:shd w:val="clear" w:color="auto" w:fill="CFF0FC"/>
          </w:tcPr>
          <w:p>
            <w:pPr>
              <w:spacing w:after="0"/>
              <w:rPr>
                <w:sz w:val="17"/>
                <w:szCs w:val="17"/>
                <w:color w:val="auto"/>
              </w:rPr>
            </w:pPr>
          </w:p>
        </w:tc>
      </w:tr>
      <w:tr>
        <w:trPr>
          <w:trHeight w:val="203"/>
        </w:trPr>
        <w:tc>
          <w:tcPr>
            <w:tcW w:w="7280" w:type="dxa"/>
            <w:vAlign w:val="bottom"/>
          </w:tcPr>
          <w:p>
            <w:pPr>
              <w:ind w:left="200"/>
              <w:spacing w:after="0" w:line="202" w:lineRule="exact"/>
              <w:rPr>
                <w:sz w:val="20"/>
                <w:szCs w:val="20"/>
                <w:color w:val="auto"/>
              </w:rPr>
            </w:pPr>
            <w:r>
              <w:rPr>
                <w:rFonts w:ascii="Arial" w:cs="Arial" w:eastAsia="Arial" w:hAnsi="Arial"/>
                <w:sz w:val="18"/>
                <w:szCs w:val="18"/>
                <w:color w:val="auto"/>
              </w:rPr>
              <w:t>Construction in progress</w:t>
            </w: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26,652</w:t>
            </w:r>
          </w:p>
        </w:tc>
        <w:tc>
          <w:tcPr>
            <w:tcW w:w="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27,815</w:t>
            </w:r>
          </w:p>
        </w:tc>
        <w:tc>
          <w:tcPr>
            <w:tcW w:w="100" w:type="dxa"/>
            <w:vAlign w:val="bottom"/>
          </w:tcPr>
          <w:p>
            <w:pPr>
              <w:spacing w:after="0"/>
              <w:rPr>
                <w:sz w:val="17"/>
                <w:szCs w:val="17"/>
                <w:color w:val="auto"/>
              </w:rPr>
            </w:pPr>
          </w:p>
        </w:tc>
      </w:tr>
      <w:tr>
        <w:trPr>
          <w:trHeight w:val="196"/>
        </w:trPr>
        <w:tc>
          <w:tcPr>
            <w:tcW w:w="7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648,937</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642,531</w:t>
            </w:r>
          </w:p>
        </w:tc>
        <w:tc>
          <w:tcPr>
            <w:tcW w:w="100" w:type="dxa"/>
            <w:vAlign w:val="bottom"/>
            <w:shd w:val="clear" w:color="auto" w:fill="CFF0FC"/>
          </w:tcPr>
          <w:p>
            <w:pPr>
              <w:spacing w:after="0"/>
              <w:rPr>
                <w:sz w:val="17"/>
                <w:szCs w:val="17"/>
                <w:color w:val="auto"/>
              </w:rPr>
            </w:pPr>
          </w:p>
        </w:tc>
      </w:tr>
      <w:tr>
        <w:trPr>
          <w:trHeight w:val="203"/>
        </w:trPr>
        <w:tc>
          <w:tcPr>
            <w:tcW w:w="7280" w:type="dxa"/>
            <w:vAlign w:val="bottom"/>
          </w:tcPr>
          <w:p>
            <w:pPr>
              <w:ind w:left="200"/>
              <w:spacing w:after="0" w:line="202" w:lineRule="exact"/>
              <w:rPr>
                <w:sz w:val="20"/>
                <w:szCs w:val="20"/>
                <w:color w:val="auto"/>
              </w:rPr>
            </w:pPr>
            <w:r>
              <w:rPr>
                <w:rFonts w:ascii="Arial" w:cs="Arial" w:eastAsia="Arial" w:hAnsi="Arial"/>
                <w:sz w:val="18"/>
                <w:szCs w:val="18"/>
                <w:color w:val="auto"/>
              </w:rPr>
              <w:t>Accumulated depreciation and amortization</w:t>
            </w:r>
          </w:p>
        </w:tc>
        <w:tc>
          <w:tcPr>
            <w:tcW w:w="240" w:type="dxa"/>
            <w:vAlign w:val="bottom"/>
          </w:tcPr>
          <w:p>
            <w:pPr>
              <w:spacing w:after="0"/>
              <w:rPr>
                <w:sz w:val="17"/>
                <w:szCs w:val="17"/>
                <w:color w:val="auto"/>
              </w:rPr>
            </w:pPr>
          </w:p>
        </w:tc>
        <w:tc>
          <w:tcPr>
            <w:tcW w:w="1740" w:type="dxa"/>
            <w:vAlign w:val="bottom"/>
            <w:gridSpan w:val="2"/>
          </w:tcPr>
          <w:p>
            <w:pPr>
              <w:jc w:val="right"/>
              <w:ind w:right="141"/>
              <w:spacing w:after="0" w:line="202" w:lineRule="exact"/>
              <w:rPr>
                <w:sz w:val="20"/>
                <w:szCs w:val="20"/>
                <w:color w:val="auto"/>
              </w:rPr>
            </w:pPr>
            <w:r>
              <w:rPr>
                <w:rFonts w:ascii="Arial" w:cs="Arial" w:eastAsia="Arial" w:hAnsi="Arial"/>
                <w:sz w:val="18"/>
                <w:szCs w:val="18"/>
                <w:color w:val="auto"/>
              </w:rPr>
              <w:t>(329,290 )</w:t>
            </w:r>
          </w:p>
        </w:tc>
        <w:tc>
          <w:tcPr>
            <w:tcW w:w="220" w:type="dxa"/>
            <w:vAlign w:val="bottom"/>
          </w:tcPr>
          <w:p>
            <w:pPr>
              <w:spacing w:after="0"/>
              <w:rPr>
                <w:sz w:val="17"/>
                <w:szCs w:val="17"/>
                <w:color w:val="auto"/>
              </w:rPr>
            </w:pPr>
          </w:p>
        </w:tc>
        <w:tc>
          <w:tcPr>
            <w:tcW w:w="1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(318,466 )</w:t>
            </w:r>
          </w:p>
        </w:tc>
      </w:tr>
      <w:tr>
        <w:trPr>
          <w:trHeight w:val="196"/>
        </w:trPr>
        <w:tc>
          <w:tcPr>
            <w:tcW w:w="72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Property, plant and equipment, net</w:t>
            </w: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14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319,647</w:t>
            </w:r>
          </w:p>
        </w:tc>
        <w:tc>
          <w:tcPr>
            <w:tcW w:w="2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16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324,065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280" w:type="dxa"/>
            <w:vAlign w:val="bottom"/>
          </w:tcPr>
          <w:p>
            <w:pPr>
              <w:ind w:left="20"/>
              <w:spacing w:after="0" w:line="196" w:lineRule="exact"/>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2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Operating lease right-of-use assets</w:t>
            </w: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209,099</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210,702</w:t>
            </w:r>
          </w:p>
        </w:tc>
        <w:tc>
          <w:tcPr>
            <w:tcW w:w="100" w:type="dxa"/>
            <w:vAlign w:val="bottom"/>
            <w:shd w:val="clear" w:color="auto" w:fill="CFF0FC"/>
          </w:tcPr>
          <w:p>
            <w:pPr>
              <w:spacing w:after="0"/>
              <w:rPr>
                <w:sz w:val="17"/>
                <w:szCs w:val="17"/>
                <w:color w:val="auto"/>
              </w:rPr>
            </w:pPr>
          </w:p>
        </w:tc>
      </w:tr>
      <w:tr>
        <w:trPr>
          <w:trHeight w:val="203"/>
        </w:trPr>
        <w:tc>
          <w:tcPr>
            <w:tcW w:w="7280" w:type="dxa"/>
            <w:vAlign w:val="bottom"/>
          </w:tcPr>
          <w:p>
            <w:pPr>
              <w:ind w:left="200"/>
              <w:spacing w:after="0" w:line="202" w:lineRule="exact"/>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16,153</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15,034</w:t>
            </w:r>
          </w:p>
        </w:tc>
        <w:tc>
          <w:tcPr>
            <w:tcW w:w="100" w:type="dxa"/>
            <w:vAlign w:val="bottom"/>
          </w:tcPr>
          <w:p>
            <w:pPr>
              <w:spacing w:after="0"/>
              <w:rPr>
                <w:sz w:val="17"/>
                <w:szCs w:val="17"/>
                <w:color w:val="auto"/>
              </w:rPr>
            </w:pPr>
          </w:p>
        </w:tc>
      </w:tr>
      <w:tr>
        <w:trPr>
          <w:trHeight w:val="203"/>
        </w:trPr>
        <w:tc>
          <w:tcPr>
            <w:tcW w:w="72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Capitalized software, net</w:t>
            </w: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96,790</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95,558</w:t>
            </w:r>
          </w:p>
        </w:tc>
        <w:tc>
          <w:tcPr>
            <w:tcW w:w="100" w:type="dxa"/>
            <w:vAlign w:val="bottom"/>
            <w:shd w:val="clear" w:color="auto" w:fill="CFF0FC"/>
          </w:tcPr>
          <w:p>
            <w:pPr>
              <w:spacing w:after="0"/>
              <w:rPr>
                <w:sz w:val="17"/>
                <w:szCs w:val="17"/>
                <w:color w:val="auto"/>
              </w:rPr>
            </w:pPr>
          </w:p>
        </w:tc>
      </w:tr>
      <w:tr>
        <w:trPr>
          <w:trHeight w:val="202"/>
        </w:trPr>
        <w:tc>
          <w:tcPr>
            <w:tcW w:w="7280" w:type="dxa"/>
            <w:vAlign w:val="bottom"/>
          </w:tcPr>
          <w:p>
            <w:pPr>
              <w:ind w:left="200"/>
              <w:spacing w:after="0" w:line="202" w:lineRule="exact"/>
              <w:rPr>
                <w:sz w:val="20"/>
                <w:szCs w:val="20"/>
                <w:color w:val="auto"/>
              </w:rPr>
            </w:pPr>
            <w:r>
              <w:rPr>
                <w:rFonts w:ascii="Arial" w:cs="Arial" w:eastAsia="Arial" w:hAnsi="Arial"/>
                <w:sz w:val="18"/>
                <w:szCs w:val="18"/>
                <w:color w:val="auto"/>
              </w:rPr>
              <w:t>Investments</w:t>
            </w:r>
          </w:p>
        </w:tc>
        <w:tc>
          <w:tcPr>
            <w:tcW w:w="24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125,840</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125,840</w:t>
            </w:r>
          </w:p>
        </w:tc>
        <w:tc>
          <w:tcPr>
            <w:tcW w:w="100" w:type="dxa"/>
            <w:vAlign w:val="bottom"/>
          </w:tcPr>
          <w:p>
            <w:pPr>
              <w:spacing w:after="0"/>
              <w:rPr>
                <w:sz w:val="17"/>
                <w:szCs w:val="17"/>
                <w:color w:val="auto"/>
              </w:rPr>
            </w:pPr>
          </w:p>
        </w:tc>
      </w:tr>
      <w:tr>
        <w:trPr>
          <w:trHeight w:val="203"/>
        </w:trPr>
        <w:tc>
          <w:tcPr>
            <w:tcW w:w="72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assets</w:t>
            </w: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43,009</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37,968</w:t>
            </w:r>
          </w:p>
        </w:tc>
        <w:tc>
          <w:tcPr>
            <w:tcW w:w="100" w:type="dxa"/>
            <w:vAlign w:val="bottom"/>
            <w:shd w:val="clear" w:color="auto" w:fill="CFF0FC"/>
          </w:tcPr>
          <w:p>
            <w:pPr>
              <w:spacing w:after="0"/>
              <w:rPr>
                <w:sz w:val="17"/>
                <w:szCs w:val="17"/>
                <w:color w:val="auto"/>
              </w:rPr>
            </w:pPr>
          </w:p>
        </w:tc>
      </w:tr>
      <w:tr>
        <w:trPr>
          <w:trHeight w:val="203"/>
        </w:trPr>
        <w:tc>
          <w:tcPr>
            <w:tcW w:w="7280" w:type="dxa"/>
            <w:vAlign w:val="bottom"/>
          </w:tcPr>
          <w:p>
            <w:pPr>
              <w:ind w:left="200"/>
              <w:spacing w:after="0" w:line="202" w:lineRule="exact"/>
              <w:rPr>
                <w:sz w:val="20"/>
                <w:szCs w:val="20"/>
                <w:color w:val="auto"/>
              </w:rPr>
            </w:pPr>
            <w:r>
              <w:rPr>
                <w:rFonts w:ascii="Arial" w:cs="Arial" w:eastAsia="Arial" w:hAnsi="Arial"/>
                <w:sz w:val="18"/>
                <w:szCs w:val="18"/>
                <w:color w:val="auto"/>
              </w:rPr>
              <w:t>Deferred income taxes</w:t>
            </w: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2,247</w:t>
            </w:r>
          </w:p>
        </w:tc>
        <w:tc>
          <w:tcPr>
            <w:tcW w:w="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2,109</w:t>
            </w:r>
          </w:p>
        </w:tc>
        <w:tc>
          <w:tcPr>
            <w:tcW w:w="100" w:type="dxa"/>
            <w:vAlign w:val="bottom"/>
          </w:tcPr>
          <w:p>
            <w:pPr>
              <w:spacing w:after="0"/>
              <w:rPr>
                <w:sz w:val="17"/>
                <w:szCs w:val="17"/>
                <w:color w:val="auto"/>
              </w:rPr>
            </w:pPr>
          </w:p>
        </w:tc>
      </w:tr>
      <w:tr>
        <w:trPr>
          <w:trHeight w:val="196"/>
        </w:trPr>
        <w:tc>
          <w:tcPr>
            <w:tcW w:w="72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other assets</w:t>
            </w:r>
          </w:p>
        </w:tc>
        <w:tc>
          <w:tcPr>
            <w:tcW w:w="24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493,138</w:t>
            </w:r>
          </w:p>
        </w:tc>
        <w:tc>
          <w:tcPr>
            <w:tcW w:w="2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6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487,211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280" w:type="dxa"/>
            <w:vAlign w:val="bottom"/>
          </w:tcPr>
          <w:p>
            <w:pPr>
              <w:ind w:left="20"/>
              <w:spacing w:after="0" w:line="196" w:lineRule="exact"/>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1,674,022</w:t>
            </w:r>
          </w:p>
        </w:tc>
        <w:tc>
          <w:tcPr>
            <w:tcW w:w="28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1,671,816</w:t>
            </w:r>
          </w:p>
        </w:tc>
        <w:tc>
          <w:tcPr>
            <w:tcW w:w="100" w:type="dxa"/>
            <w:vAlign w:val="bottom"/>
          </w:tcPr>
          <w:p>
            <w:pPr>
              <w:spacing w:after="0"/>
              <w:rPr>
                <w:sz w:val="17"/>
                <w:szCs w:val="17"/>
                <w:color w:val="auto"/>
              </w:rPr>
            </w:pPr>
          </w:p>
        </w:tc>
      </w:tr>
      <w:tr>
        <w:trPr>
          <w:trHeight w:val="20"/>
        </w:trPr>
        <w:tc>
          <w:tcPr>
            <w:tcW w:w="7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28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Liabilities and stockholders' deficit</w:t>
            </w:r>
          </w:p>
        </w:tc>
        <w:tc>
          <w:tcPr>
            <w:tcW w:w="24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280" w:type="dxa"/>
            <w:vAlign w:val="bottom"/>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2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Current portion of long-term debt</w:t>
            </w: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55,632</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55,588</w:t>
            </w:r>
          </w:p>
        </w:tc>
        <w:tc>
          <w:tcPr>
            <w:tcW w:w="100" w:type="dxa"/>
            <w:vAlign w:val="bottom"/>
            <w:shd w:val="clear" w:color="auto" w:fill="CFF0FC"/>
          </w:tcPr>
          <w:p>
            <w:pPr>
              <w:spacing w:after="0"/>
              <w:rPr>
                <w:sz w:val="17"/>
                <w:szCs w:val="17"/>
                <w:color w:val="auto"/>
              </w:rPr>
            </w:pPr>
          </w:p>
        </w:tc>
      </w:tr>
      <w:tr>
        <w:trPr>
          <w:trHeight w:val="203"/>
        </w:trPr>
        <w:tc>
          <w:tcPr>
            <w:tcW w:w="7280" w:type="dxa"/>
            <w:vAlign w:val="bottom"/>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92,353</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91,547</w:t>
            </w:r>
          </w:p>
        </w:tc>
        <w:tc>
          <w:tcPr>
            <w:tcW w:w="100" w:type="dxa"/>
            <w:vAlign w:val="bottom"/>
          </w:tcPr>
          <w:p>
            <w:pPr>
              <w:spacing w:after="0"/>
              <w:rPr>
                <w:sz w:val="17"/>
                <w:szCs w:val="17"/>
                <w:color w:val="auto"/>
              </w:rPr>
            </w:pPr>
          </w:p>
        </w:tc>
      </w:tr>
      <w:tr>
        <w:trPr>
          <w:trHeight w:val="203"/>
        </w:trPr>
        <w:tc>
          <w:tcPr>
            <w:tcW w:w="72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Operating lease liabilities</w:t>
            </w: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37,384</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37,155</w:t>
            </w:r>
          </w:p>
        </w:tc>
        <w:tc>
          <w:tcPr>
            <w:tcW w:w="100" w:type="dxa"/>
            <w:vAlign w:val="bottom"/>
            <w:shd w:val="clear" w:color="auto" w:fill="CFF0FC"/>
          </w:tcPr>
          <w:p>
            <w:pPr>
              <w:spacing w:after="0"/>
              <w:rPr>
                <w:sz w:val="17"/>
                <w:szCs w:val="17"/>
                <w:color w:val="auto"/>
              </w:rPr>
            </w:pPr>
          </w:p>
        </w:tc>
      </w:tr>
      <w:tr>
        <w:trPr>
          <w:trHeight w:val="203"/>
        </w:trPr>
        <w:tc>
          <w:tcPr>
            <w:tcW w:w="7280" w:type="dxa"/>
            <w:vAlign w:val="bottom"/>
          </w:tcPr>
          <w:p>
            <w:pPr>
              <w:ind w:left="200"/>
              <w:spacing w:after="0" w:line="202" w:lineRule="exact"/>
              <w:rPr>
                <w:sz w:val="20"/>
                <w:szCs w:val="20"/>
                <w:color w:val="auto"/>
              </w:rPr>
            </w:pPr>
            <w:r>
              <w:rPr>
                <w:rFonts w:ascii="Arial" w:cs="Arial" w:eastAsia="Arial" w:hAnsi="Arial"/>
                <w:sz w:val="18"/>
                <w:szCs w:val="18"/>
                <w:color w:val="auto"/>
              </w:rPr>
              <w:t>Insurance reserves</w:t>
            </w:r>
          </w:p>
        </w:tc>
        <w:tc>
          <w:tcPr>
            <w:tcW w:w="24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31,658</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32,588</w:t>
            </w:r>
          </w:p>
        </w:tc>
        <w:tc>
          <w:tcPr>
            <w:tcW w:w="100" w:type="dxa"/>
            <w:vAlign w:val="bottom"/>
          </w:tcPr>
          <w:p>
            <w:pPr>
              <w:spacing w:after="0"/>
              <w:rPr>
                <w:sz w:val="17"/>
                <w:szCs w:val="17"/>
                <w:color w:val="auto"/>
              </w:rPr>
            </w:pPr>
          </w:p>
        </w:tc>
      </w:tr>
      <w:tr>
        <w:trPr>
          <w:trHeight w:val="203"/>
        </w:trPr>
        <w:tc>
          <w:tcPr>
            <w:tcW w:w="72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Dividends payable</w:t>
            </w: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40,632</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918</w:t>
            </w:r>
          </w:p>
        </w:tc>
        <w:tc>
          <w:tcPr>
            <w:tcW w:w="100" w:type="dxa"/>
            <w:vAlign w:val="bottom"/>
            <w:shd w:val="clear" w:color="auto" w:fill="CFF0FC"/>
          </w:tcPr>
          <w:p>
            <w:pPr>
              <w:spacing w:after="0"/>
              <w:rPr>
                <w:sz w:val="17"/>
                <w:szCs w:val="17"/>
                <w:color w:val="auto"/>
              </w:rPr>
            </w:pPr>
          </w:p>
        </w:tc>
      </w:tr>
      <w:tr>
        <w:trPr>
          <w:trHeight w:val="203"/>
        </w:trPr>
        <w:tc>
          <w:tcPr>
            <w:tcW w:w="7280" w:type="dxa"/>
            <w:vAlign w:val="bottom"/>
          </w:tcPr>
          <w:p>
            <w:pPr>
              <w:ind w:left="200"/>
              <w:spacing w:after="0" w:line="202" w:lineRule="exact"/>
              <w:rPr>
                <w:sz w:val="20"/>
                <w:szCs w:val="20"/>
                <w:color w:val="auto"/>
              </w:rPr>
            </w:pPr>
            <w:r>
              <w:rPr>
                <w:rFonts w:ascii="Arial" w:cs="Arial" w:eastAsia="Arial" w:hAnsi="Arial"/>
                <w:sz w:val="18"/>
                <w:szCs w:val="18"/>
                <w:color w:val="auto"/>
              </w:rPr>
              <w:t>Advertising fund liabilities</w:t>
            </w:r>
          </w:p>
        </w:tc>
        <w:tc>
          <w:tcPr>
            <w:tcW w:w="24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168,161</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173,737</w:t>
            </w:r>
          </w:p>
        </w:tc>
        <w:tc>
          <w:tcPr>
            <w:tcW w:w="100" w:type="dxa"/>
            <w:vAlign w:val="bottom"/>
          </w:tcPr>
          <w:p>
            <w:pPr>
              <w:spacing w:after="0"/>
              <w:rPr>
                <w:sz w:val="17"/>
                <w:szCs w:val="17"/>
                <w:color w:val="auto"/>
              </w:rPr>
            </w:pPr>
          </w:p>
        </w:tc>
      </w:tr>
      <w:tr>
        <w:trPr>
          <w:trHeight w:val="202"/>
        </w:trPr>
        <w:tc>
          <w:tcPr>
            <w:tcW w:w="72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accrued liabilities</w:t>
            </w:r>
          </w:p>
        </w:tc>
        <w:tc>
          <w:tcPr>
            <w:tcW w:w="24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169,004</w:t>
            </w:r>
          </w:p>
        </w:tc>
        <w:tc>
          <w:tcPr>
            <w:tcW w:w="2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6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199,208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280" w:type="dxa"/>
            <w:vAlign w:val="bottom"/>
          </w:tcPr>
          <w:p>
            <w:pPr>
              <w:ind w:left="20"/>
              <w:spacing w:after="0" w:line="196" w:lineRule="exact"/>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594,824</w:t>
            </w:r>
          </w:p>
        </w:tc>
        <w:tc>
          <w:tcPr>
            <w:tcW w:w="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590,741</w:t>
            </w:r>
          </w:p>
        </w:tc>
        <w:tc>
          <w:tcPr>
            <w:tcW w:w="100" w:type="dxa"/>
            <w:vAlign w:val="bottom"/>
          </w:tcPr>
          <w:p>
            <w:pPr>
              <w:spacing w:after="0"/>
              <w:rPr>
                <w:sz w:val="17"/>
                <w:szCs w:val="17"/>
                <w:color w:val="auto"/>
              </w:rPr>
            </w:pPr>
          </w:p>
        </w:tc>
      </w:tr>
      <w:tr>
        <w:trPr>
          <w:trHeight w:val="196"/>
        </w:trPr>
        <w:tc>
          <w:tcPr>
            <w:tcW w:w="72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Long-term liabilities:</w:t>
            </w: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280" w:type="dxa"/>
            <w:vAlign w:val="bottom"/>
          </w:tcPr>
          <w:p>
            <w:pPr>
              <w:ind w:left="200"/>
              <w:spacing w:after="0" w:line="202" w:lineRule="exact"/>
              <w:rPr>
                <w:sz w:val="20"/>
                <w:szCs w:val="20"/>
                <w:color w:val="auto"/>
              </w:rPr>
            </w:pPr>
            <w:r>
              <w:rPr>
                <w:rFonts w:ascii="Arial" w:cs="Arial" w:eastAsia="Arial" w:hAnsi="Arial"/>
                <w:sz w:val="18"/>
                <w:szCs w:val="18"/>
                <w:color w:val="auto"/>
              </w:rPr>
              <w:t>Long-term debt, less current portion</w:t>
            </w:r>
          </w:p>
        </w:tc>
        <w:tc>
          <w:tcPr>
            <w:tcW w:w="24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5,002,092</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5,014,638</w:t>
            </w:r>
          </w:p>
        </w:tc>
        <w:tc>
          <w:tcPr>
            <w:tcW w:w="100" w:type="dxa"/>
            <w:vAlign w:val="bottom"/>
          </w:tcPr>
          <w:p>
            <w:pPr>
              <w:spacing w:after="0"/>
              <w:rPr>
                <w:sz w:val="17"/>
                <w:szCs w:val="17"/>
                <w:color w:val="auto"/>
              </w:rPr>
            </w:pPr>
          </w:p>
        </w:tc>
      </w:tr>
      <w:tr>
        <w:trPr>
          <w:trHeight w:val="203"/>
        </w:trPr>
        <w:tc>
          <w:tcPr>
            <w:tcW w:w="72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Operating lease liabilities</w:t>
            </w: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182,369</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184,471</w:t>
            </w:r>
          </w:p>
        </w:tc>
        <w:tc>
          <w:tcPr>
            <w:tcW w:w="100" w:type="dxa"/>
            <w:vAlign w:val="bottom"/>
            <w:shd w:val="clear" w:color="auto" w:fill="CFF0FC"/>
          </w:tcPr>
          <w:p>
            <w:pPr>
              <w:spacing w:after="0"/>
              <w:rPr>
                <w:sz w:val="17"/>
                <w:szCs w:val="17"/>
                <w:color w:val="auto"/>
              </w:rPr>
            </w:pPr>
          </w:p>
        </w:tc>
      </w:tr>
      <w:tr>
        <w:trPr>
          <w:trHeight w:val="203"/>
        </w:trPr>
        <w:tc>
          <w:tcPr>
            <w:tcW w:w="7280" w:type="dxa"/>
            <w:vAlign w:val="bottom"/>
          </w:tcPr>
          <w:p>
            <w:pPr>
              <w:ind w:left="200"/>
              <w:spacing w:after="0" w:line="202" w:lineRule="exact"/>
              <w:rPr>
                <w:sz w:val="20"/>
                <w:szCs w:val="20"/>
                <w:color w:val="auto"/>
              </w:rPr>
            </w:pPr>
            <w:r>
              <w:rPr>
                <w:rFonts w:ascii="Arial" w:cs="Arial" w:eastAsia="Arial" w:hAnsi="Arial"/>
                <w:sz w:val="18"/>
                <w:szCs w:val="18"/>
                <w:color w:val="auto"/>
              </w:rPr>
              <w:t>Insurance reserves</w:t>
            </w:r>
          </w:p>
        </w:tc>
        <w:tc>
          <w:tcPr>
            <w:tcW w:w="24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38,689</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36,913</w:t>
            </w:r>
          </w:p>
        </w:tc>
        <w:tc>
          <w:tcPr>
            <w:tcW w:w="100" w:type="dxa"/>
            <w:vAlign w:val="bottom"/>
          </w:tcPr>
          <w:p>
            <w:pPr>
              <w:spacing w:after="0"/>
              <w:rPr>
                <w:sz w:val="17"/>
                <w:szCs w:val="17"/>
                <w:color w:val="auto"/>
              </w:rPr>
            </w:pPr>
          </w:p>
        </w:tc>
      </w:tr>
      <w:tr>
        <w:trPr>
          <w:trHeight w:val="203"/>
        </w:trPr>
        <w:tc>
          <w:tcPr>
            <w:tcW w:w="72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accrued liabilities</w:t>
            </w: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49,825</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50,667</w:t>
            </w:r>
          </w:p>
        </w:tc>
        <w:tc>
          <w:tcPr>
            <w:tcW w:w="100" w:type="dxa"/>
            <w:vAlign w:val="bottom"/>
            <w:shd w:val="clear" w:color="auto" w:fill="CFF0FC"/>
          </w:tcPr>
          <w:p>
            <w:pPr>
              <w:spacing w:after="0"/>
              <w:rPr>
                <w:sz w:val="17"/>
                <w:szCs w:val="17"/>
                <w:color w:val="auto"/>
              </w:rPr>
            </w:pPr>
          </w:p>
        </w:tc>
      </w:tr>
      <w:tr>
        <w:trPr>
          <w:trHeight w:val="203"/>
        </w:trPr>
        <w:tc>
          <w:tcPr>
            <w:tcW w:w="7280" w:type="dxa"/>
            <w:vAlign w:val="bottom"/>
          </w:tcPr>
          <w:p>
            <w:pPr>
              <w:ind w:left="200"/>
              <w:spacing w:after="0" w:line="202" w:lineRule="exact"/>
              <w:rPr>
                <w:sz w:val="20"/>
                <w:szCs w:val="20"/>
                <w:color w:val="auto"/>
              </w:rPr>
            </w:pPr>
            <w:r>
              <w:rPr>
                <w:rFonts w:ascii="Arial" w:cs="Arial" w:eastAsia="Arial" w:hAnsi="Arial"/>
                <w:sz w:val="18"/>
                <w:szCs w:val="18"/>
                <w:color w:val="auto"/>
              </w:rPr>
              <w:t>Deferred income taxes</w:t>
            </w: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4,865</w:t>
            </w:r>
          </w:p>
        </w:tc>
        <w:tc>
          <w:tcPr>
            <w:tcW w:w="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3,922</w:t>
            </w:r>
          </w:p>
        </w:tc>
        <w:tc>
          <w:tcPr>
            <w:tcW w:w="100" w:type="dxa"/>
            <w:vAlign w:val="bottom"/>
          </w:tcPr>
          <w:p>
            <w:pPr>
              <w:spacing w:after="0"/>
              <w:rPr>
                <w:sz w:val="17"/>
                <w:szCs w:val="17"/>
                <w:color w:val="auto"/>
              </w:rPr>
            </w:pPr>
          </w:p>
        </w:tc>
      </w:tr>
      <w:tr>
        <w:trPr>
          <w:trHeight w:val="196"/>
        </w:trPr>
        <w:tc>
          <w:tcPr>
            <w:tcW w:w="72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long-term liabilities</w:t>
            </w:r>
          </w:p>
        </w:tc>
        <w:tc>
          <w:tcPr>
            <w:tcW w:w="24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5,277,840</w:t>
            </w:r>
          </w:p>
        </w:tc>
        <w:tc>
          <w:tcPr>
            <w:tcW w:w="2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6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5,290,611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280" w:type="dxa"/>
            <w:vAlign w:val="bottom"/>
          </w:tcPr>
          <w:p>
            <w:pPr>
              <w:ind w:left="20"/>
              <w:spacing w:after="0" w:line="196" w:lineRule="exact"/>
              <w:rPr>
                <w:sz w:val="20"/>
                <w:szCs w:val="20"/>
                <w:color w:val="auto"/>
              </w:rPr>
            </w:pPr>
            <w:r>
              <w:rPr>
                <w:rFonts w:ascii="Arial" w:cs="Arial" w:eastAsia="Arial" w:hAnsi="Arial"/>
                <w:sz w:val="18"/>
                <w:szCs w:val="18"/>
                <w:color w:val="auto"/>
              </w:rPr>
              <w:t>Stockholders' deficit:</w:t>
            </w: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2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Common stock</w:t>
            </w: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360</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361</w:t>
            </w:r>
          </w:p>
        </w:tc>
        <w:tc>
          <w:tcPr>
            <w:tcW w:w="100" w:type="dxa"/>
            <w:vAlign w:val="bottom"/>
            <w:shd w:val="clear" w:color="auto" w:fill="CFF0FC"/>
          </w:tcPr>
          <w:p>
            <w:pPr>
              <w:spacing w:after="0"/>
              <w:rPr>
                <w:sz w:val="17"/>
                <w:szCs w:val="17"/>
                <w:color w:val="auto"/>
              </w:rPr>
            </w:pPr>
          </w:p>
        </w:tc>
      </w:tr>
      <w:tr>
        <w:trPr>
          <w:trHeight w:val="203"/>
        </w:trPr>
        <w:tc>
          <w:tcPr>
            <w:tcW w:w="7280" w:type="dxa"/>
            <w:vAlign w:val="bottom"/>
          </w:tcPr>
          <w:p>
            <w:pPr>
              <w:ind w:left="200"/>
              <w:spacing w:after="0" w:line="202" w:lineRule="exact"/>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3,545</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840</w:t>
            </w:r>
          </w:p>
        </w:tc>
        <w:tc>
          <w:tcPr>
            <w:tcW w:w="100" w:type="dxa"/>
            <w:vAlign w:val="bottom"/>
          </w:tcPr>
          <w:p>
            <w:pPr>
              <w:spacing w:after="0"/>
              <w:rPr>
                <w:sz w:val="17"/>
                <w:szCs w:val="17"/>
                <w:color w:val="auto"/>
              </w:rPr>
            </w:pPr>
          </w:p>
        </w:tc>
      </w:tr>
      <w:tr>
        <w:trPr>
          <w:trHeight w:val="203"/>
        </w:trPr>
        <w:tc>
          <w:tcPr>
            <w:tcW w:w="72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Retained deficit</w:t>
            </w:r>
          </w:p>
        </w:tc>
        <w:tc>
          <w:tcPr>
            <w:tcW w:w="24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jc w:val="right"/>
              <w:ind w:right="141"/>
              <w:spacing w:after="0" w:line="202" w:lineRule="exact"/>
              <w:rPr>
                <w:sz w:val="20"/>
                <w:szCs w:val="20"/>
                <w:color w:val="auto"/>
              </w:rPr>
            </w:pPr>
            <w:r>
              <w:rPr>
                <w:rFonts w:ascii="Arial" w:cs="Arial" w:eastAsia="Arial" w:hAnsi="Arial"/>
                <w:sz w:val="18"/>
                <w:szCs w:val="18"/>
                <w:color w:val="auto"/>
              </w:rPr>
              <w:t>(4,200,341 )</w:t>
            </w:r>
          </w:p>
        </w:tc>
        <w:tc>
          <w:tcPr>
            <w:tcW w:w="220" w:type="dxa"/>
            <w:vAlign w:val="bottom"/>
            <w:shd w:val="clear" w:color="auto" w:fill="CFF0FC"/>
          </w:tcPr>
          <w:p>
            <w:pPr>
              <w:spacing w:after="0"/>
              <w:rPr>
                <w:sz w:val="17"/>
                <w:szCs w:val="17"/>
                <w:color w:val="auto"/>
              </w:rPr>
            </w:pPr>
          </w:p>
        </w:tc>
        <w:tc>
          <w:tcPr>
            <w:tcW w:w="17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(4,207,917 )</w:t>
            </w:r>
          </w:p>
        </w:tc>
      </w:tr>
      <w:tr>
        <w:trPr>
          <w:trHeight w:val="203"/>
        </w:trPr>
        <w:tc>
          <w:tcPr>
            <w:tcW w:w="7280" w:type="dxa"/>
            <w:vAlign w:val="bottom"/>
          </w:tcPr>
          <w:p>
            <w:pPr>
              <w:ind w:left="200"/>
              <w:spacing w:after="0" w:line="202" w:lineRule="exact"/>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17"/>
                <w:szCs w:val="17"/>
                <w:color w:val="auto"/>
              </w:rPr>
            </w:pPr>
          </w:p>
        </w:tc>
        <w:tc>
          <w:tcPr>
            <w:tcW w:w="1740" w:type="dxa"/>
            <w:vAlign w:val="bottom"/>
            <w:gridSpan w:val="2"/>
          </w:tcPr>
          <w:p>
            <w:pPr>
              <w:jc w:val="right"/>
              <w:ind w:right="141"/>
              <w:spacing w:after="0" w:line="202" w:lineRule="exact"/>
              <w:rPr>
                <w:sz w:val="20"/>
                <w:szCs w:val="20"/>
                <w:color w:val="auto"/>
              </w:rPr>
            </w:pPr>
            <w:r>
              <w:rPr>
                <w:rFonts w:ascii="Arial" w:cs="Arial" w:eastAsia="Arial" w:hAnsi="Arial"/>
                <w:sz w:val="18"/>
                <w:szCs w:val="18"/>
                <w:color w:val="auto"/>
              </w:rPr>
              <w:t>(2,206 )</w:t>
            </w:r>
          </w:p>
        </w:tc>
        <w:tc>
          <w:tcPr>
            <w:tcW w:w="220" w:type="dxa"/>
            <w:vAlign w:val="bottom"/>
          </w:tcPr>
          <w:p>
            <w:pPr>
              <w:spacing w:after="0"/>
              <w:rPr>
                <w:sz w:val="17"/>
                <w:szCs w:val="17"/>
                <w:color w:val="auto"/>
              </w:rPr>
            </w:pPr>
          </w:p>
        </w:tc>
        <w:tc>
          <w:tcPr>
            <w:tcW w:w="1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(2,820 )</w:t>
            </w:r>
          </w:p>
        </w:tc>
      </w:tr>
      <w:tr>
        <w:trPr>
          <w:trHeight w:val="196"/>
        </w:trPr>
        <w:tc>
          <w:tcPr>
            <w:tcW w:w="72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stockholders' deficit</w:t>
            </w: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14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(4,198,642</w:t>
            </w:r>
          </w:p>
        </w:tc>
        <w:tc>
          <w:tcPr>
            <w:tcW w:w="280" w:type="dxa"/>
            <w:vAlign w:val="bottom"/>
            <w:tcBorders>
              <w:bottom w:val="single" w:sz="8" w:color="CFF0FC"/>
            </w:tcBorders>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16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(4,209,536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196"/>
        </w:trPr>
        <w:tc>
          <w:tcPr>
            <w:tcW w:w="7280" w:type="dxa"/>
            <w:vAlign w:val="bottom"/>
          </w:tcPr>
          <w:p>
            <w:pPr>
              <w:ind w:left="20"/>
              <w:spacing w:after="0" w:line="196" w:lineRule="exact"/>
              <w:rPr>
                <w:sz w:val="20"/>
                <w:szCs w:val="20"/>
                <w:color w:val="auto"/>
              </w:rPr>
            </w:pPr>
            <w:r>
              <w:rPr>
                <w:rFonts w:ascii="Arial" w:cs="Arial" w:eastAsia="Arial" w:hAnsi="Arial"/>
                <w:sz w:val="18"/>
                <w:szCs w:val="18"/>
                <w:color w:val="auto"/>
              </w:rPr>
              <w:t>Total liabilities and stockholders' deficit</w:t>
            </w: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1,674,022</w:t>
            </w:r>
          </w:p>
        </w:tc>
        <w:tc>
          <w:tcPr>
            <w:tcW w:w="28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1,671,816</w:t>
            </w:r>
          </w:p>
        </w:tc>
        <w:tc>
          <w:tcPr>
            <w:tcW w:w="100" w:type="dxa"/>
            <w:vAlign w:val="bottom"/>
          </w:tcPr>
          <w:p>
            <w:pPr>
              <w:spacing w:after="0"/>
              <w:rPr>
                <w:sz w:val="17"/>
                <w:szCs w:val="17"/>
                <w:color w:val="auto"/>
              </w:rPr>
            </w:pPr>
          </w:p>
        </w:tc>
      </w:tr>
      <w:tr>
        <w:trPr>
          <w:trHeight w:val="20"/>
        </w:trPr>
        <w:tc>
          <w:tcPr>
            <w:tcW w:w="7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-5422900</wp:posOffset>
            </wp:positionV>
            <wp:extent cx="6858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-5422900</wp:posOffset>
            </wp:positionV>
            <wp:extent cx="6858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-4368165</wp:posOffset>
            </wp:positionV>
            <wp:extent cx="6858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-4368165</wp:posOffset>
            </wp:positionV>
            <wp:extent cx="6858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-3322320</wp:posOffset>
            </wp:positionV>
            <wp:extent cx="6858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-3322320</wp:posOffset>
            </wp:positionV>
            <wp:extent cx="6858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-2002155</wp:posOffset>
            </wp:positionV>
            <wp:extent cx="6858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-2002155</wp:posOffset>
            </wp:positionV>
            <wp:extent cx="6858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-948055</wp:posOffset>
            </wp:positionV>
            <wp:extent cx="6858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-948055</wp:posOffset>
            </wp:positionV>
            <wp:extent cx="6858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-159385</wp:posOffset>
            </wp:positionV>
            <wp:extent cx="6858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9" w:lineRule="exact"/>
        <w:rPr>
          <w:sz w:val="20"/>
          <w:szCs w:val="20"/>
          <w:color w:val="auto"/>
        </w:rPr>
      </w:pPr>
    </w:p>
    <w:p>
      <w:pPr>
        <w:ind w:right="200" w:firstLine="8"/>
        <w:spacing w:after="0" w:line="273" w:lineRule="auto"/>
        <w:tabs>
          <w:tab w:leader="none" w:pos="204"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condensed consolidated balance sheet at January 2, 2022 has been derived from the audited consolidated financial statements at that date but does not include all of the information and footnotes required by accounting principles generally accepted in the United States for complete financial statements.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 w:name="page4"/>
    <w:bookmarkEnd w:id="3"/>
    <w:p>
      <w:pPr>
        <w:ind w:left="4180"/>
        <w:spacing w:after="0"/>
        <w:rPr>
          <w:sz w:val="20"/>
          <w:szCs w:val="20"/>
          <w:color w:val="auto"/>
        </w:rPr>
      </w:pPr>
      <w:r>
        <w:rPr>
          <w:rFonts w:ascii="Arial" w:cs="Arial" w:eastAsia="Arial" w:hAnsi="Arial"/>
          <w:sz w:val="18"/>
          <w:szCs w:val="18"/>
          <w:b w:val="1"/>
          <w:bCs w:val="1"/>
          <w:color w:val="auto"/>
        </w:rPr>
        <w:t>Domino’s Pizza, Inc. and Subsidiaries</w:t>
      </w:r>
    </w:p>
    <w:p>
      <w:pPr>
        <w:spacing w:after="0" w:line="11"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Condensed Consolidated Statements of Income</w:t>
      </w:r>
    </w:p>
    <w:p>
      <w:pPr>
        <w:ind w:left="5140"/>
        <w:spacing w:after="0"/>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80" w:type="dxa"/>
            <w:vAlign w:val="bottom"/>
            <w:gridSpan w:val="5"/>
          </w:tcPr>
          <w:p>
            <w:pPr>
              <w:jc w:val="right"/>
              <w:ind w:right="1160"/>
              <w:spacing w:after="0"/>
              <w:rPr>
                <w:sz w:val="20"/>
                <w:szCs w:val="20"/>
                <w:color w:val="auto"/>
              </w:rPr>
            </w:pPr>
            <w:r>
              <w:rPr>
                <w:rFonts w:ascii="Arial" w:cs="Arial" w:eastAsia="Arial" w:hAnsi="Arial"/>
                <w:sz w:val="14"/>
                <w:szCs w:val="14"/>
                <w:b w:val="1"/>
                <w:bCs w:val="1"/>
                <w:color w:val="auto"/>
              </w:rPr>
              <w:t>Fiscal Quarter Ended</w:t>
            </w:r>
          </w:p>
        </w:tc>
      </w:tr>
      <w:tr>
        <w:trPr>
          <w:trHeight w:val="160"/>
        </w:trPr>
        <w:tc>
          <w:tcPr>
            <w:tcW w:w="764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gridSpan w:val="2"/>
          </w:tcPr>
          <w:p>
            <w:pPr>
              <w:jc w:val="right"/>
              <w:ind w:right="780"/>
              <w:spacing w:after="0" w:line="160" w:lineRule="exact"/>
              <w:rPr>
                <w:sz w:val="20"/>
                <w:szCs w:val="20"/>
                <w:color w:val="auto"/>
              </w:rPr>
            </w:pPr>
            <w:r>
              <w:rPr>
                <w:rFonts w:ascii="Arial" w:cs="Arial" w:eastAsia="Arial" w:hAnsi="Arial"/>
                <w:sz w:val="14"/>
                <w:szCs w:val="14"/>
                <w:b w:val="1"/>
                <w:bCs w:val="1"/>
                <w:color w:val="auto"/>
              </w:rPr>
              <w:t>March 27,</w:t>
            </w:r>
          </w:p>
        </w:tc>
        <w:tc>
          <w:tcPr>
            <w:tcW w:w="3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392"/>
              <w:spacing w:after="0" w:line="160" w:lineRule="exact"/>
              <w:rPr>
                <w:sz w:val="20"/>
                <w:szCs w:val="20"/>
                <w:color w:val="auto"/>
              </w:rPr>
            </w:pPr>
            <w:r>
              <w:rPr>
                <w:rFonts w:ascii="Arial" w:cs="Arial" w:eastAsia="Arial" w:hAnsi="Arial"/>
                <w:sz w:val="14"/>
                <w:szCs w:val="14"/>
                <w:b w:val="1"/>
                <w:bCs w:val="1"/>
                <w:color w:val="auto"/>
              </w:rPr>
              <w:t>March 28,</w:t>
            </w:r>
          </w:p>
        </w:tc>
        <w:tc>
          <w:tcPr>
            <w:tcW w:w="80" w:type="dxa"/>
            <w:vAlign w:val="bottom"/>
          </w:tcPr>
          <w:p>
            <w:pPr>
              <w:spacing w:after="0"/>
              <w:rPr>
                <w:sz w:val="13"/>
                <w:szCs w:val="13"/>
                <w:color w:val="auto"/>
              </w:rPr>
            </w:pPr>
          </w:p>
        </w:tc>
      </w:tr>
      <w:tr>
        <w:trPr>
          <w:trHeight w:val="185"/>
        </w:trPr>
        <w:tc>
          <w:tcPr>
            <w:tcW w:w="7640" w:type="dxa"/>
            <w:vAlign w:val="bottom"/>
          </w:tcPr>
          <w:p>
            <w:pPr>
              <w:ind w:left="20"/>
              <w:spacing w:after="0"/>
              <w:rPr>
                <w:sz w:val="20"/>
                <w:szCs w:val="20"/>
                <w:color w:val="auto"/>
              </w:rPr>
            </w:pPr>
            <w:r>
              <w:rPr>
                <w:rFonts w:ascii="Arial" w:cs="Arial" w:eastAsia="Arial" w:hAnsi="Arial"/>
                <w:sz w:val="14"/>
                <w:szCs w:val="14"/>
                <w:color w:val="auto"/>
              </w:rPr>
              <w:t>(In thousands, except per share data)</w:t>
            </w: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r>
      <w:tr>
        <w:trPr>
          <w:trHeight w:val="196"/>
        </w:trPr>
        <w:tc>
          <w:tcPr>
            <w:tcW w:w="7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Revenues:</w:t>
            </w:r>
          </w:p>
        </w:tc>
        <w:tc>
          <w:tcPr>
            <w:tcW w:w="3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U.S. Company-owned stores</w:t>
            </w:r>
          </w:p>
        </w:tc>
        <w:tc>
          <w:tcPr>
            <w:tcW w:w="32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103,895</w:t>
            </w:r>
          </w:p>
        </w:tc>
        <w:tc>
          <w:tcPr>
            <w:tcW w:w="260" w:type="dxa"/>
            <w:vAlign w:val="bottom"/>
          </w:tcPr>
          <w:p>
            <w:pPr>
              <w:spacing w:after="0"/>
              <w:rPr>
                <w:sz w:val="17"/>
                <w:szCs w:val="17"/>
                <w:color w:val="auto"/>
              </w:rPr>
            </w:pP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112,744</w:t>
            </w:r>
          </w:p>
        </w:tc>
        <w:tc>
          <w:tcPr>
            <w:tcW w:w="80" w:type="dxa"/>
            <w:vAlign w:val="bottom"/>
          </w:tcPr>
          <w:p>
            <w:pPr>
              <w:spacing w:after="0"/>
              <w:rPr>
                <w:sz w:val="17"/>
                <w:szCs w:val="17"/>
                <w:color w:val="auto"/>
              </w:rPr>
            </w:pPr>
          </w:p>
        </w:tc>
      </w:tr>
      <w:tr>
        <w:trPr>
          <w:trHeight w:val="203"/>
        </w:trPr>
        <w:tc>
          <w:tcPr>
            <w:tcW w:w="7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U.S. franchise royalties and fees</w:t>
            </w:r>
          </w:p>
        </w:tc>
        <w:tc>
          <w:tcPr>
            <w:tcW w:w="3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122,285</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124,486</w:t>
            </w:r>
          </w:p>
        </w:tc>
        <w:tc>
          <w:tcPr>
            <w:tcW w:w="80" w:type="dxa"/>
            <w:vAlign w:val="bottom"/>
            <w:shd w:val="clear" w:color="auto" w:fill="CFF0FC"/>
          </w:tcPr>
          <w:p>
            <w:pPr>
              <w:spacing w:after="0"/>
              <w:rPr>
                <w:sz w:val="17"/>
                <w:szCs w:val="17"/>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Supply chain</w:t>
            </w:r>
          </w:p>
        </w:tc>
        <w:tc>
          <w:tcPr>
            <w:tcW w:w="32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609,547</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568,338</w:t>
            </w:r>
          </w:p>
        </w:tc>
        <w:tc>
          <w:tcPr>
            <w:tcW w:w="80" w:type="dxa"/>
            <w:vAlign w:val="bottom"/>
          </w:tcPr>
          <w:p>
            <w:pPr>
              <w:spacing w:after="0"/>
              <w:rPr>
                <w:sz w:val="17"/>
                <w:szCs w:val="17"/>
                <w:color w:val="auto"/>
              </w:rPr>
            </w:pPr>
          </w:p>
        </w:tc>
      </w:tr>
      <w:tr>
        <w:trPr>
          <w:trHeight w:val="203"/>
        </w:trPr>
        <w:tc>
          <w:tcPr>
            <w:tcW w:w="7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International franchise royalties and fees</w:t>
            </w:r>
          </w:p>
        </w:tc>
        <w:tc>
          <w:tcPr>
            <w:tcW w:w="3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68,833</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66,770</w:t>
            </w:r>
          </w:p>
        </w:tc>
        <w:tc>
          <w:tcPr>
            <w:tcW w:w="80" w:type="dxa"/>
            <w:vAlign w:val="bottom"/>
            <w:shd w:val="clear" w:color="auto" w:fill="CFF0FC"/>
          </w:tcPr>
          <w:p>
            <w:pPr>
              <w:spacing w:after="0"/>
              <w:rPr>
                <w:sz w:val="17"/>
                <w:szCs w:val="17"/>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U.S. franchise advertising</w:t>
            </w:r>
          </w:p>
        </w:tc>
        <w:tc>
          <w:tcPr>
            <w:tcW w:w="3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106,589</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111,360</w:t>
            </w:r>
          </w:p>
        </w:tc>
        <w:tc>
          <w:tcPr>
            <w:tcW w:w="80" w:type="dxa"/>
            <w:vAlign w:val="bottom"/>
          </w:tcPr>
          <w:p>
            <w:pPr>
              <w:spacing w:after="0"/>
              <w:rPr>
                <w:sz w:val="17"/>
                <w:szCs w:val="17"/>
                <w:color w:val="auto"/>
              </w:rPr>
            </w:pPr>
          </w:p>
        </w:tc>
      </w:tr>
      <w:tr>
        <w:trPr>
          <w:trHeight w:val="196"/>
        </w:trPr>
        <w:tc>
          <w:tcPr>
            <w:tcW w:w="76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1,011,149</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983,698</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7640" w:type="dxa"/>
            <w:vAlign w:val="bottom"/>
          </w:tcPr>
          <w:p>
            <w:pPr>
              <w:ind w:left="20"/>
              <w:spacing w:after="0" w:line="196" w:lineRule="exact"/>
              <w:rPr>
                <w:sz w:val="20"/>
                <w:szCs w:val="20"/>
                <w:color w:val="auto"/>
              </w:rPr>
            </w:pPr>
            <w:r>
              <w:rPr>
                <w:rFonts w:ascii="Arial" w:cs="Arial" w:eastAsia="Arial" w:hAnsi="Arial"/>
                <w:sz w:val="18"/>
                <w:szCs w:val="18"/>
                <w:color w:val="auto"/>
              </w:rPr>
              <w:t>Cost of sales:</w:t>
            </w: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U.S. Company-owned stores</w:t>
            </w:r>
          </w:p>
        </w:tc>
        <w:tc>
          <w:tcPr>
            <w:tcW w:w="3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87,375</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85,742</w:t>
            </w:r>
          </w:p>
        </w:tc>
        <w:tc>
          <w:tcPr>
            <w:tcW w:w="80" w:type="dxa"/>
            <w:vAlign w:val="bottom"/>
            <w:shd w:val="clear" w:color="auto" w:fill="CFF0FC"/>
          </w:tcPr>
          <w:p>
            <w:pPr>
              <w:spacing w:after="0"/>
              <w:rPr>
                <w:sz w:val="17"/>
                <w:szCs w:val="17"/>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Supply chain</w:t>
            </w:r>
          </w:p>
        </w:tc>
        <w:tc>
          <w:tcPr>
            <w:tcW w:w="3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555,150</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508,805</w:t>
            </w:r>
          </w:p>
        </w:tc>
        <w:tc>
          <w:tcPr>
            <w:tcW w:w="80" w:type="dxa"/>
            <w:vAlign w:val="bottom"/>
          </w:tcPr>
          <w:p>
            <w:pPr>
              <w:spacing w:after="0"/>
              <w:rPr>
                <w:sz w:val="17"/>
                <w:szCs w:val="17"/>
                <w:color w:val="auto"/>
              </w:rPr>
            </w:pPr>
          </w:p>
        </w:tc>
      </w:tr>
      <w:tr>
        <w:trPr>
          <w:trHeight w:val="196"/>
        </w:trPr>
        <w:tc>
          <w:tcPr>
            <w:tcW w:w="76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cost of sales</w:t>
            </w:r>
          </w:p>
        </w:tc>
        <w:tc>
          <w:tcPr>
            <w:tcW w:w="32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642,525</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594,547</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7640" w:type="dxa"/>
            <w:vAlign w:val="bottom"/>
          </w:tcPr>
          <w:p>
            <w:pPr>
              <w:ind w:left="20"/>
              <w:spacing w:after="0" w:line="196" w:lineRule="exact"/>
              <w:rPr>
                <w:sz w:val="20"/>
                <w:szCs w:val="20"/>
                <w:color w:val="auto"/>
              </w:rPr>
            </w:pPr>
            <w:r>
              <w:rPr>
                <w:rFonts w:ascii="Arial" w:cs="Arial" w:eastAsia="Arial" w:hAnsi="Arial"/>
                <w:sz w:val="18"/>
                <w:szCs w:val="18"/>
                <w:color w:val="auto"/>
              </w:rPr>
              <w:t>Operating margin</w:t>
            </w:r>
          </w:p>
        </w:tc>
        <w:tc>
          <w:tcPr>
            <w:tcW w:w="3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368,624</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389,151</w:t>
            </w:r>
          </w:p>
        </w:tc>
        <w:tc>
          <w:tcPr>
            <w:tcW w:w="80" w:type="dxa"/>
            <w:vAlign w:val="bottom"/>
          </w:tcPr>
          <w:p>
            <w:pPr>
              <w:spacing w:after="0"/>
              <w:rPr>
                <w:sz w:val="17"/>
                <w:szCs w:val="17"/>
                <w:color w:val="auto"/>
              </w:rPr>
            </w:pPr>
          </w:p>
        </w:tc>
      </w:tr>
      <w:tr>
        <w:trPr>
          <w:trHeight w:val="196"/>
        </w:trPr>
        <w:tc>
          <w:tcPr>
            <w:tcW w:w="7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97,494</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91,253</w:t>
            </w:r>
          </w:p>
        </w:tc>
        <w:tc>
          <w:tcPr>
            <w:tcW w:w="80" w:type="dxa"/>
            <w:vAlign w:val="bottom"/>
            <w:shd w:val="clear" w:color="auto" w:fill="CFF0FC"/>
          </w:tcPr>
          <w:p>
            <w:pPr>
              <w:spacing w:after="0"/>
              <w:rPr>
                <w:sz w:val="17"/>
                <w:szCs w:val="17"/>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U.S. franchise advertising</w:t>
            </w:r>
          </w:p>
        </w:tc>
        <w:tc>
          <w:tcPr>
            <w:tcW w:w="3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106,589</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111,360</w:t>
            </w:r>
          </w:p>
        </w:tc>
        <w:tc>
          <w:tcPr>
            <w:tcW w:w="80" w:type="dxa"/>
            <w:vAlign w:val="bottom"/>
          </w:tcPr>
          <w:p>
            <w:pPr>
              <w:spacing w:after="0"/>
              <w:rPr>
                <w:sz w:val="17"/>
                <w:szCs w:val="17"/>
                <w:color w:val="auto"/>
              </w:rPr>
            </w:pPr>
          </w:p>
        </w:tc>
      </w:tr>
      <w:tr>
        <w:trPr>
          <w:trHeight w:val="196"/>
        </w:trPr>
        <w:tc>
          <w:tcPr>
            <w:tcW w:w="7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Income from operations</w:t>
            </w:r>
          </w:p>
        </w:tc>
        <w:tc>
          <w:tcPr>
            <w:tcW w:w="3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164,541</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186,538</w:t>
            </w:r>
          </w:p>
        </w:tc>
        <w:tc>
          <w:tcPr>
            <w:tcW w:w="80" w:type="dxa"/>
            <w:vAlign w:val="bottom"/>
            <w:shd w:val="clear" w:color="auto" w:fill="CFF0FC"/>
          </w:tcPr>
          <w:p>
            <w:pPr>
              <w:spacing w:after="0"/>
              <w:rPr>
                <w:sz w:val="17"/>
                <w:szCs w:val="17"/>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Other income</w:t>
            </w:r>
          </w:p>
        </w:tc>
        <w:tc>
          <w:tcPr>
            <w:tcW w:w="320" w:type="dxa"/>
            <w:vAlign w:val="bottom"/>
          </w:tcPr>
          <w:p>
            <w:pPr>
              <w:spacing w:after="0"/>
              <w:rPr>
                <w:sz w:val="17"/>
                <w:szCs w:val="17"/>
                <w:color w:val="auto"/>
              </w:rPr>
            </w:pPr>
          </w:p>
        </w:tc>
        <w:tc>
          <w:tcPr>
            <w:tcW w:w="16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2,500</w:t>
            </w:r>
          </w:p>
        </w:tc>
        <w:tc>
          <w:tcPr>
            <w:tcW w:w="80" w:type="dxa"/>
            <w:vAlign w:val="bottom"/>
          </w:tcPr>
          <w:p>
            <w:pPr>
              <w:spacing w:after="0"/>
              <w:rPr>
                <w:sz w:val="17"/>
                <w:szCs w:val="17"/>
                <w:color w:val="auto"/>
              </w:rPr>
            </w:pP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income</w:t>
            </w:r>
          </w:p>
        </w:tc>
        <w:tc>
          <w:tcPr>
            <w:tcW w:w="3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w:t>
            </w:r>
          </w:p>
        </w:tc>
        <w:tc>
          <w:tcPr>
            <w:tcW w:w="80" w:type="dxa"/>
            <w:vAlign w:val="bottom"/>
            <w:shd w:val="clear" w:color="auto" w:fill="CFF0FC"/>
          </w:tcPr>
          <w:p>
            <w:pPr>
              <w:spacing w:after="0"/>
              <w:rPr>
                <w:sz w:val="17"/>
                <w:szCs w:val="17"/>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7"/>
                <w:szCs w:val="17"/>
                <w:color w:val="auto"/>
              </w:rPr>
            </w:pPr>
          </w:p>
        </w:tc>
        <w:tc>
          <w:tcPr>
            <w:tcW w:w="16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(46,872 )</w:t>
            </w:r>
          </w:p>
        </w:tc>
        <w:tc>
          <w:tcPr>
            <w:tcW w:w="300" w:type="dxa"/>
            <w:vAlign w:val="bottom"/>
          </w:tcPr>
          <w:p>
            <w:pPr>
              <w:spacing w:after="0"/>
              <w:rPr>
                <w:sz w:val="17"/>
                <w:szCs w:val="17"/>
                <w:color w:val="auto"/>
              </w:rPr>
            </w:pPr>
          </w:p>
        </w:tc>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(39,422 )</w:t>
            </w:r>
          </w:p>
        </w:tc>
      </w:tr>
      <w:tr>
        <w:trPr>
          <w:trHeight w:val="196"/>
        </w:trPr>
        <w:tc>
          <w:tcPr>
            <w:tcW w:w="7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Income before provision for income taxes</w:t>
            </w:r>
          </w:p>
        </w:tc>
        <w:tc>
          <w:tcPr>
            <w:tcW w:w="32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117,718</w:t>
            </w:r>
          </w:p>
        </w:tc>
        <w:tc>
          <w:tcPr>
            <w:tcW w:w="26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149,638</w:t>
            </w:r>
          </w:p>
        </w:tc>
        <w:tc>
          <w:tcPr>
            <w:tcW w:w="80" w:type="dxa"/>
            <w:vAlign w:val="bottom"/>
            <w:shd w:val="clear" w:color="auto" w:fill="CFF0FC"/>
          </w:tcPr>
          <w:p>
            <w:pPr>
              <w:spacing w:after="0"/>
              <w:rPr>
                <w:sz w:val="17"/>
                <w:szCs w:val="17"/>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26,754</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31,877</w:t>
            </w:r>
          </w:p>
        </w:tc>
        <w:tc>
          <w:tcPr>
            <w:tcW w:w="80" w:type="dxa"/>
            <w:vAlign w:val="bottom"/>
          </w:tcPr>
          <w:p>
            <w:pPr>
              <w:spacing w:after="0"/>
              <w:rPr>
                <w:sz w:val="17"/>
                <w:szCs w:val="17"/>
                <w:color w:val="auto"/>
              </w:rPr>
            </w:pPr>
          </w:p>
        </w:tc>
      </w:tr>
      <w:tr>
        <w:trPr>
          <w:trHeight w:val="236"/>
        </w:trPr>
        <w:tc>
          <w:tcPr>
            <w:tcW w:w="76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90,964</w:t>
            </w: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117,761</w:t>
            </w:r>
          </w:p>
        </w:tc>
        <w:tc>
          <w:tcPr>
            <w:tcW w:w="80" w:type="dxa"/>
            <w:vAlign w:val="bottom"/>
            <w:tcBorders>
              <w:bottom w:val="single" w:sz="8" w:color="CFF0FC"/>
            </w:tcBorders>
            <w:shd w:val="clear" w:color="auto" w:fill="CFF0FC"/>
          </w:tcPr>
          <w:p>
            <w:pPr>
              <w:spacing w:after="0"/>
              <w:rPr>
                <w:sz w:val="20"/>
                <w:szCs w:val="20"/>
                <w:color w:val="auto"/>
              </w:rPr>
            </w:pPr>
          </w:p>
        </w:tc>
      </w:tr>
      <w:tr>
        <w:trPr>
          <w:trHeight w:val="183"/>
        </w:trPr>
        <w:tc>
          <w:tcPr>
            <w:tcW w:w="7640" w:type="dxa"/>
            <w:vAlign w:val="bottom"/>
          </w:tcPr>
          <w:p>
            <w:pPr>
              <w:ind w:left="20"/>
              <w:spacing w:after="0" w:line="183" w:lineRule="exact"/>
              <w:rPr>
                <w:sz w:val="20"/>
                <w:szCs w:val="20"/>
                <w:color w:val="auto"/>
              </w:rPr>
            </w:pPr>
            <w:r>
              <w:rPr>
                <w:rFonts w:ascii="Arial" w:cs="Arial" w:eastAsia="Arial" w:hAnsi="Arial"/>
                <w:sz w:val="18"/>
                <w:szCs w:val="18"/>
                <w:color w:val="auto"/>
              </w:rPr>
              <w:t>Earnings per share:</w:t>
            </w:r>
          </w:p>
        </w:tc>
        <w:tc>
          <w:tcPr>
            <w:tcW w:w="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3"/>
        </w:trPr>
        <w:tc>
          <w:tcPr>
            <w:tcW w:w="7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Common stock - basic</w:t>
            </w:r>
          </w:p>
        </w:tc>
        <w:tc>
          <w:tcPr>
            <w:tcW w:w="32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2.53</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3.04</w:t>
            </w:r>
          </w:p>
        </w:tc>
        <w:tc>
          <w:tcPr>
            <w:tcW w:w="80" w:type="dxa"/>
            <w:vAlign w:val="bottom"/>
            <w:shd w:val="clear" w:color="auto" w:fill="CFF0FC"/>
          </w:tcPr>
          <w:p>
            <w:pPr>
              <w:spacing w:after="0"/>
              <w:rPr>
                <w:sz w:val="17"/>
                <w:szCs w:val="17"/>
                <w:color w:val="auto"/>
              </w:rPr>
            </w:pPr>
          </w:p>
        </w:tc>
      </w:tr>
      <w:tr>
        <w:trPr>
          <w:trHeight w:val="230"/>
        </w:trPr>
        <w:tc>
          <w:tcPr>
            <w:tcW w:w="7640" w:type="dxa"/>
            <w:vAlign w:val="bottom"/>
          </w:tcPr>
          <w:p>
            <w:pPr>
              <w:ind w:left="200"/>
              <w:spacing w:after="0"/>
              <w:rPr>
                <w:sz w:val="20"/>
                <w:szCs w:val="20"/>
                <w:color w:val="auto"/>
              </w:rPr>
            </w:pPr>
            <w:r>
              <w:rPr>
                <w:rFonts w:ascii="Arial" w:cs="Arial" w:eastAsia="Arial" w:hAnsi="Arial"/>
                <w:sz w:val="18"/>
                <w:szCs w:val="18"/>
                <w:color w:val="auto"/>
              </w:rPr>
              <w:t>Common stock - diluted</w:t>
            </w:r>
          </w:p>
        </w:tc>
        <w:tc>
          <w:tcPr>
            <w:tcW w:w="3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2.50</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-2286000</wp:posOffset>
            </wp:positionV>
            <wp:extent cx="51435"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-2286000</wp:posOffset>
            </wp:positionV>
            <wp:extent cx="51435"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-1754505</wp:posOffset>
            </wp:positionV>
            <wp:extent cx="51435"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-1754505</wp:posOffset>
            </wp:positionV>
            <wp:extent cx="51435"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-428625</wp:posOffset>
            </wp:positionV>
            <wp:extent cx="514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-411480</wp:posOffset>
            </wp:positionV>
            <wp:extent cx="514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-428625</wp:posOffset>
            </wp:positionV>
            <wp:extent cx="514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-411480</wp:posOffset>
            </wp:positionV>
            <wp:extent cx="514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Domino’s Pizza, Inc. and Subsidiaries</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20" w:type="dxa"/>
            <w:vAlign w:val="bottom"/>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Fiscal Quarter Ended</w:t>
            </w:r>
          </w:p>
        </w:tc>
        <w:tc>
          <w:tcPr>
            <w:tcW w:w="18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0"/>
        </w:trPr>
        <w:tc>
          <w:tcPr>
            <w:tcW w:w="5820" w:type="dxa"/>
            <w:vAlign w:val="bottom"/>
          </w:tcPr>
          <w:p>
            <w:pPr>
              <w:spacing w:after="0"/>
              <w:rPr>
                <w:sz w:val="13"/>
                <w:szCs w:val="13"/>
                <w:color w:val="auto"/>
              </w:rPr>
            </w:pPr>
          </w:p>
        </w:tc>
        <w:tc>
          <w:tcPr>
            <w:tcW w:w="1780" w:type="dxa"/>
            <w:vAlign w:val="bottom"/>
          </w:tcPr>
          <w:p>
            <w:pPr>
              <w:jc w:val="right"/>
              <w:ind w:right="139"/>
              <w:spacing w:after="0" w:line="160" w:lineRule="exact"/>
              <w:rPr>
                <w:sz w:val="20"/>
                <w:szCs w:val="20"/>
                <w:color w:val="auto"/>
              </w:rPr>
            </w:pPr>
            <w:r>
              <w:rPr>
                <w:rFonts w:ascii="Arial" w:cs="Arial" w:eastAsia="Arial" w:hAnsi="Arial"/>
                <w:sz w:val="14"/>
                <w:szCs w:val="14"/>
                <w:b w:val="1"/>
                <w:bCs w:val="1"/>
                <w:color w:val="auto"/>
              </w:rPr>
              <w:t>March 27,</w:t>
            </w: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0" w:type="dxa"/>
            <w:vAlign w:val="bottom"/>
          </w:tcPr>
          <w:p>
            <w:pPr>
              <w:jc w:val="right"/>
              <w:ind w:right="857"/>
              <w:spacing w:after="0" w:line="160" w:lineRule="exact"/>
              <w:rPr>
                <w:sz w:val="20"/>
                <w:szCs w:val="20"/>
                <w:color w:val="auto"/>
              </w:rPr>
            </w:pPr>
            <w:r>
              <w:rPr>
                <w:rFonts w:ascii="Arial" w:cs="Arial" w:eastAsia="Arial" w:hAnsi="Arial"/>
                <w:sz w:val="14"/>
                <w:szCs w:val="14"/>
                <w:b w:val="1"/>
                <w:bCs w:val="1"/>
                <w:color w:val="auto"/>
              </w:rPr>
              <w:t>March 28,</w:t>
            </w:r>
          </w:p>
        </w:tc>
        <w:tc>
          <w:tcPr>
            <w:tcW w:w="60" w:type="dxa"/>
            <w:vAlign w:val="bottom"/>
          </w:tcPr>
          <w:p>
            <w:pPr>
              <w:spacing w:after="0"/>
              <w:rPr>
                <w:sz w:val="13"/>
                <w:szCs w:val="13"/>
                <w:color w:val="auto"/>
              </w:rPr>
            </w:pPr>
          </w:p>
        </w:tc>
      </w:tr>
      <w:tr>
        <w:trPr>
          <w:trHeight w:val="185"/>
        </w:trPr>
        <w:tc>
          <w:tcPr>
            <w:tcW w:w="582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17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2022</w:t>
            </w:r>
          </w:p>
        </w:tc>
        <w:tc>
          <w:tcPr>
            <w:tcW w:w="72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1037"/>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6"/>
                <w:szCs w:val="16"/>
                <w:color w:val="auto"/>
              </w:rPr>
            </w:pPr>
          </w:p>
        </w:tc>
      </w:tr>
      <w:tr>
        <w:trPr>
          <w:trHeight w:val="196"/>
        </w:trPr>
        <w:tc>
          <w:tcPr>
            <w:tcW w:w="58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income</w:t>
            </w:r>
          </w:p>
        </w:tc>
        <w:tc>
          <w:tcPr>
            <w:tcW w:w="1780" w:type="dxa"/>
            <w:vAlign w:val="bottom"/>
            <w:shd w:val="clear" w:color="auto" w:fill="CFF0FC"/>
          </w:tcPr>
          <w:p>
            <w:pPr>
              <w:jc w:val="right"/>
              <w:ind w:right="1599"/>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90,964</w:t>
            </w:r>
          </w:p>
        </w:tc>
        <w:tc>
          <w:tcPr>
            <w:tcW w:w="36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510"/>
              <w:spacing w:after="0" w:line="196" w:lineRule="exact"/>
              <w:rPr>
                <w:sz w:val="20"/>
                <w:szCs w:val="20"/>
                <w:color w:val="auto"/>
              </w:rPr>
            </w:pPr>
            <w:r>
              <w:rPr>
                <w:rFonts w:ascii="Arial" w:cs="Arial" w:eastAsia="Arial" w:hAnsi="Arial"/>
                <w:sz w:val="18"/>
                <w:szCs w:val="18"/>
                <w:color w:val="auto"/>
                <w:w w:val="79"/>
              </w:rPr>
              <w:t>$</w:t>
            </w:r>
          </w:p>
        </w:tc>
        <w:tc>
          <w:tcPr>
            <w:tcW w:w="1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117,761</w:t>
            </w:r>
          </w:p>
        </w:tc>
        <w:tc>
          <w:tcPr>
            <w:tcW w:w="60" w:type="dxa"/>
            <w:vAlign w:val="bottom"/>
            <w:shd w:val="clear" w:color="auto" w:fill="CFF0FC"/>
          </w:tcPr>
          <w:p>
            <w:pPr>
              <w:spacing w:after="0"/>
              <w:rPr>
                <w:sz w:val="17"/>
                <w:szCs w:val="17"/>
                <w:color w:val="auto"/>
              </w:rPr>
            </w:pPr>
          </w:p>
        </w:tc>
      </w:tr>
      <w:tr>
        <w:trPr>
          <w:trHeight w:val="203"/>
        </w:trPr>
        <w:tc>
          <w:tcPr>
            <w:tcW w:w="5820" w:type="dxa"/>
            <w:vAlign w:val="bottom"/>
          </w:tcPr>
          <w:p>
            <w:pPr>
              <w:ind w:left="20"/>
              <w:spacing w:after="0" w:line="202" w:lineRule="exact"/>
              <w:rPr>
                <w:sz w:val="20"/>
                <w:szCs w:val="20"/>
                <w:color w:val="auto"/>
              </w:rPr>
            </w:pPr>
            <w:r>
              <w:rPr>
                <w:rFonts w:ascii="Arial" w:cs="Arial" w:eastAsia="Arial" w:hAnsi="Arial"/>
                <w:sz w:val="18"/>
                <w:szCs w:val="18"/>
                <w:color w:val="auto"/>
              </w:rPr>
              <w:t>Currency translation adjustment</w:t>
            </w:r>
          </w:p>
        </w:tc>
        <w:tc>
          <w:tcPr>
            <w:tcW w:w="17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614</w:t>
            </w:r>
          </w:p>
        </w:tc>
        <w:tc>
          <w:tcPr>
            <w:tcW w:w="36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186</w:t>
            </w:r>
          </w:p>
        </w:tc>
        <w:tc>
          <w:tcPr>
            <w:tcW w:w="60" w:type="dxa"/>
            <w:vAlign w:val="bottom"/>
          </w:tcPr>
          <w:p>
            <w:pPr>
              <w:spacing w:after="0"/>
              <w:rPr>
                <w:sz w:val="17"/>
                <w:szCs w:val="17"/>
                <w:color w:val="auto"/>
              </w:rPr>
            </w:pPr>
          </w:p>
        </w:tc>
      </w:tr>
      <w:tr>
        <w:trPr>
          <w:trHeight w:val="236"/>
        </w:trPr>
        <w:tc>
          <w:tcPr>
            <w:tcW w:w="58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Comprehensive income</w:t>
            </w:r>
          </w:p>
        </w:tc>
        <w:tc>
          <w:tcPr>
            <w:tcW w:w="1780" w:type="dxa"/>
            <w:vAlign w:val="bottom"/>
            <w:tcBorders>
              <w:bottom w:val="single" w:sz="8" w:color="auto"/>
            </w:tcBorders>
            <w:shd w:val="clear" w:color="auto" w:fill="CFF0FC"/>
          </w:tcPr>
          <w:p>
            <w:pPr>
              <w:jc w:val="right"/>
              <w:ind w:right="1599"/>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91,578</w:t>
            </w:r>
          </w:p>
        </w:tc>
        <w:tc>
          <w:tcPr>
            <w:tcW w:w="36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ind w:right="510"/>
              <w:spacing w:after="0" w:line="196" w:lineRule="exact"/>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117,947</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-24765</wp:posOffset>
            </wp:positionV>
            <wp:extent cx="431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-7620</wp:posOffset>
            </wp:positionV>
            <wp:extent cx="431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Domino’s Pizza, Inc. and Subsidiaries</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80" w:type="dxa"/>
            <w:vAlign w:val="bottom"/>
            <w:gridSpan w:val="6"/>
          </w:tcPr>
          <w:p>
            <w:pPr>
              <w:jc w:val="right"/>
              <w:ind w:right="1070"/>
              <w:spacing w:after="0"/>
              <w:rPr>
                <w:sz w:val="20"/>
                <w:szCs w:val="20"/>
                <w:color w:val="auto"/>
              </w:rPr>
            </w:pPr>
            <w:r>
              <w:rPr>
                <w:rFonts w:ascii="Arial" w:cs="Arial" w:eastAsia="Arial" w:hAnsi="Arial"/>
                <w:sz w:val="14"/>
                <w:szCs w:val="14"/>
                <w:b w:val="1"/>
                <w:bCs w:val="1"/>
                <w:color w:val="auto"/>
              </w:rPr>
              <w:t>Fiscal Quarter Ended</w:t>
            </w:r>
          </w:p>
        </w:tc>
        <w:tc>
          <w:tcPr>
            <w:tcW w:w="0" w:type="dxa"/>
            <w:vAlign w:val="bottom"/>
          </w:tcPr>
          <w:p>
            <w:pPr>
              <w:spacing w:after="0"/>
              <w:rPr>
                <w:sz w:val="1"/>
                <w:szCs w:val="1"/>
                <w:color w:val="auto"/>
              </w:rPr>
            </w:pPr>
          </w:p>
        </w:tc>
      </w:tr>
      <w:tr>
        <w:trPr>
          <w:trHeight w:val="160"/>
        </w:trPr>
        <w:tc>
          <w:tcPr>
            <w:tcW w:w="76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ind w:right="412"/>
              <w:spacing w:after="0" w:line="160" w:lineRule="exact"/>
              <w:rPr>
                <w:sz w:val="20"/>
                <w:szCs w:val="20"/>
                <w:color w:val="auto"/>
              </w:rPr>
            </w:pPr>
            <w:r>
              <w:rPr>
                <w:rFonts w:ascii="Arial" w:cs="Arial" w:eastAsia="Arial" w:hAnsi="Arial"/>
                <w:sz w:val="14"/>
                <w:szCs w:val="14"/>
                <w:b w:val="1"/>
                <w:bCs w:val="1"/>
                <w:color w:val="auto"/>
              </w:rPr>
              <w:t>March 27,</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391"/>
              <w:spacing w:after="0" w:line="160" w:lineRule="exact"/>
              <w:rPr>
                <w:sz w:val="20"/>
                <w:szCs w:val="20"/>
                <w:color w:val="auto"/>
              </w:rPr>
            </w:pPr>
            <w:r>
              <w:rPr>
                <w:rFonts w:ascii="Arial" w:cs="Arial" w:eastAsia="Arial" w:hAnsi="Arial"/>
                <w:sz w:val="14"/>
                <w:szCs w:val="14"/>
                <w:b w:val="1"/>
                <w:bCs w:val="1"/>
                <w:color w:val="auto"/>
              </w:rPr>
              <w:t>March 28,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766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Cash flows from operating activities:</w:t>
            </w:r>
          </w:p>
        </w:tc>
        <w:tc>
          <w:tcPr>
            <w:tcW w:w="3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Net income</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90,964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117,761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3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380"/>
              <w:spacing w:after="0" w:line="202" w:lineRule="exact"/>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18,976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16,465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Loss on sale/disposal of assets</w:t>
            </w:r>
          </w:p>
        </w:tc>
        <w:tc>
          <w:tcPr>
            <w:tcW w:w="3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195</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380"/>
              <w:spacing w:after="0" w:line="202" w:lineRule="exact"/>
              <w:rPr>
                <w:sz w:val="20"/>
                <w:szCs w:val="20"/>
                <w:color w:val="auto"/>
              </w:rPr>
            </w:pPr>
            <w:r>
              <w:rPr>
                <w:rFonts w:ascii="Arial" w:cs="Arial" w:eastAsia="Arial" w:hAnsi="Arial"/>
                <w:sz w:val="18"/>
                <w:szCs w:val="18"/>
                <w:color w:val="auto"/>
              </w:rPr>
              <w:t>Amortization of debt issuance costs</w:t>
            </w:r>
          </w:p>
        </w:tc>
        <w:tc>
          <w:tcPr>
            <w:tcW w:w="3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1,319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1,203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Provision for deferred income taxes</w:t>
            </w:r>
          </w:p>
        </w:tc>
        <w:tc>
          <w:tcPr>
            <w:tcW w:w="3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1,319</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1,578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380"/>
              <w:spacing w:after="0" w:line="202" w:lineRule="exact"/>
              <w:rPr>
                <w:sz w:val="20"/>
                <w:szCs w:val="20"/>
                <w:color w:val="auto"/>
              </w:rPr>
            </w:pPr>
            <w:r>
              <w:rPr>
                <w:rFonts w:ascii="Arial" w:cs="Arial" w:eastAsia="Arial" w:hAnsi="Arial"/>
                <w:sz w:val="18"/>
                <w:szCs w:val="18"/>
                <w:color w:val="auto"/>
              </w:rPr>
              <w:t>Non-cash equity-based compensation expense</w:t>
            </w:r>
          </w:p>
        </w:tc>
        <w:tc>
          <w:tcPr>
            <w:tcW w:w="3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7,265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5,204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Excess tax benefits from equity-based compensation</w:t>
            </w:r>
          </w:p>
        </w:tc>
        <w:tc>
          <w:tcPr>
            <w:tcW w:w="30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(86 )</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(914 )</w:t>
            </w:r>
          </w:p>
        </w:tc>
        <w:tc>
          <w:tcPr>
            <w:tcW w:w="0" w:type="dxa"/>
            <w:vAlign w:val="bottom"/>
          </w:tcPr>
          <w:p>
            <w:pPr>
              <w:spacing w:after="0"/>
              <w:rPr>
                <w:sz w:val="1"/>
                <w:szCs w:val="1"/>
                <w:color w:val="auto"/>
              </w:rPr>
            </w:pPr>
          </w:p>
        </w:tc>
      </w:tr>
      <w:tr>
        <w:trPr>
          <w:trHeight w:val="203"/>
        </w:trPr>
        <w:tc>
          <w:tcPr>
            <w:tcW w:w="7660" w:type="dxa"/>
            <w:vAlign w:val="bottom"/>
          </w:tcPr>
          <w:p>
            <w:pPr>
              <w:ind w:left="380"/>
              <w:spacing w:after="0" w:line="202" w:lineRule="exact"/>
              <w:rPr>
                <w:sz w:val="20"/>
                <w:szCs w:val="20"/>
                <w:color w:val="auto"/>
              </w:rPr>
            </w:pPr>
            <w:r>
              <w:rPr>
                <w:rFonts w:ascii="Arial" w:cs="Arial" w:eastAsia="Arial" w:hAnsi="Arial"/>
                <w:sz w:val="18"/>
                <w:szCs w:val="18"/>
                <w:color w:val="auto"/>
              </w:rPr>
              <w:t>Provision for losses on accounts and notes receivable</w:t>
            </w:r>
          </w:p>
        </w:tc>
        <w:tc>
          <w:tcPr>
            <w:tcW w:w="3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1,462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180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Unrealized gain on investments</w:t>
            </w:r>
          </w:p>
        </w:tc>
        <w:tc>
          <w:tcPr>
            <w:tcW w:w="300" w:type="dxa"/>
            <w:vAlign w:val="bottom"/>
            <w:shd w:val="clear" w:color="auto" w:fill="CFF0FC"/>
          </w:tcPr>
          <w:p>
            <w:pPr>
              <w:spacing w:after="0"/>
              <w:rPr>
                <w:sz w:val="17"/>
                <w:szCs w:val="17"/>
                <w:color w:val="auto"/>
              </w:rPr>
            </w:pPr>
          </w:p>
        </w:tc>
        <w:tc>
          <w:tcPr>
            <w:tcW w:w="1600" w:type="dxa"/>
            <w:vAlign w:val="bottom"/>
            <w:gridSpan w:val="3"/>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(2,500 )</w:t>
            </w:r>
          </w:p>
        </w:tc>
        <w:tc>
          <w:tcPr>
            <w:tcW w:w="0" w:type="dxa"/>
            <w:vAlign w:val="bottom"/>
          </w:tcPr>
          <w:p>
            <w:pPr>
              <w:spacing w:after="0"/>
              <w:rPr>
                <w:sz w:val="1"/>
                <w:szCs w:val="1"/>
                <w:color w:val="auto"/>
              </w:rPr>
            </w:pPr>
          </w:p>
        </w:tc>
      </w:tr>
      <w:tr>
        <w:trPr>
          <w:trHeight w:val="203"/>
        </w:trPr>
        <w:tc>
          <w:tcPr>
            <w:tcW w:w="7660" w:type="dxa"/>
            <w:vAlign w:val="bottom"/>
          </w:tcPr>
          <w:p>
            <w:pPr>
              <w:ind w:left="38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300" w:type="dxa"/>
            <w:vAlign w:val="bottom"/>
          </w:tcPr>
          <w:p>
            <w:pPr>
              <w:spacing w:after="0"/>
              <w:rPr>
                <w:sz w:val="17"/>
                <w:szCs w:val="17"/>
                <w:color w:val="auto"/>
              </w:rPr>
            </w:pPr>
          </w:p>
        </w:tc>
        <w:tc>
          <w:tcPr>
            <w:tcW w:w="1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(34,718 )</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(1,634 )</w:t>
            </w: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Changes in advertising fund assets and liabilities, restricted</w:t>
            </w:r>
          </w:p>
        </w:tc>
        <w:tc>
          <w:tcPr>
            <w:tcW w:w="30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(7,907 )</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15,347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6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78,789</w:t>
            </w:r>
          </w:p>
        </w:tc>
        <w:tc>
          <w:tcPr>
            <w:tcW w:w="8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152,851</w:t>
            </w: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Cash flows from investing activities:</w:t>
            </w:r>
          </w:p>
        </w:tc>
        <w:tc>
          <w:tcPr>
            <w:tcW w:w="3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Capital expenditures</w:t>
            </w:r>
          </w:p>
        </w:tc>
        <w:tc>
          <w:tcPr>
            <w:tcW w:w="300" w:type="dxa"/>
            <w:vAlign w:val="bottom"/>
          </w:tcPr>
          <w:p>
            <w:pPr>
              <w:spacing w:after="0"/>
              <w:rPr>
                <w:sz w:val="17"/>
                <w:szCs w:val="17"/>
                <w:color w:val="auto"/>
              </w:rPr>
            </w:pPr>
          </w:p>
        </w:tc>
        <w:tc>
          <w:tcPr>
            <w:tcW w:w="1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(12,454 )</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(16,561 )</w:t>
            </w: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Purchase of investments</w:t>
            </w:r>
          </w:p>
        </w:tc>
        <w:tc>
          <w:tcPr>
            <w:tcW w:w="300" w:type="dxa"/>
            <w:vAlign w:val="bottom"/>
            <w:shd w:val="clear" w:color="auto" w:fill="CFF0FC"/>
          </w:tcPr>
          <w:p>
            <w:pPr>
              <w:spacing w:after="0"/>
              <w:rPr>
                <w:sz w:val="17"/>
                <w:szCs w:val="17"/>
                <w:color w:val="auto"/>
              </w:rPr>
            </w:pPr>
          </w:p>
        </w:tc>
        <w:tc>
          <w:tcPr>
            <w:tcW w:w="1600" w:type="dxa"/>
            <w:vAlign w:val="bottom"/>
            <w:gridSpan w:val="3"/>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(40,000 )</w:t>
            </w:r>
          </w:p>
        </w:tc>
        <w:tc>
          <w:tcPr>
            <w:tcW w:w="0" w:type="dxa"/>
            <w:vAlign w:val="bottom"/>
          </w:tcPr>
          <w:p>
            <w:pPr>
              <w:spacing w:after="0"/>
              <w:rPr>
                <w:sz w:val="1"/>
                <w:szCs w:val="1"/>
                <w:color w:val="auto"/>
              </w:rPr>
            </w:pPr>
          </w:p>
        </w:tc>
      </w:tr>
      <w:tr>
        <w:trPr>
          <w:trHeight w:val="203"/>
        </w:trPr>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Purchase of franchise operations and other assets</w:t>
            </w:r>
          </w:p>
        </w:tc>
        <w:tc>
          <w:tcPr>
            <w:tcW w:w="300" w:type="dxa"/>
            <w:vAlign w:val="bottom"/>
          </w:tcPr>
          <w:p>
            <w:pPr>
              <w:spacing w:after="0"/>
              <w:rPr>
                <w:sz w:val="17"/>
                <w:szCs w:val="17"/>
                <w:color w:val="auto"/>
              </w:rPr>
            </w:pPr>
          </w:p>
        </w:tc>
        <w:tc>
          <w:tcPr>
            <w:tcW w:w="1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(6,814 )</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Other</w:t>
            </w:r>
          </w:p>
        </w:tc>
        <w:tc>
          <w:tcPr>
            <w:tcW w:w="30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(1,368 )</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60" w:type="dxa"/>
            <w:vAlign w:val="bottom"/>
          </w:tcPr>
          <w:p>
            <w:pPr>
              <w:ind w:left="20"/>
              <w:spacing w:after="0" w:line="196" w:lineRule="exact"/>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17"/>
                <w:szCs w:val="17"/>
                <w:color w:val="auto"/>
              </w:rPr>
            </w:pPr>
          </w:p>
        </w:tc>
        <w:tc>
          <w:tcPr>
            <w:tcW w:w="1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(20,636 )</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(56,440 )</w:t>
            </w:r>
          </w:p>
        </w:tc>
        <w:tc>
          <w:tcPr>
            <w:tcW w:w="0" w:type="dxa"/>
            <w:vAlign w:val="bottom"/>
          </w:tcPr>
          <w:p>
            <w:pPr>
              <w:spacing w:after="0"/>
              <w:rPr>
                <w:sz w:val="1"/>
                <w:szCs w:val="1"/>
                <w:color w:val="auto"/>
              </w:rPr>
            </w:pPr>
          </w:p>
        </w:tc>
      </w:tr>
      <w:tr>
        <w:trPr>
          <w:trHeight w:val="196"/>
        </w:trPr>
        <w:tc>
          <w:tcPr>
            <w:tcW w:w="7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Cash flows from financing activities:</w:t>
            </w:r>
          </w:p>
        </w:tc>
        <w:tc>
          <w:tcPr>
            <w:tcW w:w="30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Repayments of long-term debt and finance lease obligations</w:t>
            </w:r>
          </w:p>
        </w:tc>
        <w:tc>
          <w:tcPr>
            <w:tcW w:w="300" w:type="dxa"/>
            <w:vAlign w:val="bottom"/>
          </w:tcPr>
          <w:p>
            <w:pPr>
              <w:spacing w:after="0"/>
              <w:rPr>
                <w:sz w:val="17"/>
                <w:szCs w:val="17"/>
                <w:color w:val="auto"/>
              </w:rPr>
            </w:pPr>
          </w:p>
        </w:tc>
        <w:tc>
          <w:tcPr>
            <w:tcW w:w="1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(13,861 )</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(704 )</w:t>
            </w: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Proceeds from exercise of stock options</w:t>
            </w:r>
          </w:p>
        </w:tc>
        <w:tc>
          <w:tcPr>
            <w:tcW w:w="3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266</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3,693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Purchases of common stock</w:t>
            </w:r>
          </w:p>
        </w:tc>
        <w:tc>
          <w:tcPr>
            <w:tcW w:w="300" w:type="dxa"/>
            <w:vAlign w:val="bottom"/>
          </w:tcPr>
          <w:p>
            <w:pPr>
              <w:spacing w:after="0"/>
              <w:rPr>
                <w:sz w:val="17"/>
                <w:szCs w:val="17"/>
                <w:color w:val="auto"/>
              </w:rPr>
            </w:pPr>
          </w:p>
        </w:tc>
        <w:tc>
          <w:tcPr>
            <w:tcW w:w="1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(47,661 )</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(25,000 )</w:t>
            </w: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Tax payments for restricted stock upon vesting</w:t>
            </w:r>
          </w:p>
        </w:tc>
        <w:tc>
          <w:tcPr>
            <w:tcW w:w="30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(789 )</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(1,044 )</w:t>
            </w:r>
          </w:p>
        </w:tc>
        <w:tc>
          <w:tcPr>
            <w:tcW w:w="0" w:type="dxa"/>
            <w:vAlign w:val="bottom"/>
          </w:tcPr>
          <w:p>
            <w:pPr>
              <w:spacing w:after="0"/>
              <w:rPr>
                <w:sz w:val="1"/>
                <w:szCs w:val="1"/>
                <w:color w:val="auto"/>
              </w:rPr>
            </w:pPr>
          </w:p>
        </w:tc>
      </w:tr>
      <w:tr>
        <w:trPr>
          <w:trHeight w:val="203"/>
        </w:trPr>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Payments of common stock dividends and equivalents</w:t>
            </w:r>
          </w:p>
        </w:tc>
        <w:tc>
          <w:tcPr>
            <w:tcW w:w="300" w:type="dxa"/>
            <w:vAlign w:val="bottom"/>
          </w:tcPr>
          <w:p>
            <w:pPr>
              <w:spacing w:after="0"/>
              <w:rPr>
                <w:sz w:val="17"/>
                <w:szCs w:val="17"/>
                <w:color w:val="auto"/>
              </w:rPr>
            </w:pPr>
          </w:p>
        </w:tc>
        <w:tc>
          <w:tcPr>
            <w:tcW w:w="1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(51 )</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r>
        <w:trPr>
          <w:trHeight w:val="183"/>
        </w:trPr>
        <w:tc>
          <w:tcPr>
            <w:tcW w:w="7660" w:type="dxa"/>
            <w:vAlign w:val="bottom"/>
            <w:tcBorders>
              <w:top w:val="single" w:sz="8" w:color="CFF0FC"/>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Net cash used in financing activities</w:t>
            </w:r>
          </w:p>
        </w:tc>
        <w:tc>
          <w:tcPr>
            <w:tcW w:w="300" w:type="dxa"/>
            <w:vAlign w:val="bottom"/>
            <w:tcBorders>
              <w:top w:val="single" w:sz="8" w:color="auto"/>
              <w:bottom w:val="single" w:sz="8" w:color="auto"/>
            </w:tcBorders>
            <w:shd w:val="clear" w:color="auto" w:fill="CFF0FC"/>
          </w:tcPr>
          <w:p>
            <w:pPr>
              <w:spacing w:after="0"/>
              <w:rPr>
                <w:sz w:val="15"/>
                <w:szCs w:val="15"/>
                <w:color w:val="auto"/>
              </w:rPr>
            </w:pPr>
          </w:p>
        </w:tc>
        <w:tc>
          <w:tcPr>
            <w:tcW w:w="13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(62,096</w:t>
            </w:r>
          </w:p>
        </w:tc>
        <w:tc>
          <w:tcPr>
            <w:tcW w:w="80" w:type="dxa"/>
            <w:vAlign w:val="bottom"/>
            <w:tcBorders>
              <w:top w:val="single" w:sz="8" w:color="CFF0FC"/>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74"/>
              </w:rPr>
              <w:t>)</w:t>
            </w:r>
          </w:p>
        </w:tc>
        <w:tc>
          <w:tcPr>
            <w:tcW w:w="180" w:type="dxa"/>
            <w:vAlign w:val="bottom"/>
            <w:tcBorders>
              <w:top w:val="single" w:sz="8" w:color="CFF0FC"/>
              <w:bottom w:val="single" w:sz="8" w:color="CFF0FC"/>
            </w:tcBorders>
            <w:shd w:val="clear" w:color="auto" w:fill="CFF0FC"/>
          </w:tcPr>
          <w:p>
            <w:pPr>
              <w:spacing w:after="0"/>
              <w:rPr>
                <w:sz w:val="15"/>
                <w:szCs w:val="15"/>
                <w:color w:val="auto"/>
              </w:rPr>
            </w:pPr>
          </w:p>
        </w:tc>
        <w:tc>
          <w:tcPr>
            <w:tcW w:w="300" w:type="dxa"/>
            <w:vAlign w:val="bottom"/>
            <w:tcBorders>
              <w:top w:val="single" w:sz="8" w:color="auto"/>
              <w:bottom w:val="single" w:sz="8" w:color="auto"/>
            </w:tcBorders>
            <w:shd w:val="clear" w:color="auto" w:fill="CFF0FC"/>
          </w:tcPr>
          <w:p>
            <w:pPr>
              <w:spacing w:after="0"/>
              <w:rPr>
                <w:sz w:val="15"/>
                <w:szCs w:val="15"/>
                <w:color w:val="auto"/>
              </w:rPr>
            </w:pPr>
          </w:p>
        </w:tc>
        <w:tc>
          <w:tcPr>
            <w:tcW w:w="13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(23,119</w:t>
            </w:r>
          </w:p>
        </w:tc>
        <w:tc>
          <w:tcPr>
            <w:tcW w:w="80" w:type="dxa"/>
            <w:vAlign w:val="bottom"/>
            <w:tcBorders>
              <w:top w:val="single" w:sz="8" w:color="CFF0FC"/>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6"/>
        </w:trPr>
        <w:tc>
          <w:tcPr>
            <w:tcW w:w="7660" w:type="dxa"/>
            <w:vAlign w:val="bottom"/>
          </w:tcPr>
          <w:p>
            <w:pPr>
              <w:ind w:left="20"/>
              <w:spacing w:after="0" w:line="196" w:lineRule="exact"/>
              <w:rPr>
                <w:sz w:val="20"/>
                <w:szCs w:val="20"/>
                <w:color w:val="auto"/>
              </w:rPr>
            </w:pPr>
            <w:r>
              <w:rPr>
                <w:rFonts w:ascii="Arial" w:cs="Arial" w:eastAsia="Arial" w:hAnsi="Arial"/>
                <w:sz w:val="18"/>
                <w:szCs w:val="18"/>
                <w:color w:val="auto"/>
              </w:rPr>
              <w:t>Effect of exchange rate changes on cash</w:t>
            </w: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6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Change in cash and cash equivalents, restricted cash and cash equivalents</w:t>
            </w:r>
          </w:p>
        </w:tc>
        <w:tc>
          <w:tcPr>
            <w:tcW w:w="30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(3,569</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73,453</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7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Cash and cash equivalents, beginning of period</w:t>
            </w:r>
          </w:p>
        </w:tc>
        <w:tc>
          <w:tcPr>
            <w:tcW w:w="3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148,160</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168,821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Restricted cash and cash equivalents, beginning of period</w:t>
            </w:r>
          </w:p>
        </w:tc>
        <w:tc>
          <w:tcPr>
            <w:tcW w:w="3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180,579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217,453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66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Cash and cash equivalents included in advertising fund assets, restricted,</w:t>
            </w:r>
          </w:p>
        </w:tc>
        <w:tc>
          <w:tcPr>
            <w:tcW w:w="300" w:type="dxa"/>
            <w:vAlign w:val="bottom"/>
            <w:shd w:val="clear" w:color="auto" w:fill="CFF0FC"/>
          </w:tcPr>
          <w:p>
            <w:pPr>
              <w:spacing w:after="0"/>
              <w:rPr>
                <w:sz w:val="14"/>
                <w:szCs w:val="14"/>
                <w:color w:val="auto"/>
              </w:rPr>
            </w:pPr>
          </w:p>
        </w:tc>
        <w:tc>
          <w:tcPr>
            <w:tcW w:w="13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161,741</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115,872</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660" w:type="dxa"/>
            <w:vAlign w:val="bottom"/>
            <w:tcBorders>
              <w:bottom w:val="single" w:sz="8" w:color="CFF0FC"/>
            </w:tcBorders>
            <w:shd w:val="clear" w:color="auto" w:fill="CFF0FC"/>
          </w:tcPr>
          <w:p>
            <w:pPr>
              <w:ind w:left="160"/>
              <w:spacing w:after="0" w:line="202" w:lineRule="exact"/>
              <w:rPr>
                <w:sz w:val="20"/>
                <w:szCs w:val="20"/>
                <w:color w:val="auto"/>
              </w:rPr>
            </w:pPr>
            <w:r>
              <w:rPr>
                <w:rFonts w:ascii="Arial" w:cs="Arial" w:eastAsia="Arial" w:hAnsi="Arial"/>
                <w:sz w:val="18"/>
                <w:szCs w:val="18"/>
                <w:color w:val="auto"/>
              </w:rPr>
              <w:t>beginning of period</w:t>
            </w:r>
          </w:p>
        </w:tc>
        <w:tc>
          <w:tcPr>
            <w:tcW w:w="30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vMerge w:val="continue"/>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vMerge w:val="continue"/>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7660" w:type="dxa"/>
            <w:vAlign w:val="bottom"/>
          </w:tcPr>
          <w:p>
            <w:pPr>
              <w:ind w:left="20"/>
              <w:spacing w:after="0" w:line="156" w:lineRule="exact"/>
              <w:rPr>
                <w:sz w:val="20"/>
                <w:szCs w:val="20"/>
                <w:color w:val="auto"/>
              </w:rPr>
            </w:pPr>
            <w:r>
              <w:rPr>
                <w:rFonts w:ascii="Arial" w:cs="Arial" w:eastAsia="Arial" w:hAnsi="Arial"/>
                <w:sz w:val="18"/>
                <w:szCs w:val="18"/>
                <w:color w:val="auto"/>
              </w:rPr>
              <w:t>Cash and cash equivalents, restricted cash and cash equivalents and cash and</w:t>
            </w:r>
          </w:p>
        </w:tc>
        <w:tc>
          <w:tcPr>
            <w:tcW w:w="300" w:type="dxa"/>
            <w:vAlign w:val="bottom"/>
          </w:tcPr>
          <w:p>
            <w:pPr>
              <w:spacing w:after="0"/>
              <w:rPr>
                <w:sz w:val="13"/>
                <w:szCs w:val="13"/>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490,480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502,146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7660" w:type="dxa"/>
            <w:vAlign w:val="bottom"/>
          </w:tcPr>
          <w:p>
            <w:pPr>
              <w:ind w:left="160"/>
              <w:spacing w:after="0" w:line="156" w:lineRule="exact"/>
              <w:rPr>
                <w:sz w:val="20"/>
                <w:szCs w:val="20"/>
                <w:color w:val="auto"/>
              </w:rPr>
            </w:pPr>
            <w:r>
              <w:rPr>
                <w:rFonts w:ascii="Arial" w:cs="Arial" w:eastAsia="Arial" w:hAnsi="Arial"/>
                <w:sz w:val="18"/>
                <w:szCs w:val="18"/>
                <w:color w:val="auto"/>
              </w:rPr>
              <w:t>cash equivalents included in advertising fund assets, restricted, beginning of period</w:t>
            </w:r>
          </w:p>
        </w:tc>
        <w:tc>
          <w:tcPr>
            <w:tcW w:w="3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Cash and cash equivalents, end of period</w:t>
            </w:r>
          </w:p>
        </w:tc>
        <w:tc>
          <w:tcPr>
            <w:tcW w:w="3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164,962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267,719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Restricted cash and cash equivalents, end of period</w:t>
            </w:r>
          </w:p>
        </w:tc>
        <w:tc>
          <w:tcPr>
            <w:tcW w:w="3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168,241</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176,029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660" w:type="dxa"/>
            <w:vAlign w:val="bottom"/>
          </w:tcPr>
          <w:p>
            <w:pPr>
              <w:ind w:left="20"/>
              <w:spacing w:after="0" w:line="162" w:lineRule="exact"/>
              <w:rPr>
                <w:sz w:val="20"/>
                <w:szCs w:val="20"/>
                <w:color w:val="auto"/>
              </w:rPr>
            </w:pPr>
            <w:r>
              <w:rPr>
                <w:rFonts w:ascii="Arial" w:cs="Arial" w:eastAsia="Arial" w:hAnsi="Arial"/>
                <w:sz w:val="18"/>
                <w:szCs w:val="18"/>
                <w:color w:val="auto"/>
              </w:rPr>
              <w:t>Cash and cash equivalents included in advertising fund assets, restricted,</w:t>
            </w:r>
          </w:p>
        </w:tc>
        <w:tc>
          <w:tcPr>
            <w:tcW w:w="30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153,708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131,851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160"/>
              <w:spacing w:after="0" w:line="202" w:lineRule="exact"/>
              <w:rPr>
                <w:sz w:val="20"/>
                <w:szCs w:val="20"/>
                <w:color w:val="auto"/>
              </w:rPr>
            </w:pPr>
            <w:r>
              <w:rPr>
                <w:rFonts w:ascii="Arial" w:cs="Arial" w:eastAsia="Arial" w:hAnsi="Arial"/>
                <w:sz w:val="18"/>
                <w:szCs w:val="18"/>
                <w:color w:val="auto"/>
              </w:rPr>
              <w:t>end of period</w:t>
            </w: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7660" w:type="dxa"/>
            <w:vAlign w:val="bottom"/>
            <w:shd w:val="clear" w:color="auto" w:fill="CFF0FC"/>
          </w:tcPr>
          <w:p>
            <w:pPr>
              <w:ind w:left="20"/>
              <w:spacing w:after="0" w:line="156" w:lineRule="exact"/>
              <w:rPr>
                <w:sz w:val="20"/>
                <w:szCs w:val="20"/>
                <w:color w:val="auto"/>
              </w:rPr>
            </w:pPr>
            <w:r>
              <w:rPr>
                <w:rFonts w:ascii="Arial" w:cs="Arial" w:eastAsia="Arial" w:hAnsi="Arial"/>
                <w:sz w:val="18"/>
                <w:szCs w:val="18"/>
                <w:color w:val="auto"/>
              </w:rPr>
              <w:t>Cash and cash equivalents, restricted cash and cash equivalents and cash and</w:t>
            </w:r>
          </w:p>
        </w:tc>
        <w:tc>
          <w:tcPr>
            <w:tcW w:w="300" w:type="dxa"/>
            <w:vAlign w:val="bottom"/>
            <w:vMerge w:val="restart"/>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486,911</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00" w:type="dxa"/>
            <w:vAlign w:val="bottom"/>
            <w:vMerge w:val="restart"/>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575,599</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660" w:type="dxa"/>
            <w:vAlign w:val="bottom"/>
            <w:tcBorders>
              <w:bottom w:val="single" w:sz="8" w:color="CFF0FC"/>
            </w:tcBorders>
            <w:shd w:val="clear" w:color="auto" w:fill="CFF0FC"/>
          </w:tcPr>
          <w:p>
            <w:pPr>
              <w:ind w:left="160"/>
              <w:spacing w:after="0" w:line="156" w:lineRule="exact"/>
              <w:rPr>
                <w:sz w:val="20"/>
                <w:szCs w:val="20"/>
                <w:color w:val="auto"/>
              </w:rPr>
            </w:pPr>
            <w:r>
              <w:rPr>
                <w:rFonts w:ascii="Arial" w:cs="Arial" w:eastAsia="Arial" w:hAnsi="Arial"/>
                <w:sz w:val="18"/>
                <w:szCs w:val="18"/>
                <w:color w:val="auto"/>
              </w:rPr>
              <w:t>cash equivalents included in advertising fund assets, restricted, end of period</w:t>
            </w:r>
          </w:p>
        </w:tc>
        <w:tc>
          <w:tcPr>
            <w:tcW w:w="300" w:type="dxa"/>
            <w:vAlign w:val="bottom"/>
            <w:tcBorders>
              <w:bottom w:val="single" w:sz="8" w:color="auto"/>
            </w:tcBorders>
            <w:vMerge w:val="continue"/>
            <w:shd w:val="clear" w:color="auto" w:fill="CFF0FC"/>
          </w:tcPr>
          <w:p>
            <w:pPr>
              <w:spacing w:after="0"/>
              <w:rPr>
                <w:sz w:val="18"/>
                <w:szCs w:val="18"/>
                <w:color w:val="auto"/>
              </w:rPr>
            </w:pPr>
          </w:p>
        </w:tc>
        <w:tc>
          <w:tcPr>
            <w:tcW w:w="1340" w:type="dxa"/>
            <w:vAlign w:val="bottom"/>
            <w:tcBorders>
              <w:bottom w:val="single" w:sz="8" w:color="auto"/>
            </w:tcBorders>
            <w:vMerge w:val="continue"/>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vMerge w:val="continue"/>
            <w:shd w:val="clear" w:color="auto" w:fill="CFF0FC"/>
          </w:tcPr>
          <w:p>
            <w:pPr>
              <w:spacing w:after="0"/>
              <w:rPr>
                <w:sz w:val="18"/>
                <w:szCs w:val="18"/>
                <w:color w:val="auto"/>
              </w:rPr>
            </w:pPr>
          </w:p>
        </w:tc>
        <w:tc>
          <w:tcPr>
            <w:tcW w:w="1300" w:type="dxa"/>
            <w:vAlign w:val="bottom"/>
            <w:tcBorders>
              <w:bottom w:val="single" w:sz="8" w:color="auto"/>
            </w:tcBorders>
            <w:vMerge w:val="continue"/>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-3862705</wp:posOffset>
            </wp:positionV>
            <wp:extent cx="51435"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-3862705</wp:posOffset>
            </wp:positionV>
            <wp:extent cx="51435"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-3074035</wp:posOffset>
            </wp:positionV>
            <wp:extent cx="51435"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-3074035</wp:posOffset>
            </wp:positionV>
            <wp:extent cx="51435"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-2172335</wp:posOffset>
            </wp:positionV>
            <wp:extent cx="76835" cy="1625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7073265</wp:posOffset>
            </wp:positionH>
            <wp:positionV relativeFrom="paragraph">
              <wp:posOffset>-2172335</wp:posOffset>
            </wp:positionV>
            <wp:extent cx="76835" cy="1625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-1757045</wp:posOffset>
            </wp:positionV>
            <wp:extent cx="514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-1739265</wp:posOffset>
            </wp:positionV>
            <wp:extent cx="514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-1757045</wp:posOffset>
            </wp:positionV>
            <wp:extent cx="514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-1739265</wp:posOffset>
            </wp:positionV>
            <wp:extent cx="514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-1110615</wp:posOffset>
            </wp:positionV>
            <wp:extent cx="51435"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-1110615</wp:posOffset>
            </wp:positionV>
            <wp:extent cx="51435"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514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514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-8255</wp:posOffset>
            </wp:positionV>
            <wp:extent cx="514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Domino’s Pizza, Inc. and Subsidiaries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rPr>
          <w:sz w:val="20"/>
          <w:szCs w:val="20"/>
          <w:color w:val="auto"/>
        </w:rPr>
      </w:pPr>
      <w:r>
        <w:rPr>
          <w:rFonts w:ascii="Arial" w:cs="Arial" w:eastAsia="Arial" w:hAnsi="Arial"/>
          <w:sz w:val="18"/>
          <w:szCs w:val="18"/>
          <w:b w:val="1"/>
          <w:bCs w:val="1"/>
          <w:color w:val="auto"/>
        </w:rPr>
        <w:t>(Unaudited; tabular amounts in thousands, except percentages, share and per share amounts)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27, 2022</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1. Basis of Presentation</w:t>
      </w:r>
    </w:p>
    <w:p>
      <w:pPr>
        <w:spacing w:after="0" w:line="104" w:lineRule="exact"/>
        <w:rPr>
          <w:sz w:val="20"/>
          <w:szCs w:val="20"/>
          <w:color w:val="auto"/>
        </w:rPr>
      </w:pPr>
    </w:p>
    <w:p>
      <w:pPr>
        <w:ind w:firstLine="255"/>
        <w:spacing w:after="0" w:line="279"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United States for interim financial information and with the instructions to Form 10-Q and Rule 10-01 of Regulation S-X. Accordingly, they do not include all of the information and footnotes required by accounting principles generally accepted in the United States for complete financial statements. For further information, refer to the consolidated financial statements and footnotes for the fiscal year ended January 2, 2022 included in the Company’s 2021 Annual Report on Form 10-K, filed with the Securities and Exchange Commission on March 1, 2022 (the “2021 Form 10-K”).</w:t>
      </w:r>
    </w:p>
    <w:p>
      <w:pPr>
        <w:spacing w:after="0" w:line="51" w:lineRule="exact"/>
        <w:rPr>
          <w:sz w:val="20"/>
          <w:szCs w:val="20"/>
          <w:color w:val="auto"/>
        </w:rPr>
      </w:pPr>
    </w:p>
    <w:p>
      <w:pPr>
        <w:ind w:right="300" w:firstLine="255"/>
        <w:spacing w:after="0" w:line="248" w:lineRule="auto"/>
        <w:rPr>
          <w:sz w:val="20"/>
          <w:szCs w:val="20"/>
          <w:color w:val="auto"/>
        </w:rPr>
      </w:pPr>
      <w:r>
        <w:rPr>
          <w:rFonts w:ascii="Arial" w:cs="Arial" w:eastAsia="Arial" w:hAnsi="Arial"/>
          <w:sz w:val="18"/>
          <w:szCs w:val="18"/>
          <w:color w:val="auto"/>
        </w:rPr>
        <w:t>In the opinion of management, all adjustments, consisting of normal recurring items, considered necessary for a fair statement have been included. Operating results for the fiscal quarter ended March 27, 2022 are not necessarily indicative of the results that may be expected for the fiscal year ending January 1, 2023.</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2. Segment Information</w:t>
      </w:r>
    </w:p>
    <w:p>
      <w:pPr>
        <w:spacing w:after="0" w:line="198" w:lineRule="exact"/>
        <w:rPr>
          <w:sz w:val="20"/>
          <w:szCs w:val="20"/>
          <w:color w:val="auto"/>
        </w:rPr>
      </w:pPr>
    </w:p>
    <w:p>
      <w:pPr>
        <w:ind w:right="160" w:firstLine="255"/>
        <w:spacing w:after="0"/>
        <w:rPr>
          <w:sz w:val="20"/>
          <w:szCs w:val="20"/>
          <w:color w:val="auto"/>
        </w:rPr>
      </w:pPr>
      <w:r>
        <w:rPr>
          <w:rFonts w:ascii="Arial" w:cs="Arial" w:eastAsia="Arial" w:hAnsi="Arial"/>
          <w:sz w:val="18"/>
          <w:szCs w:val="18"/>
          <w:color w:val="auto"/>
        </w:rPr>
        <w:t>The following tables summarize revenues and earnings before interest, taxes, depreciation, amortization and other, which is the measure by which the Company allocates resources to its segments and which the Company refers to as Segment Income, for each of its reportable segments. Intersegment revenues are comprised of sales of food, equipment and supplies from the supply chain segment to the Company-owned stores in the U.S. stores segment. Intersegment sales prices are market based. The “Other” column as it relates to Segment Income below primarily includes corporate administrative costs that are not allocable to a reportable segment, including labor, computer expenses, professional fees, travel and entertainment, rent, insurance and other corporate administrative costs.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700" w:type="dxa"/>
            <w:vAlign w:val="bottom"/>
            <w:tcBorders>
              <w:bottom w:val="single" w:sz="8" w:color="auto"/>
            </w:tcBorders>
            <w:gridSpan w:val="11"/>
          </w:tcPr>
          <w:p>
            <w:pPr>
              <w:jc w:val="right"/>
              <w:ind w:right="700"/>
              <w:spacing w:after="0"/>
              <w:rPr>
                <w:sz w:val="20"/>
                <w:szCs w:val="20"/>
                <w:color w:val="auto"/>
              </w:rPr>
            </w:pPr>
            <w:r>
              <w:rPr>
                <w:rFonts w:ascii="Arial" w:cs="Arial" w:eastAsia="Arial" w:hAnsi="Arial"/>
                <w:sz w:val="14"/>
                <w:szCs w:val="14"/>
                <w:b w:val="1"/>
                <w:bCs w:val="1"/>
                <w:color w:val="auto"/>
              </w:rPr>
              <w:t>Fiscal Quarters Ended March 27, 2022 and March 28, 2021</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4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ind w:right="256"/>
              <w:spacing w:after="0" w:line="160" w:lineRule="exact"/>
              <w:rPr>
                <w:sz w:val="20"/>
                <w:szCs w:val="20"/>
                <w:color w:val="auto"/>
              </w:rPr>
            </w:pPr>
            <w:r>
              <w:rPr>
                <w:rFonts w:ascii="Arial" w:cs="Arial" w:eastAsia="Arial" w:hAnsi="Arial"/>
                <w:sz w:val="14"/>
                <w:szCs w:val="14"/>
                <w:b w:val="1"/>
                <w:bCs w:val="1"/>
                <w:color w:val="auto"/>
              </w:rPr>
              <w:t>U.S.</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ind w:right="218"/>
              <w:spacing w:after="0" w:line="160" w:lineRule="exact"/>
              <w:rPr>
                <w:sz w:val="20"/>
                <w:szCs w:val="20"/>
                <w:color w:val="auto"/>
              </w:rPr>
            </w:pPr>
            <w:r>
              <w:rPr>
                <w:rFonts w:ascii="Arial" w:cs="Arial" w:eastAsia="Arial" w:hAnsi="Arial"/>
                <w:sz w:val="14"/>
                <w:szCs w:val="14"/>
                <w:b w:val="1"/>
                <w:bCs w:val="1"/>
                <w:color w:val="auto"/>
              </w:rPr>
              <w:t>Supply</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ind w:right="36"/>
              <w:spacing w:after="0" w:line="160" w:lineRule="exact"/>
              <w:rPr>
                <w:sz w:val="20"/>
                <w:szCs w:val="20"/>
                <w:color w:val="auto"/>
              </w:rPr>
            </w:pPr>
            <w:r>
              <w:rPr>
                <w:rFonts w:ascii="Arial" w:cs="Arial" w:eastAsia="Arial" w:hAnsi="Arial"/>
                <w:sz w:val="14"/>
                <w:szCs w:val="14"/>
                <w:b w:val="1"/>
                <w:bCs w:val="1"/>
                <w:color w:val="auto"/>
                <w:w w:val="95"/>
              </w:rPr>
              <w:t>International</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right"/>
              <w:ind w:right="320"/>
              <w:spacing w:after="0" w:line="160" w:lineRule="exact"/>
              <w:rPr>
                <w:sz w:val="20"/>
                <w:szCs w:val="20"/>
                <w:color w:val="auto"/>
              </w:rPr>
            </w:pPr>
            <w:r>
              <w:rPr>
                <w:rFonts w:ascii="Arial" w:cs="Arial" w:eastAsia="Arial" w:hAnsi="Arial"/>
                <w:sz w:val="14"/>
                <w:szCs w:val="14"/>
                <w:b w:val="1"/>
                <w:bCs w:val="1"/>
                <w:color w:val="auto"/>
                <w:w w:val="90"/>
              </w:rPr>
              <w:t>Intersegment</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5"/>
        </w:trPr>
        <w:tc>
          <w:tcPr>
            <w:tcW w:w="4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196"/>
              <w:spacing w:after="0"/>
              <w:rPr>
                <w:sz w:val="20"/>
                <w:szCs w:val="20"/>
                <w:color w:val="auto"/>
              </w:rPr>
            </w:pPr>
            <w:r>
              <w:rPr>
                <w:rFonts w:ascii="Arial" w:cs="Arial" w:eastAsia="Arial" w:hAnsi="Arial"/>
                <w:sz w:val="14"/>
                <w:szCs w:val="14"/>
                <w:b w:val="1"/>
                <w:bCs w:val="1"/>
                <w:color w:val="auto"/>
              </w:rPr>
              <w:t>Stores</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258"/>
              <w:spacing w:after="0"/>
              <w:rPr>
                <w:sz w:val="20"/>
                <w:szCs w:val="20"/>
                <w:color w:val="auto"/>
              </w:rPr>
            </w:pPr>
            <w:r>
              <w:rPr>
                <w:rFonts w:ascii="Arial" w:cs="Arial" w:eastAsia="Arial" w:hAnsi="Arial"/>
                <w:sz w:val="14"/>
                <w:szCs w:val="14"/>
                <w:b w:val="1"/>
                <w:bCs w:val="1"/>
                <w:color w:val="auto"/>
              </w:rPr>
              <w:t>Chain</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136"/>
              <w:spacing w:after="0"/>
              <w:rPr>
                <w:sz w:val="20"/>
                <w:szCs w:val="20"/>
                <w:color w:val="auto"/>
              </w:rPr>
            </w:pPr>
            <w:r>
              <w:rPr>
                <w:rFonts w:ascii="Arial" w:cs="Arial" w:eastAsia="Arial" w:hAnsi="Arial"/>
                <w:sz w:val="14"/>
                <w:szCs w:val="14"/>
                <w:b w:val="1"/>
                <w:bCs w:val="1"/>
                <w:color w:val="auto"/>
              </w:rPr>
              <w:t>Franchise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Revenues</w:t>
            </w:r>
          </w:p>
        </w:tc>
        <w:tc>
          <w:tcPr>
            <w:tcW w:w="180" w:type="dxa"/>
            <w:vAlign w:val="bottom"/>
          </w:tcPr>
          <w:p>
            <w:pPr>
              <w:spacing w:after="0"/>
              <w:rPr>
                <w:sz w:val="16"/>
                <w:szCs w:val="16"/>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6"/>
                <w:szCs w:val="16"/>
                <w:color w:val="auto"/>
              </w:rPr>
            </w:pPr>
          </w:p>
        </w:tc>
        <w:tc>
          <w:tcPr>
            <w:tcW w:w="820" w:type="dxa"/>
            <w:vAlign w:val="bottom"/>
          </w:tcPr>
          <w:p>
            <w:pPr>
              <w:jc w:val="right"/>
              <w:ind w:right="27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r>
      <w:tr>
        <w:trPr>
          <w:trHeight w:val="196"/>
        </w:trPr>
        <w:tc>
          <w:tcPr>
            <w:tcW w:w="4060" w:type="dxa"/>
            <w:vAlign w:val="bottom"/>
            <w:shd w:val="clear" w:color="auto" w:fill="CFF0FC"/>
          </w:tcPr>
          <w:p>
            <w:pPr>
              <w:jc w:val="center"/>
              <w:ind w:right="3230"/>
              <w:spacing w:after="0" w:line="196" w:lineRule="exact"/>
              <w:rPr>
                <w:sz w:val="20"/>
                <w:szCs w:val="20"/>
                <w:color w:val="auto"/>
              </w:rPr>
            </w:pPr>
            <w:r>
              <w:rPr>
                <w:rFonts w:ascii="Arial" w:cs="Arial" w:eastAsia="Arial" w:hAnsi="Arial"/>
                <w:sz w:val="18"/>
                <w:szCs w:val="18"/>
                <w:color w:val="auto"/>
                <w:w w:val="86"/>
              </w:rPr>
              <w:t>Revenues</w:t>
            </w:r>
          </w:p>
        </w:tc>
        <w:tc>
          <w:tcPr>
            <w:tcW w:w="18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060" w:type="dxa"/>
            <w:vAlign w:val="bottom"/>
          </w:tcPr>
          <w:p>
            <w:pPr>
              <w:jc w:val="center"/>
              <w:ind w:right="3210"/>
              <w:spacing w:after="0" w:line="202" w:lineRule="exact"/>
              <w:rPr>
                <w:sz w:val="20"/>
                <w:szCs w:val="20"/>
                <w:color w:val="auto"/>
              </w:rPr>
            </w:pPr>
            <w:r>
              <w:rPr>
                <w:rFonts w:ascii="Arial" w:cs="Arial" w:eastAsia="Arial" w:hAnsi="Arial"/>
                <w:sz w:val="18"/>
                <w:szCs w:val="18"/>
                <w:color w:val="auto"/>
                <w:w w:val="89"/>
              </w:rPr>
              <w:t>2022</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332,769</w:t>
            </w:r>
          </w:p>
        </w:tc>
        <w:tc>
          <w:tcPr>
            <w:tcW w:w="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641,962</w:t>
            </w:r>
          </w:p>
        </w:tc>
        <w:tc>
          <w:tcPr>
            <w:tcW w:w="3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68,833</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(32,415 )</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w w:val="97"/>
              </w:rPr>
              <w:t>1,011,149</w:t>
            </w:r>
          </w:p>
        </w:tc>
        <w:tc>
          <w:tcPr>
            <w:tcW w:w="100" w:type="dxa"/>
            <w:vAlign w:val="bottom"/>
          </w:tcPr>
          <w:p>
            <w:pPr>
              <w:spacing w:after="0"/>
              <w:rPr>
                <w:sz w:val="17"/>
                <w:szCs w:val="17"/>
                <w:color w:val="auto"/>
              </w:rPr>
            </w:pPr>
          </w:p>
        </w:tc>
      </w:tr>
      <w:tr>
        <w:trPr>
          <w:trHeight w:val="203"/>
        </w:trPr>
        <w:tc>
          <w:tcPr>
            <w:tcW w:w="4060" w:type="dxa"/>
            <w:vAlign w:val="bottom"/>
            <w:shd w:val="clear" w:color="auto" w:fill="CFF0FC"/>
          </w:tcPr>
          <w:p>
            <w:pPr>
              <w:jc w:val="center"/>
              <w:ind w:right="3210"/>
              <w:spacing w:after="0" w:line="202" w:lineRule="exact"/>
              <w:rPr>
                <w:sz w:val="20"/>
                <w:szCs w:val="20"/>
                <w:color w:val="auto"/>
              </w:rPr>
            </w:pPr>
            <w:r>
              <w:rPr>
                <w:rFonts w:ascii="Arial" w:cs="Arial" w:eastAsia="Arial" w:hAnsi="Arial"/>
                <w:sz w:val="18"/>
                <w:szCs w:val="18"/>
                <w:color w:val="auto"/>
                <w:w w:val="89"/>
              </w:rPr>
              <w:t>2021</w:t>
            </w: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348,590</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599,177</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66,770</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(30,839 )</w:t>
            </w:r>
          </w:p>
        </w:tc>
        <w:tc>
          <w:tcPr>
            <w:tcW w:w="18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983,698</w:t>
            </w:r>
          </w:p>
        </w:tc>
        <w:tc>
          <w:tcPr>
            <w:tcW w:w="100" w:type="dxa"/>
            <w:vAlign w:val="bottom"/>
            <w:shd w:val="clear" w:color="auto" w:fill="CFF0FC"/>
          </w:tcPr>
          <w:p>
            <w:pPr>
              <w:spacing w:after="0"/>
              <w:rPr>
                <w:sz w:val="17"/>
                <w:szCs w:val="17"/>
                <w:color w:val="auto"/>
              </w:rPr>
            </w:pPr>
          </w:p>
        </w:tc>
      </w:tr>
      <w:tr>
        <w:trPr>
          <w:trHeight w:val="203"/>
        </w:trPr>
        <w:tc>
          <w:tcPr>
            <w:tcW w:w="4060" w:type="dxa"/>
            <w:vAlign w:val="bottom"/>
          </w:tcPr>
          <w:p>
            <w:pPr>
              <w:ind w:left="20"/>
              <w:spacing w:after="0" w:line="202" w:lineRule="exact"/>
              <w:rPr>
                <w:sz w:val="20"/>
                <w:szCs w:val="20"/>
                <w:color w:val="auto"/>
              </w:rPr>
            </w:pPr>
            <w:r>
              <w:rPr>
                <w:rFonts w:ascii="Arial" w:cs="Arial" w:eastAsia="Arial" w:hAnsi="Arial"/>
                <w:sz w:val="18"/>
                <w:szCs w:val="18"/>
                <w:color w:val="auto"/>
              </w:rPr>
              <w:t>Segment Income</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060" w:type="dxa"/>
            <w:vAlign w:val="bottom"/>
            <w:shd w:val="clear" w:color="auto" w:fill="CFF0FC"/>
          </w:tcPr>
          <w:p>
            <w:pPr>
              <w:jc w:val="center"/>
              <w:ind w:right="3210"/>
              <w:spacing w:after="0" w:line="202" w:lineRule="exact"/>
              <w:rPr>
                <w:sz w:val="20"/>
                <w:szCs w:val="20"/>
                <w:color w:val="auto"/>
              </w:rPr>
            </w:pPr>
            <w:r>
              <w:rPr>
                <w:rFonts w:ascii="Arial" w:cs="Arial" w:eastAsia="Arial" w:hAnsi="Arial"/>
                <w:sz w:val="18"/>
                <w:szCs w:val="18"/>
                <w:color w:val="auto"/>
                <w:w w:val="89"/>
              </w:rPr>
              <w:t>2022</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97,292</w:t>
            </w:r>
          </w:p>
        </w:tc>
        <w:tc>
          <w:tcPr>
            <w:tcW w:w="4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46,349</w:t>
            </w:r>
          </w:p>
        </w:tc>
        <w:tc>
          <w:tcPr>
            <w:tcW w:w="3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55,046</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N/A</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(7,710 )</w:t>
            </w: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190,977</w:t>
            </w:r>
          </w:p>
        </w:tc>
        <w:tc>
          <w:tcPr>
            <w:tcW w:w="100" w:type="dxa"/>
            <w:vAlign w:val="bottom"/>
            <w:shd w:val="clear" w:color="auto" w:fill="CFF0FC"/>
          </w:tcPr>
          <w:p>
            <w:pPr>
              <w:spacing w:after="0"/>
              <w:rPr>
                <w:sz w:val="17"/>
                <w:szCs w:val="17"/>
                <w:color w:val="auto"/>
              </w:rPr>
            </w:pPr>
          </w:p>
        </w:tc>
      </w:tr>
      <w:tr>
        <w:trPr>
          <w:trHeight w:val="230"/>
        </w:trPr>
        <w:tc>
          <w:tcPr>
            <w:tcW w:w="4060" w:type="dxa"/>
            <w:vAlign w:val="bottom"/>
          </w:tcPr>
          <w:p>
            <w:pPr>
              <w:jc w:val="center"/>
              <w:ind w:right="3210"/>
              <w:spacing w:after="0"/>
              <w:rPr>
                <w:sz w:val="20"/>
                <w:szCs w:val="20"/>
                <w:color w:val="auto"/>
              </w:rPr>
            </w:pPr>
            <w:r>
              <w:rPr>
                <w:rFonts w:ascii="Arial" w:cs="Arial" w:eastAsia="Arial" w:hAnsi="Arial"/>
                <w:sz w:val="18"/>
                <w:szCs w:val="18"/>
                <w:color w:val="auto"/>
                <w:w w:val="89"/>
              </w:rPr>
              <w:t>2021</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107,436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52,552</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54,468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(6,088 )</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208,368</w:t>
            </w:r>
          </w:p>
        </w:tc>
        <w:tc>
          <w:tcPr>
            <w:tcW w:w="100" w:type="dxa"/>
            <w:vAlign w:val="bottom"/>
          </w:tcPr>
          <w:p>
            <w:pPr>
              <w:spacing w:after="0"/>
              <w:rPr>
                <w:sz w:val="20"/>
                <w:szCs w:val="20"/>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total Segment Income to consolidated income before provision for income taxes.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80" w:type="dxa"/>
            <w:vAlign w:val="bottom"/>
            <w:gridSpan w:val="8"/>
          </w:tcPr>
          <w:p>
            <w:pPr>
              <w:jc w:val="right"/>
              <w:ind w:right="1160"/>
              <w:spacing w:after="0"/>
              <w:rPr>
                <w:sz w:val="20"/>
                <w:szCs w:val="20"/>
                <w:color w:val="auto"/>
              </w:rPr>
            </w:pPr>
            <w:r>
              <w:rPr>
                <w:rFonts w:ascii="Arial" w:cs="Arial" w:eastAsia="Arial" w:hAnsi="Arial"/>
                <w:sz w:val="14"/>
                <w:szCs w:val="14"/>
                <w:b w:val="1"/>
                <w:bCs w:val="1"/>
                <w:color w:val="auto"/>
              </w:rPr>
              <w:t>Fiscal Quarter Ended</w:t>
            </w:r>
          </w:p>
        </w:tc>
      </w:tr>
      <w:tr>
        <w:trPr>
          <w:trHeight w:val="160"/>
        </w:trPr>
        <w:tc>
          <w:tcPr>
            <w:tcW w:w="51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2"/>
          </w:tcPr>
          <w:p>
            <w:pPr>
              <w:jc w:val="right"/>
              <w:ind w:right="500"/>
              <w:spacing w:after="0" w:line="160" w:lineRule="exact"/>
              <w:rPr>
                <w:sz w:val="20"/>
                <w:szCs w:val="20"/>
                <w:color w:val="auto"/>
              </w:rPr>
            </w:pPr>
            <w:r>
              <w:rPr>
                <w:rFonts w:ascii="Arial" w:cs="Arial" w:eastAsia="Arial" w:hAnsi="Arial"/>
                <w:sz w:val="14"/>
                <w:szCs w:val="14"/>
                <w:b w:val="1"/>
                <w:bCs w:val="1"/>
                <w:color w:val="auto"/>
              </w:rPr>
              <w:t>March 27,</w:t>
            </w:r>
          </w:p>
        </w:tc>
        <w:tc>
          <w:tcPr>
            <w:tcW w:w="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394"/>
              <w:spacing w:after="0" w:line="160" w:lineRule="exact"/>
              <w:rPr>
                <w:sz w:val="20"/>
                <w:szCs w:val="20"/>
                <w:color w:val="auto"/>
              </w:rPr>
            </w:pPr>
            <w:r>
              <w:rPr>
                <w:rFonts w:ascii="Arial" w:cs="Arial" w:eastAsia="Arial" w:hAnsi="Arial"/>
                <w:sz w:val="14"/>
                <w:szCs w:val="14"/>
                <w:b w:val="1"/>
                <w:bCs w:val="1"/>
                <w:color w:val="auto"/>
              </w:rPr>
              <w:t>March 28,</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85"/>
        </w:trPr>
        <w:tc>
          <w:tcPr>
            <w:tcW w:w="51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6"/>
        </w:trPr>
        <w:tc>
          <w:tcPr>
            <w:tcW w:w="51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Segment Income</w:t>
            </w:r>
          </w:p>
        </w:tc>
        <w:tc>
          <w:tcPr>
            <w:tcW w:w="2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190,977</w:t>
            </w:r>
          </w:p>
        </w:tc>
        <w:tc>
          <w:tcPr>
            <w:tcW w:w="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208,368</w:t>
            </w: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5160" w:type="dxa"/>
            <w:vAlign w:val="bottom"/>
          </w:tcPr>
          <w:p>
            <w:pPr>
              <w:ind w:left="20"/>
              <w:spacing w:after="0" w:line="202" w:lineRule="exact"/>
              <w:rPr>
                <w:sz w:val="20"/>
                <w:szCs w:val="20"/>
                <w:color w:val="auto"/>
              </w:rPr>
            </w:pPr>
            <w:r>
              <w:rPr>
                <w:rFonts w:ascii="Arial" w:cs="Arial" w:eastAsia="Arial" w:hAnsi="Arial"/>
                <w:sz w:val="18"/>
                <w:szCs w:val="18"/>
                <w:color w:val="auto"/>
              </w:rPr>
              <w:t>Depreciation and amortization</w:t>
            </w:r>
          </w:p>
        </w:tc>
        <w:tc>
          <w:tcPr>
            <w:tcW w:w="2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gridSpan w:val="4"/>
          </w:tcPr>
          <w:p>
            <w:pPr>
              <w:jc w:val="right"/>
              <w:ind w:right="110"/>
              <w:spacing w:after="0" w:line="202" w:lineRule="exact"/>
              <w:rPr>
                <w:sz w:val="20"/>
                <w:szCs w:val="20"/>
                <w:color w:val="auto"/>
              </w:rPr>
            </w:pPr>
            <w:r>
              <w:rPr>
                <w:rFonts w:ascii="Arial" w:cs="Arial" w:eastAsia="Arial" w:hAnsi="Arial"/>
                <w:sz w:val="18"/>
                <w:szCs w:val="18"/>
                <w:color w:val="auto"/>
              </w:rPr>
              <w:t>(18,976 )</w:t>
            </w:r>
          </w:p>
        </w:tc>
        <w:tc>
          <w:tcPr>
            <w:tcW w:w="380" w:type="dxa"/>
            <w:vAlign w:val="bottom"/>
          </w:tcPr>
          <w:p>
            <w:pPr>
              <w:spacing w:after="0"/>
              <w:rPr>
                <w:sz w:val="17"/>
                <w:szCs w:val="17"/>
                <w:color w:val="auto"/>
              </w:rPr>
            </w:pPr>
          </w:p>
        </w:tc>
        <w:tc>
          <w:tcPr>
            <w:tcW w:w="13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(16,465 )</w:t>
            </w:r>
          </w:p>
        </w:tc>
      </w:tr>
      <w:tr>
        <w:trPr>
          <w:trHeight w:val="203"/>
        </w:trPr>
        <w:tc>
          <w:tcPr>
            <w:tcW w:w="51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Loss on sale/disposal of assets</w:t>
            </w:r>
          </w:p>
        </w:tc>
        <w:tc>
          <w:tcPr>
            <w:tcW w:w="2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700" w:type="dxa"/>
            <w:vAlign w:val="bottom"/>
            <w:gridSpan w:val="4"/>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(195 )</w:t>
            </w:r>
          </w:p>
        </w:tc>
        <w:tc>
          <w:tcPr>
            <w:tcW w:w="380" w:type="dxa"/>
            <w:vAlign w:val="bottom"/>
            <w:shd w:val="clear" w:color="auto" w:fill="CFF0FC"/>
          </w:tcPr>
          <w:p>
            <w:pPr>
              <w:spacing w:after="0"/>
              <w:rPr>
                <w:sz w:val="17"/>
                <w:szCs w:val="17"/>
                <w:color w:val="auto"/>
              </w:rPr>
            </w:pPr>
          </w:p>
        </w:tc>
        <w:tc>
          <w:tcPr>
            <w:tcW w:w="130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(161 )</w:t>
            </w:r>
          </w:p>
        </w:tc>
      </w:tr>
      <w:tr>
        <w:trPr>
          <w:trHeight w:val="203"/>
        </w:trPr>
        <w:tc>
          <w:tcPr>
            <w:tcW w:w="5160" w:type="dxa"/>
            <w:vAlign w:val="bottom"/>
          </w:tcPr>
          <w:p>
            <w:pPr>
              <w:ind w:left="20"/>
              <w:spacing w:after="0" w:line="202" w:lineRule="exact"/>
              <w:rPr>
                <w:sz w:val="20"/>
                <w:szCs w:val="20"/>
                <w:color w:val="auto"/>
              </w:rPr>
            </w:pPr>
            <w:r>
              <w:rPr>
                <w:rFonts w:ascii="Arial" w:cs="Arial" w:eastAsia="Arial" w:hAnsi="Arial"/>
                <w:sz w:val="18"/>
                <w:szCs w:val="18"/>
                <w:color w:val="auto"/>
              </w:rPr>
              <w:t>Non-cash equity-based compensation expense</w:t>
            </w:r>
          </w:p>
        </w:tc>
        <w:tc>
          <w:tcPr>
            <w:tcW w:w="2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gridSpan w:val="4"/>
          </w:tcPr>
          <w:p>
            <w:pPr>
              <w:jc w:val="right"/>
              <w:ind w:right="110"/>
              <w:spacing w:after="0" w:line="202" w:lineRule="exact"/>
              <w:rPr>
                <w:sz w:val="20"/>
                <w:szCs w:val="20"/>
                <w:color w:val="auto"/>
              </w:rPr>
            </w:pPr>
            <w:r>
              <w:rPr>
                <w:rFonts w:ascii="Arial" w:cs="Arial" w:eastAsia="Arial" w:hAnsi="Arial"/>
                <w:sz w:val="18"/>
                <w:szCs w:val="18"/>
                <w:color w:val="auto"/>
              </w:rPr>
              <w:t>(7,265 )</w:t>
            </w:r>
          </w:p>
        </w:tc>
        <w:tc>
          <w:tcPr>
            <w:tcW w:w="380" w:type="dxa"/>
            <w:vAlign w:val="bottom"/>
          </w:tcPr>
          <w:p>
            <w:pPr>
              <w:spacing w:after="0"/>
              <w:rPr>
                <w:sz w:val="17"/>
                <w:szCs w:val="17"/>
                <w:color w:val="auto"/>
              </w:rPr>
            </w:pPr>
          </w:p>
        </w:tc>
        <w:tc>
          <w:tcPr>
            <w:tcW w:w="13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(5,204 )</w:t>
            </w:r>
          </w:p>
        </w:tc>
      </w:tr>
      <w:tr>
        <w:trPr>
          <w:trHeight w:val="196"/>
        </w:trPr>
        <w:tc>
          <w:tcPr>
            <w:tcW w:w="5160" w:type="dxa"/>
            <w:vAlign w:val="bottom"/>
            <w:tcBorders>
              <w:top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Income from operations</w:t>
            </w:r>
          </w:p>
        </w:tc>
        <w:tc>
          <w:tcPr>
            <w:tcW w:w="216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440" w:type="dxa"/>
            <w:vAlign w:val="bottom"/>
            <w:tcBorders>
              <w:top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164,541</w:t>
            </w:r>
          </w:p>
        </w:tc>
        <w:tc>
          <w:tcPr>
            <w:tcW w:w="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186,538</w:t>
            </w:r>
          </w:p>
        </w:tc>
        <w:tc>
          <w:tcPr>
            <w:tcW w:w="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r>
      <w:tr>
        <w:trPr>
          <w:trHeight w:val="203"/>
        </w:trPr>
        <w:tc>
          <w:tcPr>
            <w:tcW w:w="5160" w:type="dxa"/>
            <w:vAlign w:val="bottom"/>
          </w:tcPr>
          <w:p>
            <w:pPr>
              <w:ind w:left="20"/>
              <w:spacing w:after="0" w:line="202" w:lineRule="exact"/>
              <w:rPr>
                <w:sz w:val="20"/>
                <w:szCs w:val="20"/>
                <w:color w:val="auto"/>
              </w:rPr>
            </w:pPr>
            <w:r>
              <w:rPr>
                <w:rFonts w:ascii="Arial" w:cs="Arial" w:eastAsia="Arial" w:hAnsi="Arial"/>
                <w:sz w:val="18"/>
                <w:szCs w:val="18"/>
                <w:color w:val="auto"/>
              </w:rPr>
              <w:t>Other income</w:t>
            </w:r>
          </w:p>
        </w:tc>
        <w:tc>
          <w:tcPr>
            <w:tcW w:w="2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2,500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1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income</w:t>
            </w:r>
          </w:p>
        </w:tc>
        <w:tc>
          <w:tcPr>
            <w:tcW w:w="2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49</w:t>
            </w:r>
          </w:p>
        </w:tc>
        <w:tc>
          <w:tcPr>
            <w:tcW w:w="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w:t>
            </w: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5160" w:type="dxa"/>
            <w:vAlign w:val="bottom"/>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2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gridSpan w:val="4"/>
          </w:tcPr>
          <w:p>
            <w:pPr>
              <w:jc w:val="right"/>
              <w:ind w:right="110"/>
              <w:spacing w:after="0" w:line="202" w:lineRule="exact"/>
              <w:rPr>
                <w:sz w:val="20"/>
                <w:szCs w:val="20"/>
                <w:color w:val="auto"/>
              </w:rPr>
            </w:pPr>
            <w:r>
              <w:rPr>
                <w:rFonts w:ascii="Arial" w:cs="Arial" w:eastAsia="Arial" w:hAnsi="Arial"/>
                <w:sz w:val="18"/>
                <w:szCs w:val="18"/>
                <w:color w:val="auto"/>
              </w:rPr>
              <w:t>(46,872 )</w:t>
            </w:r>
          </w:p>
        </w:tc>
        <w:tc>
          <w:tcPr>
            <w:tcW w:w="380" w:type="dxa"/>
            <w:vAlign w:val="bottom"/>
          </w:tcPr>
          <w:p>
            <w:pPr>
              <w:spacing w:after="0"/>
              <w:rPr>
                <w:sz w:val="17"/>
                <w:szCs w:val="17"/>
                <w:color w:val="auto"/>
              </w:rPr>
            </w:pPr>
          </w:p>
        </w:tc>
        <w:tc>
          <w:tcPr>
            <w:tcW w:w="13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(39,422 )</w:t>
            </w:r>
          </w:p>
        </w:tc>
      </w:tr>
      <w:tr>
        <w:trPr>
          <w:trHeight w:val="236"/>
        </w:trPr>
        <w:tc>
          <w:tcPr>
            <w:tcW w:w="51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Income before provision for income taxes</w:t>
            </w:r>
          </w:p>
        </w:tc>
        <w:tc>
          <w:tcPr>
            <w:tcW w:w="21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117,718</w:t>
            </w:r>
          </w:p>
        </w:tc>
        <w:tc>
          <w:tcPr>
            <w:tcW w:w="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top w:val="single" w:sz="8" w:color="auto"/>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149,638</w:t>
            </w:r>
          </w:p>
        </w:tc>
        <w:tc>
          <w:tcPr>
            <w:tcW w:w="2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r>
      <w:tr>
        <w:trPr>
          <w:trHeight w:val="399"/>
        </w:trPr>
        <w:tc>
          <w:tcPr>
            <w:tcW w:w="5160" w:type="dxa"/>
            <w:vAlign w:val="bottom"/>
          </w:tcPr>
          <w:p>
            <w:pPr>
              <w:spacing w:after="0"/>
              <w:rPr>
                <w:sz w:val="20"/>
                <w:szCs w:val="20"/>
                <w:color w:val="auto"/>
              </w:rPr>
            </w:pPr>
            <w:r>
              <w:rPr>
                <w:rFonts w:ascii="Arial" w:cs="Arial" w:eastAsia="Arial" w:hAnsi="Arial"/>
                <w:sz w:val="18"/>
                <w:szCs w:val="18"/>
                <w:color w:val="auto"/>
              </w:rPr>
              <w:t>3. Earnings Per Share</w:t>
            </w:r>
          </w:p>
        </w:tc>
        <w:tc>
          <w:tcPr>
            <w:tcW w:w="2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4"/>
        </w:trPr>
        <w:tc>
          <w:tcPr>
            <w:tcW w:w="51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Fiscal Quarter Ended</w:t>
            </w: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60"/>
        </w:trPr>
        <w:tc>
          <w:tcPr>
            <w:tcW w:w="51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tcPr>
          <w:p>
            <w:pPr>
              <w:jc w:val="right"/>
              <w:ind w:right="740"/>
              <w:spacing w:after="0" w:line="160" w:lineRule="exact"/>
              <w:rPr>
                <w:sz w:val="20"/>
                <w:szCs w:val="20"/>
                <w:color w:val="auto"/>
              </w:rPr>
            </w:pPr>
            <w:r>
              <w:rPr>
                <w:rFonts w:ascii="Arial" w:cs="Arial" w:eastAsia="Arial" w:hAnsi="Arial"/>
                <w:sz w:val="14"/>
                <w:szCs w:val="14"/>
                <w:b w:val="1"/>
                <w:bCs w:val="1"/>
                <w:color w:val="auto"/>
              </w:rPr>
              <w:t>March 27,</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gridSpan w:val="2"/>
          </w:tcPr>
          <w:p>
            <w:pPr>
              <w:spacing w:after="0" w:line="160" w:lineRule="exact"/>
              <w:rPr>
                <w:sz w:val="20"/>
                <w:szCs w:val="20"/>
                <w:color w:val="auto"/>
              </w:rPr>
            </w:pPr>
            <w:r>
              <w:rPr>
                <w:rFonts w:ascii="Arial" w:cs="Arial" w:eastAsia="Arial" w:hAnsi="Arial"/>
                <w:sz w:val="14"/>
                <w:szCs w:val="14"/>
                <w:b w:val="1"/>
                <w:bCs w:val="1"/>
                <w:color w:val="auto"/>
              </w:rPr>
              <w:t>March 28,</w:t>
            </w:r>
          </w:p>
        </w:tc>
        <w:tc>
          <w:tcPr>
            <w:tcW w:w="60" w:type="dxa"/>
            <w:vAlign w:val="bottom"/>
          </w:tcPr>
          <w:p>
            <w:pPr>
              <w:spacing w:after="0"/>
              <w:rPr>
                <w:sz w:val="13"/>
                <w:szCs w:val="13"/>
                <w:color w:val="auto"/>
              </w:rPr>
            </w:pPr>
          </w:p>
        </w:tc>
      </w:tr>
      <w:tr>
        <w:trPr>
          <w:trHeight w:val="185"/>
        </w:trPr>
        <w:tc>
          <w:tcPr>
            <w:tcW w:w="51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36"/>
        </w:trPr>
        <w:tc>
          <w:tcPr>
            <w:tcW w:w="51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w w:val="98"/>
              </w:rPr>
              <w:t>Net income available to common stockholders - basic and diluted</w:t>
            </w:r>
          </w:p>
        </w:tc>
        <w:tc>
          <w:tcPr>
            <w:tcW w:w="21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90,964</w:t>
            </w:r>
          </w:p>
        </w:tc>
        <w:tc>
          <w:tcPr>
            <w:tcW w:w="12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117,761</w:t>
            </w:r>
          </w:p>
        </w:tc>
        <w:tc>
          <w:tcPr>
            <w:tcW w:w="60" w:type="dxa"/>
            <w:vAlign w:val="bottom"/>
            <w:tcBorders>
              <w:bottom w:val="single" w:sz="8" w:color="CFF0FC"/>
            </w:tcBorders>
            <w:shd w:val="clear" w:color="auto" w:fill="CFF0FC"/>
          </w:tcPr>
          <w:p>
            <w:pPr>
              <w:spacing w:after="0"/>
              <w:rPr>
                <w:sz w:val="20"/>
                <w:szCs w:val="20"/>
                <w:color w:val="auto"/>
              </w:rPr>
            </w:pPr>
          </w:p>
        </w:tc>
      </w:tr>
      <w:tr>
        <w:trPr>
          <w:trHeight w:val="183"/>
        </w:trPr>
        <w:tc>
          <w:tcPr>
            <w:tcW w:w="5160" w:type="dxa"/>
            <w:vAlign w:val="bottom"/>
          </w:tcPr>
          <w:p>
            <w:pPr>
              <w:ind w:left="20"/>
              <w:spacing w:after="0" w:line="183" w:lineRule="exact"/>
              <w:rPr>
                <w:sz w:val="20"/>
                <w:szCs w:val="20"/>
                <w:color w:val="auto"/>
              </w:rPr>
            </w:pPr>
            <w:r>
              <w:rPr>
                <w:rFonts w:ascii="Arial" w:cs="Arial" w:eastAsia="Arial" w:hAnsi="Arial"/>
                <w:sz w:val="18"/>
                <w:szCs w:val="18"/>
                <w:color w:val="auto"/>
              </w:rPr>
              <w:t>Basic weighted average number of shares</w:t>
            </w:r>
          </w:p>
        </w:tc>
        <w:tc>
          <w:tcPr>
            <w:tcW w:w="2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spacing w:after="0" w:line="183" w:lineRule="exact"/>
              <w:rPr>
                <w:sz w:val="20"/>
                <w:szCs w:val="20"/>
                <w:color w:val="auto"/>
              </w:rPr>
            </w:pPr>
            <w:r>
              <w:rPr>
                <w:rFonts w:ascii="Arial" w:cs="Arial" w:eastAsia="Arial" w:hAnsi="Arial"/>
                <w:sz w:val="18"/>
                <w:szCs w:val="18"/>
                <w:color w:val="auto"/>
              </w:rPr>
              <w:t>36,000,896</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gridSpan w:val="2"/>
          </w:tcPr>
          <w:p>
            <w:pPr>
              <w:jc w:val="right"/>
              <w:ind w:right="20"/>
              <w:spacing w:after="0" w:line="183" w:lineRule="exact"/>
              <w:rPr>
                <w:sz w:val="20"/>
                <w:szCs w:val="20"/>
                <w:color w:val="auto"/>
              </w:rPr>
            </w:pPr>
            <w:r>
              <w:rPr>
                <w:rFonts w:ascii="Arial" w:cs="Arial" w:eastAsia="Arial" w:hAnsi="Arial"/>
                <w:sz w:val="18"/>
                <w:szCs w:val="18"/>
                <w:color w:val="auto"/>
              </w:rPr>
              <w:t>38,700,225</w:t>
            </w:r>
          </w:p>
        </w:tc>
        <w:tc>
          <w:tcPr>
            <w:tcW w:w="60" w:type="dxa"/>
            <w:vAlign w:val="bottom"/>
          </w:tcPr>
          <w:p>
            <w:pPr>
              <w:spacing w:after="0"/>
              <w:rPr>
                <w:sz w:val="15"/>
                <w:szCs w:val="15"/>
                <w:color w:val="auto"/>
              </w:rPr>
            </w:pPr>
          </w:p>
        </w:tc>
      </w:tr>
      <w:tr>
        <w:trPr>
          <w:trHeight w:val="202"/>
        </w:trPr>
        <w:tc>
          <w:tcPr>
            <w:tcW w:w="51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Earnings per share – basic</w:t>
            </w:r>
          </w:p>
        </w:tc>
        <w:tc>
          <w:tcPr>
            <w:tcW w:w="250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2.53</w:t>
            </w:r>
          </w:p>
        </w:tc>
        <w:tc>
          <w:tcPr>
            <w:tcW w:w="12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3.04</w:t>
            </w:r>
          </w:p>
        </w:tc>
        <w:tc>
          <w:tcPr>
            <w:tcW w:w="60" w:type="dxa"/>
            <w:vAlign w:val="bottom"/>
            <w:shd w:val="clear" w:color="auto" w:fill="CFF0FC"/>
          </w:tcPr>
          <w:p>
            <w:pPr>
              <w:spacing w:after="0"/>
              <w:rPr>
                <w:sz w:val="17"/>
                <w:szCs w:val="17"/>
                <w:color w:val="auto"/>
              </w:rPr>
            </w:pPr>
          </w:p>
        </w:tc>
      </w:tr>
      <w:tr>
        <w:trPr>
          <w:trHeight w:val="203"/>
        </w:trPr>
        <w:tc>
          <w:tcPr>
            <w:tcW w:w="5160" w:type="dxa"/>
            <w:vAlign w:val="bottom"/>
          </w:tcPr>
          <w:p>
            <w:pPr>
              <w:ind w:left="20"/>
              <w:spacing w:after="0" w:line="202" w:lineRule="exact"/>
              <w:rPr>
                <w:sz w:val="20"/>
                <w:szCs w:val="20"/>
                <w:color w:val="auto"/>
              </w:rPr>
            </w:pPr>
            <w:r>
              <w:rPr>
                <w:rFonts w:ascii="Arial" w:cs="Arial" w:eastAsia="Arial" w:hAnsi="Arial"/>
                <w:sz w:val="18"/>
                <w:szCs w:val="18"/>
                <w:color w:val="auto"/>
              </w:rPr>
              <w:t>Diluted weighted average number of shares</w:t>
            </w:r>
          </w:p>
        </w:tc>
        <w:tc>
          <w:tcPr>
            <w:tcW w:w="2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36,435,038</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39,208,383</w:t>
            </w:r>
          </w:p>
        </w:tc>
        <w:tc>
          <w:tcPr>
            <w:tcW w:w="60" w:type="dxa"/>
            <w:vAlign w:val="bottom"/>
          </w:tcPr>
          <w:p>
            <w:pPr>
              <w:spacing w:after="0"/>
              <w:rPr>
                <w:sz w:val="17"/>
                <w:szCs w:val="17"/>
                <w:color w:val="auto"/>
              </w:rPr>
            </w:pPr>
          </w:p>
        </w:tc>
      </w:tr>
      <w:tr>
        <w:trPr>
          <w:trHeight w:val="203"/>
        </w:trPr>
        <w:tc>
          <w:tcPr>
            <w:tcW w:w="51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Earnings per share – diluted</w:t>
            </w:r>
          </w:p>
        </w:tc>
        <w:tc>
          <w:tcPr>
            <w:tcW w:w="250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2.50</w:t>
            </w:r>
          </w:p>
        </w:tc>
        <w:tc>
          <w:tcPr>
            <w:tcW w:w="12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3.00</w:t>
            </w:r>
          </w:p>
        </w:tc>
        <w:tc>
          <w:tcPr>
            <w:tcW w:w="60" w:type="dxa"/>
            <w:vAlign w:val="bottom"/>
            <w:shd w:val="clear" w:color="auto" w:fill="CFF0FC"/>
          </w:tcPr>
          <w:p>
            <w:pPr>
              <w:spacing w:after="0"/>
              <w:rPr>
                <w:sz w:val="17"/>
                <w:szCs w:val="17"/>
                <w:color w:val="auto"/>
              </w:rPr>
            </w:pPr>
          </w:p>
        </w:tc>
      </w:tr>
      <w:tr>
        <w:trPr>
          <w:trHeight w:val="419"/>
        </w:trPr>
        <w:tc>
          <w:tcPr>
            <w:tcW w:w="5160" w:type="dxa"/>
            <w:vAlign w:val="bottom"/>
          </w:tcPr>
          <w:p>
            <w:pPr>
              <w:spacing w:after="0"/>
              <w:rPr>
                <w:sz w:val="24"/>
                <w:szCs w:val="24"/>
                <w:color w:val="auto"/>
              </w:rPr>
            </w:pPr>
          </w:p>
        </w:tc>
        <w:tc>
          <w:tcPr>
            <w:tcW w:w="2160" w:type="dxa"/>
            <w:vAlign w:val="bottom"/>
          </w:tcPr>
          <w:p>
            <w:pPr>
              <w:jc w:val="right"/>
              <w:ind w:right="157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88"/>
        </w:trPr>
        <w:tc>
          <w:tcPr>
            <w:tcW w:w="5160" w:type="dxa"/>
            <w:vAlign w:val="bottom"/>
            <w:tcBorders>
              <w:bottom w:val="single" w:sz="8" w:color="9A9A9A"/>
            </w:tcBorders>
          </w:tcPr>
          <w:p>
            <w:pPr>
              <w:spacing w:after="0"/>
              <w:rPr>
                <w:sz w:val="7"/>
                <w:szCs w:val="7"/>
                <w:color w:val="auto"/>
              </w:rPr>
            </w:pPr>
          </w:p>
        </w:tc>
        <w:tc>
          <w:tcPr>
            <w:tcW w:w="216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-2425065</wp:posOffset>
            </wp:positionV>
            <wp:extent cx="51435"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-2425065</wp:posOffset>
            </wp:positionV>
            <wp:extent cx="51435"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-1765300</wp:posOffset>
            </wp:positionV>
            <wp:extent cx="514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-1748155</wp:posOffset>
            </wp:positionV>
            <wp:extent cx="514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-1765300</wp:posOffset>
            </wp:positionV>
            <wp:extent cx="5143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-1748155</wp:posOffset>
            </wp:positionV>
            <wp:extent cx="514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-873760</wp:posOffset>
            </wp:positionV>
            <wp:extent cx="431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-856615</wp:posOffset>
            </wp:positionV>
            <wp:extent cx="431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-873760</wp:posOffset>
            </wp:positionV>
            <wp:extent cx="431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-856615</wp:posOffset>
            </wp:positionV>
            <wp:extent cx="431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 w:name="page8"/>
    <w:bookmarkEnd w:id="7"/>
    <w:p>
      <w:pPr>
        <w:jc w:val="both"/>
        <w:ind w:firstLine="255"/>
        <w:spacing w:after="0" w:line="248" w:lineRule="auto"/>
        <w:rPr>
          <w:sz w:val="20"/>
          <w:szCs w:val="20"/>
          <w:color w:val="auto"/>
        </w:rPr>
      </w:pPr>
      <w:r>
        <w:rPr>
          <w:rFonts w:ascii="Arial" w:cs="Arial" w:eastAsia="Arial" w:hAnsi="Arial"/>
          <w:sz w:val="18"/>
          <w:szCs w:val="18"/>
          <w:color w:val="auto"/>
        </w:rPr>
        <w:t>The denominators used in calculating diluted earnings per share for common stock for the fiscal quarters ended March 27, 2022 and March 28, 2021 do not include the following because the effect of including these shares would be anti-dilutive or because the performance targets for these awards had not yet been met:</w:t>
      </w:r>
    </w:p>
    <w:p>
      <w:pPr>
        <w:spacing w:after="0" w:line="173" w:lineRule="exact"/>
        <w:rPr>
          <w:sz w:val="20"/>
          <w:szCs w:val="20"/>
          <w:color w:val="auto"/>
        </w:rPr>
      </w:pPr>
    </w:p>
    <w:tbl>
      <w:tblPr>
        <w:tblLayout w:type="fixed"/>
        <w:tblInd w:w="7340" w:type="dxa"/>
        <w:tblCellMar>
          <w:top w:w="0" w:type="dxa"/>
          <w:left w:w="0" w:type="dxa"/>
          <w:bottom w:w="0" w:type="dxa"/>
          <w:right w:w="0" w:type="dxa"/>
        </w:tblCellMar>
      </w:tblPr>
      <w:tr>
        <w:trPr>
          <w:trHeight w:val="185"/>
        </w:trPr>
        <w:tc>
          <w:tcPr>
            <w:tcW w:w="1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Fiscal Quarter Ended</w:t>
            </w:r>
          </w:p>
        </w:tc>
      </w:tr>
      <w:tr>
        <w:trPr>
          <w:trHeight w:val="160"/>
        </w:trPr>
        <w:tc>
          <w:tcPr>
            <w:tcW w:w="1240" w:type="dxa"/>
            <w:vAlign w:val="bottom"/>
          </w:tcPr>
          <w:p>
            <w:pPr>
              <w:jc w:val="center"/>
              <w:ind w:left="528"/>
              <w:spacing w:after="0" w:line="160" w:lineRule="exact"/>
              <w:rPr>
                <w:sz w:val="20"/>
                <w:szCs w:val="20"/>
                <w:color w:val="auto"/>
              </w:rPr>
            </w:pPr>
            <w:r>
              <w:rPr>
                <w:rFonts w:ascii="Arial" w:cs="Arial" w:eastAsia="Arial" w:hAnsi="Arial"/>
                <w:sz w:val="14"/>
                <w:szCs w:val="14"/>
                <w:b w:val="1"/>
                <w:bCs w:val="1"/>
                <w:color w:val="auto"/>
                <w:w w:val="99"/>
              </w:rPr>
              <w:t>March 27,</w:t>
            </w:r>
          </w:p>
        </w:tc>
        <w:tc>
          <w:tcPr>
            <w:tcW w:w="2600" w:type="dxa"/>
            <w:vAlign w:val="bottom"/>
          </w:tcPr>
          <w:p>
            <w:pPr>
              <w:jc w:val="center"/>
              <w:ind w:left="688"/>
              <w:spacing w:after="0" w:line="160" w:lineRule="exact"/>
              <w:rPr>
                <w:sz w:val="20"/>
                <w:szCs w:val="20"/>
                <w:color w:val="auto"/>
              </w:rPr>
            </w:pPr>
            <w:r>
              <w:rPr>
                <w:rFonts w:ascii="Arial" w:cs="Arial" w:eastAsia="Arial" w:hAnsi="Arial"/>
                <w:sz w:val="14"/>
                <w:szCs w:val="14"/>
                <w:b w:val="1"/>
                <w:bCs w:val="1"/>
                <w:color w:val="auto"/>
                <w:w w:val="99"/>
              </w:rPr>
              <w:t>March 28,</w:t>
            </w:r>
          </w:p>
        </w:tc>
      </w:tr>
      <w:tr>
        <w:trPr>
          <w:trHeight w:val="186"/>
        </w:trPr>
        <w:tc>
          <w:tcPr>
            <w:tcW w:w="1240" w:type="dxa"/>
            <w:vAlign w:val="bottom"/>
          </w:tcPr>
          <w:p>
            <w:pPr>
              <w:jc w:val="right"/>
              <w:ind w:right="108"/>
              <w:spacing w:after="0"/>
              <w:rPr>
                <w:sz w:val="20"/>
                <w:szCs w:val="20"/>
                <w:color w:val="auto"/>
              </w:rPr>
            </w:pPr>
            <w:r>
              <w:rPr>
                <w:rFonts w:ascii="Arial" w:cs="Arial" w:eastAsia="Arial" w:hAnsi="Arial"/>
                <w:sz w:val="14"/>
                <w:szCs w:val="14"/>
                <w:b w:val="1"/>
                <w:bCs w:val="1"/>
                <w:color w:val="auto"/>
              </w:rPr>
              <w:t>2022</w:t>
            </w:r>
          </w:p>
        </w:tc>
        <w:tc>
          <w:tcPr>
            <w:tcW w:w="2600" w:type="dxa"/>
            <w:vAlign w:val="bottom"/>
          </w:tcPr>
          <w:p>
            <w:pPr>
              <w:jc w:val="right"/>
              <w:ind w:right="708"/>
              <w:spacing w:after="0"/>
              <w:rPr>
                <w:sz w:val="20"/>
                <w:szCs w:val="20"/>
                <w:color w:val="auto"/>
              </w:rPr>
            </w:pPr>
            <w:r>
              <w:rPr>
                <w:rFonts w:ascii="Arial" w:cs="Arial" w:eastAsia="Arial" w:hAnsi="Arial"/>
                <w:sz w:val="14"/>
                <w:szCs w:val="14"/>
                <w:b w:val="1"/>
                <w:bCs w:val="1"/>
                <w:color w:val="auto"/>
              </w:rPr>
              <w:t>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-635</wp:posOffset>
            </wp:positionV>
            <wp:extent cx="243459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p>
      <w:pPr>
        <w:ind w:left="20"/>
        <w:spacing w:after="0"/>
        <w:rPr>
          <w:sz w:val="20"/>
          <w:szCs w:val="20"/>
          <w:color w:val="auto"/>
        </w:rPr>
      </w:pPr>
      <w:r>
        <w:rPr>
          <w:rFonts w:ascii="Arial" w:cs="Arial" w:eastAsia="Arial" w:hAnsi="Arial"/>
          <w:sz w:val="18"/>
          <w:szCs w:val="18"/>
          <w:color w:val="auto"/>
        </w:rPr>
        <w:t>Anti-dilutive shares underlying stock-based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1289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289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160"/>
        <w:spacing w:after="0" w:line="234" w:lineRule="auto"/>
        <w:rPr>
          <w:sz w:val="20"/>
          <w:szCs w:val="20"/>
          <w:color w:val="auto"/>
        </w:rPr>
      </w:pPr>
      <w:r>
        <w:rPr>
          <w:rFonts w:ascii="Arial" w:cs="Arial" w:eastAsia="Arial" w:hAnsi="Arial"/>
          <w:sz w:val="18"/>
          <w:szCs w:val="18"/>
          <w:color w:val="auto"/>
        </w:rPr>
        <w:t>Restricted stock awards and units</w:t>
      </w:r>
    </w:p>
    <w:p>
      <w:pPr>
        <w:ind w:left="20"/>
        <w:spacing w:after="0" w:line="235" w:lineRule="auto"/>
        <w:rPr>
          <w:sz w:val="20"/>
          <w:szCs w:val="20"/>
          <w:color w:val="auto"/>
        </w:rPr>
      </w:pPr>
      <w:r>
        <w:rPr>
          <w:rFonts w:ascii="Arial" w:cs="Arial" w:eastAsia="Arial" w:hAnsi="Arial"/>
          <w:sz w:val="18"/>
          <w:szCs w:val="18"/>
          <w:color w:val="auto"/>
        </w:rPr>
        <w:t>Performance condition not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282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Restricted stock awards and units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4. Stockholders’ Deficit</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following table summarizes the changes in stockholders’ deficit for the first quarter of 2022.</w:t>
      </w:r>
    </w:p>
    <w:p>
      <w:pPr>
        <w:spacing w:after="0" w:line="200" w:lineRule="exact"/>
        <w:rPr>
          <w:sz w:val="20"/>
          <w:szCs w:val="20"/>
          <w:color w:val="auto"/>
        </w:rPr>
      </w:pPr>
    </w:p>
    <w:p>
      <w:pPr>
        <w:spacing w:after="0" w:line="377" w:lineRule="exact"/>
        <w:rPr>
          <w:sz w:val="20"/>
          <w:szCs w:val="20"/>
          <w:color w:val="auto"/>
        </w:rPr>
      </w:pPr>
    </w:p>
    <w:p>
      <w:pPr>
        <w:ind w:left="5420"/>
        <w:spacing w:after="0"/>
        <w:rPr>
          <w:sz w:val="20"/>
          <w:szCs w:val="20"/>
          <w:color w:val="auto"/>
        </w:rPr>
      </w:pPr>
      <w:r>
        <w:rPr>
          <w:rFonts w:ascii="Arial" w:cs="Arial" w:eastAsia="Arial" w:hAnsi="Arial"/>
          <w:sz w:val="14"/>
          <w:szCs w:val="1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15240</wp:posOffset>
            </wp:positionV>
            <wp:extent cx="15170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8" w:lineRule="exact"/>
        <w:rPr>
          <w:sz w:val="20"/>
          <w:szCs w:val="20"/>
          <w:color w:val="auto"/>
        </w:rPr>
      </w:pPr>
    </w:p>
    <w:p>
      <w:pPr>
        <w:ind w:left="5080"/>
        <w:spacing w:after="0"/>
        <w:tabs>
          <w:tab w:leader="none" w:pos="6340" w:val="left"/>
        </w:tabs>
        <w:rPr>
          <w:sz w:val="20"/>
          <w:szCs w:val="20"/>
          <w:color w:val="auto"/>
        </w:rPr>
      </w:pPr>
      <w:r>
        <w:rPr>
          <w:rFonts w:ascii="Arial" w:cs="Arial" w:eastAsia="Arial" w:hAnsi="Arial"/>
          <w:sz w:val="14"/>
          <w:szCs w:val="14"/>
          <w:b w:val="1"/>
          <w:bCs w:val="1"/>
          <w:color w:val="auto"/>
        </w:rPr>
        <w:t>Shares</w:t>
      </w:r>
      <w:r>
        <w:rPr>
          <w:sz w:val="20"/>
          <w:szCs w:val="20"/>
          <w:color w:val="auto"/>
        </w:rPr>
        <w:tab/>
      </w:r>
      <w:r>
        <w:rPr>
          <w:rFonts w:ascii="Arial" w:cs="Arial" w:eastAsia="Arial" w:hAnsi="Arial"/>
          <w:sz w:val="14"/>
          <w:szCs w:val="14"/>
          <w:b w:val="1"/>
          <w:bCs w:val="1"/>
          <w:color w:val="auto"/>
        </w:rPr>
        <w:t>Amount</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line="1" w:lineRule="exact"/>
        <w:rPr>
          <w:sz w:val="1"/>
          <w:szCs w:val="1"/>
          <w:color w:val="auto"/>
        </w:rPr>
      </w:pPr>
    </w:p>
    <w:tbl>
      <w:tblPr>
        <w:tblLayout w:type="fixed"/>
        <w:tblInd w:w="1180" w:type="dxa"/>
        <w:tblCellMar>
          <w:top w:w="0" w:type="dxa"/>
          <w:left w:w="0" w:type="dxa"/>
          <w:bottom w:w="0" w:type="dxa"/>
          <w:right w:w="0" w:type="dxa"/>
        </w:tblCellMar>
      </w:tblPr>
      <w:tr>
        <w:trPr>
          <w:trHeight w:val="207"/>
        </w:trPr>
        <w:tc>
          <w:tcPr>
            <w:tcW w:w="1260" w:type="dxa"/>
            <w:vAlign w:val="bottom"/>
          </w:tcPr>
          <w:p>
            <w:pPr>
              <w:jc w:val="right"/>
              <w:ind w:right="670"/>
              <w:spacing w:after="0"/>
              <w:rPr>
                <w:sz w:val="20"/>
                <w:szCs w:val="20"/>
                <w:color w:val="auto"/>
              </w:rPr>
            </w:pPr>
            <w:r>
              <w:rPr>
                <w:rFonts w:ascii="Arial" w:cs="Arial" w:eastAsia="Arial" w:hAnsi="Arial"/>
                <w:sz w:val="18"/>
                <w:szCs w:val="18"/>
                <w:color w:val="auto"/>
                <w:w w:val="87"/>
              </w:rPr>
              <w:t>74,152</w:t>
            </w:r>
          </w:p>
        </w:tc>
        <w:tc>
          <w:tcPr>
            <w:tcW w:w="1240" w:type="dxa"/>
            <w:vAlign w:val="bottom"/>
          </w:tcPr>
          <w:p>
            <w:pPr>
              <w:jc w:val="right"/>
              <w:spacing w:after="0"/>
              <w:rPr>
                <w:sz w:val="20"/>
                <w:szCs w:val="20"/>
                <w:color w:val="auto"/>
              </w:rPr>
            </w:pPr>
            <w:r>
              <w:rPr>
                <w:rFonts w:ascii="Arial" w:cs="Arial" w:eastAsia="Arial" w:hAnsi="Arial"/>
                <w:sz w:val="18"/>
                <w:szCs w:val="18"/>
                <w:color w:val="auto"/>
              </w:rPr>
              <w:t>51,490</w:t>
            </w:r>
          </w:p>
        </w:tc>
      </w:tr>
      <w:tr>
        <w:trPr>
          <w:trHeight w:val="230"/>
        </w:trPr>
        <w:tc>
          <w:tcPr>
            <w:tcW w:w="1260" w:type="dxa"/>
            <w:vAlign w:val="bottom"/>
          </w:tcPr>
          <w:p>
            <w:pPr>
              <w:jc w:val="right"/>
              <w:ind w:right="670"/>
              <w:spacing w:after="0"/>
              <w:rPr>
                <w:sz w:val="20"/>
                <w:szCs w:val="20"/>
                <w:color w:val="auto"/>
              </w:rPr>
            </w:pPr>
            <w:r>
              <w:rPr>
                <w:rFonts w:ascii="Arial" w:cs="Arial" w:eastAsia="Arial" w:hAnsi="Arial"/>
                <w:sz w:val="18"/>
                <w:szCs w:val="18"/>
                <w:color w:val="auto"/>
              </w:rPr>
              <w:t>469</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5"/>
        </w:trPr>
        <w:tc>
          <w:tcPr>
            <w:tcW w:w="1260" w:type="dxa"/>
            <w:vAlign w:val="bottom"/>
          </w:tcPr>
          <w:p>
            <w:pPr>
              <w:jc w:val="right"/>
              <w:ind w:right="670"/>
              <w:spacing w:after="0"/>
              <w:rPr>
                <w:sz w:val="20"/>
                <w:szCs w:val="20"/>
                <w:color w:val="auto"/>
              </w:rPr>
            </w:pPr>
            <w:r>
              <w:rPr>
                <w:rFonts w:ascii="Arial" w:cs="Arial" w:eastAsia="Arial" w:hAnsi="Arial"/>
                <w:sz w:val="18"/>
                <w:szCs w:val="18"/>
                <w:color w:val="auto"/>
                <w:w w:val="87"/>
              </w:rPr>
              <w:t>42,777</w:t>
            </w:r>
          </w:p>
        </w:tc>
        <w:tc>
          <w:tcPr>
            <w:tcW w:w="1240" w:type="dxa"/>
            <w:vAlign w:val="bottom"/>
          </w:tcPr>
          <w:p>
            <w:pPr>
              <w:jc w:val="right"/>
              <w:spacing w:after="0"/>
              <w:rPr>
                <w:sz w:val="20"/>
                <w:szCs w:val="20"/>
                <w:color w:val="auto"/>
              </w:rPr>
            </w:pPr>
            <w:r>
              <w:rPr>
                <w:rFonts w:ascii="Arial" w:cs="Arial" w:eastAsia="Arial" w:hAnsi="Arial"/>
                <w:sz w:val="18"/>
                <w:szCs w:val="18"/>
                <w:color w:val="auto"/>
              </w:rPr>
              <w:t>65,967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0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jc w:val="center"/>
              <w:ind w:left="268"/>
              <w:spacing w:after="0"/>
              <w:rPr>
                <w:sz w:val="20"/>
                <w:szCs w:val="20"/>
                <w:color w:val="auto"/>
              </w:rPr>
            </w:pPr>
            <w:r>
              <w:rPr>
                <w:rFonts w:ascii="Arial" w:cs="Arial" w:eastAsia="Arial" w:hAnsi="Arial"/>
                <w:sz w:val="14"/>
                <w:szCs w:val="14"/>
                <w:b w:val="1"/>
                <w:bCs w:val="1"/>
                <w:color w:val="auto"/>
                <w:w w:val="90"/>
              </w:rPr>
              <w:t>Accumulated</w:t>
            </w:r>
          </w:p>
        </w:tc>
      </w:tr>
      <w:tr>
        <w:trPr>
          <w:trHeight w:val="186"/>
        </w:trPr>
        <w:tc>
          <w:tcPr>
            <w:tcW w:w="1000" w:type="dxa"/>
            <w:vAlign w:val="bottom"/>
          </w:tcPr>
          <w:p>
            <w:pPr>
              <w:jc w:val="center"/>
              <w:ind w:right="268"/>
              <w:spacing w:after="0"/>
              <w:rPr>
                <w:sz w:val="20"/>
                <w:szCs w:val="20"/>
                <w:color w:val="auto"/>
              </w:rPr>
            </w:pPr>
            <w:r>
              <w:rPr>
                <w:rFonts w:ascii="Arial" w:cs="Arial" w:eastAsia="Arial" w:hAnsi="Arial"/>
                <w:sz w:val="14"/>
                <w:szCs w:val="14"/>
                <w:b w:val="1"/>
                <w:bCs w:val="1"/>
                <w:color w:val="auto"/>
                <w:w w:val="96"/>
              </w:rPr>
              <w:t>Additional</w:t>
            </w:r>
          </w:p>
        </w:tc>
        <w:tc>
          <w:tcPr>
            <w:tcW w:w="1220" w:type="dxa"/>
            <w:vAlign w:val="bottom"/>
          </w:tcPr>
          <w:p>
            <w:pPr>
              <w:spacing w:after="0"/>
              <w:rPr>
                <w:sz w:val="16"/>
                <w:szCs w:val="16"/>
                <w:color w:val="auto"/>
              </w:rPr>
            </w:pPr>
          </w:p>
        </w:tc>
        <w:tc>
          <w:tcPr>
            <w:tcW w:w="1300" w:type="dxa"/>
            <w:vAlign w:val="bottom"/>
          </w:tcPr>
          <w:p>
            <w:pPr>
              <w:jc w:val="center"/>
              <w:ind w:left="268"/>
              <w:spacing w:after="0"/>
              <w:rPr>
                <w:sz w:val="20"/>
                <w:szCs w:val="20"/>
                <w:color w:val="auto"/>
              </w:rPr>
            </w:pPr>
            <w:r>
              <w:rPr>
                <w:rFonts w:ascii="Arial" w:cs="Arial" w:eastAsia="Arial" w:hAnsi="Arial"/>
                <w:sz w:val="14"/>
                <w:szCs w:val="14"/>
                <w:b w:val="1"/>
                <w:bCs w:val="1"/>
                <w:color w:val="auto"/>
                <w:w w:val="96"/>
              </w:rPr>
              <w:t>Other</w:t>
            </w:r>
          </w:p>
        </w:tc>
      </w:tr>
      <w:tr>
        <w:trPr>
          <w:trHeight w:val="178"/>
        </w:trPr>
        <w:tc>
          <w:tcPr>
            <w:tcW w:w="1000" w:type="dxa"/>
            <w:vAlign w:val="bottom"/>
          </w:tcPr>
          <w:p>
            <w:pPr>
              <w:jc w:val="center"/>
              <w:ind w:right="288"/>
              <w:spacing w:after="0"/>
              <w:rPr>
                <w:sz w:val="20"/>
                <w:szCs w:val="20"/>
                <w:color w:val="auto"/>
              </w:rPr>
            </w:pPr>
            <w:r>
              <w:rPr>
                <w:rFonts w:ascii="Arial" w:cs="Arial" w:eastAsia="Arial" w:hAnsi="Arial"/>
                <w:sz w:val="14"/>
                <w:szCs w:val="14"/>
                <w:b w:val="1"/>
                <w:bCs w:val="1"/>
                <w:color w:val="auto"/>
                <w:w w:val="94"/>
              </w:rPr>
              <w:t>Paid-in</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1"/>
              </w:rPr>
              <w:t>Retained</w:t>
            </w:r>
          </w:p>
        </w:tc>
        <w:tc>
          <w:tcPr>
            <w:tcW w:w="1300" w:type="dxa"/>
            <w:vAlign w:val="bottom"/>
          </w:tcPr>
          <w:p>
            <w:pPr>
              <w:jc w:val="center"/>
              <w:ind w:left="268"/>
              <w:spacing w:after="0"/>
              <w:rPr>
                <w:sz w:val="20"/>
                <w:szCs w:val="20"/>
                <w:color w:val="auto"/>
              </w:rPr>
            </w:pPr>
            <w:r>
              <w:rPr>
                <w:rFonts w:ascii="Arial" w:cs="Arial" w:eastAsia="Arial" w:hAnsi="Arial"/>
                <w:sz w:val="14"/>
                <w:szCs w:val="14"/>
                <w:b w:val="1"/>
                <w:bCs w:val="1"/>
                <w:color w:val="auto"/>
                <w:w w:val="91"/>
              </w:rPr>
              <w:t>Comprehensive</w:t>
            </w:r>
          </w:p>
        </w:tc>
      </w:tr>
      <w:tr>
        <w:trPr>
          <w:trHeight w:val="185"/>
        </w:trPr>
        <w:tc>
          <w:tcPr>
            <w:tcW w:w="1000" w:type="dxa"/>
            <w:vAlign w:val="bottom"/>
          </w:tcPr>
          <w:p>
            <w:pPr>
              <w:jc w:val="center"/>
              <w:ind w:right="268"/>
              <w:spacing w:after="0"/>
              <w:rPr>
                <w:sz w:val="20"/>
                <w:szCs w:val="20"/>
                <w:color w:val="auto"/>
              </w:rPr>
            </w:pPr>
            <w:r>
              <w:rPr>
                <w:rFonts w:ascii="Arial" w:cs="Arial" w:eastAsia="Arial" w:hAnsi="Arial"/>
                <w:sz w:val="14"/>
                <w:szCs w:val="14"/>
                <w:b w:val="1"/>
                <w:bCs w:val="1"/>
                <w:color w:val="auto"/>
                <w:w w:val="98"/>
              </w:rPr>
              <w:t>Capital</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8"/>
              </w:rPr>
              <w:t>Deficit</w:t>
            </w:r>
          </w:p>
        </w:tc>
        <w:tc>
          <w:tcPr>
            <w:tcW w:w="1300" w:type="dxa"/>
            <w:vAlign w:val="bottom"/>
          </w:tcPr>
          <w:p>
            <w:pPr>
              <w:jc w:val="center"/>
              <w:ind w:left="268"/>
              <w:spacing w:after="0"/>
              <w:rPr>
                <w:sz w:val="20"/>
                <w:szCs w:val="20"/>
                <w:color w:val="auto"/>
              </w:rPr>
            </w:pPr>
            <w:r>
              <w:rPr>
                <w:rFonts w:ascii="Arial" w:cs="Arial" w:eastAsia="Arial" w:hAnsi="Arial"/>
                <w:sz w:val="14"/>
                <w:szCs w:val="14"/>
                <w:b w:val="1"/>
                <w:bCs w:val="1"/>
                <w:color w:val="auto"/>
                <w:w w:val="85"/>
              </w:rPr>
              <w:t>Loss</w:t>
            </w:r>
          </w:p>
        </w:tc>
      </w:tr>
    </w:tbl>
    <w:p>
      <w:pPr>
        <w:spacing w:after="0" w:line="20" w:lineRule="exact"/>
        <w:rPr>
          <w:sz w:val="20"/>
          <w:szCs w:val="20"/>
          <w:color w:val="auto"/>
        </w:rPr>
      </w:pPr>
    </w:p>
    <w:p>
      <w:pPr>
        <w:sectPr>
          <w:pgSz w:w="11900" w:h="16838" w:orient="portrait"/>
          <w:cols w:equalWidth="0" w:num="2">
            <w:col w:w="7240" w:space="240"/>
            <w:col w:w="3760"/>
          </w:cols>
          <w:pgMar w:left="320" w:top="328"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47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700" w:type="dxa"/>
            <w:vAlign w:val="bottom"/>
            <w:shd w:val="clear" w:color="auto" w:fill="CFF0FC"/>
          </w:tcPr>
          <w:p>
            <w:pPr>
              <w:ind w:left="20"/>
              <w:spacing w:after="0" w:line="176" w:lineRule="exact"/>
              <w:rPr>
                <w:sz w:val="20"/>
                <w:szCs w:val="20"/>
                <w:color w:val="auto"/>
              </w:rPr>
            </w:pPr>
            <w:r>
              <w:rPr>
                <w:rFonts w:ascii="Arial" w:cs="Arial" w:eastAsia="Arial" w:hAnsi="Arial"/>
                <w:sz w:val="18"/>
                <w:szCs w:val="18"/>
                <w:color w:val="auto"/>
              </w:rPr>
              <w:t>Balance at January 2, 2022</w:t>
            </w:r>
          </w:p>
        </w:tc>
        <w:tc>
          <w:tcPr>
            <w:tcW w:w="1180" w:type="dxa"/>
            <w:vAlign w:val="bottom"/>
            <w:shd w:val="clear" w:color="auto" w:fill="CFF0FC"/>
          </w:tcPr>
          <w:p>
            <w:pPr>
              <w:jc w:val="right"/>
              <w:spacing w:after="0" w:line="176" w:lineRule="exact"/>
              <w:rPr>
                <w:sz w:val="20"/>
                <w:szCs w:val="20"/>
                <w:color w:val="auto"/>
              </w:rPr>
            </w:pPr>
            <w:r>
              <w:rPr>
                <w:rFonts w:ascii="Arial" w:cs="Arial" w:eastAsia="Arial" w:hAnsi="Arial"/>
                <w:sz w:val="18"/>
                <w:szCs w:val="18"/>
                <w:color w:val="auto"/>
              </w:rPr>
              <w:t>36,138,273</w:t>
            </w:r>
          </w:p>
        </w:tc>
        <w:tc>
          <w:tcPr>
            <w:tcW w:w="240" w:type="dxa"/>
            <w:vAlign w:val="bottom"/>
            <w:shd w:val="clear" w:color="auto" w:fill="CFF0FC"/>
          </w:tcPr>
          <w:p>
            <w:pPr>
              <w:spacing w:after="0"/>
              <w:rPr>
                <w:sz w:val="15"/>
                <w:szCs w:val="15"/>
                <w:color w:val="auto"/>
              </w:rPr>
            </w:pPr>
          </w:p>
        </w:tc>
        <w:tc>
          <w:tcPr>
            <w:tcW w:w="400" w:type="dxa"/>
            <w:vAlign w:val="bottom"/>
            <w:shd w:val="clear" w:color="auto" w:fill="CFF0FC"/>
          </w:tcPr>
          <w:p>
            <w:pPr>
              <w:jc w:val="right"/>
              <w:ind w:right="210"/>
              <w:spacing w:after="0" w:line="176"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line="176" w:lineRule="exact"/>
              <w:rPr>
                <w:sz w:val="20"/>
                <w:szCs w:val="20"/>
                <w:color w:val="auto"/>
              </w:rPr>
            </w:pPr>
            <w:r>
              <w:rPr>
                <w:rFonts w:ascii="Arial" w:cs="Arial" w:eastAsia="Arial" w:hAnsi="Arial"/>
                <w:sz w:val="18"/>
                <w:szCs w:val="18"/>
                <w:color w:val="auto"/>
              </w:rPr>
              <w:t>361</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10"/>
              <w:spacing w:after="0" w:line="17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line="176" w:lineRule="exact"/>
              <w:rPr>
                <w:sz w:val="20"/>
                <w:szCs w:val="20"/>
                <w:color w:val="auto"/>
              </w:rPr>
            </w:pPr>
            <w:r>
              <w:rPr>
                <w:rFonts w:ascii="Arial" w:cs="Arial" w:eastAsia="Arial" w:hAnsi="Arial"/>
                <w:sz w:val="18"/>
                <w:szCs w:val="18"/>
                <w:color w:val="auto"/>
              </w:rPr>
              <w:t>840</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30"/>
              <w:spacing w:after="0" w:line="176"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40"/>
              <w:spacing w:after="0" w:line="176" w:lineRule="exact"/>
              <w:rPr>
                <w:sz w:val="20"/>
                <w:szCs w:val="20"/>
                <w:color w:val="auto"/>
              </w:rPr>
            </w:pPr>
            <w:r>
              <w:rPr>
                <w:rFonts w:ascii="Arial" w:cs="Arial" w:eastAsia="Arial" w:hAnsi="Arial"/>
                <w:sz w:val="18"/>
                <w:szCs w:val="18"/>
                <w:color w:val="auto"/>
              </w:rPr>
              <w:t>(4,207,917 )</w:t>
            </w:r>
          </w:p>
        </w:tc>
        <w:tc>
          <w:tcPr>
            <w:tcW w:w="460" w:type="dxa"/>
            <w:vAlign w:val="bottom"/>
            <w:shd w:val="clear" w:color="auto" w:fill="CFF0FC"/>
          </w:tcPr>
          <w:p>
            <w:pPr>
              <w:jc w:val="right"/>
              <w:ind w:right="270"/>
              <w:spacing w:after="0" w:line="176"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spacing w:after="0" w:line="176" w:lineRule="exact"/>
              <w:rPr>
                <w:sz w:val="20"/>
                <w:szCs w:val="20"/>
                <w:color w:val="auto"/>
              </w:rPr>
            </w:pPr>
            <w:r>
              <w:rPr>
                <w:rFonts w:ascii="Arial" w:cs="Arial" w:eastAsia="Arial" w:hAnsi="Arial"/>
                <w:sz w:val="18"/>
                <w:szCs w:val="18"/>
                <w:color w:val="auto"/>
              </w:rPr>
              <w:t>(2,820 )</w:t>
            </w:r>
          </w:p>
        </w:tc>
        <w:tc>
          <w:tcPr>
            <w:tcW w:w="0" w:type="dxa"/>
            <w:vAlign w:val="bottom"/>
          </w:tcPr>
          <w:p>
            <w:pPr>
              <w:spacing w:after="0"/>
              <w:rPr>
                <w:sz w:val="1"/>
                <w:szCs w:val="1"/>
                <w:color w:val="auto"/>
              </w:rPr>
            </w:pPr>
          </w:p>
        </w:tc>
      </w:tr>
      <w:tr>
        <w:trPr>
          <w:trHeight w:val="203"/>
        </w:trPr>
        <w:tc>
          <w:tcPr>
            <w:tcW w:w="4700" w:type="dxa"/>
            <w:vAlign w:val="bottom"/>
          </w:tcPr>
          <w:p>
            <w:pPr>
              <w:ind w:left="20"/>
              <w:spacing w:after="0" w:line="202" w:lineRule="exact"/>
              <w:rPr>
                <w:sz w:val="20"/>
                <w:szCs w:val="20"/>
                <w:color w:val="auto"/>
              </w:rPr>
            </w:pPr>
            <w:r>
              <w:rPr>
                <w:rFonts w:ascii="Arial" w:cs="Arial" w:eastAsia="Arial" w:hAnsi="Arial"/>
                <w:sz w:val="18"/>
                <w:szCs w:val="18"/>
                <w:color w:val="auto"/>
              </w:rPr>
              <w:t>Net income</w:t>
            </w:r>
          </w:p>
        </w:tc>
        <w:tc>
          <w:tcPr>
            <w:tcW w:w="14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8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9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90,964</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470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Dividends declared on common stock and equivalents</w:t>
            </w:r>
          </w:p>
        </w:tc>
        <w:tc>
          <w:tcPr>
            <w:tcW w:w="142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4"/>
                <w:szCs w:val="14"/>
                <w:color w:val="auto"/>
              </w:rPr>
            </w:pPr>
          </w:p>
        </w:tc>
        <w:tc>
          <w:tcPr>
            <w:tcW w:w="80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4"/>
                <w:szCs w:val="14"/>
                <w:color w:val="auto"/>
              </w:rPr>
            </w:pPr>
          </w:p>
        </w:tc>
        <w:tc>
          <w:tcPr>
            <w:tcW w:w="90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4"/>
                <w:szCs w:val="14"/>
                <w:color w:val="auto"/>
              </w:rPr>
            </w:pPr>
          </w:p>
        </w:tc>
        <w:tc>
          <w:tcPr>
            <w:tcW w:w="114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(39,765 )</w:t>
            </w:r>
          </w:p>
        </w:tc>
        <w:tc>
          <w:tcPr>
            <w:tcW w:w="460" w:type="dxa"/>
            <w:vAlign w:val="bottom"/>
            <w:shd w:val="clear" w:color="auto" w:fill="CFF0FC"/>
          </w:tcPr>
          <w:p>
            <w:pPr>
              <w:spacing w:after="0"/>
              <w:rPr>
                <w:sz w:val="14"/>
                <w:szCs w:val="14"/>
                <w:color w:val="auto"/>
              </w:rPr>
            </w:pPr>
          </w:p>
        </w:tc>
        <w:tc>
          <w:tcPr>
            <w:tcW w:w="90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($1.10 per share)</w:t>
            </w:r>
          </w:p>
        </w:tc>
        <w:tc>
          <w:tcPr>
            <w:tcW w:w="1420" w:type="dxa"/>
            <w:vAlign w:val="bottom"/>
            <w:gridSpan w:val="2"/>
            <w:vMerge w:val="continue"/>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00" w:type="dxa"/>
            <w:vAlign w:val="bottom"/>
            <w:gridSpan w:val="2"/>
            <w:vMerge w:val="continue"/>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gridSpan w:val="2"/>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gridSpan w:val="2"/>
            <w:vMerge w:val="continue"/>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0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700" w:type="dxa"/>
            <w:vAlign w:val="bottom"/>
          </w:tcPr>
          <w:p>
            <w:pPr>
              <w:ind w:left="20"/>
              <w:spacing w:after="0" w:line="202" w:lineRule="exact"/>
              <w:rPr>
                <w:sz w:val="20"/>
                <w:szCs w:val="20"/>
                <w:color w:val="auto"/>
              </w:rPr>
            </w:pPr>
            <w:r>
              <w:rPr>
                <w:rFonts w:ascii="Arial" w:cs="Arial" w:eastAsia="Arial" w:hAnsi="Arial"/>
                <w:sz w:val="18"/>
                <w:szCs w:val="18"/>
                <w:color w:val="auto"/>
              </w:rPr>
              <w:t>Issuance and cancellation of stock awards, net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340</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9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Tax payments for restricted stock upon vesting</w:t>
            </w:r>
          </w:p>
        </w:tc>
        <w:tc>
          <w:tcPr>
            <w:tcW w:w="14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(1,875 )</w:t>
            </w:r>
          </w:p>
        </w:tc>
        <w:tc>
          <w:tcPr>
            <w:tcW w:w="4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(789 )</w:t>
            </w:r>
          </w:p>
        </w:tc>
        <w:tc>
          <w:tcPr>
            <w:tcW w:w="2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700" w:type="dxa"/>
            <w:vAlign w:val="bottom"/>
          </w:tcPr>
          <w:p>
            <w:pPr>
              <w:ind w:left="20"/>
              <w:spacing w:after="0" w:line="202" w:lineRule="exact"/>
              <w:rPr>
                <w:sz w:val="20"/>
                <w:szCs w:val="20"/>
                <w:color w:val="auto"/>
              </w:rPr>
            </w:pPr>
            <w:r>
              <w:rPr>
                <w:rFonts w:ascii="Arial" w:cs="Arial" w:eastAsia="Arial" w:hAnsi="Arial"/>
                <w:sz w:val="18"/>
                <w:szCs w:val="18"/>
                <w:color w:val="auto"/>
              </w:rPr>
              <w:t>Purchases of common stock</w:t>
            </w:r>
          </w:p>
        </w:tc>
        <w:tc>
          <w:tcPr>
            <w:tcW w:w="14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(100,810 )</w:t>
            </w:r>
          </w:p>
        </w:tc>
        <w:tc>
          <w:tcPr>
            <w:tcW w:w="400" w:type="dxa"/>
            <w:vAlign w:val="bottom"/>
          </w:tcPr>
          <w:p>
            <w:pPr>
              <w:spacing w:after="0"/>
              <w:rPr>
                <w:sz w:val="17"/>
                <w:szCs w:val="17"/>
                <w:color w:val="auto"/>
              </w:rPr>
            </w:pPr>
          </w:p>
        </w:tc>
        <w:tc>
          <w:tcPr>
            <w:tcW w:w="8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(1 )</w:t>
            </w:r>
          </w:p>
        </w:tc>
        <w:tc>
          <w:tcPr>
            <w:tcW w:w="300" w:type="dxa"/>
            <w:vAlign w:val="bottom"/>
          </w:tcPr>
          <w:p>
            <w:pPr>
              <w:spacing w:after="0"/>
              <w:rPr>
                <w:sz w:val="17"/>
                <w:szCs w:val="17"/>
                <w:color w:val="auto"/>
              </w:rPr>
            </w:pP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(4,037 )</w:t>
            </w:r>
          </w:p>
        </w:tc>
        <w:tc>
          <w:tcPr>
            <w:tcW w:w="220" w:type="dxa"/>
            <w:vAlign w:val="bottom"/>
          </w:tcPr>
          <w:p>
            <w:pPr>
              <w:spacing w:after="0"/>
              <w:rPr>
                <w:sz w:val="17"/>
                <w:szCs w:val="17"/>
                <w:color w:val="auto"/>
              </w:rPr>
            </w:pPr>
          </w:p>
        </w:tc>
        <w:tc>
          <w:tcPr>
            <w:tcW w:w="11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(43,623 )</w:t>
            </w:r>
          </w:p>
        </w:tc>
        <w:tc>
          <w:tcPr>
            <w:tcW w:w="46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Exercise of stock options</w:t>
            </w: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1,445</w:t>
            </w: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266</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700" w:type="dxa"/>
            <w:vAlign w:val="bottom"/>
          </w:tcPr>
          <w:p>
            <w:pPr>
              <w:ind w:left="20"/>
              <w:spacing w:after="0" w:line="202" w:lineRule="exact"/>
              <w:rPr>
                <w:sz w:val="20"/>
                <w:szCs w:val="20"/>
                <w:color w:val="auto"/>
              </w:rPr>
            </w:pPr>
            <w:r>
              <w:rPr>
                <w:rFonts w:ascii="Arial" w:cs="Arial" w:eastAsia="Arial" w:hAnsi="Arial"/>
                <w:sz w:val="18"/>
                <w:szCs w:val="18"/>
                <w:color w:val="auto"/>
              </w:rPr>
              <w:t>Non-cash equity-based compensation expense</w:t>
            </w:r>
          </w:p>
        </w:tc>
        <w:tc>
          <w:tcPr>
            <w:tcW w:w="14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8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7,265</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7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Currency translation adjustment</w:t>
            </w: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614</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00" w:type="dxa"/>
            <w:vAlign w:val="bottom"/>
          </w:tcPr>
          <w:p>
            <w:pPr>
              <w:ind w:left="20"/>
              <w:spacing w:after="0" w:line="196" w:lineRule="exact"/>
              <w:rPr>
                <w:sz w:val="20"/>
                <w:szCs w:val="20"/>
                <w:color w:val="auto"/>
              </w:rPr>
            </w:pPr>
            <w:r>
              <w:rPr>
                <w:rFonts w:ascii="Arial" w:cs="Arial" w:eastAsia="Arial" w:hAnsi="Arial"/>
                <w:sz w:val="18"/>
                <w:szCs w:val="18"/>
                <w:color w:val="auto"/>
              </w:rPr>
              <w:t>Balance at March 27, 2022</w:t>
            </w: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36,037,373</w:t>
            </w:r>
          </w:p>
        </w:tc>
        <w:tc>
          <w:tcPr>
            <w:tcW w:w="240" w:type="dxa"/>
            <w:vAlign w:val="bottom"/>
          </w:tcPr>
          <w:p>
            <w:pPr>
              <w:spacing w:after="0"/>
              <w:rPr>
                <w:sz w:val="17"/>
                <w:szCs w:val="17"/>
                <w:color w:val="auto"/>
              </w:rPr>
            </w:pPr>
          </w:p>
        </w:tc>
        <w:tc>
          <w:tcPr>
            <w:tcW w:w="400" w:type="dxa"/>
            <w:vAlign w:val="bottom"/>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360</w:t>
            </w:r>
          </w:p>
        </w:tc>
        <w:tc>
          <w:tcPr>
            <w:tcW w:w="240" w:type="dxa"/>
            <w:vAlign w:val="bottom"/>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3,545</w:t>
            </w:r>
          </w:p>
        </w:tc>
        <w:tc>
          <w:tcPr>
            <w:tcW w:w="240" w:type="dxa"/>
            <w:vAlign w:val="bottom"/>
          </w:tcPr>
          <w:p>
            <w:pPr>
              <w:spacing w:after="0"/>
              <w:rPr>
                <w:sz w:val="17"/>
                <w:szCs w:val="17"/>
                <w:color w:val="auto"/>
              </w:rPr>
            </w:pP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(4,200,341 )</w:t>
            </w:r>
          </w:p>
        </w:tc>
        <w:tc>
          <w:tcPr>
            <w:tcW w:w="460" w:type="dxa"/>
            <w:vAlign w:val="bottom"/>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(2,206 )</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-159385</wp:posOffset>
            </wp:positionV>
            <wp:extent cx="60325"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-159385</wp:posOffset>
            </wp:positionV>
            <wp:extent cx="60325"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-159385</wp:posOffset>
            </wp:positionV>
            <wp:extent cx="60325"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-159385</wp:posOffset>
            </wp:positionV>
            <wp:extent cx="51435"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-159385</wp:posOffset>
            </wp:positionV>
            <wp:extent cx="51435"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68" w:lineRule="exact"/>
        <w:rPr>
          <w:sz w:val="20"/>
          <w:szCs w:val="20"/>
          <w:color w:val="auto"/>
        </w:rPr>
      </w:pPr>
    </w:p>
    <w:p>
      <w:pPr>
        <w:ind w:right="200" w:firstLine="255"/>
        <w:spacing w:after="0" w:line="261" w:lineRule="auto"/>
        <w:rPr>
          <w:sz w:val="20"/>
          <w:szCs w:val="20"/>
          <w:color w:val="auto"/>
        </w:rPr>
      </w:pPr>
      <w:r>
        <w:rPr>
          <w:rFonts w:ascii="Arial" w:cs="Arial" w:eastAsia="Arial" w:hAnsi="Arial"/>
          <w:sz w:val="18"/>
          <w:szCs w:val="18"/>
          <w:color w:val="auto"/>
        </w:rPr>
        <w:t>Subsequent to the end of the first quarter of 2022, on April 26, 2022, the Company’s Board of Directors declared a $1.10 per share quarterly dividend on its outstanding common stock for shareholders of record as of June 15, 2022 to be paid on June 30, 2022.</w:t>
      </w:r>
    </w:p>
    <w:p>
      <w:pPr>
        <w:spacing w:after="0" w:line="15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the changes in stockholders’ deficit for the first quarter of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90"/>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86"/>
        </w:trPr>
        <w:tc>
          <w:tcPr>
            <w:tcW w:w="4780" w:type="dxa"/>
            <w:vAlign w:val="bottom"/>
          </w:tcPr>
          <w:p>
            <w:pPr>
              <w:spacing w:after="0"/>
              <w:rPr>
                <w:sz w:val="16"/>
                <w:szCs w:val="16"/>
                <w:color w:val="auto"/>
              </w:rPr>
            </w:pPr>
          </w:p>
        </w:tc>
        <w:tc>
          <w:tcPr>
            <w:tcW w:w="2620" w:type="dxa"/>
            <w:vAlign w:val="bottom"/>
            <w:gridSpan w:val="5"/>
            <w:vMerge w:val="restart"/>
          </w:tcPr>
          <w:p>
            <w:pPr>
              <w:jc w:val="right"/>
              <w:ind w:right="96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6"/>
                <w:szCs w:val="16"/>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110"/>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74"/>
        </w:trPr>
        <w:tc>
          <w:tcPr>
            <w:tcW w:w="4780" w:type="dxa"/>
            <w:vAlign w:val="bottom"/>
          </w:tcPr>
          <w:p>
            <w:pPr>
              <w:spacing w:after="0"/>
              <w:rPr>
                <w:sz w:val="15"/>
                <w:szCs w:val="15"/>
                <w:color w:val="auto"/>
              </w:rPr>
            </w:pPr>
          </w:p>
        </w:tc>
        <w:tc>
          <w:tcPr>
            <w:tcW w:w="2620" w:type="dxa"/>
            <w:vAlign w:val="bottom"/>
            <w:gridSpan w:val="5"/>
            <w:vMerge w:val="continue"/>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15"/>
                <w:szCs w:val="15"/>
                <w:color w:val="auto"/>
              </w:rPr>
            </w:pPr>
          </w:p>
        </w:tc>
        <w:tc>
          <w:tcPr>
            <w:tcW w:w="1200" w:type="dxa"/>
            <w:vAlign w:val="bottom"/>
            <w:gridSpan w:val="2"/>
          </w:tcPr>
          <w:p>
            <w:pPr>
              <w:jc w:val="right"/>
              <w:ind w:right="461"/>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5"/>
                <w:szCs w:val="15"/>
                <w:color w:val="auto"/>
              </w:rPr>
            </w:pPr>
          </w:p>
        </w:tc>
        <w:tc>
          <w:tcPr>
            <w:tcW w:w="1160" w:type="dxa"/>
            <w:vAlign w:val="bottom"/>
            <w:gridSpan w:val="2"/>
          </w:tcPr>
          <w:p>
            <w:pPr>
              <w:jc w:val="center"/>
              <w:ind w:right="110"/>
              <w:spacing w:after="0"/>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69"/>
        </w:trPr>
        <w:tc>
          <w:tcPr>
            <w:tcW w:w="4780" w:type="dxa"/>
            <w:vAlign w:val="bottom"/>
          </w:tcPr>
          <w:p>
            <w:pPr>
              <w:spacing w:after="0"/>
              <w:rPr>
                <w:sz w:val="14"/>
                <w:szCs w:val="14"/>
                <w:color w:val="auto"/>
              </w:rPr>
            </w:pPr>
          </w:p>
        </w:tc>
        <w:tc>
          <w:tcPr>
            <w:tcW w:w="1440" w:type="dxa"/>
            <w:vAlign w:val="bottom"/>
            <w:tcBorders>
              <w:top w:val="single" w:sz="8" w:color="auto"/>
            </w:tcBorders>
            <w:gridSpan w:val="2"/>
          </w:tcPr>
          <w:p>
            <w:pPr>
              <w:jc w:val="right"/>
              <w:ind w:right="640"/>
              <w:spacing w:after="0"/>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4"/>
                <w:szCs w:val="14"/>
                <w:color w:val="auto"/>
              </w:rPr>
            </w:pPr>
          </w:p>
        </w:tc>
        <w:tc>
          <w:tcPr>
            <w:tcW w:w="1200" w:type="dxa"/>
            <w:vAlign w:val="bottom"/>
            <w:gridSpan w:val="2"/>
          </w:tcPr>
          <w:p>
            <w:pPr>
              <w:jc w:val="right"/>
              <w:ind w:right="521"/>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1160" w:type="dxa"/>
            <w:vAlign w:val="bottom"/>
            <w:gridSpan w:val="2"/>
          </w:tcPr>
          <w:p>
            <w:pPr>
              <w:jc w:val="center"/>
              <w:ind w:right="110"/>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196"/>
        </w:trPr>
        <w:tc>
          <w:tcPr>
            <w:tcW w:w="47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at January 3, 2021</w:t>
            </w:r>
          </w:p>
        </w:tc>
        <w:tc>
          <w:tcPr>
            <w:tcW w:w="1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38,868,350</w:t>
            </w:r>
          </w:p>
        </w:tc>
        <w:tc>
          <w:tcPr>
            <w:tcW w:w="24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389</w:t>
            </w:r>
          </w:p>
        </w:tc>
        <w:tc>
          <w:tcPr>
            <w:tcW w:w="2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5,122</w:t>
            </w:r>
          </w:p>
        </w:tc>
        <w:tc>
          <w:tcPr>
            <w:tcW w:w="22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(3,303,492</w:t>
            </w:r>
          </w:p>
        </w:tc>
        <w:tc>
          <w:tcPr>
            <w:tcW w:w="22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(2,424</w:t>
            </w:r>
          </w:p>
        </w:tc>
        <w:tc>
          <w:tcPr>
            <w:tcW w:w="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4780" w:type="dxa"/>
            <w:vAlign w:val="bottom"/>
          </w:tcPr>
          <w:p>
            <w:pPr>
              <w:ind w:left="20"/>
              <w:spacing w:after="0" w:line="202" w:lineRule="exact"/>
              <w:rPr>
                <w:sz w:val="20"/>
                <w:szCs w:val="20"/>
                <w:color w:val="auto"/>
              </w:rPr>
            </w:pPr>
            <w:r>
              <w:rPr>
                <w:rFonts w:ascii="Arial" w:cs="Arial" w:eastAsia="Arial" w:hAnsi="Arial"/>
                <w:sz w:val="18"/>
                <w:szCs w:val="18"/>
                <w:color w:val="auto"/>
              </w:rPr>
              <w:t>Net income</w:t>
            </w:r>
          </w:p>
        </w:tc>
        <w:tc>
          <w:tcPr>
            <w:tcW w:w="14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117,761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478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Dividends declared on common stock and equivalents</w:t>
            </w:r>
          </w:p>
        </w:tc>
        <w:tc>
          <w:tcPr>
            <w:tcW w:w="144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4"/>
                <w:szCs w:val="14"/>
                <w:color w:val="auto"/>
              </w:rPr>
            </w:pPr>
          </w:p>
        </w:tc>
        <w:tc>
          <w:tcPr>
            <w:tcW w:w="102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4"/>
                <w:szCs w:val="14"/>
                <w:color w:val="auto"/>
              </w:rPr>
            </w:pPr>
          </w:p>
        </w:tc>
        <w:tc>
          <w:tcPr>
            <w:tcW w:w="104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4"/>
                <w:szCs w:val="14"/>
                <w:color w:val="auto"/>
              </w:rPr>
            </w:pPr>
          </w:p>
        </w:tc>
        <w:tc>
          <w:tcPr>
            <w:tcW w:w="1200" w:type="dxa"/>
            <w:vAlign w:val="bottom"/>
            <w:gridSpan w:val="2"/>
            <w:vMerge w:val="restart"/>
            <w:shd w:val="clear" w:color="auto" w:fill="CFF0FC"/>
          </w:tcPr>
          <w:p>
            <w:pPr>
              <w:jc w:val="right"/>
              <w:ind w:right="81"/>
              <w:spacing w:after="0"/>
              <w:rPr>
                <w:sz w:val="20"/>
                <w:szCs w:val="20"/>
                <w:color w:val="auto"/>
              </w:rPr>
            </w:pPr>
            <w:r>
              <w:rPr>
                <w:rFonts w:ascii="Arial" w:cs="Arial" w:eastAsia="Arial" w:hAnsi="Arial"/>
                <w:sz w:val="18"/>
                <w:szCs w:val="18"/>
                <w:color w:val="auto"/>
              </w:rPr>
              <w:t>(36,475 )</w:t>
            </w:r>
          </w:p>
        </w:tc>
        <w:tc>
          <w:tcPr>
            <w:tcW w:w="100" w:type="dxa"/>
            <w:vAlign w:val="bottom"/>
            <w:shd w:val="clear" w:color="auto" w:fill="CFF0FC"/>
          </w:tcPr>
          <w:p>
            <w:pPr>
              <w:spacing w:after="0"/>
              <w:rPr>
                <w:sz w:val="14"/>
                <w:szCs w:val="14"/>
                <w:color w:val="auto"/>
              </w:rPr>
            </w:pPr>
          </w:p>
        </w:tc>
        <w:tc>
          <w:tcPr>
            <w:tcW w:w="1160" w:type="dxa"/>
            <w:vAlign w:val="bottom"/>
            <w:gridSpan w:val="2"/>
            <w:vMerge w:val="restart"/>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($0.94 per share)</w:t>
            </w:r>
          </w:p>
        </w:tc>
        <w:tc>
          <w:tcPr>
            <w:tcW w:w="1440" w:type="dxa"/>
            <w:vAlign w:val="bottom"/>
            <w:gridSpan w:val="2"/>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gridSpan w:val="2"/>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gridSpan w:val="2"/>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780" w:type="dxa"/>
            <w:vAlign w:val="bottom"/>
          </w:tcPr>
          <w:p>
            <w:pPr>
              <w:ind w:left="20"/>
              <w:spacing w:after="0" w:line="202" w:lineRule="exact"/>
              <w:rPr>
                <w:sz w:val="20"/>
                <w:szCs w:val="20"/>
                <w:color w:val="auto"/>
              </w:rPr>
            </w:pPr>
            <w:r>
              <w:rPr>
                <w:rFonts w:ascii="Arial" w:cs="Arial" w:eastAsia="Arial" w:hAnsi="Arial"/>
                <w:sz w:val="18"/>
                <w:szCs w:val="18"/>
                <w:color w:val="auto"/>
              </w:rPr>
              <w:t>Issuance and cancellation of stock awards, net</w:t>
            </w:r>
          </w:p>
        </w:tc>
        <w:tc>
          <w:tcPr>
            <w:tcW w:w="14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(2,755 )</w:t>
            </w:r>
          </w:p>
        </w:tc>
        <w:tc>
          <w:tcPr>
            <w:tcW w:w="160" w:type="dxa"/>
            <w:vAlign w:val="bottom"/>
          </w:tcPr>
          <w:p>
            <w:pPr>
              <w:spacing w:after="0"/>
              <w:rPr>
                <w:sz w:val="17"/>
                <w:szCs w:val="17"/>
                <w:color w:val="auto"/>
              </w:rPr>
            </w:pPr>
          </w:p>
        </w:tc>
        <w:tc>
          <w:tcPr>
            <w:tcW w:w="10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00" w:type="dxa"/>
            <w:vAlign w:val="bottom"/>
            <w:gridSpan w:val="2"/>
          </w:tcPr>
          <w:p>
            <w:pPr>
              <w:jc w:val="right"/>
              <w:ind w:right="161"/>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1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Tax payments for restricted stock upon vesting</w:t>
            </w:r>
          </w:p>
        </w:tc>
        <w:tc>
          <w:tcPr>
            <w:tcW w:w="144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(2,791 )</w:t>
            </w:r>
          </w:p>
        </w:tc>
        <w:tc>
          <w:tcPr>
            <w:tcW w:w="16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(1,044 )</w:t>
            </w:r>
          </w:p>
        </w:tc>
        <w:tc>
          <w:tcPr>
            <w:tcW w:w="2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61"/>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780" w:type="dxa"/>
            <w:vAlign w:val="bottom"/>
          </w:tcPr>
          <w:p>
            <w:pPr>
              <w:ind w:left="20"/>
              <w:spacing w:after="0" w:line="202" w:lineRule="exact"/>
              <w:rPr>
                <w:sz w:val="20"/>
                <w:szCs w:val="20"/>
                <w:color w:val="auto"/>
              </w:rPr>
            </w:pPr>
            <w:r>
              <w:rPr>
                <w:rFonts w:ascii="Arial" w:cs="Arial" w:eastAsia="Arial" w:hAnsi="Arial"/>
                <w:sz w:val="18"/>
                <w:szCs w:val="18"/>
                <w:color w:val="auto"/>
              </w:rPr>
              <w:t>Purchases of common stock</w:t>
            </w:r>
          </w:p>
        </w:tc>
        <w:tc>
          <w:tcPr>
            <w:tcW w:w="14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(65,870 )</w:t>
            </w:r>
          </w:p>
        </w:tc>
        <w:tc>
          <w:tcPr>
            <w:tcW w:w="160" w:type="dxa"/>
            <w:vAlign w:val="bottom"/>
          </w:tcPr>
          <w:p>
            <w:pPr>
              <w:spacing w:after="0"/>
              <w:rPr>
                <w:sz w:val="17"/>
                <w:szCs w:val="17"/>
                <w:color w:val="auto"/>
              </w:rPr>
            </w:pPr>
          </w:p>
        </w:tc>
        <w:tc>
          <w:tcPr>
            <w:tcW w:w="10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(1 )</w:t>
            </w:r>
          </w:p>
        </w:tc>
        <w:tc>
          <w:tcPr>
            <w:tcW w:w="14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(6,363 )</w:t>
            </w:r>
          </w:p>
        </w:tc>
        <w:tc>
          <w:tcPr>
            <w:tcW w:w="200" w:type="dxa"/>
            <w:vAlign w:val="bottom"/>
          </w:tcPr>
          <w:p>
            <w:pPr>
              <w:spacing w:after="0"/>
              <w:rPr>
                <w:sz w:val="17"/>
                <w:szCs w:val="17"/>
                <w:color w:val="auto"/>
              </w:rPr>
            </w:pPr>
          </w:p>
        </w:tc>
        <w:tc>
          <w:tcPr>
            <w:tcW w:w="1200" w:type="dxa"/>
            <w:vAlign w:val="bottom"/>
            <w:gridSpan w:val="2"/>
          </w:tcPr>
          <w:p>
            <w:pPr>
              <w:jc w:val="right"/>
              <w:ind w:right="81"/>
              <w:spacing w:after="0" w:line="202" w:lineRule="exact"/>
              <w:rPr>
                <w:sz w:val="20"/>
                <w:szCs w:val="20"/>
                <w:color w:val="auto"/>
              </w:rPr>
            </w:pPr>
            <w:r>
              <w:rPr>
                <w:rFonts w:ascii="Arial" w:cs="Arial" w:eastAsia="Arial" w:hAnsi="Arial"/>
                <w:sz w:val="18"/>
                <w:szCs w:val="18"/>
                <w:color w:val="auto"/>
              </w:rPr>
              <w:t>(18,636 )</w:t>
            </w:r>
          </w:p>
        </w:tc>
        <w:tc>
          <w:tcPr>
            <w:tcW w:w="100" w:type="dxa"/>
            <w:vAlign w:val="bottom"/>
          </w:tcPr>
          <w:p>
            <w:pPr>
              <w:spacing w:after="0"/>
              <w:rPr>
                <w:sz w:val="17"/>
                <w:szCs w:val="17"/>
                <w:color w:val="auto"/>
              </w:rPr>
            </w:pPr>
          </w:p>
        </w:tc>
        <w:tc>
          <w:tcPr>
            <w:tcW w:w="11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Exercise of stock options</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21,263</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3,693</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61"/>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780" w:type="dxa"/>
            <w:vAlign w:val="bottom"/>
          </w:tcPr>
          <w:p>
            <w:pPr>
              <w:ind w:left="20"/>
              <w:spacing w:after="0" w:line="202" w:lineRule="exact"/>
              <w:rPr>
                <w:sz w:val="20"/>
                <w:szCs w:val="20"/>
                <w:color w:val="auto"/>
              </w:rPr>
            </w:pPr>
            <w:r>
              <w:rPr>
                <w:rFonts w:ascii="Arial" w:cs="Arial" w:eastAsia="Arial" w:hAnsi="Arial"/>
                <w:sz w:val="18"/>
                <w:szCs w:val="18"/>
                <w:color w:val="auto"/>
              </w:rPr>
              <w:t>Non-cash equity-based compensation expense</w:t>
            </w:r>
          </w:p>
        </w:tc>
        <w:tc>
          <w:tcPr>
            <w:tcW w:w="14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5,204</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right"/>
              <w:ind w:right="161"/>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1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7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Currency translation adjustment</w:t>
            </w: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186</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80" w:type="dxa"/>
            <w:vAlign w:val="bottom"/>
          </w:tcPr>
          <w:p>
            <w:pPr>
              <w:ind w:left="20"/>
              <w:spacing w:after="0" w:line="196" w:lineRule="exact"/>
              <w:rPr>
                <w:sz w:val="20"/>
                <w:szCs w:val="20"/>
                <w:color w:val="auto"/>
              </w:rPr>
            </w:pPr>
            <w:r>
              <w:rPr>
                <w:rFonts w:ascii="Arial" w:cs="Arial" w:eastAsia="Arial" w:hAnsi="Arial"/>
                <w:sz w:val="18"/>
                <w:szCs w:val="18"/>
                <w:color w:val="auto"/>
              </w:rPr>
              <w:t>Balance at March 28, 2021</w:t>
            </w: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38,818,197</w:t>
            </w:r>
          </w:p>
        </w:tc>
        <w:tc>
          <w:tcPr>
            <w:tcW w:w="24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388</w:t>
            </w:r>
          </w:p>
        </w:tc>
        <w:tc>
          <w:tcPr>
            <w:tcW w:w="24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6,612</w:t>
            </w:r>
          </w:p>
        </w:tc>
        <w:tc>
          <w:tcPr>
            <w:tcW w:w="220" w:type="dxa"/>
            <w:vAlign w:val="bottom"/>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81"/>
              <w:spacing w:after="0" w:line="196" w:lineRule="exact"/>
              <w:rPr>
                <w:sz w:val="20"/>
                <w:szCs w:val="20"/>
                <w:color w:val="auto"/>
              </w:rPr>
            </w:pPr>
            <w:r>
              <w:rPr>
                <w:rFonts w:ascii="Arial" w:cs="Arial" w:eastAsia="Arial" w:hAnsi="Arial"/>
                <w:sz w:val="18"/>
                <w:szCs w:val="18"/>
                <w:color w:val="auto"/>
              </w:rPr>
              <w:t>(3,240,842 )</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(2,238 )</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780" w:type="dxa"/>
            <w:vAlign w:val="bottom"/>
          </w:tcPr>
          <w:p>
            <w:pPr>
              <w:spacing w:after="0"/>
              <w:rPr>
                <w:sz w:val="24"/>
                <w:szCs w:val="24"/>
                <w:color w:val="auto"/>
              </w:rPr>
            </w:pPr>
          </w:p>
        </w:tc>
        <w:tc>
          <w:tcPr>
            <w:tcW w:w="1200" w:type="dxa"/>
            <w:vAlign w:val="bottom"/>
          </w:tcPr>
          <w:p>
            <w:pPr>
              <w:jc w:val="right"/>
              <w:ind w:right="233"/>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78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-502285</wp:posOffset>
            </wp:positionV>
            <wp:extent cx="60325"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-502285</wp:posOffset>
            </wp:positionV>
            <wp:extent cx="60325"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-502285</wp:posOffset>
            </wp:positionV>
            <wp:extent cx="51435"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-502285</wp:posOffset>
            </wp:positionV>
            <wp:extent cx="51435"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-502285</wp:posOffset>
            </wp:positionV>
            <wp:extent cx="51435"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color w:val="auto"/>
        </w:rPr>
        <w:t>5. Fair Value Measurements</w:t>
      </w:r>
    </w:p>
    <w:p>
      <w:pPr>
        <w:spacing w:after="0" w:line="171" w:lineRule="exact"/>
        <w:rPr>
          <w:sz w:val="20"/>
          <w:szCs w:val="20"/>
          <w:color w:val="auto"/>
        </w:rPr>
      </w:pPr>
    </w:p>
    <w:p>
      <w:pPr>
        <w:ind w:right="60" w:firstLine="255"/>
        <w:spacing w:after="0" w:line="248" w:lineRule="auto"/>
        <w:rPr>
          <w:sz w:val="20"/>
          <w:szCs w:val="20"/>
          <w:color w:val="auto"/>
        </w:rPr>
      </w:pPr>
      <w:r>
        <w:rPr>
          <w:rFonts w:ascii="Arial" w:cs="Arial" w:eastAsia="Arial" w:hAnsi="Arial"/>
          <w:sz w:val="18"/>
          <w:szCs w:val="18"/>
          <w:color w:val="auto"/>
        </w:rPr>
        <w:t>Fair value measurements enable the reader of the financial statements to assess the inputs used to develop those measurements by establishing a hierarchy for ranking the quality and reliability of the information used to determine fair values. The Company classifies and discloses assets and liabilities carried at fair value in one of the following three categories:</w:t>
      </w:r>
    </w:p>
    <w:p>
      <w:pPr>
        <w:spacing w:after="0" w:line="7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Level 2: Observable market-based inputs or unobservable inputs that are corroborated by market data.</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Level 3: Unobservable inputs that are not corroborated by market data.</w:t>
      </w:r>
    </w:p>
    <w:p>
      <w:pPr>
        <w:spacing w:after="0" w:line="239" w:lineRule="exact"/>
        <w:rPr>
          <w:sz w:val="20"/>
          <w:szCs w:val="20"/>
          <w:color w:val="auto"/>
        </w:rPr>
      </w:pPr>
    </w:p>
    <w:p>
      <w:pPr>
        <w:ind w:left="380"/>
        <w:spacing w:after="0"/>
        <w:rPr>
          <w:sz w:val="20"/>
          <w:szCs w:val="20"/>
          <w:color w:val="auto"/>
        </w:rPr>
      </w:pPr>
      <w:r>
        <w:rPr>
          <w:rFonts w:ascii="Arial" w:cs="Arial" w:eastAsia="Arial" w:hAnsi="Arial"/>
          <w:sz w:val="18"/>
          <w:szCs w:val="18"/>
          <w:u w:val="single" w:color="auto"/>
          <w:color w:val="auto"/>
        </w:rPr>
        <w:t>Fair Value of Cash Equivalents and Investments</w:t>
      </w:r>
    </w:p>
    <w:p>
      <w:pPr>
        <w:spacing w:after="0" w:line="185" w:lineRule="exact"/>
        <w:rPr>
          <w:sz w:val="20"/>
          <w:szCs w:val="20"/>
          <w:color w:val="auto"/>
        </w:rPr>
      </w:pPr>
    </w:p>
    <w:p>
      <w:pPr>
        <w:jc w:val="both"/>
        <w:ind w:right="220" w:firstLine="255"/>
        <w:spacing w:after="0" w:line="270" w:lineRule="auto"/>
        <w:rPr>
          <w:sz w:val="20"/>
          <w:szCs w:val="20"/>
          <w:color w:val="auto"/>
        </w:rPr>
      </w:pPr>
      <w:r>
        <w:rPr>
          <w:rFonts w:ascii="Arial" w:cs="Arial" w:eastAsia="Arial" w:hAnsi="Arial"/>
          <w:sz w:val="17"/>
          <w:szCs w:val="17"/>
          <w:color w:val="auto"/>
        </w:rPr>
        <w:t>The fair values of the Company’s cash equivalents and investments in marketable securities are based on quoted prices in active markets for identical assets. The fair value of the Company’s Level 3 investment is not readily determinable. The fair value represents its cost with adjustments for observable changes in prices resulting from orderly transactions for the identical or a similar investment of the same issuer or impairments.</w:t>
      </w:r>
    </w:p>
    <w:p>
      <w:pPr>
        <w:spacing w:after="0" w:line="16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tables summarize the carrying amounts and fair values of certain assets at March 27, 2022 and January 2, 2022: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At March 27, 2022</w:t>
            </w:r>
          </w:p>
        </w:tc>
        <w:tc>
          <w:tcPr>
            <w:tcW w:w="9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Fair Value Estimated Using</w:t>
            </w: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0"/>
        </w:trPr>
        <w:tc>
          <w:tcPr>
            <w:tcW w:w="4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2"/>
          </w:tcPr>
          <w:p>
            <w:pPr>
              <w:jc w:val="center"/>
              <w:ind w:right="520"/>
              <w:spacing w:after="0" w:line="160" w:lineRule="exact"/>
              <w:rPr>
                <w:sz w:val="20"/>
                <w:szCs w:val="20"/>
                <w:color w:val="auto"/>
              </w:rPr>
            </w:pPr>
            <w:r>
              <w:rPr>
                <w:rFonts w:ascii="Arial" w:cs="Arial" w:eastAsia="Arial" w:hAnsi="Arial"/>
                <w:sz w:val="14"/>
                <w:szCs w:val="14"/>
                <w:b w:val="1"/>
                <w:bCs w:val="1"/>
                <w:color w:val="auto"/>
                <w:w w:val="97"/>
              </w:rPr>
              <w:t>Carrying</w:t>
            </w:r>
          </w:p>
        </w:tc>
        <w:tc>
          <w:tcPr>
            <w:tcW w:w="280" w:type="dxa"/>
            <w:vAlign w:val="bottom"/>
          </w:tcPr>
          <w:p>
            <w:pPr>
              <w:spacing w:after="0"/>
              <w:rPr>
                <w:sz w:val="13"/>
                <w:szCs w:val="13"/>
                <w:color w:val="auto"/>
              </w:rPr>
            </w:pPr>
          </w:p>
        </w:tc>
        <w:tc>
          <w:tcPr>
            <w:tcW w:w="1100" w:type="dxa"/>
            <w:vAlign w:val="bottom"/>
          </w:tcPr>
          <w:p>
            <w:pPr>
              <w:jc w:val="center"/>
              <w:ind w:right="197"/>
              <w:spacing w:after="0" w:line="160" w:lineRule="exact"/>
              <w:rPr>
                <w:sz w:val="20"/>
                <w:szCs w:val="20"/>
                <w:color w:val="auto"/>
              </w:rPr>
            </w:pPr>
            <w:r>
              <w:rPr>
                <w:rFonts w:ascii="Arial" w:cs="Arial" w:eastAsia="Arial" w:hAnsi="Arial"/>
                <w:sz w:val="14"/>
                <w:szCs w:val="14"/>
                <w:b w:val="1"/>
                <w:bCs w:val="1"/>
                <w:color w:val="auto"/>
                <w:w w:val="96"/>
              </w:rPr>
              <w:t>Level 1</w:t>
            </w: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gridSpan w:val="2"/>
          </w:tcPr>
          <w:p>
            <w:pPr>
              <w:jc w:val="center"/>
              <w:ind w:right="680"/>
              <w:spacing w:after="0" w:line="160" w:lineRule="exact"/>
              <w:rPr>
                <w:sz w:val="20"/>
                <w:szCs w:val="20"/>
                <w:color w:val="auto"/>
              </w:rPr>
            </w:pPr>
            <w:r>
              <w:rPr>
                <w:rFonts w:ascii="Arial" w:cs="Arial" w:eastAsia="Arial" w:hAnsi="Arial"/>
                <w:sz w:val="14"/>
                <w:szCs w:val="14"/>
                <w:b w:val="1"/>
                <w:bCs w:val="1"/>
                <w:color w:val="auto"/>
                <w:w w:val="92"/>
              </w:rPr>
              <w:t>Level 2</w:t>
            </w:r>
          </w:p>
        </w:tc>
        <w:tc>
          <w:tcPr>
            <w:tcW w:w="300" w:type="dxa"/>
            <w:vAlign w:val="bottom"/>
          </w:tcPr>
          <w:p>
            <w:pPr>
              <w:spacing w:after="0"/>
              <w:rPr>
                <w:sz w:val="13"/>
                <w:szCs w:val="13"/>
                <w:color w:val="auto"/>
              </w:rPr>
            </w:pPr>
          </w:p>
        </w:tc>
        <w:tc>
          <w:tcPr>
            <w:tcW w:w="1080" w:type="dxa"/>
            <w:vAlign w:val="bottom"/>
          </w:tcPr>
          <w:p>
            <w:pPr>
              <w:jc w:val="center"/>
              <w:ind w:right="215"/>
              <w:spacing w:after="0" w:line="160" w:lineRule="exact"/>
              <w:rPr>
                <w:sz w:val="20"/>
                <w:szCs w:val="20"/>
                <w:color w:val="auto"/>
              </w:rPr>
            </w:pPr>
            <w:r>
              <w:rPr>
                <w:rFonts w:ascii="Arial" w:cs="Arial" w:eastAsia="Arial" w:hAnsi="Arial"/>
                <w:sz w:val="14"/>
                <w:szCs w:val="14"/>
                <w:b w:val="1"/>
                <w:bCs w:val="1"/>
                <w:color w:val="auto"/>
                <w:w w:val="96"/>
              </w:rPr>
              <w:t>Level 3</w:t>
            </w:r>
          </w:p>
        </w:tc>
        <w:tc>
          <w:tcPr>
            <w:tcW w:w="100" w:type="dxa"/>
            <w:vAlign w:val="bottom"/>
          </w:tcPr>
          <w:p>
            <w:pPr>
              <w:spacing w:after="0"/>
              <w:rPr>
                <w:sz w:val="13"/>
                <w:szCs w:val="13"/>
                <w:color w:val="auto"/>
              </w:rPr>
            </w:pPr>
          </w:p>
        </w:tc>
      </w:tr>
      <w:tr>
        <w:trPr>
          <w:trHeight w:val="185"/>
        </w:trPr>
        <w:tc>
          <w:tcPr>
            <w:tcW w:w="4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Amount</w:t>
            </w:r>
          </w:p>
        </w:tc>
        <w:tc>
          <w:tcPr>
            <w:tcW w:w="280" w:type="dxa"/>
            <w:vAlign w:val="bottom"/>
          </w:tcPr>
          <w:p>
            <w:pPr>
              <w:spacing w:after="0"/>
              <w:rPr>
                <w:sz w:val="16"/>
                <w:szCs w:val="16"/>
                <w:color w:val="auto"/>
              </w:rPr>
            </w:pPr>
          </w:p>
        </w:tc>
        <w:tc>
          <w:tcPr>
            <w:tcW w:w="1100" w:type="dxa"/>
            <w:vAlign w:val="bottom"/>
          </w:tcPr>
          <w:p>
            <w:pPr>
              <w:jc w:val="center"/>
              <w:ind w:right="177"/>
              <w:spacing w:after="0"/>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5"/>
              </w:rPr>
              <w:t>Inputs</w:t>
            </w:r>
          </w:p>
        </w:tc>
        <w:tc>
          <w:tcPr>
            <w:tcW w:w="300" w:type="dxa"/>
            <w:vAlign w:val="bottom"/>
          </w:tcPr>
          <w:p>
            <w:pPr>
              <w:spacing w:after="0"/>
              <w:rPr>
                <w:sz w:val="16"/>
                <w:szCs w:val="16"/>
                <w:color w:val="auto"/>
              </w:rPr>
            </w:pPr>
          </w:p>
        </w:tc>
        <w:tc>
          <w:tcPr>
            <w:tcW w:w="1080" w:type="dxa"/>
            <w:vAlign w:val="bottom"/>
          </w:tcPr>
          <w:p>
            <w:pPr>
              <w:jc w:val="center"/>
              <w:ind w:right="195"/>
              <w:spacing w:after="0"/>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6"/>
                <w:szCs w:val="16"/>
                <w:color w:val="auto"/>
              </w:rPr>
            </w:pPr>
          </w:p>
        </w:tc>
      </w:tr>
      <w:tr>
        <w:trPr>
          <w:trHeight w:val="196"/>
        </w:trPr>
        <w:tc>
          <w:tcPr>
            <w:tcW w:w="48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Cash equivalents</w:t>
            </w:r>
          </w:p>
        </w:tc>
        <w:tc>
          <w:tcPr>
            <w:tcW w:w="260" w:type="dxa"/>
            <w:vAlign w:val="bottom"/>
            <w:tcBorders>
              <w:top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130,561</w:t>
            </w:r>
          </w:p>
        </w:tc>
        <w:tc>
          <w:tcPr>
            <w:tcW w:w="26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130,561</w:t>
            </w:r>
          </w:p>
        </w:tc>
        <w:tc>
          <w:tcPr>
            <w:tcW w:w="240" w:type="dxa"/>
            <w:vAlign w:val="bottom"/>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ind w:left="740"/>
              <w:spacing w:after="0" w:line="196" w:lineRule="exact"/>
              <w:rPr>
                <w:sz w:val="20"/>
                <w:szCs w:val="20"/>
                <w:color w:val="auto"/>
              </w:rPr>
            </w:pPr>
            <w:r>
              <w:rPr>
                <w:rFonts w:ascii="Arial" w:cs="Arial" w:eastAsia="Arial" w:hAnsi="Arial"/>
                <w:sz w:val="18"/>
                <w:szCs w:val="18"/>
                <w:color w:val="auto"/>
                <w:w w:val="88"/>
              </w:rPr>
              <w:t>—</w:t>
            </w:r>
          </w:p>
        </w:tc>
        <w:tc>
          <w:tcPr>
            <w:tcW w:w="24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r>
      <w:tr>
        <w:trPr>
          <w:trHeight w:val="203"/>
        </w:trPr>
        <w:tc>
          <w:tcPr>
            <w:tcW w:w="4880" w:type="dxa"/>
            <w:vAlign w:val="bottom"/>
          </w:tcPr>
          <w:p>
            <w:pPr>
              <w:ind w:left="20"/>
              <w:spacing w:after="0" w:line="202" w:lineRule="exact"/>
              <w:rPr>
                <w:sz w:val="20"/>
                <w:szCs w:val="20"/>
                <w:color w:val="auto"/>
              </w:rPr>
            </w:pPr>
            <w:r>
              <w:rPr>
                <w:rFonts w:ascii="Arial" w:cs="Arial" w:eastAsia="Arial" w:hAnsi="Arial"/>
                <w:sz w:val="18"/>
                <w:szCs w:val="18"/>
                <w:color w:val="auto"/>
              </w:rPr>
              <w:t>Restricted cash equivalents</w:t>
            </w:r>
          </w:p>
        </w:tc>
        <w:tc>
          <w:tcPr>
            <w:tcW w:w="2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119,832</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119,832</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gridSpan w:val="2"/>
          </w:tcPr>
          <w:p>
            <w:pPr>
              <w:ind w:left="74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03"/>
        </w:trPr>
        <w:tc>
          <w:tcPr>
            <w:tcW w:w="48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Investments in marketable securities</w:t>
            </w:r>
          </w:p>
        </w:tc>
        <w:tc>
          <w:tcPr>
            <w:tcW w:w="2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14,417</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14,417</w:t>
            </w: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ind w:left="74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r>
      <w:tr>
        <w:trPr>
          <w:trHeight w:val="203"/>
        </w:trPr>
        <w:tc>
          <w:tcPr>
            <w:tcW w:w="4880" w:type="dxa"/>
            <w:vAlign w:val="bottom"/>
          </w:tcPr>
          <w:p>
            <w:pPr>
              <w:ind w:left="20"/>
              <w:spacing w:after="0" w:line="202" w:lineRule="exact"/>
              <w:rPr>
                <w:sz w:val="20"/>
                <w:szCs w:val="20"/>
                <w:color w:val="auto"/>
              </w:rPr>
            </w:pPr>
            <w:r>
              <w:rPr>
                <w:rFonts w:ascii="Arial" w:cs="Arial" w:eastAsia="Arial" w:hAnsi="Arial"/>
                <w:sz w:val="18"/>
                <w:szCs w:val="18"/>
                <w:color w:val="auto"/>
              </w:rPr>
              <w:t>Advertising fund cash equivalents, restricted</w:t>
            </w:r>
          </w:p>
        </w:tc>
        <w:tc>
          <w:tcPr>
            <w:tcW w:w="2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139,780</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139,780</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gridSpan w:val="2"/>
          </w:tcPr>
          <w:p>
            <w:pPr>
              <w:ind w:left="74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03"/>
        </w:trPr>
        <w:tc>
          <w:tcPr>
            <w:tcW w:w="48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Investments</w:t>
            </w:r>
          </w:p>
        </w:tc>
        <w:tc>
          <w:tcPr>
            <w:tcW w:w="2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125,840</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ind w:left="74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125,840</w:t>
            </w:r>
          </w:p>
        </w:tc>
        <w:tc>
          <w:tcPr>
            <w:tcW w:w="100" w:type="dxa"/>
            <w:vAlign w:val="bottom"/>
            <w:shd w:val="clear" w:color="auto" w:fill="CFF0FC"/>
          </w:tcPr>
          <w:p>
            <w:pPr>
              <w:spacing w:after="0"/>
              <w:rPr>
                <w:sz w:val="17"/>
                <w:szCs w:val="17"/>
                <w:color w:val="auto"/>
              </w:rPr>
            </w:pPr>
          </w:p>
        </w:tc>
      </w:tr>
      <w:tr>
        <w:trPr>
          <w:trHeight w:val="378"/>
        </w:trPr>
        <w:tc>
          <w:tcPr>
            <w:tcW w:w="48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At January 2, 2022</w:t>
            </w: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4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Fair Value Estimated Using</w:t>
            </w: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0"/>
        </w:trPr>
        <w:tc>
          <w:tcPr>
            <w:tcW w:w="4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2"/>
          </w:tcPr>
          <w:p>
            <w:pPr>
              <w:jc w:val="center"/>
              <w:ind w:right="520"/>
              <w:spacing w:after="0" w:line="160" w:lineRule="exact"/>
              <w:rPr>
                <w:sz w:val="20"/>
                <w:szCs w:val="20"/>
                <w:color w:val="auto"/>
              </w:rPr>
            </w:pPr>
            <w:r>
              <w:rPr>
                <w:rFonts w:ascii="Arial" w:cs="Arial" w:eastAsia="Arial" w:hAnsi="Arial"/>
                <w:sz w:val="14"/>
                <w:szCs w:val="14"/>
                <w:b w:val="1"/>
                <w:bCs w:val="1"/>
                <w:color w:val="auto"/>
                <w:w w:val="97"/>
              </w:rPr>
              <w:t>Carrying</w:t>
            </w:r>
          </w:p>
        </w:tc>
        <w:tc>
          <w:tcPr>
            <w:tcW w:w="280" w:type="dxa"/>
            <w:vAlign w:val="bottom"/>
          </w:tcPr>
          <w:p>
            <w:pPr>
              <w:spacing w:after="0"/>
              <w:rPr>
                <w:sz w:val="13"/>
                <w:szCs w:val="13"/>
                <w:color w:val="auto"/>
              </w:rPr>
            </w:pPr>
          </w:p>
        </w:tc>
        <w:tc>
          <w:tcPr>
            <w:tcW w:w="1100" w:type="dxa"/>
            <w:vAlign w:val="bottom"/>
          </w:tcPr>
          <w:p>
            <w:pPr>
              <w:jc w:val="center"/>
              <w:ind w:right="197"/>
              <w:spacing w:after="0" w:line="160" w:lineRule="exact"/>
              <w:rPr>
                <w:sz w:val="20"/>
                <w:szCs w:val="20"/>
                <w:color w:val="auto"/>
              </w:rPr>
            </w:pPr>
            <w:r>
              <w:rPr>
                <w:rFonts w:ascii="Arial" w:cs="Arial" w:eastAsia="Arial" w:hAnsi="Arial"/>
                <w:sz w:val="14"/>
                <w:szCs w:val="14"/>
                <w:b w:val="1"/>
                <w:bCs w:val="1"/>
                <w:color w:val="auto"/>
                <w:w w:val="96"/>
              </w:rPr>
              <w:t>Level 1</w:t>
            </w: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gridSpan w:val="2"/>
          </w:tcPr>
          <w:p>
            <w:pPr>
              <w:jc w:val="center"/>
              <w:ind w:right="680"/>
              <w:spacing w:after="0" w:line="160" w:lineRule="exact"/>
              <w:rPr>
                <w:sz w:val="20"/>
                <w:szCs w:val="20"/>
                <w:color w:val="auto"/>
              </w:rPr>
            </w:pPr>
            <w:r>
              <w:rPr>
                <w:rFonts w:ascii="Arial" w:cs="Arial" w:eastAsia="Arial" w:hAnsi="Arial"/>
                <w:sz w:val="14"/>
                <w:szCs w:val="14"/>
                <w:b w:val="1"/>
                <w:bCs w:val="1"/>
                <w:color w:val="auto"/>
                <w:w w:val="92"/>
              </w:rPr>
              <w:t>Level 2</w:t>
            </w:r>
          </w:p>
        </w:tc>
        <w:tc>
          <w:tcPr>
            <w:tcW w:w="300" w:type="dxa"/>
            <w:vAlign w:val="bottom"/>
          </w:tcPr>
          <w:p>
            <w:pPr>
              <w:spacing w:after="0"/>
              <w:rPr>
                <w:sz w:val="13"/>
                <w:szCs w:val="13"/>
                <w:color w:val="auto"/>
              </w:rPr>
            </w:pPr>
          </w:p>
        </w:tc>
        <w:tc>
          <w:tcPr>
            <w:tcW w:w="1080" w:type="dxa"/>
            <w:vAlign w:val="bottom"/>
          </w:tcPr>
          <w:p>
            <w:pPr>
              <w:jc w:val="center"/>
              <w:ind w:right="215"/>
              <w:spacing w:after="0" w:line="160" w:lineRule="exact"/>
              <w:rPr>
                <w:sz w:val="20"/>
                <w:szCs w:val="20"/>
                <w:color w:val="auto"/>
              </w:rPr>
            </w:pPr>
            <w:r>
              <w:rPr>
                <w:rFonts w:ascii="Arial" w:cs="Arial" w:eastAsia="Arial" w:hAnsi="Arial"/>
                <w:sz w:val="14"/>
                <w:szCs w:val="14"/>
                <w:b w:val="1"/>
                <w:bCs w:val="1"/>
                <w:color w:val="auto"/>
                <w:w w:val="96"/>
              </w:rPr>
              <w:t>Level 3</w:t>
            </w:r>
          </w:p>
        </w:tc>
        <w:tc>
          <w:tcPr>
            <w:tcW w:w="100" w:type="dxa"/>
            <w:vAlign w:val="bottom"/>
          </w:tcPr>
          <w:p>
            <w:pPr>
              <w:spacing w:after="0"/>
              <w:rPr>
                <w:sz w:val="13"/>
                <w:szCs w:val="13"/>
                <w:color w:val="auto"/>
              </w:rPr>
            </w:pPr>
          </w:p>
        </w:tc>
      </w:tr>
      <w:tr>
        <w:trPr>
          <w:trHeight w:val="185"/>
        </w:trPr>
        <w:tc>
          <w:tcPr>
            <w:tcW w:w="4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Amount</w:t>
            </w:r>
          </w:p>
        </w:tc>
        <w:tc>
          <w:tcPr>
            <w:tcW w:w="280" w:type="dxa"/>
            <w:vAlign w:val="bottom"/>
          </w:tcPr>
          <w:p>
            <w:pPr>
              <w:spacing w:after="0"/>
              <w:rPr>
                <w:sz w:val="16"/>
                <w:szCs w:val="16"/>
                <w:color w:val="auto"/>
              </w:rPr>
            </w:pPr>
          </w:p>
        </w:tc>
        <w:tc>
          <w:tcPr>
            <w:tcW w:w="1100" w:type="dxa"/>
            <w:vAlign w:val="bottom"/>
          </w:tcPr>
          <w:p>
            <w:pPr>
              <w:jc w:val="center"/>
              <w:ind w:right="177"/>
              <w:spacing w:after="0"/>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5"/>
              </w:rPr>
              <w:t>Inputs</w:t>
            </w:r>
          </w:p>
        </w:tc>
        <w:tc>
          <w:tcPr>
            <w:tcW w:w="300" w:type="dxa"/>
            <w:vAlign w:val="bottom"/>
          </w:tcPr>
          <w:p>
            <w:pPr>
              <w:spacing w:after="0"/>
              <w:rPr>
                <w:sz w:val="16"/>
                <w:szCs w:val="16"/>
                <w:color w:val="auto"/>
              </w:rPr>
            </w:pPr>
          </w:p>
        </w:tc>
        <w:tc>
          <w:tcPr>
            <w:tcW w:w="1080" w:type="dxa"/>
            <w:vAlign w:val="bottom"/>
          </w:tcPr>
          <w:p>
            <w:pPr>
              <w:jc w:val="center"/>
              <w:ind w:right="195"/>
              <w:spacing w:after="0"/>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6"/>
                <w:szCs w:val="16"/>
                <w:color w:val="auto"/>
              </w:rPr>
            </w:pPr>
          </w:p>
        </w:tc>
      </w:tr>
      <w:tr>
        <w:trPr>
          <w:trHeight w:val="196"/>
        </w:trPr>
        <w:tc>
          <w:tcPr>
            <w:tcW w:w="48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Cash equivalents</w:t>
            </w:r>
          </w:p>
        </w:tc>
        <w:tc>
          <w:tcPr>
            <w:tcW w:w="260" w:type="dxa"/>
            <w:vAlign w:val="bottom"/>
            <w:tcBorders>
              <w:top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87,384</w:t>
            </w:r>
          </w:p>
        </w:tc>
        <w:tc>
          <w:tcPr>
            <w:tcW w:w="26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87,384</w:t>
            </w:r>
          </w:p>
        </w:tc>
        <w:tc>
          <w:tcPr>
            <w:tcW w:w="240" w:type="dxa"/>
            <w:vAlign w:val="bottom"/>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ind w:left="740"/>
              <w:spacing w:after="0" w:line="196" w:lineRule="exact"/>
              <w:rPr>
                <w:sz w:val="20"/>
                <w:szCs w:val="20"/>
                <w:color w:val="auto"/>
              </w:rPr>
            </w:pPr>
            <w:r>
              <w:rPr>
                <w:rFonts w:ascii="Arial" w:cs="Arial" w:eastAsia="Arial" w:hAnsi="Arial"/>
                <w:sz w:val="18"/>
                <w:szCs w:val="18"/>
                <w:color w:val="auto"/>
                <w:w w:val="88"/>
              </w:rPr>
              <w:t>—</w:t>
            </w:r>
          </w:p>
        </w:tc>
        <w:tc>
          <w:tcPr>
            <w:tcW w:w="24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r>
      <w:tr>
        <w:trPr>
          <w:trHeight w:val="203"/>
        </w:trPr>
        <w:tc>
          <w:tcPr>
            <w:tcW w:w="4880" w:type="dxa"/>
            <w:vAlign w:val="bottom"/>
          </w:tcPr>
          <w:p>
            <w:pPr>
              <w:ind w:left="20"/>
              <w:spacing w:after="0" w:line="202" w:lineRule="exact"/>
              <w:rPr>
                <w:sz w:val="20"/>
                <w:szCs w:val="20"/>
                <w:color w:val="auto"/>
              </w:rPr>
            </w:pPr>
            <w:r>
              <w:rPr>
                <w:rFonts w:ascii="Arial" w:cs="Arial" w:eastAsia="Arial" w:hAnsi="Arial"/>
                <w:sz w:val="18"/>
                <w:szCs w:val="18"/>
                <w:color w:val="auto"/>
              </w:rPr>
              <w:t>Restricted cash equivalents</w:t>
            </w:r>
          </w:p>
        </w:tc>
        <w:tc>
          <w:tcPr>
            <w:tcW w:w="2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115,185</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115,185</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gridSpan w:val="2"/>
          </w:tcPr>
          <w:p>
            <w:pPr>
              <w:ind w:left="74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03"/>
        </w:trPr>
        <w:tc>
          <w:tcPr>
            <w:tcW w:w="48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Investments in marketable securities</w:t>
            </w:r>
          </w:p>
        </w:tc>
        <w:tc>
          <w:tcPr>
            <w:tcW w:w="2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15,433</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15,433</w:t>
            </w: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ind w:left="74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r>
      <w:tr>
        <w:trPr>
          <w:trHeight w:val="203"/>
        </w:trPr>
        <w:tc>
          <w:tcPr>
            <w:tcW w:w="4880" w:type="dxa"/>
            <w:vAlign w:val="bottom"/>
          </w:tcPr>
          <w:p>
            <w:pPr>
              <w:ind w:left="20"/>
              <w:spacing w:after="0" w:line="202" w:lineRule="exact"/>
              <w:rPr>
                <w:sz w:val="20"/>
                <w:szCs w:val="20"/>
                <w:color w:val="auto"/>
              </w:rPr>
            </w:pPr>
            <w:r>
              <w:rPr>
                <w:rFonts w:ascii="Arial" w:cs="Arial" w:eastAsia="Arial" w:hAnsi="Arial"/>
                <w:sz w:val="18"/>
                <w:szCs w:val="18"/>
                <w:color w:val="auto"/>
              </w:rPr>
              <w:t>Advertising fund cash equivalents, restricted</w:t>
            </w:r>
          </w:p>
        </w:tc>
        <w:tc>
          <w:tcPr>
            <w:tcW w:w="2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140,115</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140,115</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gridSpan w:val="2"/>
          </w:tcPr>
          <w:p>
            <w:pPr>
              <w:ind w:left="74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03"/>
        </w:trPr>
        <w:tc>
          <w:tcPr>
            <w:tcW w:w="48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Investments</w:t>
            </w:r>
          </w:p>
        </w:tc>
        <w:tc>
          <w:tcPr>
            <w:tcW w:w="2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125,840</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ind w:left="74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125,840</w:t>
            </w:r>
          </w:p>
        </w:tc>
        <w:tc>
          <w:tcPr>
            <w:tcW w:w="100" w:type="dxa"/>
            <w:vAlign w:val="bottom"/>
            <w:shd w:val="clear" w:color="auto" w:fill="CFF0FC"/>
          </w:tcPr>
          <w:p>
            <w:pPr>
              <w:spacing w:after="0"/>
              <w:rPr>
                <w:sz w:val="17"/>
                <w:szCs w:val="17"/>
                <w:color w:val="auto"/>
              </w:rPr>
            </w:pPr>
          </w:p>
        </w:tc>
      </w:tr>
    </w:tbl>
    <w:p>
      <w:pPr>
        <w:spacing w:after="0" w:line="188" w:lineRule="exact"/>
        <w:rPr>
          <w:sz w:val="20"/>
          <w:szCs w:val="20"/>
          <w:color w:val="auto"/>
        </w:rPr>
      </w:pPr>
    </w:p>
    <w:p>
      <w:pPr>
        <w:ind w:right="20" w:firstLine="255"/>
        <w:spacing w:after="0" w:line="259" w:lineRule="auto"/>
        <w:rPr>
          <w:sz w:val="20"/>
          <w:szCs w:val="20"/>
          <w:color w:val="auto"/>
        </w:rPr>
      </w:pPr>
      <w:r>
        <w:rPr>
          <w:rFonts w:ascii="Arial" w:cs="Arial" w:eastAsia="Arial" w:hAnsi="Arial"/>
          <w:sz w:val="17"/>
          <w:szCs w:val="17"/>
          <w:color w:val="auto"/>
        </w:rPr>
        <w:t>The Company holds a non-controlling interest in DPC Dash Ltd, a privately-held business company limited by shares incorporated with limited liability under the laws of the British Virgin Islands (“DPC Dash”). Through its subsidiaries, DPC Dash serves as the Company’s master franchisee in China that owns and operates Domino’s Pizza stores in that market. The Company’s investment in DPC Dash’s senior ordinary shares, which are not in-substance common stock, represents an equity investment without a readily determinable fair value and is recorded at cost with adjustments for observable changes in prices resulting from orderly transactions for the identical or a similar investment of the same issuer or impairments.</w:t>
      </w:r>
    </w:p>
    <w:p>
      <w:pPr>
        <w:spacing w:after="0" w:line="174" w:lineRule="exact"/>
        <w:rPr>
          <w:sz w:val="20"/>
          <w:szCs w:val="20"/>
          <w:color w:val="auto"/>
        </w:rPr>
      </w:pPr>
    </w:p>
    <w:p>
      <w:pPr>
        <w:ind w:right="100" w:firstLine="255"/>
        <w:spacing w:after="0" w:line="248" w:lineRule="auto"/>
        <w:rPr>
          <w:sz w:val="20"/>
          <w:szCs w:val="20"/>
          <w:color w:val="auto"/>
        </w:rPr>
      </w:pPr>
      <w:r>
        <w:rPr>
          <w:rFonts w:ascii="Arial" w:cs="Arial" w:eastAsia="Arial" w:hAnsi="Arial"/>
          <w:sz w:val="18"/>
          <w:szCs w:val="18"/>
          <w:color w:val="auto"/>
        </w:rPr>
        <w:t>The Company did not record any adjustments to the carrying amount of $125.8 million in the first quarter of 2022. The following table summarizes the reconciliation of the carrying amount of the Company’s investment in DPC Dash from the opening balance at January 3, 2021 to the closing balance at March 28, 2021.</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Fiscal Quarter Ended March 28, 2021</w:t>
            </w: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48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6"/>
              </w:rPr>
              <w:t>Carrying Amount</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7"/>
              </w:rPr>
              <w:t>Carrying Amount</w:t>
            </w:r>
          </w:p>
        </w:tc>
        <w:tc>
          <w:tcPr>
            <w:tcW w:w="60" w:type="dxa"/>
            <w:vAlign w:val="bottom"/>
          </w:tcPr>
          <w:p>
            <w:pPr>
              <w:spacing w:after="0"/>
              <w:rPr>
                <w:sz w:val="14"/>
                <w:szCs w:val="14"/>
                <w:color w:val="auto"/>
              </w:rPr>
            </w:pPr>
          </w:p>
        </w:tc>
      </w:tr>
      <w:tr>
        <w:trPr>
          <w:trHeight w:val="160"/>
        </w:trPr>
        <w:tc>
          <w:tcPr>
            <w:tcW w:w="4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jc w:val="center"/>
              <w:ind w:right="61"/>
              <w:spacing w:after="0" w:line="160" w:lineRule="exact"/>
              <w:rPr>
                <w:sz w:val="20"/>
                <w:szCs w:val="20"/>
                <w:color w:val="auto"/>
              </w:rPr>
            </w:pPr>
            <w:r>
              <w:rPr>
                <w:rFonts w:ascii="Arial" w:cs="Arial" w:eastAsia="Arial" w:hAnsi="Arial"/>
                <w:sz w:val="14"/>
                <w:szCs w:val="14"/>
                <w:b w:val="1"/>
                <w:bCs w:val="1"/>
                <w:color w:val="auto"/>
                <w:w w:val="95"/>
              </w:rPr>
              <w:t>January 3,</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2"/>
          </w:tcPr>
          <w:p>
            <w:pPr>
              <w:jc w:val="center"/>
              <w:ind w:right="420"/>
              <w:spacing w:after="0" w:line="160"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3"/>
                <w:szCs w:val="13"/>
                <w:color w:val="auto"/>
              </w:rPr>
            </w:pPr>
          </w:p>
        </w:tc>
        <w:tc>
          <w:tcPr>
            <w:tcW w:w="1280" w:type="dxa"/>
            <w:vAlign w:val="bottom"/>
          </w:tcPr>
          <w:p>
            <w:pPr>
              <w:jc w:val="center"/>
              <w:ind w:right="44"/>
              <w:spacing w:after="0" w:line="160" w:lineRule="exact"/>
              <w:rPr>
                <w:sz w:val="20"/>
                <w:szCs w:val="20"/>
                <w:color w:val="auto"/>
              </w:rPr>
            </w:pPr>
            <w:r>
              <w:rPr>
                <w:rFonts w:ascii="Arial" w:cs="Arial" w:eastAsia="Arial" w:hAnsi="Arial"/>
                <w:sz w:val="14"/>
                <w:szCs w:val="14"/>
                <w:b w:val="1"/>
                <w:bCs w:val="1"/>
                <w:color w:val="auto"/>
                <w:w w:val="99"/>
              </w:rPr>
              <w:t>March 28,</w:t>
            </w:r>
          </w:p>
        </w:tc>
        <w:tc>
          <w:tcPr>
            <w:tcW w:w="60" w:type="dxa"/>
            <w:vAlign w:val="bottom"/>
          </w:tcPr>
          <w:p>
            <w:pPr>
              <w:spacing w:after="0"/>
              <w:rPr>
                <w:sz w:val="13"/>
                <w:szCs w:val="13"/>
                <w:color w:val="auto"/>
              </w:rPr>
            </w:pPr>
          </w:p>
        </w:tc>
      </w:tr>
      <w:tr>
        <w:trPr>
          <w:trHeight w:val="185"/>
        </w:trPr>
        <w:tc>
          <w:tcPr>
            <w:tcW w:w="4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center"/>
              <w:ind w:right="61"/>
              <w:spacing w:after="0"/>
              <w:rPr>
                <w:sz w:val="20"/>
                <w:szCs w:val="20"/>
                <w:color w:val="auto"/>
              </w:rPr>
            </w:pPr>
            <w:r>
              <w:rPr>
                <w:rFonts w:ascii="Arial" w:cs="Arial" w:eastAsia="Arial" w:hAnsi="Arial"/>
                <w:sz w:val="14"/>
                <w:szCs w:val="14"/>
                <w:b w:val="1"/>
                <w:bCs w:val="1"/>
                <w:color w:val="auto"/>
                <w:w w:val="96"/>
              </w:rPr>
              <w:t>2021</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ind w:right="342"/>
              <w:spacing w:after="0"/>
              <w:rPr>
                <w:sz w:val="20"/>
                <w:szCs w:val="20"/>
                <w:color w:val="auto"/>
              </w:rPr>
            </w:pPr>
            <w:r>
              <w:rPr>
                <w:rFonts w:ascii="Arial" w:cs="Arial" w:eastAsia="Arial" w:hAnsi="Arial"/>
                <w:sz w:val="14"/>
                <w:szCs w:val="14"/>
                <w:b w:val="1"/>
                <w:bCs w:val="1"/>
                <w:color w:val="auto"/>
              </w:rPr>
              <w:t>Purchases</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Gain</w:t>
            </w:r>
          </w:p>
        </w:tc>
        <w:tc>
          <w:tcPr>
            <w:tcW w:w="140" w:type="dxa"/>
            <w:vAlign w:val="bottom"/>
          </w:tcPr>
          <w:p>
            <w:pPr>
              <w:spacing w:after="0"/>
              <w:rPr>
                <w:sz w:val="16"/>
                <w:szCs w:val="16"/>
                <w:color w:val="auto"/>
              </w:rPr>
            </w:pPr>
          </w:p>
        </w:tc>
        <w:tc>
          <w:tcPr>
            <w:tcW w:w="1280" w:type="dxa"/>
            <w:vAlign w:val="bottom"/>
          </w:tcPr>
          <w:p>
            <w:pPr>
              <w:jc w:val="center"/>
              <w:ind w:right="44"/>
              <w:spacing w:after="0"/>
              <w:rPr>
                <w:sz w:val="20"/>
                <w:szCs w:val="20"/>
                <w:color w:val="auto"/>
              </w:rPr>
            </w:pPr>
            <w:r>
              <w:rPr>
                <w:rFonts w:ascii="Arial" w:cs="Arial" w:eastAsia="Arial" w:hAnsi="Arial"/>
                <w:sz w:val="14"/>
                <w:szCs w:val="14"/>
                <w:b w:val="1"/>
                <w:bCs w:val="1"/>
                <w:color w:val="auto"/>
                <w:w w:val="89"/>
              </w:rPr>
              <w:t>2021</w:t>
            </w:r>
          </w:p>
        </w:tc>
        <w:tc>
          <w:tcPr>
            <w:tcW w:w="60" w:type="dxa"/>
            <w:vAlign w:val="bottom"/>
          </w:tcPr>
          <w:p>
            <w:pPr>
              <w:spacing w:after="0"/>
              <w:rPr>
                <w:sz w:val="16"/>
                <w:szCs w:val="16"/>
                <w:color w:val="auto"/>
              </w:rPr>
            </w:pPr>
          </w:p>
        </w:tc>
      </w:tr>
      <w:tr>
        <w:trPr>
          <w:trHeight w:val="196"/>
        </w:trPr>
        <w:tc>
          <w:tcPr>
            <w:tcW w:w="48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Investments</w:t>
            </w: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40,000</w:t>
            </w:r>
          </w:p>
        </w:tc>
        <w:tc>
          <w:tcPr>
            <w:tcW w:w="20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40,000</w:t>
            </w:r>
          </w:p>
        </w:tc>
        <w:tc>
          <w:tcPr>
            <w:tcW w:w="18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2,500</w:t>
            </w:r>
          </w:p>
        </w:tc>
        <w:tc>
          <w:tcPr>
            <w:tcW w:w="18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82,500</w:t>
            </w:r>
          </w:p>
        </w:tc>
        <w:tc>
          <w:tcPr>
            <w:tcW w:w="60" w:type="dxa"/>
            <w:vAlign w:val="bottom"/>
            <w:shd w:val="clear" w:color="auto" w:fill="CFF0FC"/>
          </w:tcPr>
          <w:p>
            <w:pPr>
              <w:spacing w:after="0"/>
              <w:rPr>
                <w:sz w:val="17"/>
                <w:szCs w:val="17"/>
                <w:color w:val="auto"/>
              </w:rPr>
            </w:pPr>
          </w:p>
        </w:tc>
      </w:tr>
      <w:tr>
        <w:trPr>
          <w:trHeight w:val="419"/>
        </w:trPr>
        <w:tc>
          <w:tcPr>
            <w:tcW w:w="4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right"/>
              <w:ind w:right="581"/>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4"/>
        </w:trPr>
        <w:tc>
          <w:tcPr>
            <w:tcW w:w="48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32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24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18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28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9" w:name="page10"/>
    <w:bookmarkEnd w:id="9"/>
    <w:p>
      <w:pPr>
        <w:ind w:left="380"/>
        <w:spacing w:after="0"/>
        <w:rPr>
          <w:sz w:val="20"/>
          <w:szCs w:val="20"/>
          <w:color w:val="auto"/>
        </w:rPr>
      </w:pPr>
      <w:r>
        <w:rPr>
          <w:rFonts w:ascii="Arial" w:cs="Arial" w:eastAsia="Arial" w:hAnsi="Arial"/>
          <w:sz w:val="18"/>
          <w:szCs w:val="18"/>
          <w:u w:val="single" w:color="auto"/>
          <w:color w:val="auto"/>
        </w:rPr>
        <w:t>Fair Value of Debt</w:t>
      </w:r>
    </w:p>
    <w:p>
      <w:pPr>
        <w:spacing w:after="0" w:line="198" w:lineRule="exact"/>
        <w:rPr>
          <w:sz w:val="20"/>
          <w:szCs w:val="20"/>
          <w:color w:val="auto"/>
        </w:rPr>
      </w:pPr>
    </w:p>
    <w:p>
      <w:pPr>
        <w:ind w:right="40" w:firstLine="255"/>
        <w:spacing w:after="0" w:line="239" w:lineRule="auto"/>
        <w:rPr>
          <w:sz w:val="20"/>
          <w:szCs w:val="20"/>
          <w:color w:val="auto"/>
        </w:rPr>
      </w:pPr>
      <w:r>
        <w:rPr>
          <w:rFonts w:ascii="Arial" w:cs="Arial" w:eastAsia="Arial" w:hAnsi="Arial"/>
          <w:sz w:val="18"/>
          <w:szCs w:val="18"/>
          <w:color w:val="auto"/>
        </w:rPr>
        <w:t>The estimated fair values of the Company’s fixed rate notes are classified as Level 2 measurements, as the Company estimates the fair value amount by using available market information. The Company obtained quotes from two separate brokerage firms that are knowledgeable about the Company’s fixed rate notes and, at times, trade these notes. The Company also performed its own internal analysis based on the information gathered from public markets, including information on notes that are similar to those of the Company. However, considerable judgment is required to interpret market data to estimate fair value. Accordingly, the fair value estimates presented are not necessarily indicative of the amount that the Company or the debtholders could realize in a current market exchange. The use of different assumptions and/or estimation methodologies may have a material effect on the estimated fair values stated below.</w:t>
      </w:r>
    </w:p>
    <w:p>
      <w:pPr>
        <w:spacing w:after="0" w:line="16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Management estimated the approximate fair values of the Company's 2015, 2017, 2018, 2019 and 2021 notes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27, 2022</w:t>
            </w:r>
          </w:p>
        </w:tc>
        <w:tc>
          <w:tcPr>
            <w:tcW w:w="10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932"/>
              <w:spacing w:after="0"/>
              <w:rPr>
                <w:sz w:val="20"/>
                <w:szCs w:val="20"/>
                <w:color w:val="auto"/>
              </w:rPr>
            </w:pPr>
            <w:r>
              <w:rPr>
                <w:rFonts w:ascii="Arial" w:cs="Arial" w:eastAsia="Arial" w:hAnsi="Arial"/>
                <w:sz w:val="14"/>
                <w:szCs w:val="14"/>
                <w:b w:val="1"/>
                <w:bCs w:val="1"/>
                <w:color w:val="auto"/>
              </w:rPr>
              <w:t>January 2, 2022</w:t>
            </w:r>
          </w:p>
        </w:tc>
        <w:tc>
          <w:tcPr>
            <w:tcW w:w="60" w:type="dxa"/>
            <w:vAlign w:val="bottom"/>
          </w:tcPr>
          <w:p>
            <w:pPr>
              <w:spacing w:after="0"/>
              <w:rPr>
                <w:sz w:val="16"/>
                <w:szCs w:val="16"/>
                <w:color w:val="auto"/>
              </w:rPr>
            </w:pPr>
          </w:p>
        </w:tc>
      </w:tr>
      <w:tr>
        <w:trPr>
          <w:trHeight w:val="169"/>
        </w:trPr>
        <w:tc>
          <w:tcPr>
            <w:tcW w:w="40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6"/>
              </w:rPr>
              <w:t>Principal Amount</w:t>
            </w:r>
          </w:p>
        </w:tc>
        <w:tc>
          <w:tcPr>
            <w:tcW w:w="2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w w:val="95"/>
              </w:rPr>
              <w:t>Fair Value</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4"/>
              </w:rPr>
              <w:t>Principal Amount</w:t>
            </w:r>
          </w:p>
        </w:tc>
        <w:tc>
          <w:tcPr>
            <w:tcW w:w="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4"/>
                <w:szCs w:val="14"/>
                <w:color w:val="auto"/>
              </w:rPr>
            </w:pPr>
          </w:p>
        </w:tc>
      </w:tr>
      <w:tr>
        <w:trPr>
          <w:trHeight w:val="196"/>
        </w:trPr>
        <w:tc>
          <w:tcPr>
            <w:tcW w:w="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9"/>
              </w:rPr>
              <w:t>2015</w:t>
            </w:r>
          </w:p>
        </w:tc>
        <w:tc>
          <w:tcPr>
            <w:tcW w:w="44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Ten-Year Notes</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758,000</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764,064</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760,000</w:t>
            </w: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777,480</w:t>
            </w:r>
          </w:p>
        </w:tc>
        <w:tc>
          <w:tcPr>
            <w:tcW w:w="60" w:type="dxa"/>
            <w:vAlign w:val="bottom"/>
            <w:shd w:val="clear" w:color="auto" w:fill="CFF0FC"/>
          </w:tcPr>
          <w:p>
            <w:pPr>
              <w:spacing w:after="0"/>
              <w:rPr>
                <w:sz w:val="17"/>
                <w:szCs w:val="17"/>
                <w:color w:val="auto"/>
              </w:rPr>
            </w:pPr>
          </w:p>
        </w:tc>
      </w:tr>
      <w:tr>
        <w:trPr>
          <w:trHeight w:val="203"/>
        </w:trPr>
        <w:tc>
          <w:tcPr>
            <w:tcW w:w="400" w:type="dxa"/>
            <w:vAlign w:val="bottom"/>
          </w:tcPr>
          <w:p>
            <w:pPr>
              <w:jc w:val="right"/>
              <w:spacing w:after="0" w:line="202" w:lineRule="exact"/>
              <w:rPr>
                <w:sz w:val="20"/>
                <w:szCs w:val="20"/>
                <w:color w:val="auto"/>
              </w:rPr>
            </w:pPr>
            <w:r>
              <w:rPr>
                <w:rFonts w:ascii="Arial" w:cs="Arial" w:eastAsia="Arial" w:hAnsi="Arial"/>
                <w:sz w:val="18"/>
                <w:szCs w:val="18"/>
                <w:color w:val="auto"/>
                <w:w w:val="89"/>
              </w:rPr>
              <w:t>2017</w:t>
            </w:r>
          </w:p>
        </w:tc>
        <w:tc>
          <w:tcPr>
            <w:tcW w:w="4460" w:type="dxa"/>
            <w:vAlign w:val="bottom"/>
          </w:tcPr>
          <w:p>
            <w:pPr>
              <w:ind w:left="20"/>
              <w:spacing w:after="0" w:line="202" w:lineRule="exact"/>
              <w:rPr>
                <w:sz w:val="20"/>
                <w:szCs w:val="20"/>
                <w:color w:val="auto"/>
              </w:rPr>
            </w:pPr>
            <w:r>
              <w:rPr>
                <w:rFonts w:ascii="Arial" w:cs="Arial" w:eastAsia="Arial" w:hAnsi="Arial"/>
                <w:sz w:val="18"/>
                <w:szCs w:val="18"/>
                <w:color w:val="auto"/>
              </w:rPr>
              <w:t>Ten-Year Notes</w:t>
            </w:r>
          </w:p>
        </w:tc>
        <w:tc>
          <w:tcPr>
            <w:tcW w:w="14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960,000</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951,360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962,500</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1,000,038</w:t>
            </w:r>
          </w:p>
        </w:tc>
        <w:tc>
          <w:tcPr>
            <w:tcW w:w="60" w:type="dxa"/>
            <w:vAlign w:val="bottom"/>
          </w:tcPr>
          <w:p>
            <w:pPr>
              <w:spacing w:after="0"/>
              <w:rPr>
                <w:sz w:val="17"/>
                <w:szCs w:val="17"/>
                <w:color w:val="auto"/>
              </w:rPr>
            </w:pPr>
          </w:p>
        </w:tc>
      </w:tr>
      <w:tr>
        <w:trPr>
          <w:trHeight w:val="203"/>
        </w:trPr>
        <w:tc>
          <w:tcPr>
            <w:tcW w:w="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9"/>
              </w:rPr>
              <w:t>2018</w:t>
            </w:r>
          </w:p>
        </w:tc>
        <w:tc>
          <w:tcPr>
            <w:tcW w:w="44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7.5-Year Notes</w:t>
            </w: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411,188</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411,599</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412,250</w:t>
            </w: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420,907</w:t>
            </w:r>
          </w:p>
        </w:tc>
        <w:tc>
          <w:tcPr>
            <w:tcW w:w="60" w:type="dxa"/>
            <w:vAlign w:val="bottom"/>
            <w:shd w:val="clear" w:color="auto" w:fill="CFF0FC"/>
          </w:tcPr>
          <w:p>
            <w:pPr>
              <w:spacing w:after="0"/>
              <w:rPr>
                <w:sz w:val="17"/>
                <w:szCs w:val="17"/>
                <w:color w:val="auto"/>
              </w:rPr>
            </w:pPr>
          </w:p>
        </w:tc>
      </w:tr>
      <w:tr>
        <w:trPr>
          <w:trHeight w:val="203"/>
        </w:trPr>
        <w:tc>
          <w:tcPr>
            <w:tcW w:w="400" w:type="dxa"/>
            <w:vAlign w:val="bottom"/>
          </w:tcPr>
          <w:p>
            <w:pPr>
              <w:jc w:val="right"/>
              <w:spacing w:after="0" w:line="202" w:lineRule="exact"/>
              <w:rPr>
                <w:sz w:val="20"/>
                <w:szCs w:val="20"/>
                <w:color w:val="auto"/>
              </w:rPr>
            </w:pPr>
            <w:r>
              <w:rPr>
                <w:rFonts w:ascii="Arial" w:cs="Arial" w:eastAsia="Arial" w:hAnsi="Arial"/>
                <w:sz w:val="18"/>
                <w:szCs w:val="18"/>
                <w:color w:val="auto"/>
                <w:w w:val="89"/>
              </w:rPr>
              <w:t>2018</w:t>
            </w:r>
          </w:p>
        </w:tc>
        <w:tc>
          <w:tcPr>
            <w:tcW w:w="4460" w:type="dxa"/>
            <w:vAlign w:val="bottom"/>
          </w:tcPr>
          <w:p>
            <w:pPr>
              <w:ind w:left="20"/>
              <w:spacing w:after="0" w:line="202" w:lineRule="exact"/>
              <w:rPr>
                <w:sz w:val="20"/>
                <w:szCs w:val="20"/>
                <w:color w:val="auto"/>
              </w:rPr>
            </w:pPr>
            <w:r>
              <w:rPr>
                <w:rFonts w:ascii="Arial" w:cs="Arial" w:eastAsia="Arial" w:hAnsi="Arial"/>
                <w:sz w:val="18"/>
                <w:szCs w:val="18"/>
                <w:color w:val="auto"/>
              </w:rPr>
              <w:t>9.25-Year Notes</w:t>
            </w:r>
          </w:p>
        </w:tc>
        <w:tc>
          <w:tcPr>
            <w:tcW w:w="14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387,000</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386,226</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388,000</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407,788</w:t>
            </w:r>
          </w:p>
        </w:tc>
        <w:tc>
          <w:tcPr>
            <w:tcW w:w="60" w:type="dxa"/>
            <w:vAlign w:val="bottom"/>
          </w:tcPr>
          <w:p>
            <w:pPr>
              <w:spacing w:after="0"/>
              <w:rPr>
                <w:sz w:val="17"/>
                <w:szCs w:val="17"/>
                <w:color w:val="auto"/>
              </w:rPr>
            </w:pPr>
          </w:p>
        </w:tc>
      </w:tr>
      <w:tr>
        <w:trPr>
          <w:trHeight w:val="203"/>
        </w:trPr>
        <w:tc>
          <w:tcPr>
            <w:tcW w:w="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9"/>
              </w:rPr>
              <w:t>2019</w:t>
            </w:r>
          </w:p>
        </w:tc>
        <w:tc>
          <w:tcPr>
            <w:tcW w:w="44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Ten-Year Notes</w:t>
            </w: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661,500</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635,702</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663,188</w:t>
            </w: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693,031</w:t>
            </w:r>
          </w:p>
        </w:tc>
        <w:tc>
          <w:tcPr>
            <w:tcW w:w="60" w:type="dxa"/>
            <w:vAlign w:val="bottom"/>
            <w:shd w:val="clear" w:color="auto" w:fill="CFF0FC"/>
          </w:tcPr>
          <w:p>
            <w:pPr>
              <w:spacing w:after="0"/>
              <w:rPr>
                <w:sz w:val="17"/>
                <w:szCs w:val="17"/>
                <w:color w:val="auto"/>
              </w:rPr>
            </w:pPr>
          </w:p>
        </w:tc>
      </w:tr>
      <w:tr>
        <w:trPr>
          <w:trHeight w:val="203"/>
        </w:trPr>
        <w:tc>
          <w:tcPr>
            <w:tcW w:w="400" w:type="dxa"/>
            <w:vAlign w:val="bottom"/>
          </w:tcPr>
          <w:p>
            <w:pPr>
              <w:jc w:val="right"/>
              <w:spacing w:after="0" w:line="202" w:lineRule="exact"/>
              <w:rPr>
                <w:sz w:val="20"/>
                <w:szCs w:val="20"/>
                <w:color w:val="auto"/>
              </w:rPr>
            </w:pPr>
            <w:r>
              <w:rPr>
                <w:rFonts w:ascii="Arial" w:cs="Arial" w:eastAsia="Arial" w:hAnsi="Arial"/>
                <w:sz w:val="18"/>
                <w:szCs w:val="18"/>
                <w:color w:val="auto"/>
                <w:w w:val="89"/>
              </w:rPr>
              <w:t>2021</w:t>
            </w:r>
          </w:p>
        </w:tc>
        <w:tc>
          <w:tcPr>
            <w:tcW w:w="4460" w:type="dxa"/>
            <w:vAlign w:val="bottom"/>
          </w:tcPr>
          <w:p>
            <w:pPr>
              <w:ind w:left="20"/>
              <w:spacing w:after="0" w:line="202" w:lineRule="exact"/>
              <w:rPr>
                <w:sz w:val="20"/>
                <w:szCs w:val="20"/>
                <w:color w:val="auto"/>
              </w:rPr>
            </w:pPr>
            <w:r>
              <w:rPr>
                <w:rFonts w:ascii="Arial" w:cs="Arial" w:eastAsia="Arial" w:hAnsi="Arial"/>
                <w:sz w:val="18"/>
                <w:szCs w:val="18"/>
                <w:color w:val="auto"/>
              </w:rPr>
              <w:t>7.5-Year Notes</w:t>
            </w:r>
          </w:p>
        </w:tc>
        <w:tc>
          <w:tcPr>
            <w:tcW w:w="14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843,625</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773,604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845,750</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849,133</w:t>
            </w:r>
          </w:p>
        </w:tc>
        <w:tc>
          <w:tcPr>
            <w:tcW w:w="60" w:type="dxa"/>
            <w:vAlign w:val="bottom"/>
          </w:tcPr>
          <w:p>
            <w:pPr>
              <w:spacing w:after="0"/>
              <w:rPr>
                <w:sz w:val="17"/>
                <w:szCs w:val="17"/>
                <w:color w:val="auto"/>
              </w:rPr>
            </w:pPr>
          </w:p>
        </w:tc>
      </w:tr>
      <w:tr>
        <w:trPr>
          <w:trHeight w:val="203"/>
        </w:trPr>
        <w:tc>
          <w:tcPr>
            <w:tcW w:w="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9"/>
              </w:rPr>
              <w:t>2021</w:t>
            </w:r>
          </w:p>
        </w:tc>
        <w:tc>
          <w:tcPr>
            <w:tcW w:w="44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Ten-Year Notes</w:t>
            </w: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992,500</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912,108</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995,000</w:t>
            </w: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1,017,885</w:t>
            </w:r>
          </w:p>
        </w:tc>
        <w:tc>
          <w:tcPr>
            <w:tcW w:w="60" w:type="dxa"/>
            <w:vAlign w:val="bottom"/>
            <w:shd w:val="clear" w:color="auto" w:fill="CFF0FC"/>
          </w:tcPr>
          <w:p>
            <w:pPr>
              <w:spacing w:after="0"/>
              <w:rPr>
                <w:sz w:val="17"/>
                <w:szCs w:val="17"/>
                <w:color w:val="auto"/>
              </w:rPr>
            </w:pPr>
          </w:p>
        </w:tc>
      </w:tr>
    </w:tbl>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did not have any outstanding borrowings under its variable funding notes at March 27, 2022 or January 2, 2022.</w:t>
      </w:r>
    </w:p>
    <w:p>
      <w:pPr>
        <w:spacing w:after="0" w:line="239" w:lineRule="exact"/>
        <w:rPr>
          <w:sz w:val="20"/>
          <w:szCs w:val="20"/>
          <w:color w:val="auto"/>
        </w:rPr>
      </w:pPr>
    </w:p>
    <w:p>
      <w:pPr>
        <w:jc w:val="right"/>
        <w:ind w:left="300" w:right="9540" w:hanging="292"/>
        <w:spacing w:after="0" w:line="450" w:lineRule="auto"/>
        <w:tabs>
          <w:tab w:leader="none" w:pos="192" w:val="left"/>
        </w:tabs>
        <w:numPr>
          <w:ilvl w:val="0"/>
          <w:numId w:val="4"/>
        </w:numPr>
        <w:rPr>
          <w:rFonts w:ascii="Arial" w:cs="Arial" w:eastAsia="Arial" w:hAnsi="Arial"/>
          <w:sz w:val="15"/>
          <w:szCs w:val="15"/>
          <w:color w:val="auto"/>
        </w:rPr>
      </w:pPr>
      <w:r>
        <w:rPr>
          <w:rFonts w:ascii="Arial" w:cs="Arial" w:eastAsia="Arial" w:hAnsi="Arial"/>
          <w:sz w:val="15"/>
          <w:szCs w:val="15"/>
          <w:color w:val="auto"/>
        </w:rPr>
        <w:t xml:space="preserve">Revenue Disclosures </w:t>
      </w:r>
      <w:r>
        <w:rPr>
          <w:rFonts w:ascii="Arial" w:cs="Arial" w:eastAsia="Arial" w:hAnsi="Arial"/>
          <w:sz w:val="15"/>
          <w:szCs w:val="15"/>
          <w:u w:val="single" w:color="auto"/>
          <w:color w:val="auto"/>
        </w:rPr>
        <w:t>Contract Liabilities</w:t>
      </w:r>
    </w:p>
    <w:p>
      <w:pPr>
        <w:spacing w:after="0" w:line="1" w:lineRule="exact"/>
        <w:rPr>
          <w:sz w:val="20"/>
          <w:szCs w:val="20"/>
          <w:color w:val="auto"/>
        </w:rPr>
      </w:pPr>
    </w:p>
    <w:p>
      <w:pPr>
        <w:jc w:val="both"/>
        <w:ind w:left="300" w:right="220" w:firstLine="282"/>
        <w:spacing w:after="0" w:line="243" w:lineRule="auto"/>
        <w:rPr>
          <w:sz w:val="20"/>
          <w:szCs w:val="20"/>
          <w:color w:val="auto"/>
        </w:rPr>
      </w:pPr>
      <w:r>
        <w:rPr>
          <w:rFonts w:ascii="Arial" w:cs="Arial" w:eastAsia="Arial" w:hAnsi="Arial"/>
          <w:sz w:val="18"/>
          <w:szCs w:val="18"/>
          <w:color w:val="auto"/>
        </w:rPr>
        <w:t>Contract liabilities primarily consist of deferred franchise fees and deferred development fees. Deferred franchise fees and deferred development fees of $5.4 million were included in current other accrued liabilities as of March 27, 2022 and January 2, 2022. Deferred franchise fees and deferred development fees of $24.0 million and $24.3 million were included in long-term other accrued liabilities as of March 27, 2022 and January 2, 2022, respectively.</w:t>
      </w:r>
    </w:p>
    <w:p>
      <w:pPr>
        <w:spacing w:after="0" w:line="1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Changes in deferred franchise fees and deferred development fees for the first quarter of 2022 and the first quarter of 2021 were as follows:</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2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Fiscal Quarter Ended</w:t>
            </w:r>
          </w:p>
        </w:tc>
      </w:tr>
      <w:tr>
        <w:trPr>
          <w:trHeight w:val="160"/>
        </w:trPr>
        <w:tc>
          <w:tcPr>
            <w:tcW w:w="68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gridSpan w:val="2"/>
          </w:tcPr>
          <w:p>
            <w:pPr>
              <w:jc w:val="right"/>
              <w:ind w:right="700"/>
              <w:spacing w:after="0" w:line="160" w:lineRule="exact"/>
              <w:rPr>
                <w:sz w:val="20"/>
                <w:szCs w:val="20"/>
                <w:color w:val="auto"/>
              </w:rPr>
            </w:pPr>
            <w:r>
              <w:rPr>
                <w:rFonts w:ascii="Arial" w:cs="Arial" w:eastAsia="Arial" w:hAnsi="Arial"/>
                <w:sz w:val="14"/>
                <w:szCs w:val="14"/>
                <w:b w:val="1"/>
                <w:bCs w:val="1"/>
                <w:color w:val="auto"/>
              </w:rPr>
              <w:t>March 27,</w:t>
            </w:r>
          </w:p>
        </w:tc>
        <w:tc>
          <w:tcPr>
            <w:tcW w:w="2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316"/>
              <w:spacing w:after="0" w:line="160" w:lineRule="exact"/>
              <w:rPr>
                <w:sz w:val="20"/>
                <w:szCs w:val="20"/>
                <w:color w:val="auto"/>
              </w:rPr>
            </w:pPr>
            <w:r>
              <w:rPr>
                <w:rFonts w:ascii="Arial" w:cs="Arial" w:eastAsia="Arial" w:hAnsi="Arial"/>
                <w:sz w:val="14"/>
                <w:szCs w:val="14"/>
                <w:b w:val="1"/>
                <w:bCs w:val="1"/>
                <w:color w:val="auto"/>
              </w:rPr>
              <w:t>March 28,</w:t>
            </w:r>
          </w:p>
        </w:tc>
        <w:tc>
          <w:tcPr>
            <w:tcW w:w="100" w:type="dxa"/>
            <w:vAlign w:val="bottom"/>
          </w:tcPr>
          <w:p>
            <w:pPr>
              <w:spacing w:after="0"/>
              <w:rPr>
                <w:sz w:val="13"/>
                <w:szCs w:val="13"/>
                <w:color w:val="auto"/>
              </w:rPr>
            </w:pPr>
          </w:p>
        </w:tc>
      </w:tr>
      <w:tr>
        <w:trPr>
          <w:trHeight w:val="185"/>
        </w:trPr>
        <w:tc>
          <w:tcPr>
            <w:tcW w:w="6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196"/>
        </w:trPr>
        <w:tc>
          <w:tcPr>
            <w:tcW w:w="68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Deferred franchise fees and deferred development fees at beginning of period</w:t>
            </w: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29,694</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19,090</w:t>
            </w:r>
          </w:p>
        </w:tc>
        <w:tc>
          <w:tcPr>
            <w:tcW w:w="100" w:type="dxa"/>
            <w:vAlign w:val="bottom"/>
            <w:shd w:val="clear" w:color="auto" w:fill="CFF0FC"/>
          </w:tcPr>
          <w:p>
            <w:pPr>
              <w:spacing w:after="0"/>
              <w:rPr>
                <w:sz w:val="17"/>
                <w:szCs w:val="17"/>
                <w:color w:val="auto"/>
              </w:rPr>
            </w:pP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Revenue recognized during the period</w:t>
            </w:r>
          </w:p>
        </w:tc>
        <w:tc>
          <w:tcPr>
            <w:tcW w:w="260" w:type="dxa"/>
            <w:vAlign w:val="bottom"/>
          </w:tcPr>
          <w:p>
            <w:pPr>
              <w:spacing w:after="0"/>
              <w:rPr>
                <w:sz w:val="17"/>
                <w:szCs w:val="17"/>
                <w:color w:val="auto"/>
              </w:rPr>
            </w:pPr>
          </w:p>
        </w:tc>
        <w:tc>
          <w:tcPr>
            <w:tcW w:w="14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(1,420 )</w:t>
            </w:r>
          </w:p>
        </w:tc>
        <w:tc>
          <w:tcPr>
            <w:tcW w:w="240" w:type="dxa"/>
            <w:vAlign w:val="bottom"/>
          </w:tcPr>
          <w:p>
            <w:pPr>
              <w:spacing w:after="0"/>
              <w:rPr>
                <w:sz w:val="17"/>
                <w:szCs w:val="17"/>
                <w:color w:val="auto"/>
              </w:rPr>
            </w:pPr>
          </w:p>
        </w:tc>
        <w:tc>
          <w:tcPr>
            <w:tcW w:w="13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(1,390 )</w:t>
            </w:r>
          </w:p>
        </w:tc>
      </w:tr>
      <w:tr>
        <w:trPr>
          <w:trHeight w:val="203"/>
        </w:trPr>
        <w:tc>
          <w:tcPr>
            <w:tcW w:w="68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New deferrals due to cash received and other</w:t>
            </w:r>
          </w:p>
        </w:tc>
        <w:tc>
          <w:tcPr>
            <w:tcW w:w="2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1,159</w:t>
            </w:r>
          </w:p>
        </w:tc>
        <w:tc>
          <w:tcPr>
            <w:tcW w:w="2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803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820" w:type="dxa"/>
            <w:vAlign w:val="bottom"/>
          </w:tcPr>
          <w:p>
            <w:pPr>
              <w:spacing w:after="0" w:line="196" w:lineRule="exact"/>
              <w:rPr>
                <w:sz w:val="20"/>
                <w:szCs w:val="20"/>
                <w:color w:val="auto"/>
              </w:rPr>
            </w:pPr>
            <w:r>
              <w:rPr>
                <w:rFonts w:ascii="Arial" w:cs="Arial" w:eastAsia="Arial" w:hAnsi="Arial"/>
                <w:sz w:val="18"/>
                <w:szCs w:val="18"/>
                <w:color w:val="auto"/>
              </w:rPr>
              <w:t>Deferred franchise fees and deferred development fees at end of period</w:t>
            </w: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29,433</w:t>
            </w:r>
          </w:p>
        </w:tc>
        <w:tc>
          <w:tcPr>
            <w:tcW w:w="28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18,503</w:t>
            </w:r>
          </w:p>
        </w:tc>
        <w:tc>
          <w:tcPr>
            <w:tcW w:w="100" w:type="dxa"/>
            <w:vAlign w:val="bottom"/>
          </w:tcPr>
          <w:p>
            <w:pPr>
              <w:spacing w:after="0"/>
              <w:rPr>
                <w:sz w:val="17"/>
                <w:szCs w:val="17"/>
                <w:color w:val="auto"/>
              </w:rPr>
            </w:pPr>
          </w:p>
        </w:tc>
      </w:tr>
      <w:tr>
        <w:trPr>
          <w:trHeight w:val="20"/>
        </w:trPr>
        <w:tc>
          <w:tcPr>
            <w:tcW w:w="6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-159385</wp:posOffset>
            </wp:positionV>
            <wp:extent cx="68580"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-159385</wp:posOffset>
            </wp:positionV>
            <wp:extent cx="60325"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168"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auto"/>
        </w:rPr>
        <w:t>Advertising Fund Assets</w:t>
      </w:r>
    </w:p>
    <w:p>
      <w:pPr>
        <w:spacing w:after="0" w:line="117" w:lineRule="exact"/>
        <w:rPr>
          <w:sz w:val="20"/>
          <w:szCs w:val="20"/>
          <w:color w:val="auto"/>
        </w:rPr>
      </w:pPr>
    </w:p>
    <w:p>
      <w:pPr>
        <w:ind w:left="300" w:right="20" w:firstLine="287"/>
        <w:spacing w:after="0" w:line="248" w:lineRule="auto"/>
        <w:rPr>
          <w:sz w:val="20"/>
          <w:szCs w:val="20"/>
          <w:color w:val="auto"/>
        </w:rPr>
      </w:pPr>
      <w:r>
        <w:rPr>
          <w:rFonts w:ascii="Arial" w:cs="Arial" w:eastAsia="Arial" w:hAnsi="Arial"/>
          <w:sz w:val="18"/>
          <w:szCs w:val="18"/>
          <w:color w:val="auto"/>
        </w:rPr>
        <w:t>As of March 27, 2022, advertising fund assets, restricted of $175.5 million consisted of $153.7 million of cash and cash equivalents, $15.4 million of accounts receivable and $6.4 million of prepaid expenses. As of March 27, 2022, advertising fund cash and cash equivalents included $7.3 million of cash contributed from U.S. Company-owned stores that had not yet been expended.</w:t>
      </w:r>
    </w:p>
    <w:p>
      <w:pPr>
        <w:spacing w:after="0" w:line="87" w:lineRule="exact"/>
        <w:rPr>
          <w:sz w:val="20"/>
          <w:szCs w:val="20"/>
          <w:color w:val="auto"/>
        </w:rPr>
      </w:pPr>
    </w:p>
    <w:p>
      <w:pPr>
        <w:ind w:left="300" w:right="20" w:firstLine="284"/>
        <w:spacing w:after="0"/>
        <w:rPr>
          <w:sz w:val="20"/>
          <w:szCs w:val="20"/>
          <w:color w:val="auto"/>
        </w:rPr>
      </w:pPr>
      <w:r>
        <w:rPr>
          <w:rFonts w:ascii="Arial" w:cs="Arial" w:eastAsia="Arial" w:hAnsi="Arial"/>
          <w:sz w:val="18"/>
          <w:szCs w:val="18"/>
          <w:color w:val="auto"/>
        </w:rPr>
        <w:t>As of January 2, 2022, advertising fund assets, restricted of $180.9 million consisted of $161.7 million of cash and cash equivalents, $14.5 million of accounts receivable and $4.7 million of prepaid expenses. As of January 2, 2022, advertising fund cash and cash equivalents included $7.2 million of cash contributed from U.S. Company-owned stores that had not yet been expended.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7. Leases</w:t>
      </w:r>
    </w:p>
    <w:p>
      <w:pPr>
        <w:spacing w:after="0" w:line="104" w:lineRule="exact"/>
        <w:rPr>
          <w:sz w:val="20"/>
          <w:szCs w:val="20"/>
          <w:color w:val="auto"/>
        </w:rPr>
      </w:pPr>
    </w:p>
    <w:p>
      <w:pPr>
        <w:ind w:right="600" w:firstLine="284"/>
        <w:spacing w:after="0" w:line="261" w:lineRule="auto"/>
        <w:rPr>
          <w:sz w:val="20"/>
          <w:szCs w:val="20"/>
          <w:color w:val="auto"/>
        </w:rPr>
      </w:pPr>
      <w:r>
        <w:rPr>
          <w:rFonts w:ascii="Arial" w:cs="Arial" w:eastAsia="Arial" w:hAnsi="Arial"/>
          <w:sz w:val="18"/>
          <w:szCs w:val="18"/>
          <w:color w:val="auto"/>
        </w:rPr>
        <w:t>The Company leases certain retail store and supply chain center locations, supply chain vehicles, equipment and its corporate headquarters with expiration dates through 2041.</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components of operating and finance lease cost for the first quarter of 2022 and the first quarter of 2021 were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40" w:type="dxa"/>
            <w:vAlign w:val="bottom"/>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Fiscal Quarter Ended</w:t>
            </w:r>
          </w:p>
        </w:tc>
        <w:tc>
          <w:tcPr>
            <w:tcW w:w="15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0"/>
        </w:trPr>
        <w:tc>
          <w:tcPr>
            <w:tcW w:w="6540" w:type="dxa"/>
            <w:vAlign w:val="bottom"/>
          </w:tcPr>
          <w:p>
            <w:pPr>
              <w:spacing w:after="0"/>
              <w:rPr>
                <w:sz w:val="13"/>
                <w:szCs w:val="13"/>
                <w:color w:val="auto"/>
              </w:rPr>
            </w:pPr>
          </w:p>
        </w:tc>
        <w:tc>
          <w:tcPr>
            <w:tcW w:w="1540" w:type="dxa"/>
            <w:vAlign w:val="bottom"/>
          </w:tcPr>
          <w:p>
            <w:pPr>
              <w:jc w:val="right"/>
              <w:ind w:right="39"/>
              <w:spacing w:after="0" w:line="160" w:lineRule="exact"/>
              <w:rPr>
                <w:sz w:val="20"/>
                <w:szCs w:val="20"/>
                <w:color w:val="auto"/>
              </w:rPr>
            </w:pPr>
            <w:r>
              <w:rPr>
                <w:rFonts w:ascii="Arial" w:cs="Arial" w:eastAsia="Arial" w:hAnsi="Arial"/>
                <w:sz w:val="14"/>
                <w:szCs w:val="14"/>
                <w:b w:val="1"/>
                <w:bCs w:val="1"/>
                <w:color w:val="auto"/>
              </w:rPr>
              <w:t>March 27,</w:t>
            </w: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520" w:type="dxa"/>
            <w:vAlign w:val="bottom"/>
          </w:tcPr>
          <w:p>
            <w:pPr>
              <w:jc w:val="right"/>
              <w:ind w:right="676"/>
              <w:spacing w:after="0" w:line="160" w:lineRule="exact"/>
              <w:rPr>
                <w:sz w:val="20"/>
                <w:szCs w:val="20"/>
                <w:color w:val="auto"/>
              </w:rPr>
            </w:pPr>
            <w:r>
              <w:rPr>
                <w:rFonts w:ascii="Arial" w:cs="Arial" w:eastAsia="Arial" w:hAnsi="Arial"/>
                <w:sz w:val="14"/>
                <w:szCs w:val="14"/>
                <w:b w:val="1"/>
                <w:bCs w:val="1"/>
                <w:color w:val="auto"/>
              </w:rPr>
              <w:t>March 28,</w:t>
            </w:r>
          </w:p>
        </w:tc>
        <w:tc>
          <w:tcPr>
            <w:tcW w:w="60" w:type="dxa"/>
            <w:vAlign w:val="bottom"/>
          </w:tcPr>
          <w:p>
            <w:pPr>
              <w:spacing w:after="0"/>
              <w:rPr>
                <w:sz w:val="13"/>
                <w:szCs w:val="13"/>
                <w:color w:val="auto"/>
              </w:rPr>
            </w:pPr>
          </w:p>
        </w:tc>
      </w:tr>
      <w:tr>
        <w:trPr>
          <w:trHeight w:val="185"/>
        </w:trPr>
        <w:tc>
          <w:tcPr>
            <w:tcW w:w="6540" w:type="dxa"/>
            <w:vAlign w:val="bottom"/>
          </w:tcPr>
          <w:p>
            <w:pPr>
              <w:spacing w:after="0"/>
              <w:rPr>
                <w:sz w:val="16"/>
                <w:szCs w:val="16"/>
                <w:color w:val="auto"/>
              </w:rPr>
            </w:pPr>
          </w:p>
        </w:tc>
        <w:tc>
          <w:tcPr>
            <w:tcW w:w="154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856"/>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6"/>
                <w:szCs w:val="16"/>
                <w:color w:val="auto"/>
              </w:rPr>
            </w:pPr>
          </w:p>
        </w:tc>
      </w:tr>
      <w:tr>
        <w:trPr>
          <w:trHeight w:val="196"/>
        </w:trPr>
        <w:tc>
          <w:tcPr>
            <w:tcW w:w="65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lease cost</w:t>
            </w:r>
          </w:p>
        </w:tc>
        <w:tc>
          <w:tcPr>
            <w:tcW w:w="1540" w:type="dxa"/>
            <w:vAlign w:val="bottom"/>
            <w:shd w:val="clear" w:color="auto" w:fill="CFF0FC"/>
          </w:tcPr>
          <w:p>
            <w:pPr>
              <w:jc w:val="right"/>
              <w:ind w:right="1359"/>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10,275</w:t>
            </w: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450"/>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10,424</w:t>
            </w:r>
          </w:p>
        </w:tc>
        <w:tc>
          <w:tcPr>
            <w:tcW w:w="60" w:type="dxa"/>
            <w:vAlign w:val="bottom"/>
            <w:shd w:val="clear" w:color="auto" w:fill="CFF0FC"/>
          </w:tcPr>
          <w:p>
            <w:pPr>
              <w:spacing w:after="0"/>
              <w:rPr>
                <w:sz w:val="17"/>
                <w:szCs w:val="17"/>
                <w:color w:val="auto"/>
              </w:rPr>
            </w:pPr>
          </w:p>
        </w:tc>
      </w:tr>
      <w:tr>
        <w:trPr>
          <w:trHeight w:val="203"/>
        </w:trPr>
        <w:tc>
          <w:tcPr>
            <w:tcW w:w="6540" w:type="dxa"/>
            <w:vAlign w:val="bottom"/>
          </w:tcPr>
          <w:p>
            <w:pPr>
              <w:ind w:left="20"/>
              <w:spacing w:after="0" w:line="202" w:lineRule="exact"/>
              <w:rPr>
                <w:sz w:val="20"/>
                <w:szCs w:val="20"/>
                <w:color w:val="auto"/>
              </w:rPr>
            </w:pPr>
            <w:r>
              <w:rPr>
                <w:rFonts w:ascii="Arial" w:cs="Arial" w:eastAsia="Arial" w:hAnsi="Arial"/>
                <w:sz w:val="18"/>
                <w:szCs w:val="18"/>
                <w:color w:val="auto"/>
              </w:rPr>
              <w:t>Finance lease cost:</w:t>
            </w:r>
          </w:p>
        </w:tc>
        <w:tc>
          <w:tcPr>
            <w:tcW w:w="1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5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Amortization of right-of-use assets</w:t>
            </w:r>
          </w:p>
        </w:tc>
        <w:tc>
          <w:tcPr>
            <w:tcW w:w="15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1,208</w:t>
            </w: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919</w:t>
            </w:r>
          </w:p>
        </w:tc>
        <w:tc>
          <w:tcPr>
            <w:tcW w:w="60" w:type="dxa"/>
            <w:vAlign w:val="bottom"/>
            <w:shd w:val="clear" w:color="auto" w:fill="CFF0FC"/>
          </w:tcPr>
          <w:p>
            <w:pPr>
              <w:spacing w:after="0"/>
              <w:rPr>
                <w:sz w:val="17"/>
                <w:szCs w:val="17"/>
                <w:color w:val="auto"/>
              </w:rPr>
            </w:pPr>
          </w:p>
        </w:tc>
      </w:tr>
      <w:tr>
        <w:trPr>
          <w:trHeight w:val="203"/>
        </w:trPr>
        <w:tc>
          <w:tcPr>
            <w:tcW w:w="6540" w:type="dxa"/>
            <w:vAlign w:val="bottom"/>
          </w:tcPr>
          <w:p>
            <w:pPr>
              <w:ind w:left="200"/>
              <w:spacing w:after="0" w:line="202" w:lineRule="exact"/>
              <w:rPr>
                <w:sz w:val="20"/>
                <w:szCs w:val="20"/>
                <w:color w:val="auto"/>
              </w:rPr>
            </w:pPr>
            <w:r>
              <w:rPr>
                <w:rFonts w:ascii="Arial" w:cs="Arial" w:eastAsia="Arial" w:hAnsi="Arial"/>
                <w:sz w:val="18"/>
                <w:szCs w:val="18"/>
                <w:color w:val="auto"/>
              </w:rPr>
              <w:t>Interest on lease liabilities</w:t>
            </w:r>
          </w:p>
        </w:tc>
        <w:tc>
          <w:tcPr>
            <w:tcW w:w="15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1,104</w:t>
            </w:r>
          </w:p>
        </w:tc>
        <w:tc>
          <w:tcPr>
            <w:tcW w:w="28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1,026</w:t>
            </w:r>
          </w:p>
        </w:tc>
        <w:tc>
          <w:tcPr>
            <w:tcW w:w="60" w:type="dxa"/>
            <w:vAlign w:val="bottom"/>
          </w:tcPr>
          <w:p>
            <w:pPr>
              <w:spacing w:after="0"/>
              <w:rPr>
                <w:sz w:val="17"/>
                <w:szCs w:val="17"/>
                <w:color w:val="auto"/>
              </w:rPr>
            </w:pPr>
          </w:p>
        </w:tc>
      </w:tr>
      <w:tr>
        <w:trPr>
          <w:trHeight w:val="236"/>
        </w:trPr>
        <w:tc>
          <w:tcPr>
            <w:tcW w:w="65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finance lease cost</w:t>
            </w:r>
          </w:p>
        </w:tc>
        <w:tc>
          <w:tcPr>
            <w:tcW w:w="1540" w:type="dxa"/>
            <w:vAlign w:val="bottom"/>
            <w:tcBorders>
              <w:bottom w:val="single" w:sz="8" w:color="auto"/>
            </w:tcBorders>
            <w:shd w:val="clear" w:color="auto" w:fill="CFF0FC"/>
          </w:tcPr>
          <w:p>
            <w:pPr>
              <w:jc w:val="right"/>
              <w:ind w:right="1359"/>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2,312</w:t>
            </w:r>
          </w:p>
        </w:tc>
        <w:tc>
          <w:tcPr>
            <w:tcW w:w="28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ind w:right="450"/>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1,945</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-25400</wp:posOffset>
            </wp:positionV>
            <wp:extent cx="431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-7620</wp:posOffset>
            </wp:positionV>
            <wp:extent cx="431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-25400</wp:posOffset>
            </wp:positionV>
            <wp:extent cx="342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-7620</wp:posOffset>
            </wp:positionV>
            <wp:extent cx="342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68" w:lineRule="exact"/>
        <w:rPr>
          <w:sz w:val="20"/>
          <w:szCs w:val="20"/>
          <w:color w:val="auto"/>
        </w:rPr>
      </w:pPr>
    </w:p>
    <w:p>
      <w:pPr>
        <w:ind w:right="140" w:firstLine="281"/>
        <w:spacing w:after="0" w:line="257" w:lineRule="auto"/>
        <w:rPr>
          <w:sz w:val="20"/>
          <w:szCs w:val="20"/>
          <w:color w:val="auto"/>
        </w:rPr>
      </w:pPr>
      <w:r>
        <w:rPr>
          <w:rFonts w:ascii="Arial" w:cs="Arial" w:eastAsia="Arial" w:hAnsi="Arial"/>
          <w:sz w:val="17"/>
          <w:szCs w:val="17"/>
          <w:color w:val="auto"/>
        </w:rPr>
        <w:t>Rent expense totaled $18.9 million and $18.2 million in the first quarter of 2022 and the first quarter of 2021, respectively. Rent expense includes operating lease cost, as well as expense for non-lease components including common area maintenance, real estate taxes and insurance for the Company’s real estate leases. Rent expense also includes the variable rate per mile driven and fixed maintenance charges for the Company’s supply chain center tractors and trailers and expense for short-term rentals. Rent expense for certain short-term supply chain center tractor and trailer rentals was $2.2 million and $1.8 million in the first quarter of 2022 and the first quarter of 2021, respectively. Variable rent expense and rent expense for other short-term leases were immaterial in both the first quarter of 2022 and the first quarter of 2021.</w:t>
      </w:r>
    </w:p>
    <w:p>
      <w:pPr>
        <w:spacing w:after="0" w:line="6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Supplemental balance sheet information related to the Company’s finance leases as of March 27, 2022 and January 2, 2022 was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March 27,</w:t>
            </w:r>
          </w:p>
        </w:tc>
        <w:tc>
          <w:tcPr>
            <w:tcW w:w="280" w:type="dxa"/>
            <w:vAlign w:val="bottom"/>
          </w:tcPr>
          <w:p>
            <w:pPr>
              <w:spacing w:after="0"/>
              <w:rPr>
                <w:sz w:val="15"/>
                <w:szCs w:val="15"/>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January 2,</w:t>
            </w:r>
          </w:p>
        </w:tc>
      </w:tr>
      <w:tr>
        <w:trPr>
          <w:trHeight w:val="185"/>
        </w:trPr>
        <w:tc>
          <w:tcPr>
            <w:tcW w:w="76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196"/>
        </w:trPr>
        <w:tc>
          <w:tcPr>
            <w:tcW w:w="7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Land and buildings</w:t>
            </w: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87,019</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86,965</w:t>
            </w:r>
          </w:p>
        </w:tc>
        <w:tc>
          <w:tcPr>
            <w:tcW w:w="100" w:type="dxa"/>
            <w:vAlign w:val="bottom"/>
            <w:shd w:val="clear" w:color="auto" w:fill="CFF0FC"/>
          </w:tcPr>
          <w:p>
            <w:pPr>
              <w:spacing w:after="0"/>
              <w:rPr>
                <w:sz w:val="17"/>
                <w:szCs w:val="17"/>
                <w:color w:val="auto"/>
              </w:rPr>
            </w:pP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Accumulated depreciation and amortization</w:t>
            </w:r>
          </w:p>
        </w:tc>
        <w:tc>
          <w:tcPr>
            <w:tcW w:w="320" w:type="dxa"/>
            <w:vAlign w:val="bottom"/>
          </w:tcPr>
          <w:p>
            <w:pPr>
              <w:spacing w:after="0"/>
              <w:rPr>
                <w:sz w:val="17"/>
                <w:szCs w:val="17"/>
                <w:color w:val="auto"/>
              </w:rPr>
            </w:pPr>
          </w:p>
        </w:tc>
        <w:tc>
          <w:tcPr>
            <w:tcW w:w="15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(15,641 )</w:t>
            </w:r>
          </w:p>
        </w:tc>
        <w:tc>
          <w:tcPr>
            <w:tcW w:w="280" w:type="dxa"/>
            <w:vAlign w:val="bottom"/>
          </w:tcPr>
          <w:p>
            <w:pPr>
              <w:spacing w:after="0"/>
              <w:rPr>
                <w:sz w:val="17"/>
                <w:szCs w:val="17"/>
                <w:color w:val="auto"/>
              </w:rPr>
            </w:pPr>
          </w:p>
        </w:tc>
        <w:tc>
          <w:tcPr>
            <w:tcW w:w="1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(14,423 )</w:t>
            </w:r>
          </w:p>
        </w:tc>
      </w:tr>
      <w:tr>
        <w:trPr>
          <w:trHeight w:val="236"/>
        </w:trPr>
        <w:tc>
          <w:tcPr>
            <w:tcW w:w="766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Finance lease assets, net</w:t>
            </w:r>
          </w:p>
        </w:tc>
        <w:tc>
          <w:tcPr>
            <w:tcW w:w="320" w:type="dxa"/>
            <w:vAlign w:val="bottom"/>
            <w:tcBorders>
              <w:top w:val="single" w:sz="8" w:color="auto"/>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71,378</w:t>
            </w:r>
          </w:p>
        </w:tc>
        <w:tc>
          <w:tcPr>
            <w:tcW w:w="2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72,542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7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Current portion of long-term debt</w:t>
            </w: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4,132</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4,088</w:t>
            </w:r>
          </w:p>
        </w:tc>
        <w:tc>
          <w:tcPr>
            <w:tcW w:w="100" w:type="dxa"/>
            <w:vAlign w:val="bottom"/>
            <w:shd w:val="clear" w:color="auto" w:fill="CFF0FC"/>
          </w:tcPr>
          <w:p>
            <w:pPr>
              <w:spacing w:after="0"/>
              <w:rPr>
                <w:sz w:val="17"/>
                <w:szCs w:val="17"/>
                <w:color w:val="auto"/>
              </w:rPr>
            </w:pP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Long-term debt, less current portion</w:t>
            </w: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71,260</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72,250</w:t>
            </w:r>
          </w:p>
        </w:tc>
        <w:tc>
          <w:tcPr>
            <w:tcW w:w="100" w:type="dxa"/>
            <w:vAlign w:val="bottom"/>
          </w:tcPr>
          <w:p>
            <w:pPr>
              <w:spacing w:after="0"/>
              <w:rPr>
                <w:sz w:val="17"/>
                <w:szCs w:val="17"/>
                <w:color w:val="auto"/>
              </w:rPr>
            </w:pPr>
          </w:p>
        </w:tc>
      </w:tr>
      <w:tr>
        <w:trPr>
          <w:trHeight w:val="236"/>
        </w:trPr>
        <w:tc>
          <w:tcPr>
            <w:tcW w:w="766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principal payable on finance leases</w:t>
            </w: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75,392</w:t>
            </w:r>
          </w:p>
        </w:tc>
        <w:tc>
          <w:tcPr>
            <w:tcW w:w="2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76,338</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-574040</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-556260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-574040</wp:posOffset>
            </wp:positionV>
            <wp:extent cx="5969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-556260</wp:posOffset>
            </wp:positionV>
            <wp:extent cx="596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-24765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68" w:lineRule="exact"/>
        <w:rPr>
          <w:sz w:val="20"/>
          <w:szCs w:val="20"/>
          <w:color w:val="auto"/>
        </w:rPr>
      </w:pPr>
    </w:p>
    <w:p>
      <w:pPr>
        <w:jc w:val="both"/>
        <w:ind w:firstLine="281"/>
        <w:spacing w:after="0" w:line="261" w:lineRule="auto"/>
        <w:rPr>
          <w:sz w:val="20"/>
          <w:szCs w:val="20"/>
          <w:color w:val="auto"/>
        </w:rPr>
      </w:pPr>
      <w:r>
        <w:rPr>
          <w:rFonts w:ascii="Arial" w:cs="Arial" w:eastAsia="Arial" w:hAnsi="Arial"/>
          <w:sz w:val="18"/>
          <w:szCs w:val="18"/>
          <w:color w:val="auto"/>
        </w:rPr>
        <w:t>As of March 27, 2022 and January 2, 2022, the weighted average remaining lease term and weighted average discount rate for the Company’s operating and finance leases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40" w:type="dxa"/>
            <w:vAlign w:val="bottom"/>
          </w:tcPr>
          <w:p>
            <w:pPr>
              <w:spacing w:after="0"/>
              <w:rPr>
                <w:sz w:val="16"/>
                <w:szCs w:val="16"/>
                <w:color w:val="auto"/>
              </w:rPr>
            </w:pPr>
          </w:p>
        </w:tc>
        <w:tc>
          <w:tcPr>
            <w:tcW w:w="208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w w:val="96"/>
              </w:rPr>
              <w:t>March 27, 2022</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6"/>
          </w:tcPr>
          <w:p>
            <w:pPr>
              <w:jc w:val="right"/>
              <w:ind w:right="800"/>
              <w:spacing w:after="0"/>
              <w:rPr>
                <w:sz w:val="20"/>
                <w:szCs w:val="20"/>
                <w:color w:val="auto"/>
              </w:rPr>
            </w:pPr>
            <w:r>
              <w:rPr>
                <w:rFonts w:ascii="Arial" w:cs="Arial" w:eastAsia="Arial" w:hAnsi="Arial"/>
                <w:sz w:val="14"/>
                <w:szCs w:val="14"/>
                <w:b w:val="1"/>
                <w:bCs w:val="1"/>
                <w:color w:val="auto"/>
                <w:w w:val="93"/>
              </w:rPr>
              <w:t>January 2, 2022</w:t>
            </w:r>
          </w:p>
        </w:tc>
      </w:tr>
      <w:tr>
        <w:trPr>
          <w:trHeight w:val="198"/>
        </w:trPr>
        <w:tc>
          <w:tcPr>
            <w:tcW w:w="5440" w:type="dxa"/>
            <w:vAlign w:val="bottom"/>
          </w:tcPr>
          <w:p>
            <w:pPr>
              <w:spacing w:after="0"/>
              <w:rPr>
                <w:sz w:val="17"/>
                <w:szCs w:val="17"/>
                <w:color w:val="auto"/>
              </w:rPr>
            </w:pPr>
          </w:p>
        </w:tc>
        <w:tc>
          <w:tcPr>
            <w:tcW w:w="20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6"/>
              </w:rPr>
              <w:t>Operating</w:t>
            </w:r>
          </w:p>
        </w:tc>
        <w:tc>
          <w:tcPr>
            <w:tcW w:w="1340" w:type="dxa"/>
            <w:vAlign w:val="bottom"/>
            <w:gridSpan w:val="4"/>
          </w:tcPr>
          <w:p>
            <w:pPr>
              <w:jc w:val="center"/>
              <w:ind w:right="668"/>
              <w:spacing w:after="0"/>
              <w:rPr>
                <w:sz w:val="20"/>
                <w:szCs w:val="20"/>
                <w:color w:val="auto"/>
              </w:rPr>
            </w:pPr>
            <w:r>
              <w:rPr>
                <w:rFonts w:ascii="Arial" w:cs="Arial" w:eastAsia="Arial" w:hAnsi="Arial"/>
                <w:sz w:val="14"/>
                <w:szCs w:val="14"/>
                <w:b w:val="1"/>
                <w:bCs w:val="1"/>
                <w:color w:val="auto"/>
                <w:w w:val="90"/>
              </w:rPr>
              <w:t>Finance</w:t>
            </w:r>
          </w:p>
        </w:tc>
        <w:tc>
          <w:tcPr>
            <w:tcW w:w="12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6"/>
              </w:rPr>
              <w:t>Operating</w:t>
            </w:r>
          </w:p>
        </w:tc>
        <w:tc>
          <w:tcPr>
            <w:tcW w:w="40" w:type="dxa"/>
            <w:vAlign w:val="bottom"/>
          </w:tcPr>
          <w:p>
            <w:pPr>
              <w:spacing w:after="0"/>
              <w:rPr>
                <w:sz w:val="17"/>
                <w:szCs w:val="17"/>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Finance</w:t>
            </w:r>
          </w:p>
        </w:tc>
      </w:tr>
      <w:tr>
        <w:trPr>
          <w:trHeight w:val="201"/>
        </w:trPr>
        <w:tc>
          <w:tcPr>
            <w:tcW w:w="5440" w:type="dxa"/>
            <w:vAlign w:val="bottom"/>
          </w:tcPr>
          <w:p>
            <w:pPr>
              <w:spacing w:after="0"/>
              <w:rPr>
                <w:sz w:val="17"/>
                <w:szCs w:val="17"/>
                <w:color w:val="auto"/>
              </w:rPr>
            </w:pPr>
          </w:p>
        </w:tc>
        <w:tc>
          <w:tcPr>
            <w:tcW w:w="20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4"/>
              </w:rPr>
              <w:t>Leases</w:t>
            </w:r>
          </w:p>
        </w:tc>
        <w:tc>
          <w:tcPr>
            <w:tcW w:w="1340" w:type="dxa"/>
            <w:vAlign w:val="bottom"/>
            <w:gridSpan w:val="4"/>
          </w:tcPr>
          <w:p>
            <w:pPr>
              <w:jc w:val="center"/>
              <w:ind w:right="668"/>
              <w:spacing w:after="0"/>
              <w:rPr>
                <w:sz w:val="20"/>
                <w:szCs w:val="20"/>
                <w:color w:val="auto"/>
              </w:rPr>
            </w:pPr>
            <w:r>
              <w:rPr>
                <w:rFonts w:ascii="Arial" w:cs="Arial" w:eastAsia="Arial" w:hAnsi="Arial"/>
                <w:sz w:val="14"/>
                <w:szCs w:val="14"/>
                <w:b w:val="1"/>
                <w:bCs w:val="1"/>
                <w:color w:val="auto"/>
                <w:w w:val="84"/>
              </w:rPr>
              <w:t>Leases</w:t>
            </w:r>
          </w:p>
        </w:tc>
        <w:tc>
          <w:tcPr>
            <w:tcW w:w="12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4"/>
              </w:rPr>
              <w:t>Leases</w:t>
            </w:r>
          </w:p>
        </w:tc>
        <w:tc>
          <w:tcPr>
            <w:tcW w:w="40" w:type="dxa"/>
            <w:vAlign w:val="bottom"/>
          </w:tcPr>
          <w:p>
            <w:pPr>
              <w:spacing w:after="0"/>
              <w:rPr>
                <w:sz w:val="17"/>
                <w:szCs w:val="17"/>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Leases</w:t>
            </w:r>
          </w:p>
        </w:tc>
      </w:tr>
      <w:tr>
        <w:trPr>
          <w:trHeight w:val="196"/>
        </w:trPr>
        <w:tc>
          <w:tcPr>
            <w:tcW w:w="54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Weighted average remaining lease term</w:t>
            </w:r>
          </w:p>
        </w:tc>
        <w:tc>
          <w:tcPr>
            <w:tcW w:w="15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 years</w:t>
            </w:r>
          </w:p>
        </w:tc>
        <w:tc>
          <w:tcPr>
            <w:tcW w:w="120" w:type="dxa"/>
            <w:vAlign w:val="bottom"/>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 years</w:t>
            </w:r>
          </w:p>
        </w:tc>
        <w:tc>
          <w:tcPr>
            <w:tcW w:w="1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w w:val="94"/>
              </w:rPr>
              <w:t>7 years</w:t>
            </w: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100" w:type="dxa"/>
            <w:vAlign w:val="bottom"/>
            <w:tcBorders>
              <w:top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15 years</w:t>
            </w: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150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20"/>
                <w:szCs w:val="20"/>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5.8%</w:t>
            </w:r>
          </w:p>
        </w:tc>
      </w:tr>
      <w:tr>
        <w:trPr>
          <w:trHeight w:val="391"/>
        </w:trPr>
        <w:tc>
          <w:tcPr>
            <w:tcW w:w="9440" w:type="dxa"/>
            <w:vAlign w:val="bottom"/>
            <w:gridSpan w:val="10"/>
          </w:tcPr>
          <w:p>
            <w:pPr>
              <w:ind w:left="280"/>
              <w:spacing w:after="0"/>
              <w:rPr>
                <w:sz w:val="20"/>
                <w:szCs w:val="20"/>
                <w:color w:val="auto"/>
              </w:rPr>
            </w:pPr>
            <w:r>
              <w:rPr>
                <w:rFonts w:ascii="Arial" w:cs="Arial" w:eastAsia="Arial" w:hAnsi="Arial"/>
                <w:sz w:val="18"/>
                <w:szCs w:val="18"/>
                <w:color w:val="auto"/>
                <w:w w:val="91"/>
              </w:rPr>
              <w:t>Supplemental cash flow information related to leases for the first quarter of 2022 and the first quarter of 2021 were as follows:</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70"/>
        </w:trPr>
        <w:tc>
          <w:tcPr>
            <w:tcW w:w="54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w w:val="93"/>
              </w:rPr>
              <w:t>Fiscal Quarter Ended</w:t>
            </w:r>
          </w:p>
        </w:tc>
        <w:tc>
          <w:tcPr>
            <w:tcW w:w="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r>
      <w:tr>
        <w:trPr>
          <w:trHeight w:val="198"/>
        </w:trPr>
        <w:tc>
          <w:tcPr>
            <w:tcW w:w="54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3"/>
          </w:tcPr>
          <w:p>
            <w:pPr>
              <w:jc w:val="center"/>
              <w:ind w:left="439"/>
              <w:spacing w:after="0"/>
              <w:rPr>
                <w:sz w:val="20"/>
                <w:szCs w:val="20"/>
                <w:color w:val="auto"/>
              </w:rPr>
            </w:pPr>
            <w:r>
              <w:rPr>
                <w:rFonts w:ascii="Arial" w:cs="Arial" w:eastAsia="Arial" w:hAnsi="Arial"/>
                <w:sz w:val="14"/>
                <w:szCs w:val="14"/>
                <w:b w:val="1"/>
                <w:bCs w:val="1"/>
                <w:color w:val="auto"/>
                <w:w w:val="99"/>
              </w:rPr>
              <w:t>March 27,</w:t>
            </w: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5"/>
              </w:rPr>
              <w:t>March 28,</w:t>
            </w:r>
          </w:p>
        </w:tc>
      </w:tr>
      <w:tr>
        <w:trPr>
          <w:trHeight w:val="187"/>
        </w:trPr>
        <w:tc>
          <w:tcPr>
            <w:tcW w:w="54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gridSpan w:val="2"/>
          </w:tcPr>
          <w:p>
            <w:pPr>
              <w:jc w:val="right"/>
              <w:ind w:right="542"/>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6"/>
                <w:szCs w:val="16"/>
                <w:color w:val="auto"/>
              </w:rPr>
            </w:pPr>
          </w:p>
        </w:tc>
      </w:tr>
      <w:tr>
        <w:trPr>
          <w:trHeight w:val="196"/>
        </w:trPr>
        <w:tc>
          <w:tcPr>
            <w:tcW w:w="54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w w:val="95"/>
              </w:rPr>
              <w:t>Cash paid for amounts included in the measurement of lease liabilities:</w:t>
            </w:r>
          </w:p>
        </w:tc>
        <w:tc>
          <w:tcPr>
            <w:tcW w:w="1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5440" w:type="dxa"/>
            <w:vAlign w:val="bottom"/>
          </w:tcPr>
          <w:p>
            <w:pPr>
              <w:ind w:left="200"/>
              <w:spacing w:after="0" w:line="202" w:lineRule="exact"/>
              <w:rPr>
                <w:sz w:val="20"/>
                <w:szCs w:val="20"/>
                <w:color w:val="auto"/>
              </w:rPr>
            </w:pPr>
            <w:r>
              <w:rPr>
                <w:rFonts w:ascii="Arial" w:cs="Arial" w:eastAsia="Arial" w:hAnsi="Arial"/>
                <w:sz w:val="18"/>
                <w:szCs w:val="18"/>
                <w:color w:val="auto"/>
              </w:rPr>
              <w:t>Operating cash flows from operating leases</w:t>
            </w: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gridSpan w:val="2"/>
          </w:tcPr>
          <w:p>
            <w:pPr>
              <w:jc w:val="right"/>
              <w:ind w:right="719"/>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w w:val="87"/>
              </w:rPr>
              <w:t>10,637</w:t>
            </w:r>
          </w:p>
        </w:tc>
        <w:tc>
          <w:tcPr>
            <w:tcW w:w="60" w:type="dxa"/>
            <w:vAlign w:val="bottom"/>
          </w:tcPr>
          <w:p>
            <w:pPr>
              <w:spacing w:after="0"/>
              <w:rPr>
                <w:sz w:val="17"/>
                <w:szCs w:val="17"/>
                <w:color w:val="auto"/>
              </w:rPr>
            </w:pPr>
          </w:p>
        </w:tc>
        <w:tc>
          <w:tcPr>
            <w:tcW w:w="6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10,187</w:t>
            </w:r>
          </w:p>
        </w:tc>
        <w:tc>
          <w:tcPr>
            <w:tcW w:w="60" w:type="dxa"/>
            <w:vAlign w:val="bottom"/>
          </w:tcPr>
          <w:p>
            <w:pPr>
              <w:spacing w:after="0"/>
              <w:rPr>
                <w:sz w:val="17"/>
                <w:szCs w:val="17"/>
                <w:color w:val="auto"/>
              </w:rPr>
            </w:pPr>
          </w:p>
        </w:tc>
      </w:tr>
      <w:tr>
        <w:trPr>
          <w:trHeight w:val="203"/>
        </w:trPr>
        <w:tc>
          <w:tcPr>
            <w:tcW w:w="54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Operating cash flows from finance leases</w:t>
            </w:r>
          </w:p>
        </w:tc>
        <w:tc>
          <w:tcPr>
            <w:tcW w:w="1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1,104</w:t>
            </w: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1,026</w:t>
            </w:r>
          </w:p>
        </w:tc>
        <w:tc>
          <w:tcPr>
            <w:tcW w:w="60" w:type="dxa"/>
            <w:vAlign w:val="bottom"/>
            <w:shd w:val="clear" w:color="auto" w:fill="CFF0FC"/>
          </w:tcPr>
          <w:p>
            <w:pPr>
              <w:spacing w:after="0"/>
              <w:rPr>
                <w:sz w:val="17"/>
                <w:szCs w:val="17"/>
                <w:color w:val="auto"/>
              </w:rPr>
            </w:pPr>
          </w:p>
        </w:tc>
      </w:tr>
      <w:tr>
        <w:trPr>
          <w:trHeight w:val="203"/>
        </w:trPr>
        <w:tc>
          <w:tcPr>
            <w:tcW w:w="5440" w:type="dxa"/>
            <w:vAlign w:val="bottom"/>
          </w:tcPr>
          <w:p>
            <w:pPr>
              <w:ind w:left="200"/>
              <w:spacing w:after="0" w:line="202" w:lineRule="exact"/>
              <w:rPr>
                <w:sz w:val="20"/>
                <w:szCs w:val="20"/>
                <w:color w:val="auto"/>
              </w:rPr>
            </w:pPr>
            <w:r>
              <w:rPr>
                <w:rFonts w:ascii="Arial" w:cs="Arial" w:eastAsia="Arial" w:hAnsi="Arial"/>
                <w:sz w:val="18"/>
                <w:szCs w:val="18"/>
                <w:color w:val="auto"/>
              </w:rPr>
              <w:t>Financing cash flows from finance leases</w:t>
            </w: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986</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704</w:t>
            </w:r>
          </w:p>
        </w:tc>
        <w:tc>
          <w:tcPr>
            <w:tcW w:w="60" w:type="dxa"/>
            <w:vAlign w:val="bottom"/>
          </w:tcPr>
          <w:p>
            <w:pPr>
              <w:spacing w:after="0"/>
              <w:rPr>
                <w:sz w:val="17"/>
                <w:szCs w:val="17"/>
                <w:color w:val="auto"/>
              </w:rPr>
            </w:pPr>
          </w:p>
        </w:tc>
      </w:tr>
      <w:tr>
        <w:trPr>
          <w:trHeight w:val="203"/>
        </w:trPr>
        <w:tc>
          <w:tcPr>
            <w:tcW w:w="54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Right-of-use assets obtained in exchange for lease obligations:</w:t>
            </w:r>
          </w:p>
        </w:tc>
        <w:tc>
          <w:tcPr>
            <w:tcW w:w="1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5440" w:type="dxa"/>
            <w:vAlign w:val="bottom"/>
          </w:tcPr>
          <w:p>
            <w:pPr>
              <w:ind w:left="200"/>
              <w:spacing w:after="0" w:line="202" w:lineRule="exact"/>
              <w:rPr>
                <w:sz w:val="20"/>
                <w:szCs w:val="20"/>
                <w:color w:val="auto"/>
              </w:rPr>
            </w:pPr>
            <w:r>
              <w:rPr>
                <w:rFonts w:ascii="Arial" w:cs="Arial" w:eastAsia="Arial" w:hAnsi="Arial"/>
                <w:sz w:val="18"/>
                <w:szCs w:val="18"/>
                <w:color w:val="auto"/>
              </w:rPr>
              <w:t>Operating leases</w:t>
            </w: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7,758</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4,672</w:t>
            </w:r>
          </w:p>
        </w:tc>
        <w:tc>
          <w:tcPr>
            <w:tcW w:w="60" w:type="dxa"/>
            <w:vAlign w:val="bottom"/>
          </w:tcPr>
          <w:p>
            <w:pPr>
              <w:spacing w:after="0"/>
              <w:rPr>
                <w:sz w:val="17"/>
                <w:szCs w:val="17"/>
                <w:color w:val="auto"/>
              </w:rPr>
            </w:pPr>
          </w:p>
        </w:tc>
      </w:tr>
      <w:tr>
        <w:trPr>
          <w:trHeight w:val="202"/>
        </w:trPr>
        <w:tc>
          <w:tcPr>
            <w:tcW w:w="54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Finance leases</w:t>
            </w:r>
          </w:p>
        </w:tc>
        <w:tc>
          <w:tcPr>
            <w:tcW w:w="1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399</w:t>
            </w:r>
          </w:p>
        </w:tc>
        <w:tc>
          <w:tcPr>
            <w:tcW w:w="60" w:type="dxa"/>
            <w:vAlign w:val="bottom"/>
            <w:shd w:val="clear" w:color="auto" w:fill="CFF0FC"/>
          </w:tcPr>
          <w:p>
            <w:pPr>
              <w:spacing w:after="0"/>
              <w:rPr>
                <w:sz w:val="17"/>
                <w:szCs w:val="17"/>
                <w:color w:val="auto"/>
              </w:rPr>
            </w:pPr>
          </w:p>
        </w:tc>
      </w:tr>
      <w:tr>
        <w:trPr>
          <w:trHeight w:val="419"/>
        </w:trPr>
        <w:tc>
          <w:tcPr>
            <w:tcW w:w="5440" w:type="dxa"/>
            <w:vAlign w:val="bottom"/>
          </w:tcPr>
          <w:p>
            <w:pPr>
              <w:spacing w:after="0"/>
              <w:rPr>
                <w:sz w:val="24"/>
                <w:szCs w:val="24"/>
                <w:color w:val="auto"/>
              </w:rPr>
            </w:pPr>
          </w:p>
        </w:tc>
        <w:tc>
          <w:tcPr>
            <w:tcW w:w="1500" w:type="dxa"/>
            <w:vAlign w:val="bottom"/>
          </w:tcPr>
          <w:p>
            <w:pPr>
              <w:jc w:val="right"/>
              <w:ind w:right="1139"/>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88"/>
        </w:trPr>
        <w:tc>
          <w:tcPr>
            <w:tcW w:w="544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1" w:name="page12"/>
    <w:bookmarkEnd w:id="11"/>
    <w:p>
      <w:pPr>
        <w:ind w:left="300"/>
        <w:spacing w:after="0"/>
        <w:rPr>
          <w:sz w:val="20"/>
          <w:szCs w:val="20"/>
          <w:color w:val="auto"/>
        </w:rPr>
      </w:pPr>
      <w:r>
        <w:rPr>
          <w:rFonts w:ascii="Arial" w:cs="Arial" w:eastAsia="Arial" w:hAnsi="Arial"/>
          <w:sz w:val="18"/>
          <w:szCs w:val="18"/>
          <w:color w:val="auto"/>
        </w:rPr>
        <w:t>Maturities of lease liabilities as of March 27, 2022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0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Operating</w:t>
            </w: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Finance</w:t>
            </w:r>
          </w:p>
        </w:tc>
      </w:tr>
      <w:tr>
        <w:trPr>
          <w:trHeight w:val="185"/>
        </w:trPr>
        <w:tc>
          <w:tcPr>
            <w:tcW w:w="7020" w:type="dxa"/>
            <w:vAlign w:val="bottom"/>
          </w:tcPr>
          <w:p>
            <w:pPr>
              <w:spacing w:after="0"/>
              <w:rPr>
                <w:sz w:val="16"/>
                <w:szCs w:val="16"/>
                <w:color w:val="auto"/>
              </w:rPr>
            </w:pPr>
          </w:p>
        </w:tc>
        <w:tc>
          <w:tcPr>
            <w:tcW w:w="1280" w:type="dxa"/>
            <w:vAlign w:val="bottom"/>
          </w:tcPr>
          <w:p>
            <w:pPr>
              <w:jc w:val="right"/>
              <w:ind w:right="39"/>
              <w:spacing w:after="0"/>
              <w:rPr>
                <w:sz w:val="20"/>
                <w:szCs w:val="20"/>
                <w:color w:val="auto"/>
              </w:rPr>
            </w:pPr>
            <w:r>
              <w:rPr>
                <w:rFonts w:ascii="Arial" w:cs="Arial" w:eastAsia="Arial" w:hAnsi="Arial"/>
                <w:sz w:val="14"/>
                <w:szCs w:val="14"/>
                <w:b w:val="1"/>
                <w:bCs w:val="1"/>
                <w:color w:val="auto"/>
              </w:rPr>
              <w:t>Leases</w:t>
            </w: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Leases</w:t>
            </w:r>
          </w:p>
        </w:tc>
      </w:tr>
      <w:tr>
        <w:trPr>
          <w:trHeight w:val="196"/>
        </w:trPr>
        <w:tc>
          <w:tcPr>
            <w:tcW w:w="70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2022</w:t>
            </w:r>
          </w:p>
        </w:tc>
        <w:tc>
          <w:tcPr>
            <w:tcW w:w="1280" w:type="dxa"/>
            <w:vAlign w:val="bottom"/>
            <w:tcBorders>
              <w:top w:val="single" w:sz="8" w:color="auto"/>
            </w:tcBorders>
            <w:shd w:val="clear" w:color="auto" w:fill="CFF0FC"/>
          </w:tcPr>
          <w:p>
            <w:pPr>
              <w:jc w:val="right"/>
              <w:ind w:right="1099"/>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35,957</w:t>
            </w:r>
          </w:p>
        </w:tc>
        <w:tc>
          <w:tcPr>
            <w:tcW w:w="320" w:type="dxa"/>
            <w:vAlign w:val="bottom"/>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6,078</w:t>
            </w:r>
          </w:p>
        </w:tc>
        <w:tc>
          <w:tcPr>
            <w:tcW w:w="100" w:type="dxa"/>
            <w:vAlign w:val="bottom"/>
            <w:shd w:val="clear" w:color="auto" w:fill="CFF0FC"/>
          </w:tcPr>
          <w:p>
            <w:pPr>
              <w:spacing w:after="0"/>
              <w:rPr>
                <w:sz w:val="17"/>
                <w:szCs w:val="17"/>
                <w:color w:val="auto"/>
              </w:rPr>
            </w:pPr>
          </w:p>
        </w:tc>
      </w:tr>
      <w:tr>
        <w:trPr>
          <w:trHeight w:val="203"/>
        </w:trPr>
        <w:tc>
          <w:tcPr>
            <w:tcW w:w="7020" w:type="dxa"/>
            <w:vAlign w:val="bottom"/>
          </w:tcPr>
          <w:p>
            <w:pPr>
              <w:ind w:left="20"/>
              <w:spacing w:after="0" w:line="202" w:lineRule="exact"/>
              <w:rPr>
                <w:sz w:val="20"/>
                <w:szCs w:val="20"/>
                <w:color w:val="auto"/>
              </w:rPr>
            </w:pPr>
            <w:r>
              <w:rPr>
                <w:rFonts w:ascii="Arial" w:cs="Arial" w:eastAsia="Arial" w:hAnsi="Arial"/>
                <w:sz w:val="18"/>
                <w:szCs w:val="18"/>
                <w:color w:val="auto"/>
              </w:rPr>
              <w:t>2023</w:t>
            </w:r>
          </w:p>
        </w:tc>
        <w:tc>
          <w:tcPr>
            <w:tcW w:w="12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40,220</w:t>
            </w: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7,542</w:t>
            </w:r>
          </w:p>
        </w:tc>
        <w:tc>
          <w:tcPr>
            <w:tcW w:w="100" w:type="dxa"/>
            <w:vAlign w:val="bottom"/>
          </w:tcPr>
          <w:p>
            <w:pPr>
              <w:spacing w:after="0"/>
              <w:rPr>
                <w:sz w:val="17"/>
                <w:szCs w:val="17"/>
                <w:color w:val="auto"/>
              </w:rPr>
            </w:pPr>
          </w:p>
        </w:tc>
      </w:tr>
      <w:tr>
        <w:trPr>
          <w:trHeight w:val="203"/>
        </w:trPr>
        <w:tc>
          <w:tcPr>
            <w:tcW w:w="70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2024</w:t>
            </w:r>
          </w:p>
        </w:tc>
        <w:tc>
          <w:tcPr>
            <w:tcW w:w="12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39,100</w:t>
            </w:r>
          </w:p>
        </w:tc>
        <w:tc>
          <w:tcPr>
            <w:tcW w:w="3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8,121</w:t>
            </w:r>
          </w:p>
        </w:tc>
        <w:tc>
          <w:tcPr>
            <w:tcW w:w="100" w:type="dxa"/>
            <w:vAlign w:val="bottom"/>
            <w:shd w:val="clear" w:color="auto" w:fill="CFF0FC"/>
          </w:tcPr>
          <w:p>
            <w:pPr>
              <w:spacing w:after="0"/>
              <w:rPr>
                <w:sz w:val="17"/>
                <w:szCs w:val="17"/>
                <w:color w:val="auto"/>
              </w:rPr>
            </w:pPr>
          </w:p>
        </w:tc>
      </w:tr>
      <w:tr>
        <w:trPr>
          <w:trHeight w:val="203"/>
        </w:trPr>
        <w:tc>
          <w:tcPr>
            <w:tcW w:w="7020" w:type="dxa"/>
            <w:vAlign w:val="bottom"/>
          </w:tcPr>
          <w:p>
            <w:pPr>
              <w:ind w:left="20"/>
              <w:spacing w:after="0" w:line="202" w:lineRule="exact"/>
              <w:rPr>
                <w:sz w:val="20"/>
                <w:szCs w:val="20"/>
                <w:color w:val="auto"/>
              </w:rPr>
            </w:pPr>
            <w:r>
              <w:rPr>
                <w:rFonts w:ascii="Arial" w:cs="Arial" w:eastAsia="Arial" w:hAnsi="Arial"/>
                <w:sz w:val="18"/>
                <w:szCs w:val="18"/>
                <w:color w:val="auto"/>
              </w:rPr>
              <w:t>2025</w:t>
            </w:r>
          </w:p>
        </w:tc>
        <w:tc>
          <w:tcPr>
            <w:tcW w:w="12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33,501</w:t>
            </w: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7,942</w:t>
            </w:r>
          </w:p>
        </w:tc>
        <w:tc>
          <w:tcPr>
            <w:tcW w:w="100" w:type="dxa"/>
            <w:vAlign w:val="bottom"/>
          </w:tcPr>
          <w:p>
            <w:pPr>
              <w:spacing w:after="0"/>
              <w:rPr>
                <w:sz w:val="17"/>
                <w:szCs w:val="17"/>
                <w:color w:val="auto"/>
              </w:rPr>
            </w:pPr>
          </w:p>
        </w:tc>
      </w:tr>
      <w:tr>
        <w:trPr>
          <w:trHeight w:val="203"/>
        </w:trPr>
        <w:tc>
          <w:tcPr>
            <w:tcW w:w="70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2026</w:t>
            </w:r>
          </w:p>
        </w:tc>
        <w:tc>
          <w:tcPr>
            <w:tcW w:w="12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30,487</w:t>
            </w:r>
          </w:p>
        </w:tc>
        <w:tc>
          <w:tcPr>
            <w:tcW w:w="3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8,640</w:t>
            </w:r>
          </w:p>
        </w:tc>
        <w:tc>
          <w:tcPr>
            <w:tcW w:w="100" w:type="dxa"/>
            <w:vAlign w:val="bottom"/>
            <w:shd w:val="clear" w:color="auto" w:fill="CFF0FC"/>
          </w:tcPr>
          <w:p>
            <w:pPr>
              <w:spacing w:after="0"/>
              <w:rPr>
                <w:sz w:val="17"/>
                <w:szCs w:val="17"/>
                <w:color w:val="auto"/>
              </w:rPr>
            </w:pPr>
          </w:p>
        </w:tc>
      </w:tr>
      <w:tr>
        <w:trPr>
          <w:trHeight w:val="203"/>
        </w:trPr>
        <w:tc>
          <w:tcPr>
            <w:tcW w:w="7020" w:type="dxa"/>
            <w:vAlign w:val="bottom"/>
          </w:tcPr>
          <w:p>
            <w:pPr>
              <w:ind w:left="20"/>
              <w:spacing w:after="0" w:line="202" w:lineRule="exact"/>
              <w:rPr>
                <w:sz w:val="20"/>
                <w:szCs w:val="20"/>
                <w:color w:val="auto"/>
              </w:rPr>
            </w:pPr>
            <w:r>
              <w:rPr>
                <w:rFonts w:ascii="Arial" w:cs="Arial" w:eastAsia="Arial" w:hAnsi="Arial"/>
                <w:sz w:val="18"/>
                <w:szCs w:val="18"/>
                <w:color w:val="auto"/>
              </w:rPr>
              <w:t>Thereafter</w:t>
            </w:r>
          </w:p>
        </w:tc>
        <w:tc>
          <w:tcPr>
            <w:tcW w:w="12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67,721</w:t>
            </w:r>
          </w:p>
        </w:tc>
        <w:tc>
          <w:tcPr>
            <w:tcW w:w="3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78,139</w:t>
            </w:r>
          </w:p>
        </w:tc>
        <w:tc>
          <w:tcPr>
            <w:tcW w:w="100" w:type="dxa"/>
            <w:vAlign w:val="bottom"/>
          </w:tcPr>
          <w:p>
            <w:pPr>
              <w:spacing w:after="0"/>
              <w:rPr>
                <w:sz w:val="17"/>
                <w:szCs w:val="17"/>
                <w:color w:val="auto"/>
              </w:rPr>
            </w:pPr>
          </w:p>
        </w:tc>
      </w:tr>
      <w:tr>
        <w:trPr>
          <w:trHeight w:val="196"/>
        </w:trPr>
        <w:tc>
          <w:tcPr>
            <w:tcW w:w="70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future minimum rental commitments</w:t>
            </w:r>
          </w:p>
        </w:tc>
        <w:tc>
          <w:tcPr>
            <w:tcW w:w="128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9"/>
              </w:rPr>
              <w:t>246,986</w:t>
            </w:r>
          </w:p>
        </w:tc>
        <w:tc>
          <w:tcPr>
            <w:tcW w:w="32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116,462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020" w:type="dxa"/>
            <w:vAlign w:val="bottom"/>
          </w:tcPr>
          <w:p>
            <w:pPr>
              <w:ind w:left="20"/>
              <w:spacing w:after="0" w:line="196" w:lineRule="exact"/>
              <w:rPr>
                <w:sz w:val="20"/>
                <w:szCs w:val="20"/>
                <w:color w:val="auto"/>
              </w:rPr>
            </w:pPr>
            <w:r>
              <w:rPr>
                <w:rFonts w:ascii="Arial" w:cs="Arial" w:eastAsia="Arial" w:hAnsi="Arial"/>
                <w:sz w:val="18"/>
                <w:szCs w:val="18"/>
                <w:color w:val="auto"/>
              </w:rPr>
              <w:t>Less – amounts representing interest</w:t>
            </w:r>
          </w:p>
        </w:tc>
        <w:tc>
          <w:tcPr>
            <w:tcW w:w="1280" w:type="dxa"/>
            <w:vAlign w:val="bottom"/>
          </w:tcPr>
          <w:p>
            <w:pPr>
              <w:spacing w:after="0"/>
              <w:rPr>
                <w:sz w:val="17"/>
                <w:szCs w:val="17"/>
                <w:color w:val="auto"/>
              </w:rPr>
            </w:pPr>
          </w:p>
        </w:tc>
        <w:tc>
          <w:tcPr>
            <w:tcW w:w="94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w w:val="94"/>
              </w:rPr>
              <w:t>(27,233 )</w:t>
            </w:r>
          </w:p>
        </w:tc>
        <w:tc>
          <w:tcPr>
            <w:tcW w:w="400" w:type="dxa"/>
            <w:vAlign w:val="bottom"/>
          </w:tcPr>
          <w:p>
            <w:pPr>
              <w:spacing w:after="0"/>
              <w:rPr>
                <w:sz w:val="17"/>
                <w:szCs w:val="17"/>
                <w:color w:val="auto"/>
              </w:rPr>
            </w:pPr>
          </w:p>
        </w:tc>
        <w:tc>
          <w:tcPr>
            <w:tcW w:w="16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(41,070 )</w:t>
            </w:r>
          </w:p>
        </w:tc>
      </w:tr>
      <w:tr>
        <w:trPr>
          <w:trHeight w:val="236"/>
        </w:trPr>
        <w:tc>
          <w:tcPr>
            <w:tcW w:w="70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lease liabilities</w:t>
            </w:r>
          </w:p>
        </w:tc>
        <w:tc>
          <w:tcPr>
            <w:tcW w:w="1280" w:type="dxa"/>
            <w:vAlign w:val="bottom"/>
            <w:tcBorders>
              <w:top w:val="single" w:sz="8" w:color="auto"/>
              <w:bottom w:val="single" w:sz="8" w:color="auto"/>
            </w:tcBorders>
            <w:shd w:val="clear" w:color="auto" w:fill="CFF0FC"/>
          </w:tcPr>
          <w:p>
            <w:pPr>
              <w:jc w:val="right"/>
              <w:ind w:right="1099"/>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9"/>
              </w:rPr>
              <w:t>219,753</w:t>
            </w:r>
          </w:p>
        </w:tc>
        <w:tc>
          <w:tcPr>
            <w:tcW w:w="32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top w:val="single" w:sz="8" w:color="auto"/>
              <w:bottom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75,392</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-296545</wp:posOffset>
            </wp:positionV>
            <wp:extent cx="68580"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-296545</wp:posOffset>
            </wp:positionV>
            <wp:extent cx="68580"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-25400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jc w:val="both"/>
        <w:ind w:right="360" w:firstLine="284"/>
        <w:spacing w:after="0" w:line="248" w:lineRule="auto"/>
        <w:rPr>
          <w:sz w:val="20"/>
          <w:szCs w:val="20"/>
          <w:color w:val="auto"/>
        </w:rPr>
      </w:pPr>
      <w:r>
        <w:rPr>
          <w:rFonts w:ascii="Arial" w:cs="Arial" w:eastAsia="Arial" w:hAnsi="Arial"/>
          <w:sz w:val="18"/>
          <w:szCs w:val="18"/>
          <w:color w:val="auto"/>
        </w:rPr>
        <w:t>As of March 27, 2022, the Company had additional leases for one supply chain center and certain supply chain tractors and trailers that had not yet commenced with estimated future minimum rental commitments of approximately $63.0 million. These leases are expected to commence in 2022 with lease terms of up to 16 years. These undiscounted amounts are not included in the table above.</w:t>
      </w:r>
    </w:p>
    <w:p>
      <w:pPr>
        <w:spacing w:after="0" w:line="74" w:lineRule="exact"/>
        <w:rPr>
          <w:sz w:val="20"/>
          <w:szCs w:val="20"/>
          <w:color w:val="auto"/>
        </w:rPr>
      </w:pPr>
    </w:p>
    <w:p>
      <w:pPr>
        <w:jc w:val="both"/>
        <w:ind w:right="280" w:firstLine="284"/>
        <w:spacing w:after="0" w:line="294" w:lineRule="auto"/>
        <w:rPr>
          <w:sz w:val="20"/>
          <w:szCs w:val="20"/>
          <w:color w:val="auto"/>
        </w:rPr>
      </w:pPr>
      <w:r>
        <w:rPr>
          <w:rFonts w:ascii="Arial" w:cs="Arial" w:eastAsia="Arial" w:hAnsi="Arial"/>
          <w:sz w:val="16"/>
          <w:szCs w:val="16"/>
          <w:color w:val="auto"/>
        </w:rPr>
        <w:t>The Company has guaranteed lease payments related to certain franchisees’ lease arrangements. The maximum amount of potential future payments under these guarantees was $8.6 million and $9.1 million as of March 27, 2022 and January 2, 2022, respectively. The Company does not believe these arrangements have or are likely to have a material effect on its results of operations, financial condition, revenues, expenses or liquidity.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8. Supplemental Disclosures of Cash Flow Information</w:t>
      </w:r>
    </w:p>
    <w:p>
      <w:pPr>
        <w:spacing w:after="0" w:line="198" w:lineRule="exact"/>
        <w:rPr>
          <w:sz w:val="20"/>
          <w:szCs w:val="20"/>
          <w:color w:val="auto"/>
        </w:rPr>
      </w:pPr>
    </w:p>
    <w:p>
      <w:pPr>
        <w:ind w:right="560" w:firstLine="255"/>
        <w:spacing w:after="0" w:line="261" w:lineRule="auto"/>
        <w:rPr>
          <w:sz w:val="20"/>
          <w:szCs w:val="20"/>
          <w:color w:val="auto"/>
        </w:rPr>
      </w:pPr>
      <w:r>
        <w:rPr>
          <w:rFonts w:ascii="Arial" w:cs="Arial" w:eastAsia="Arial" w:hAnsi="Arial"/>
          <w:sz w:val="18"/>
          <w:szCs w:val="18"/>
          <w:color w:val="auto"/>
        </w:rPr>
        <w:t>The Company had non-cash investing activities related to accruals for capital expenditures of $6.9 million at March 27, 2022 and $5.4 million at January 2, 2022.</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9. Company-owned Store Transactions</w:t>
      </w:r>
    </w:p>
    <w:p>
      <w:pPr>
        <w:spacing w:after="0" w:line="191" w:lineRule="exact"/>
        <w:rPr>
          <w:sz w:val="20"/>
          <w:szCs w:val="20"/>
          <w:color w:val="auto"/>
        </w:rPr>
      </w:pPr>
    </w:p>
    <w:p>
      <w:pPr>
        <w:ind w:right="320" w:firstLine="255"/>
        <w:spacing w:after="0" w:line="307" w:lineRule="auto"/>
        <w:rPr>
          <w:sz w:val="20"/>
          <w:szCs w:val="20"/>
          <w:color w:val="auto"/>
        </w:rPr>
      </w:pPr>
      <w:r>
        <w:rPr>
          <w:rFonts w:ascii="Arial" w:cs="Arial" w:eastAsia="Arial" w:hAnsi="Arial"/>
          <w:sz w:val="17"/>
          <w:szCs w:val="17"/>
          <w:color w:val="auto"/>
        </w:rPr>
        <w:t>During the first quarter of 2022, the Company purchased 23 U.S. franchised stores from certain of the Company</w:t>
      </w:r>
      <w:r>
        <w:rPr>
          <w:rFonts w:ascii="Arial" w:cs="Arial" w:eastAsia="Arial" w:hAnsi="Arial"/>
          <w:sz w:val="20"/>
          <w:szCs w:val="20"/>
          <w:color w:val="auto"/>
        </w:rPr>
        <w:t>’</w:t>
      </w:r>
      <w:r>
        <w:rPr>
          <w:rFonts w:ascii="Arial" w:cs="Arial" w:eastAsia="Arial" w:hAnsi="Arial"/>
          <w:sz w:val="17"/>
          <w:szCs w:val="17"/>
          <w:color w:val="auto"/>
        </w:rPr>
        <w:t>s existing U.S. franchisees for $6.8 million, which included $4.0 million of intangibles, $1.7 million of equipment and leasehold improvements and $1.1 million of goodwill.</w:t>
      </w:r>
    </w:p>
    <w:p>
      <w:pPr>
        <w:spacing w:after="0" w:line="151" w:lineRule="exact"/>
        <w:rPr>
          <w:sz w:val="20"/>
          <w:szCs w:val="20"/>
          <w:color w:val="auto"/>
        </w:rPr>
      </w:pPr>
    </w:p>
    <w:p>
      <w:pPr>
        <w:ind w:left="260" w:right="8120" w:hanging="252"/>
        <w:spacing w:after="0" w:line="413" w:lineRule="auto"/>
        <w:tabs>
          <w:tab w:leader="none" w:pos="275"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New Accounting Pronouncements </w:t>
      </w:r>
      <w:r>
        <w:rPr>
          <w:rFonts w:ascii="Arial" w:cs="Arial" w:eastAsia="Arial" w:hAnsi="Arial"/>
          <w:sz w:val="16"/>
          <w:szCs w:val="16"/>
          <w:u w:val="single" w:color="auto"/>
          <w:color w:val="auto"/>
        </w:rPr>
        <w:t>Accounting Standards Not Yet Adopted</w:t>
      </w:r>
    </w:p>
    <w:p>
      <w:pPr>
        <w:spacing w:after="0" w:line="1" w:lineRule="exact"/>
        <w:rPr>
          <w:sz w:val="20"/>
          <w:szCs w:val="20"/>
          <w:color w:val="auto"/>
        </w:rPr>
      </w:pPr>
    </w:p>
    <w:p>
      <w:pPr>
        <w:ind w:left="520" w:right="220" w:firstLine="254"/>
        <w:spacing w:after="0" w:line="261" w:lineRule="auto"/>
        <w:rPr>
          <w:sz w:val="20"/>
          <w:szCs w:val="20"/>
          <w:color w:val="auto"/>
        </w:rPr>
      </w:pPr>
      <w:r>
        <w:rPr>
          <w:rFonts w:ascii="Arial" w:cs="Arial" w:eastAsia="Arial" w:hAnsi="Arial"/>
          <w:sz w:val="18"/>
          <w:szCs w:val="18"/>
          <w:color w:val="auto"/>
        </w:rPr>
        <w:t>The Company has considered all new accounting standards issued by the Financial Accounting Standards Board (“FASB”). The Company has not yet completed its assessment of the following standard.</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8"/>
          <w:szCs w:val="18"/>
          <w:i w:val="1"/>
          <w:iCs w:val="1"/>
          <w:color w:val="auto"/>
        </w:rPr>
        <w:t>Accounting Standards Update (“ASU”) 2020-04, Facilitation of the Effects of Reference Rate Reform on Financial Reporting</w:t>
      </w:r>
    </w:p>
    <w:p>
      <w:pPr>
        <w:spacing w:after="0" w:line="198" w:lineRule="exact"/>
        <w:rPr>
          <w:sz w:val="20"/>
          <w:szCs w:val="20"/>
          <w:color w:val="auto"/>
        </w:rPr>
      </w:pPr>
    </w:p>
    <w:p>
      <w:pPr>
        <w:ind w:left="520" w:right="220" w:firstLine="254"/>
        <w:spacing w:after="0" w:line="266"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 (Topic 848): Facilitation of the Effects of Reference Rate Reform on</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Reporting (“ASU 2020-04”)</w:t>
      </w:r>
      <w:r>
        <w:rPr>
          <w:rFonts w:ascii="Arial" w:cs="Arial" w:eastAsia="Arial" w:hAnsi="Arial"/>
          <w:sz w:val="16"/>
          <w:szCs w:val="16"/>
          <w:color w:val="auto"/>
        </w:rPr>
        <w:t>, which provides temporary optional expedients and exceptions for applying generally accepted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principles to contracts, hedging relationships and other transactions affected by reference rate reform. The Company’s variable funding notes bear interest at fluctuating interest rates based on LIBOR. However, the associated loan documents contemplate a transition from LIBOR to secured overnight financing rate (“SOFR”) in the event that LIBOR ceases to exist. If the Company further needs to renegotiate its loan documents, the Company cannot predict what alternative index would be negotiated with its lenders. ASU 2020-04 may currently be adopted and may be applied prospectively to contract modifications made on or before December 31, 2022. The Company is currently assessing the impact of adopting this standard but does not expect the adoption of this guidance to have a material impact on its condensed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tabular amounts in millions, except percentages and store data)</w:t>
      </w:r>
    </w:p>
    <w:p>
      <w:pPr>
        <w:spacing w:after="0" w:line="88" w:lineRule="exact"/>
        <w:rPr>
          <w:sz w:val="20"/>
          <w:szCs w:val="20"/>
          <w:color w:val="auto"/>
        </w:rPr>
      </w:pPr>
    </w:p>
    <w:p>
      <w:pPr>
        <w:ind w:right="160" w:firstLine="255"/>
        <w:spacing w:after="0" w:line="261" w:lineRule="auto"/>
        <w:rPr>
          <w:sz w:val="20"/>
          <w:szCs w:val="20"/>
          <w:color w:val="auto"/>
        </w:rPr>
      </w:pPr>
      <w:r>
        <w:rPr>
          <w:rFonts w:ascii="Arial" w:cs="Arial" w:eastAsia="Arial" w:hAnsi="Arial"/>
          <w:sz w:val="18"/>
          <w:szCs w:val="18"/>
          <w:color w:val="auto"/>
        </w:rPr>
        <w:t>The 2022 and 2021 first quarters referenced herein represent the twelve-week periods ended March 27, 2022 and March 28, 2021, respectively. In this section, we discuss the results of our operations for the first quarter of 2022 as compared to the first quarter of 2021.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281"/>
        <w:spacing w:after="0" w:line="255" w:lineRule="auto"/>
        <w:rPr>
          <w:sz w:val="20"/>
          <w:szCs w:val="20"/>
          <w:color w:val="auto"/>
        </w:rPr>
      </w:pPr>
      <w:r>
        <w:rPr>
          <w:rFonts w:ascii="Arial" w:cs="Arial" w:eastAsia="Arial" w:hAnsi="Arial"/>
          <w:sz w:val="17"/>
          <w:szCs w:val="17"/>
          <w:color w:val="auto"/>
        </w:rPr>
        <w:t>Domino’s is the largest pizza company in the world with more than 19,000 locations in over 90 markets around the world as of March 27, 2022, and operates two distinct service models within its stores with a significant business in both delivery and carryout. Founded in 1960, our roots are in convenient pizza delivery, while a significant amount of our sales also come from carryout customers. We are a highly recognized global brand, and we focus on serving neighborhoods locally through our large worldwide network of franchise owners and U.S. Company-owned stores. We are primarily a franchisor, with approximately 98% of Domino’s stores currently owned and operated by our independent franchisees. Franchising enables an individual to be his or her own employer and maintain control over all employment-related matters and pricing decisions, while also benefiting from the strength of the Domino’s global brand and operating system with limited capital investment by us.</w:t>
      </w:r>
    </w:p>
    <w:p>
      <w:pPr>
        <w:spacing w:after="0" w:line="85" w:lineRule="exact"/>
        <w:rPr>
          <w:sz w:val="20"/>
          <w:szCs w:val="20"/>
          <w:color w:val="auto"/>
        </w:rPr>
      </w:pPr>
    </w:p>
    <w:p>
      <w:pPr>
        <w:ind w:right="40" w:firstLine="281"/>
        <w:spacing w:after="0" w:line="248" w:lineRule="auto"/>
        <w:rPr>
          <w:sz w:val="20"/>
          <w:szCs w:val="20"/>
          <w:color w:val="auto"/>
        </w:rPr>
      </w:pPr>
      <w:r>
        <w:rPr>
          <w:rFonts w:ascii="Arial" w:cs="Arial" w:eastAsia="Arial" w:hAnsi="Arial"/>
          <w:sz w:val="18"/>
          <w:szCs w:val="18"/>
          <w:color w:val="auto"/>
        </w:rPr>
        <w:t>The Domino’s business model is straightforward: Domino’s stores handcraft and serve quality food at a competitive price, with easy ordering access and efficient service, enhanced by our technological innovations. Our hand-tossed dough is made fresh and distributed to stores around the world by us and our franchisees.</w:t>
      </w:r>
    </w:p>
    <w:p>
      <w:pPr>
        <w:spacing w:after="0" w:line="87" w:lineRule="exact"/>
        <w:rPr>
          <w:sz w:val="20"/>
          <w:szCs w:val="20"/>
          <w:color w:val="auto"/>
        </w:rPr>
      </w:pPr>
    </w:p>
    <w:p>
      <w:pPr>
        <w:ind w:right="40" w:firstLine="281"/>
        <w:spacing w:after="0" w:line="248" w:lineRule="auto"/>
        <w:rPr>
          <w:sz w:val="20"/>
          <w:szCs w:val="20"/>
          <w:color w:val="auto"/>
        </w:rPr>
      </w:pPr>
      <w:r>
        <w:rPr>
          <w:rFonts w:ascii="Arial" w:cs="Arial" w:eastAsia="Arial" w:hAnsi="Arial"/>
          <w:sz w:val="16"/>
          <w:szCs w:val="16"/>
          <w:color w:val="auto"/>
        </w:rPr>
        <w:t>Domino’s generates revenues and earnings by charging royalties and fees to our franchisees. Royalties are ongoing percent-of-sales fees for use of the Domino’s</w:t>
      </w:r>
      <w:r>
        <w:rPr>
          <w:rFonts w:ascii="Arial" w:cs="Arial" w:eastAsia="Arial" w:hAnsi="Arial"/>
          <w:sz w:val="21"/>
          <w:szCs w:val="21"/>
          <w:color w:val="auto"/>
          <w:vertAlign w:val="superscript"/>
        </w:rPr>
        <w:t>®</w:t>
      </w:r>
      <w:r>
        <w:rPr>
          <w:rFonts w:ascii="Arial" w:cs="Arial" w:eastAsia="Arial" w:hAnsi="Arial"/>
          <w:sz w:val="16"/>
          <w:szCs w:val="16"/>
          <w:color w:val="auto"/>
        </w:rPr>
        <w:t xml:space="preserve"> brand marks. We also generate revenues and earnings by selling food, equipment and supplies to franchisees through our supply chain operations, primarily in the U.S. and Canada, and by operating a number of Company-owned stores in the United States. Franchisees profit by selling pizza and other complementary items to their local customers. In our international markets, we generally grant geographical rights to the Domino’s Pizza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brand to master franchisees. These master franchisees are charged with developing their geographical area, and they may profit by sub-franchising and selling food and equipment to those sub-franchisees, as well as by running pizza stores. We believe that everyone in the system can benefit, including the end consumer, who can purchase Domino’s menu items for themselves and their family conveniently and economically.</w:t>
      </w:r>
    </w:p>
    <w:p>
      <w:pPr>
        <w:spacing w:after="0" w:line="89" w:lineRule="exact"/>
        <w:rPr>
          <w:sz w:val="20"/>
          <w:szCs w:val="20"/>
          <w:color w:val="auto"/>
        </w:rPr>
      </w:pPr>
    </w:p>
    <w:p>
      <w:pPr>
        <w:ind w:right="40" w:firstLine="281"/>
        <w:spacing w:after="0" w:line="284" w:lineRule="auto"/>
        <w:rPr>
          <w:sz w:val="20"/>
          <w:szCs w:val="20"/>
          <w:color w:val="auto"/>
        </w:rPr>
      </w:pPr>
      <w:r>
        <w:rPr>
          <w:rFonts w:ascii="Arial" w:cs="Arial" w:eastAsia="Arial" w:hAnsi="Arial"/>
          <w:sz w:val="16"/>
          <w:szCs w:val="16"/>
          <w:color w:val="auto"/>
        </w:rPr>
        <w:t>The Domino’s business model can yield strong returns for our franchise owners and our Company-owned stores. It can also yield significant cash flows to us, through a consistent franchise royalty payment and supply chain revenue stream, with moderate capital expenditures. We have historically returned cash to shareholders through dividend payments and share repurchases. We believe we have a proven business model for success, which includes leading with technology, service and product innovation and leveraging our global scale, which has historically driven strong returns for our shareholders.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of 2022 Highlights</w:t>
      </w:r>
    </w:p>
    <w:p>
      <w:pPr>
        <w:spacing w:after="0" w:line="202" w:lineRule="exact"/>
        <w:rPr>
          <w:sz w:val="20"/>
          <w:szCs w:val="20"/>
          <w:color w:val="auto"/>
        </w:rPr>
      </w:pPr>
    </w:p>
    <w:p>
      <w:pPr>
        <w:ind w:left="760" w:right="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Global retail sales, excluding foreign currency impact (which includes total retail sales at Company-owned and franchised stores worldwide), increased 3.6% as compared to the first quarter of 2021. U.S. retail sales declined 1.4% and international retail sales, excluding foreign currency impact, increased 8.4% as compared to the first quarter of 2021.</w:t>
      </w:r>
    </w:p>
    <w:p>
      <w:pPr>
        <w:spacing w:after="0" w:line="2"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7"/>
          <w:szCs w:val="17"/>
          <w:color w:val="auto"/>
        </w:rPr>
      </w:pPr>
      <w:r>
        <w:rPr>
          <w:rFonts w:ascii="Arial" w:cs="Arial" w:eastAsia="Arial" w:hAnsi="Arial"/>
          <w:sz w:val="17"/>
          <w:szCs w:val="17"/>
          <w:color w:val="auto"/>
        </w:rPr>
        <w:t>Same store sales declined 3.6% in our U.S. stores and increased 1.2% in our international stores (excluding foreign currency impact).</w:t>
      </w:r>
    </w:p>
    <w:p>
      <w:pPr>
        <w:spacing w:after="0" w:line="7" w:lineRule="exact"/>
        <w:rPr>
          <w:rFonts w:ascii="Arial" w:cs="Arial" w:eastAsia="Arial" w:hAnsi="Arial"/>
          <w:sz w:val="17"/>
          <w:szCs w:val="17"/>
          <w:color w:val="auto"/>
        </w:rPr>
      </w:pPr>
    </w:p>
    <w:p>
      <w:pPr>
        <w:ind w:left="760" w:hanging="378"/>
        <w:spacing w:after="0" w:line="234"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Revenues increased 2.8%.</w:t>
      </w:r>
    </w:p>
    <w:p>
      <w:pPr>
        <w:ind w:left="760" w:hanging="378"/>
        <w:spacing w:after="0" w:line="234"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Income from operations decreased 11.8%.</w:t>
      </w:r>
    </w:p>
    <w:p>
      <w:pPr>
        <w:ind w:left="760" w:hanging="378"/>
        <w:spacing w:after="0" w:line="234"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income decreased 22.8%.</w:t>
      </w: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Diluted earnings per share decreased 16.7%.</w:t>
      </w:r>
    </w:p>
    <w:p>
      <w:pPr>
        <w:spacing w:after="0" w:line="67" w:lineRule="exact"/>
        <w:rPr>
          <w:sz w:val="20"/>
          <w:szCs w:val="20"/>
          <w:color w:val="auto"/>
        </w:rPr>
      </w:pPr>
    </w:p>
    <w:p>
      <w:pPr>
        <w:ind w:firstLine="255"/>
        <w:spacing w:after="0" w:line="238" w:lineRule="auto"/>
        <w:rPr>
          <w:sz w:val="20"/>
          <w:szCs w:val="20"/>
          <w:color w:val="auto"/>
        </w:rPr>
      </w:pPr>
      <w:r>
        <w:rPr>
          <w:rFonts w:ascii="Arial" w:cs="Arial" w:eastAsia="Arial" w:hAnsi="Arial"/>
          <w:sz w:val="17"/>
          <w:szCs w:val="17"/>
          <w:color w:val="auto"/>
        </w:rPr>
        <w:t>Domino</w:t>
      </w:r>
      <w:r>
        <w:rPr>
          <w:rFonts w:ascii="Arial" w:cs="Arial" w:eastAsia="Arial" w:hAnsi="Arial"/>
          <w:sz w:val="20"/>
          <w:szCs w:val="20"/>
          <w:color w:val="auto"/>
        </w:rPr>
        <w:t>’</w:t>
      </w:r>
      <w:r>
        <w:rPr>
          <w:rFonts w:ascii="Arial" w:cs="Arial" w:eastAsia="Arial" w:hAnsi="Arial"/>
          <w:sz w:val="17"/>
          <w:szCs w:val="17"/>
          <w:color w:val="auto"/>
        </w:rPr>
        <w:t>s experienced global retail sales growth during the first quarter of 2022. We believe our commitment to value, convenience, quality and new products continues to keep consumers engaged with the brand. We continued our strong international same store sales performance with the 113</w:t>
      </w:r>
      <w:r>
        <w:rPr>
          <w:rFonts w:ascii="Arial" w:cs="Arial" w:eastAsia="Arial" w:hAnsi="Arial"/>
          <w:sz w:val="12"/>
          <w:szCs w:val="12"/>
          <w:color w:val="auto"/>
        </w:rPr>
        <w:t>th</w:t>
      </w:r>
      <w:r>
        <w:rPr>
          <w:rFonts w:ascii="Arial" w:cs="Arial" w:eastAsia="Arial" w:hAnsi="Arial"/>
          <w:sz w:val="17"/>
          <w:szCs w:val="17"/>
          <w:color w:val="auto"/>
        </w:rPr>
        <w:t xml:space="preserve"> consecutive quarter of positive international same store sales (excluding foreign currency impact). U.S. same store sales declined 3.6% in the first quarter of 2022, rolling over an increase in U.S. same store sales of 13.4% in the first quarter of 2021. The decrease in U.S. same store sales was attributable in part to lower order counts resulting from labor shortages affecting store hours and staffing levels in many of our markets, as well as economic stimulus activity in the U.S in the first quarter of 2021 in response to the COVID-19 pandemic which did not recur in the first quarter of 2022. The decline in U.S. store order counts was partially offset by a higher average ticket per transaction resulting from higher menu prices as well as more items purchased per transaction and increases to our average delivery fee.</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3" w:name="page14"/>
    <w:bookmarkEnd w:id="13"/>
    <w:p>
      <w:pPr>
        <w:ind w:right="140" w:firstLine="255"/>
        <w:spacing w:after="0" w:line="228" w:lineRule="auto"/>
        <w:rPr>
          <w:sz w:val="20"/>
          <w:szCs w:val="20"/>
          <w:color w:val="auto"/>
        </w:rPr>
      </w:pPr>
      <w:r>
        <w:rPr>
          <w:rFonts w:ascii="Arial" w:cs="Arial" w:eastAsia="Arial" w:hAnsi="Arial"/>
          <w:sz w:val="18"/>
          <w:szCs w:val="18"/>
          <w:color w:val="auto"/>
        </w:rPr>
        <w:t>During the first quarter of 2022, we experienced significant inflationary pressures in our commodity, labor and fuel costs resulting from the macroeconomic environment in the U.S., which had a significant impact on our overall operating results as compared to the prior year quarter. Internationally, we continued to experience increases in retail sales during the first quarter of 2022. Our U.S. and international same store sales (excluding foreign currency impact) continue to be pressured by our fortressing strategy, which includes increasing store concentration in certain markets where we compete, as well as from aggressive competitive activity.</w:t>
      </w:r>
    </w:p>
    <w:p>
      <w:pPr>
        <w:spacing w:after="0" w:line="70" w:lineRule="exact"/>
        <w:rPr>
          <w:sz w:val="20"/>
          <w:szCs w:val="20"/>
          <w:color w:val="auto"/>
        </w:rPr>
      </w:pPr>
    </w:p>
    <w:p>
      <w:pPr>
        <w:ind w:right="320" w:firstLine="255"/>
        <w:spacing w:after="0" w:line="246" w:lineRule="auto"/>
        <w:rPr>
          <w:sz w:val="20"/>
          <w:szCs w:val="20"/>
          <w:color w:val="auto"/>
        </w:rPr>
      </w:pPr>
      <w:r>
        <w:rPr>
          <w:rFonts w:ascii="Arial" w:cs="Arial" w:eastAsia="Arial" w:hAnsi="Arial"/>
          <w:sz w:val="18"/>
          <w:szCs w:val="18"/>
          <w:color w:val="auto"/>
        </w:rPr>
        <w:t>We continued our global expansion with the opening of 213 net stores in the first quarter of 2022. We had 37 net stores open in the U.S. and 176 net stores open internationally during the first quarter of 2022.</w:t>
      </w:r>
    </w:p>
    <w:p>
      <w:pPr>
        <w:spacing w:after="0" w:line="75" w:lineRule="exact"/>
        <w:rPr>
          <w:sz w:val="20"/>
          <w:szCs w:val="20"/>
          <w:color w:val="auto"/>
        </w:rPr>
      </w:pPr>
    </w:p>
    <w:p>
      <w:pPr>
        <w:ind w:right="40" w:firstLine="255"/>
        <w:spacing w:after="0" w:line="261" w:lineRule="auto"/>
        <w:rPr>
          <w:sz w:val="20"/>
          <w:szCs w:val="20"/>
          <w:color w:val="auto"/>
        </w:rPr>
      </w:pPr>
      <w:r>
        <w:rPr>
          <w:rFonts w:ascii="Arial" w:cs="Arial" w:eastAsia="Arial" w:hAnsi="Arial"/>
          <w:sz w:val="18"/>
          <w:szCs w:val="18"/>
          <w:color w:val="auto"/>
        </w:rPr>
        <w:t>Overall, we believe our continued global store growth, along with our sales growth, emphasis on technology, operations, and marketing initiatives, have combined to strengthen our brand.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Statistical Measures</w:t>
      </w:r>
    </w:p>
    <w:p>
      <w:pPr>
        <w:spacing w:after="0" w:line="202" w:lineRule="exact"/>
        <w:rPr>
          <w:sz w:val="20"/>
          <w:szCs w:val="20"/>
          <w:color w:val="auto"/>
        </w:rPr>
      </w:pPr>
    </w:p>
    <w:p>
      <w:pPr>
        <w:ind w:right="60" w:firstLine="255"/>
        <w:spacing w:after="0" w:line="261" w:lineRule="auto"/>
        <w:rPr>
          <w:sz w:val="20"/>
          <w:szCs w:val="20"/>
          <w:color w:val="auto"/>
        </w:rPr>
      </w:pPr>
      <w:r>
        <w:rPr>
          <w:rFonts w:ascii="Arial" w:cs="Arial" w:eastAsia="Arial" w:hAnsi="Arial"/>
          <w:sz w:val="18"/>
          <w:szCs w:val="18"/>
          <w:color w:val="auto"/>
        </w:rPr>
        <w:t>The tables below outline certain statistical measures we utilize to analyze our performance. This historical data is not necessarily indicative of results to be expected for any future period.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Retail Sales Growth (excluding foreign currency impact)</w:t>
      </w:r>
    </w:p>
    <w:p>
      <w:pPr>
        <w:spacing w:after="0" w:line="202" w:lineRule="exact"/>
        <w:rPr>
          <w:sz w:val="20"/>
          <w:szCs w:val="20"/>
          <w:color w:val="auto"/>
        </w:rPr>
      </w:pPr>
    </w:p>
    <w:p>
      <w:pPr>
        <w:ind w:right="60" w:firstLine="255"/>
        <w:spacing w:after="0" w:line="274" w:lineRule="auto"/>
        <w:rPr>
          <w:sz w:val="20"/>
          <w:szCs w:val="20"/>
          <w:color w:val="auto"/>
        </w:rPr>
      </w:pPr>
      <w:r>
        <w:rPr>
          <w:rFonts w:ascii="Arial" w:cs="Arial" w:eastAsia="Arial" w:hAnsi="Arial"/>
          <w:sz w:val="16"/>
          <w:szCs w:val="16"/>
          <w:color w:val="auto"/>
        </w:rPr>
        <w:t>Global retail sales growth (excluding foreign currency impact) is a commonly used statistical measure in the quick-service restaurant industry that is important to understanding performance. Global retail sales refers to total worldwide retail sales at Company-owned and franchise stores. We believe global retail sales information is useful in analyzing revenues because franchisees pay royalties and, in the U.S., advertising fees that are based on a percentage of franchise retail sales. We review comparable industry global retail sales information to assess business trends and to track the growth of the Domino’s Pizza brand. In addition, supply chain revenues are directly impacted by changes in franchise retail sales in the U.S. and Canada. Retail sales for franchise stores are reported to us by our franchisees and are not included in our revenues. Global retail sales growth, excluding foreign currency impact, is calculated as the change of international local currency global retail sales against the comparable period of the prior year.</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1380" w:type="dxa"/>
            <w:vAlign w:val="bottom"/>
          </w:tcPr>
          <w:p>
            <w:pPr>
              <w:jc w:val="center"/>
              <w:ind w:left="428"/>
              <w:spacing w:after="0"/>
              <w:rPr>
                <w:sz w:val="20"/>
                <w:szCs w:val="20"/>
                <w:color w:val="auto"/>
              </w:rPr>
            </w:pPr>
            <w:r>
              <w:rPr>
                <w:rFonts w:ascii="Arial" w:cs="Arial" w:eastAsia="Arial" w:hAnsi="Arial"/>
                <w:sz w:val="14"/>
                <w:szCs w:val="14"/>
                <w:b w:val="1"/>
                <w:bCs w:val="1"/>
                <w:color w:val="auto"/>
                <w:w w:val="99"/>
              </w:rPr>
              <w:t>First Quarter</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80" w:type="dxa"/>
            <w:vAlign w:val="bottom"/>
          </w:tcPr>
          <w:p>
            <w:pPr>
              <w:jc w:val="right"/>
              <w:ind w:right="339"/>
              <w:spacing w:after="0"/>
              <w:rPr>
                <w:sz w:val="20"/>
                <w:szCs w:val="20"/>
                <w:color w:val="auto"/>
              </w:rPr>
            </w:pPr>
            <w:r>
              <w:rPr>
                <w:rFonts w:ascii="Arial" w:cs="Arial" w:eastAsia="Arial" w:hAnsi="Arial"/>
                <w:sz w:val="14"/>
                <w:szCs w:val="14"/>
                <w:b w:val="1"/>
                <w:bCs w:val="1"/>
                <w:color w:val="auto"/>
              </w:rPr>
              <w:t>First Quarter</w:t>
            </w:r>
          </w:p>
        </w:tc>
      </w:tr>
      <w:tr>
        <w:trPr>
          <w:trHeight w:val="185"/>
        </w:trPr>
        <w:tc>
          <w:tcPr>
            <w:tcW w:w="7620" w:type="dxa"/>
            <w:vAlign w:val="bottom"/>
          </w:tcPr>
          <w:p>
            <w:pPr>
              <w:spacing w:after="0"/>
              <w:rPr>
                <w:sz w:val="16"/>
                <w:szCs w:val="16"/>
                <w:color w:val="auto"/>
              </w:rPr>
            </w:pPr>
          </w:p>
        </w:tc>
        <w:tc>
          <w:tcPr>
            <w:tcW w:w="138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b w:val="1"/>
                <w:bCs w:val="1"/>
                <w:color w:val="auto"/>
                <w:w w:val="91"/>
              </w:rPr>
              <w:t>of 2022</w:t>
            </w:r>
          </w:p>
        </w:tc>
        <w:tc>
          <w:tcPr>
            <w:tcW w:w="5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68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of 2021</w:t>
            </w:r>
          </w:p>
        </w:tc>
      </w:tr>
      <w:tr>
        <w:trPr>
          <w:trHeight w:val="196"/>
        </w:trPr>
        <w:tc>
          <w:tcPr>
            <w:tcW w:w="762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U.S. stores</w:t>
            </w:r>
          </w:p>
        </w:tc>
        <w:tc>
          <w:tcPr>
            <w:tcW w:w="138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0"/>
              </w:rPr>
              <w:t>(1.4)%</w:t>
            </w:r>
          </w:p>
        </w:tc>
        <w:tc>
          <w:tcPr>
            <w:tcW w:w="4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+15.3%</w:t>
            </w:r>
          </w:p>
        </w:tc>
      </w:tr>
      <w:tr>
        <w:trPr>
          <w:trHeight w:val="203"/>
        </w:trPr>
        <w:tc>
          <w:tcPr>
            <w:tcW w:w="90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International stores (excluding foreign currency impact)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w w:val="93"/>
              </w:rPr>
              <w:t>+8.4%</w:t>
            </w:r>
          </w:p>
        </w:tc>
        <w:tc>
          <w:tcPr>
            <w:tcW w:w="1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+12.8%</w:t>
            </w:r>
          </w:p>
        </w:tc>
      </w:tr>
      <w:tr>
        <w:trPr>
          <w:trHeight w:val="196"/>
        </w:trPr>
        <w:tc>
          <w:tcPr>
            <w:tcW w:w="762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(excluding foreign currency impact)</w:t>
            </w:r>
          </w:p>
        </w:tc>
        <w:tc>
          <w:tcPr>
            <w:tcW w:w="138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3"/>
              </w:rPr>
              <w:t>+3.6%</w:t>
            </w:r>
          </w:p>
        </w:tc>
        <w:tc>
          <w:tcPr>
            <w:tcW w:w="40" w:type="dxa"/>
            <w:vAlign w:val="bottom"/>
            <w:shd w:val="clear" w:color="auto" w:fill="CFF0FC"/>
          </w:tcPr>
          <w:p>
            <w:pPr>
              <w:spacing w:after="0"/>
              <w:rPr>
                <w:sz w:val="17"/>
                <w:szCs w:val="17"/>
                <w:color w:val="auto"/>
              </w:rPr>
            </w:pPr>
          </w:p>
        </w:tc>
        <w:tc>
          <w:tcPr>
            <w:tcW w:w="16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+14.0%</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 Store Sales Growth</w:t>
      </w:r>
    </w:p>
    <w:p>
      <w:pPr>
        <w:spacing w:after="0" w:line="202" w:lineRule="exact"/>
        <w:rPr>
          <w:sz w:val="20"/>
          <w:szCs w:val="20"/>
          <w:color w:val="auto"/>
        </w:rPr>
      </w:pPr>
    </w:p>
    <w:p>
      <w:pPr>
        <w:ind w:right="40" w:firstLine="255"/>
        <w:spacing w:after="0" w:line="243" w:lineRule="auto"/>
        <w:rPr>
          <w:sz w:val="20"/>
          <w:szCs w:val="20"/>
          <w:color w:val="auto"/>
        </w:rPr>
      </w:pPr>
      <w:r>
        <w:rPr>
          <w:rFonts w:ascii="Arial" w:cs="Arial" w:eastAsia="Arial" w:hAnsi="Arial"/>
          <w:sz w:val="18"/>
          <w:szCs w:val="18"/>
          <w:color w:val="auto"/>
        </w:rPr>
        <w:t>Same store sales growth is a commonly used statistical measure in the quick-service restaurant industry that is important to understanding performance. Same store sales growth is calculated by including only sales from stores that also had sales in the comparable weeks of both years. International same store sales growth is calculated similarly to U.S. same store sales growth. Changes in international same store sales are reported excluding foreign currency impacts, which reflect changes in international local currency sales.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1900" w:type="dxa"/>
            <w:vAlign w:val="bottom"/>
          </w:tcPr>
          <w:p>
            <w:pPr>
              <w:jc w:val="right"/>
              <w:ind w:right="456"/>
              <w:spacing w:after="0"/>
              <w:rPr>
                <w:sz w:val="20"/>
                <w:szCs w:val="20"/>
                <w:color w:val="auto"/>
              </w:rPr>
            </w:pPr>
            <w:r>
              <w:rPr>
                <w:rFonts w:ascii="Arial" w:cs="Arial" w:eastAsia="Arial" w:hAnsi="Arial"/>
                <w:sz w:val="14"/>
                <w:szCs w:val="14"/>
                <w:b w:val="1"/>
                <w:bCs w:val="1"/>
                <w:color w:val="auto"/>
              </w:rPr>
              <w:t>First Quarter</w:t>
            </w:r>
          </w:p>
        </w:tc>
        <w:tc>
          <w:tcPr>
            <w:tcW w:w="40" w:type="dxa"/>
            <w:vAlign w:val="bottom"/>
          </w:tcPr>
          <w:p>
            <w:pPr>
              <w:spacing w:after="0"/>
              <w:rPr>
                <w:sz w:val="14"/>
                <w:szCs w:val="14"/>
                <w:color w:val="auto"/>
              </w:rPr>
            </w:pPr>
          </w:p>
        </w:tc>
        <w:tc>
          <w:tcPr>
            <w:tcW w:w="1680" w:type="dxa"/>
            <w:vAlign w:val="bottom"/>
          </w:tcPr>
          <w:p>
            <w:pPr>
              <w:jc w:val="right"/>
              <w:ind w:right="339"/>
              <w:spacing w:after="0"/>
              <w:rPr>
                <w:sz w:val="20"/>
                <w:szCs w:val="20"/>
                <w:color w:val="auto"/>
              </w:rPr>
            </w:pPr>
            <w:r>
              <w:rPr>
                <w:rFonts w:ascii="Arial" w:cs="Arial" w:eastAsia="Arial" w:hAnsi="Arial"/>
                <w:sz w:val="14"/>
                <w:szCs w:val="14"/>
                <w:b w:val="1"/>
                <w:bCs w:val="1"/>
                <w:color w:val="auto"/>
              </w:rPr>
              <w:t>First Quarter</w:t>
            </w:r>
          </w:p>
        </w:tc>
      </w:tr>
      <w:tr>
        <w:trPr>
          <w:trHeight w:val="185"/>
        </w:trPr>
        <w:tc>
          <w:tcPr>
            <w:tcW w:w="7620" w:type="dxa"/>
            <w:vAlign w:val="bottom"/>
          </w:tcPr>
          <w:p>
            <w:pPr>
              <w:spacing w:after="0"/>
              <w:rPr>
                <w:sz w:val="16"/>
                <w:szCs w:val="16"/>
                <w:color w:val="auto"/>
              </w:rPr>
            </w:pPr>
          </w:p>
        </w:tc>
        <w:tc>
          <w:tcPr>
            <w:tcW w:w="190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of 2022</w:t>
            </w:r>
          </w:p>
        </w:tc>
        <w:tc>
          <w:tcPr>
            <w:tcW w:w="40" w:type="dxa"/>
            <w:vAlign w:val="bottom"/>
          </w:tcPr>
          <w:p>
            <w:pPr>
              <w:spacing w:after="0"/>
              <w:rPr>
                <w:sz w:val="16"/>
                <w:szCs w:val="16"/>
                <w:color w:val="auto"/>
              </w:rPr>
            </w:pPr>
          </w:p>
        </w:tc>
        <w:tc>
          <w:tcPr>
            <w:tcW w:w="168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of 2021</w:t>
            </w:r>
          </w:p>
        </w:tc>
      </w:tr>
      <w:tr>
        <w:trPr>
          <w:trHeight w:val="196"/>
        </w:trPr>
        <w:tc>
          <w:tcPr>
            <w:tcW w:w="762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U.S. Company-owned stores (1)</w:t>
            </w:r>
          </w:p>
        </w:tc>
        <w:tc>
          <w:tcPr>
            <w:tcW w:w="1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(10.5)%</w:t>
            </w:r>
          </w:p>
        </w:tc>
        <w:tc>
          <w:tcPr>
            <w:tcW w:w="4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+6.3%</w:t>
            </w:r>
          </w:p>
        </w:tc>
      </w:tr>
      <w:tr>
        <w:trPr>
          <w:trHeight w:val="203"/>
        </w:trPr>
        <w:tc>
          <w:tcPr>
            <w:tcW w:w="7620" w:type="dxa"/>
            <w:vAlign w:val="bottom"/>
          </w:tcPr>
          <w:p>
            <w:pPr>
              <w:ind w:left="200"/>
              <w:spacing w:after="0" w:line="202" w:lineRule="exact"/>
              <w:rPr>
                <w:sz w:val="20"/>
                <w:szCs w:val="20"/>
                <w:color w:val="auto"/>
              </w:rPr>
            </w:pPr>
            <w:r>
              <w:rPr>
                <w:rFonts w:ascii="Arial" w:cs="Arial" w:eastAsia="Arial" w:hAnsi="Arial"/>
                <w:sz w:val="18"/>
                <w:szCs w:val="18"/>
                <w:color w:val="auto"/>
              </w:rPr>
              <w:t>U.S. franchise stores (1)</w:t>
            </w:r>
          </w:p>
        </w:tc>
        <w:tc>
          <w:tcPr>
            <w:tcW w:w="1900" w:type="dxa"/>
            <w:vAlign w:val="bottom"/>
          </w:tcPr>
          <w:p>
            <w:pPr>
              <w:jc w:val="right"/>
              <w:spacing w:after="0" w:line="202" w:lineRule="exact"/>
              <w:rPr>
                <w:sz w:val="20"/>
                <w:szCs w:val="20"/>
                <w:color w:val="auto"/>
              </w:rPr>
            </w:pPr>
            <w:r>
              <w:rPr>
                <w:rFonts w:ascii="Arial" w:cs="Arial" w:eastAsia="Arial" w:hAnsi="Arial"/>
                <w:sz w:val="18"/>
                <w:szCs w:val="18"/>
                <w:color w:val="auto"/>
              </w:rPr>
              <w:t>(3.2)%</w:t>
            </w:r>
          </w:p>
        </w:tc>
        <w:tc>
          <w:tcPr>
            <w:tcW w:w="1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+13.9%</w:t>
            </w:r>
          </w:p>
        </w:tc>
      </w:tr>
      <w:tr>
        <w:trPr>
          <w:trHeight w:val="196"/>
        </w:trPr>
        <w:tc>
          <w:tcPr>
            <w:tcW w:w="762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U.S. stores</w:t>
            </w:r>
          </w:p>
        </w:tc>
        <w:tc>
          <w:tcPr>
            <w:tcW w:w="19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w:t>
            </w:r>
          </w:p>
        </w:tc>
        <w:tc>
          <w:tcPr>
            <w:tcW w:w="40" w:type="dxa"/>
            <w:vAlign w:val="bottom"/>
            <w:shd w:val="clear" w:color="auto" w:fill="CFF0FC"/>
          </w:tcPr>
          <w:p>
            <w:pPr>
              <w:spacing w:after="0"/>
              <w:rPr>
                <w:sz w:val="17"/>
                <w:szCs w:val="17"/>
                <w:color w:val="auto"/>
              </w:rPr>
            </w:pPr>
          </w:p>
        </w:tc>
        <w:tc>
          <w:tcPr>
            <w:tcW w:w="16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+13.4%</w:t>
            </w:r>
          </w:p>
        </w:tc>
      </w:tr>
      <w:tr>
        <w:trPr>
          <w:trHeight w:val="230"/>
        </w:trPr>
        <w:tc>
          <w:tcPr>
            <w:tcW w:w="7620" w:type="dxa"/>
            <w:vAlign w:val="bottom"/>
          </w:tcPr>
          <w:p>
            <w:pPr>
              <w:ind w:left="200"/>
              <w:spacing w:after="0"/>
              <w:rPr>
                <w:sz w:val="20"/>
                <w:szCs w:val="20"/>
                <w:color w:val="auto"/>
              </w:rPr>
            </w:pPr>
            <w:r>
              <w:rPr>
                <w:rFonts w:ascii="Arial" w:cs="Arial" w:eastAsia="Arial" w:hAnsi="Arial"/>
                <w:sz w:val="18"/>
                <w:szCs w:val="18"/>
                <w:color w:val="auto"/>
              </w:rPr>
              <w:t>International stores (excluding foreign currency impact)</w:t>
            </w:r>
          </w:p>
        </w:tc>
        <w:tc>
          <w:tcPr>
            <w:tcW w:w="1900" w:type="dxa"/>
            <w:vAlign w:val="bottom"/>
          </w:tcPr>
          <w:p>
            <w:pPr>
              <w:jc w:val="right"/>
              <w:spacing w:after="0"/>
              <w:rPr>
                <w:sz w:val="20"/>
                <w:szCs w:val="20"/>
                <w:color w:val="auto"/>
              </w:rPr>
            </w:pPr>
            <w:r>
              <w:rPr>
                <w:rFonts w:ascii="Arial" w:cs="Arial" w:eastAsia="Arial" w:hAnsi="Arial"/>
                <w:sz w:val="18"/>
                <w:szCs w:val="18"/>
                <w:color w:val="auto"/>
              </w:rPr>
              <w:t>+1.2%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+11.8%</w:t>
            </w:r>
          </w:p>
        </w:tc>
      </w:tr>
    </w:tbl>
    <w:p>
      <w:pPr>
        <w:spacing w:after="0" w:line="160" w:lineRule="exact"/>
        <w:rPr>
          <w:sz w:val="20"/>
          <w:szCs w:val="20"/>
          <w:color w:val="auto"/>
        </w:rPr>
      </w:pPr>
    </w:p>
    <w:p>
      <w:pPr>
        <w:ind w:left="760" w:right="60" w:hanging="752"/>
        <w:spacing w:after="0" w:line="261" w:lineRule="auto"/>
        <w:tabs>
          <w:tab w:leader="none" w:pos="371" w:val="left"/>
        </w:tabs>
        <w:numPr>
          <w:ilvl w:val="0"/>
          <w:numId w:val="7"/>
        </w:numPr>
        <w:rPr>
          <w:rFonts w:ascii="Arial" w:cs="Arial" w:eastAsia="Arial" w:hAnsi="Arial"/>
          <w:sz w:val="18"/>
          <w:szCs w:val="18"/>
          <w:color w:val="auto"/>
        </w:rPr>
      </w:pPr>
      <w:r>
        <w:rPr>
          <w:rFonts w:ascii="Arial" w:cs="Arial" w:eastAsia="Arial" w:hAnsi="Arial"/>
          <w:sz w:val="18"/>
          <w:szCs w:val="18"/>
          <w:color w:val="auto"/>
        </w:rPr>
        <w:t>During the first quarter of 2022, we purchased 23 U.S. franchised stores from certain of our existing U.S. franchisees. The same store sales growth for these stores is reflected in U.S. Company-owned stores in the first quarter of 2022.</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Store Growth Activity</w:t>
      </w:r>
    </w:p>
    <w:p>
      <w:pPr>
        <w:spacing w:after="0" w:line="202" w:lineRule="exact"/>
        <w:rPr>
          <w:sz w:val="20"/>
          <w:szCs w:val="20"/>
          <w:color w:val="auto"/>
        </w:rPr>
      </w:pPr>
    </w:p>
    <w:p>
      <w:pPr>
        <w:ind w:right="240" w:firstLine="255"/>
        <w:spacing w:after="0" w:line="247" w:lineRule="auto"/>
        <w:rPr>
          <w:sz w:val="20"/>
          <w:szCs w:val="20"/>
          <w:color w:val="auto"/>
        </w:rPr>
      </w:pPr>
      <w:r>
        <w:rPr>
          <w:rFonts w:ascii="Arial" w:cs="Arial" w:eastAsia="Arial" w:hAnsi="Arial"/>
          <w:sz w:val="18"/>
          <w:szCs w:val="18"/>
          <w:color w:val="auto"/>
        </w:rPr>
        <w:t>Store counts and net store growth are commonly used statistical measures in the quick-service restaurant industry that are important to understanding performance.</w:t>
      </w:r>
    </w:p>
    <w:tbl>
      <w:tblPr>
        <w:tblLayout w:type="fixed"/>
        <w:tblInd w:w="0" w:type="dxa"/>
        <w:tblCellMar>
          <w:top w:w="0" w:type="dxa"/>
          <w:left w:w="0" w:type="dxa"/>
          <w:bottom w:w="0" w:type="dxa"/>
          <w:right w:w="0" w:type="dxa"/>
        </w:tblCellMar>
      </w:tblPr>
      <w:tr>
        <w:trPr>
          <w:trHeight w:val="133"/>
        </w:trPr>
        <w:tc>
          <w:tcPr>
            <w:tcW w:w="5000" w:type="dxa"/>
            <w:vAlign w:val="bottom"/>
          </w:tcPr>
          <w:p>
            <w:pPr>
              <w:spacing w:after="0"/>
              <w:rPr>
                <w:sz w:val="11"/>
                <w:szCs w:val="11"/>
                <w:color w:val="auto"/>
              </w:rPr>
            </w:pPr>
          </w:p>
        </w:tc>
        <w:tc>
          <w:tcPr>
            <w:tcW w:w="940" w:type="dxa"/>
            <w:vAlign w:val="bottom"/>
          </w:tcPr>
          <w:p>
            <w:pPr>
              <w:jc w:val="center"/>
              <w:ind w:left="208"/>
              <w:spacing w:after="0" w:line="133" w:lineRule="exact"/>
              <w:rPr>
                <w:sz w:val="20"/>
                <w:szCs w:val="20"/>
                <w:color w:val="auto"/>
              </w:rPr>
            </w:pPr>
            <w:r>
              <w:rPr>
                <w:rFonts w:ascii="Arial" w:cs="Arial" w:eastAsia="Arial" w:hAnsi="Arial"/>
                <w:sz w:val="14"/>
                <w:szCs w:val="14"/>
                <w:b w:val="1"/>
                <w:bCs w:val="1"/>
                <w:color w:val="auto"/>
                <w:w w:val="95"/>
              </w:rPr>
              <w:t>U.S.</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7"/>
              </w:rPr>
              <w:t>U.S.</w:t>
            </w:r>
          </w:p>
        </w:tc>
        <w:tc>
          <w:tcPr>
            <w:tcW w:w="13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000" w:type="dxa"/>
            <w:vAlign w:val="bottom"/>
          </w:tcPr>
          <w:p>
            <w:pPr>
              <w:spacing w:after="0"/>
              <w:rPr>
                <w:sz w:val="12"/>
                <w:szCs w:val="12"/>
                <w:color w:val="auto"/>
              </w:rPr>
            </w:pPr>
          </w:p>
        </w:tc>
        <w:tc>
          <w:tcPr>
            <w:tcW w:w="94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6"/>
              </w:rPr>
              <w:t>Company-</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1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International</w:t>
            </w: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00" w:type="dxa"/>
            <w:vAlign w:val="bottom"/>
          </w:tcPr>
          <w:p>
            <w:pPr>
              <w:spacing w:after="0"/>
              <w:rPr>
                <w:sz w:val="12"/>
                <w:szCs w:val="12"/>
                <w:color w:val="auto"/>
              </w:rPr>
            </w:pPr>
          </w:p>
        </w:tc>
        <w:tc>
          <w:tcPr>
            <w:tcW w:w="94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0"/>
              </w:rPr>
              <w:t>owned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Franchise</w:t>
            </w:r>
          </w:p>
        </w:tc>
        <w:tc>
          <w:tcPr>
            <w:tcW w:w="13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U.S.</w:t>
            </w:r>
          </w:p>
        </w:tc>
        <w:tc>
          <w:tcPr>
            <w:tcW w:w="1180" w:type="dxa"/>
            <w:vAlign w:val="bottom"/>
            <w:gridSpan w:val="2"/>
            <w:vMerge w:val="continue"/>
          </w:tcPr>
          <w:p>
            <w:pPr>
              <w:spacing w:after="0"/>
              <w:rPr>
                <w:sz w:val="12"/>
                <w:szCs w:val="12"/>
                <w:color w:val="auto"/>
              </w:rPr>
            </w:pPr>
          </w:p>
        </w:tc>
        <w:tc>
          <w:tcPr>
            <w:tcW w:w="12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5000" w:type="dxa"/>
            <w:vAlign w:val="bottom"/>
          </w:tcPr>
          <w:p>
            <w:pPr>
              <w:spacing w:after="0"/>
              <w:rPr>
                <w:sz w:val="16"/>
                <w:szCs w:val="16"/>
                <w:color w:val="auto"/>
              </w:rPr>
            </w:pPr>
          </w:p>
        </w:tc>
        <w:tc>
          <w:tcPr>
            <w:tcW w:w="940" w:type="dxa"/>
            <w:vAlign w:val="bottom"/>
          </w:tcPr>
          <w:p>
            <w:pPr>
              <w:jc w:val="center"/>
              <w:ind w:left="248"/>
              <w:spacing w:after="0"/>
              <w:rPr>
                <w:sz w:val="20"/>
                <w:szCs w:val="20"/>
                <w:color w:val="auto"/>
              </w:rPr>
            </w:pPr>
            <w:r>
              <w:rPr>
                <w:rFonts w:ascii="Arial" w:cs="Arial" w:eastAsia="Arial" w:hAnsi="Arial"/>
                <w:sz w:val="14"/>
                <w:szCs w:val="14"/>
                <w:b w:val="1"/>
                <w:bCs w:val="1"/>
                <w:color w:val="auto"/>
                <w:w w:val="87"/>
              </w:rPr>
              <w:t>Stores</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Stores</w:t>
            </w:r>
          </w:p>
        </w:tc>
        <w:tc>
          <w:tcPr>
            <w:tcW w:w="13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Stores</w:t>
            </w:r>
          </w:p>
        </w:tc>
        <w:tc>
          <w:tcPr>
            <w:tcW w:w="11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Stores</w:t>
            </w:r>
          </w:p>
        </w:tc>
        <w:tc>
          <w:tcPr>
            <w:tcW w:w="1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Store count at January 2, 2022</w:t>
            </w:r>
          </w:p>
        </w:tc>
        <w:tc>
          <w:tcPr>
            <w:tcW w:w="94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375</w:t>
            </w:r>
          </w:p>
        </w:tc>
        <w:tc>
          <w:tcPr>
            <w:tcW w:w="100" w:type="dxa"/>
            <w:vAlign w:val="bottom"/>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6,185</w:t>
            </w:r>
          </w:p>
        </w:tc>
        <w:tc>
          <w:tcPr>
            <w:tcW w:w="120" w:type="dxa"/>
            <w:vAlign w:val="bottom"/>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6,560</w:t>
            </w:r>
          </w:p>
        </w:tc>
        <w:tc>
          <w:tcPr>
            <w:tcW w:w="100" w:type="dxa"/>
            <w:vAlign w:val="bottom"/>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12,288</w:t>
            </w:r>
          </w:p>
        </w:tc>
        <w:tc>
          <w:tcPr>
            <w:tcW w:w="120" w:type="dxa"/>
            <w:vAlign w:val="bottom"/>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18,848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Openings</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38</w:t>
            </w:r>
          </w:p>
        </w:tc>
        <w:tc>
          <w:tcPr>
            <w:tcW w:w="1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40</w:t>
            </w:r>
          </w:p>
        </w:tc>
        <w:tc>
          <w:tcPr>
            <w:tcW w:w="1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217</w:t>
            </w:r>
          </w:p>
        </w:tc>
        <w:tc>
          <w:tcPr>
            <w:tcW w:w="1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257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Closings (1)</w:t>
            </w:r>
          </w:p>
        </w:tc>
        <w:tc>
          <w:tcPr>
            <w:tcW w:w="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3"/>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(3 )</w:t>
            </w:r>
          </w:p>
        </w:tc>
        <w:tc>
          <w:tcPr>
            <w:tcW w:w="13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(3 )</w:t>
            </w:r>
          </w:p>
        </w:tc>
        <w:tc>
          <w:tcPr>
            <w:tcW w:w="11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(41 )</w:t>
            </w:r>
          </w:p>
        </w:tc>
        <w:tc>
          <w:tcPr>
            <w:tcW w:w="12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03"/>
        </w:trPr>
        <w:tc>
          <w:tcPr>
            <w:tcW w:w="59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Transfers (2)</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c>
          <w:tcPr>
            <w:tcW w:w="13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(23 )</w:t>
            </w:r>
          </w:p>
        </w:tc>
        <w:tc>
          <w:tcPr>
            <w:tcW w:w="13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50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Store count at March 27, 2022</w:t>
            </w:r>
          </w:p>
        </w:tc>
        <w:tc>
          <w:tcPr>
            <w:tcW w:w="940" w:type="dxa"/>
            <w:vAlign w:val="bottom"/>
            <w:tcBorders>
              <w:top w:val="single" w:sz="8" w:color="auto"/>
              <w:bottom w:val="single" w:sz="8" w:color="auto"/>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400</w:t>
            </w:r>
          </w:p>
        </w:tc>
        <w:tc>
          <w:tcPr>
            <w:tcW w:w="10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6,197</w:t>
            </w:r>
          </w:p>
        </w:tc>
        <w:tc>
          <w:tcPr>
            <w:tcW w:w="12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6,597</w:t>
            </w:r>
          </w:p>
        </w:tc>
        <w:tc>
          <w:tcPr>
            <w:tcW w:w="10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12,464</w:t>
            </w:r>
          </w:p>
        </w:tc>
        <w:tc>
          <w:tcPr>
            <w:tcW w:w="12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19,061</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940" w:type="dxa"/>
            <w:vAlign w:val="bottom"/>
            <w:gridSpan w:val="2"/>
          </w:tcPr>
          <w:p>
            <w:pPr>
              <w:ind w:left="20"/>
              <w:spacing w:after="0" w:line="183" w:lineRule="exact"/>
              <w:rPr>
                <w:sz w:val="20"/>
                <w:szCs w:val="20"/>
                <w:color w:val="auto"/>
              </w:rPr>
            </w:pPr>
            <w:r>
              <w:rPr>
                <w:rFonts w:ascii="Arial" w:cs="Arial" w:eastAsia="Arial" w:hAnsi="Arial"/>
                <w:sz w:val="18"/>
                <w:szCs w:val="18"/>
                <w:color w:val="auto"/>
              </w:rPr>
              <w:t>First quarter 2022 net store growth</w:t>
            </w:r>
          </w:p>
        </w:tc>
        <w:tc>
          <w:tcPr>
            <w:tcW w:w="280" w:type="dxa"/>
            <w:vAlign w:val="bottom"/>
          </w:tcPr>
          <w:p>
            <w:pPr>
              <w:jc w:val="right"/>
              <w:spacing w:after="0" w:line="183" w:lineRule="exact"/>
              <w:rPr>
                <w:sz w:val="20"/>
                <w:szCs w:val="20"/>
                <w:color w:val="auto"/>
              </w:rPr>
            </w:pPr>
            <w:r>
              <w:rPr>
                <w:rFonts w:ascii="Arial" w:cs="Arial" w:eastAsia="Arial" w:hAnsi="Arial"/>
                <w:sz w:val="18"/>
                <w:szCs w:val="18"/>
                <w:color w:val="auto"/>
              </w:rPr>
              <w:t>2</w:t>
            </w:r>
          </w:p>
        </w:tc>
        <w:tc>
          <w:tcPr>
            <w:tcW w:w="118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35</w:t>
            </w:r>
          </w:p>
        </w:tc>
        <w:tc>
          <w:tcPr>
            <w:tcW w:w="120" w:type="dxa"/>
            <w:vAlign w:val="bottom"/>
          </w:tcPr>
          <w:p>
            <w:pPr>
              <w:spacing w:after="0"/>
              <w:rPr>
                <w:sz w:val="15"/>
                <w:szCs w:val="15"/>
                <w:color w:val="auto"/>
              </w:rPr>
            </w:pPr>
          </w:p>
        </w:tc>
        <w:tc>
          <w:tcPr>
            <w:tcW w:w="1200" w:type="dxa"/>
            <w:vAlign w:val="bottom"/>
          </w:tcPr>
          <w:p>
            <w:pPr>
              <w:jc w:val="right"/>
              <w:spacing w:after="0" w:line="183" w:lineRule="exact"/>
              <w:rPr>
                <w:sz w:val="20"/>
                <w:szCs w:val="20"/>
                <w:color w:val="auto"/>
              </w:rPr>
            </w:pPr>
            <w:r>
              <w:rPr>
                <w:rFonts w:ascii="Arial" w:cs="Arial" w:eastAsia="Arial" w:hAnsi="Arial"/>
                <w:sz w:val="18"/>
                <w:szCs w:val="18"/>
                <w:color w:val="auto"/>
              </w:rPr>
              <w:t>37</w:t>
            </w:r>
          </w:p>
        </w:tc>
        <w:tc>
          <w:tcPr>
            <w:tcW w:w="100" w:type="dxa"/>
            <w:vAlign w:val="bottom"/>
          </w:tcPr>
          <w:p>
            <w:pPr>
              <w:spacing w:after="0"/>
              <w:rPr>
                <w:sz w:val="15"/>
                <w:szCs w:val="15"/>
                <w:color w:val="auto"/>
              </w:rPr>
            </w:pPr>
          </w:p>
        </w:tc>
        <w:tc>
          <w:tcPr>
            <w:tcW w:w="1060" w:type="dxa"/>
            <w:vAlign w:val="bottom"/>
          </w:tcPr>
          <w:p>
            <w:pPr>
              <w:jc w:val="right"/>
              <w:spacing w:after="0" w:line="183" w:lineRule="exact"/>
              <w:rPr>
                <w:sz w:val="20"/>
                <w:szCs w:val="20"/>
                <w:color w:val="auto"/>
              </w:rPr>
            </w:pPr>
            <w:r>
              <w:rPr>
                <w:rFonts w:ascii="Arial" w:cs="Arial" w:eastAsia="Arial" w:hAnsi="Arial"/>
                <w:sz w:val="18"/>
                <w:szCs w:val="18"/>
                <w:color w:val="auto"/>
              </w:rPr>
              <w:t>176</w:t>
            </w:r>
          </w:p>
        </w:tc>
        <w:tc>
          <w:tcPr>
            <w:tcW w:w="120" w:type="dxa"/>
            <w:vAlign w:val="bottom"/>
          </w:tcPr>
          <w:p>
            <w:pPr>
              <w:spacing w:after="0"/>
              <w:rPr>
                <w:sz w:val="15"/>
                <w:szCs w:val="15"/>
                <w:color w:val="auto"/>
              </w:rPr>
            </w:pPr>
          </w:p>
        </w:tc>
        <w:tc>
          <w:tcPr>
            <w:tcW w:w="1160" w:type="dxa"/>
            <w:vAlign w:val="bottom"/>
          </w:tcPr>
          <w:p>
            <w:pPr>
              <w:jc w:val="right"/>
              <w:spacing w:after="0" w:line="183" w:lineRule="exact"/>
              <w:rPr>
                <w:sz w:val="20"/>
                <w:szCs w:val="20"/>
                <w:color w:val="auto"/>
              </w:rPr>
            </w:pPr>
            <w:r>
              <w:rPr>
                <w:rFonts w:ascii="Arial" w:cs="Arial" w:eastAsia="Arial" w:hAnsi="Arial"/>
                <w:sz w:val="18"/>
                <w:szCs w:val="18"/>
                <w:color w:val="auto"/>
              </w:rPr>
              <w:t>213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8"/>
                <w:szCs w:val="18"/>
                <w:color w:val="auto"/>
              </w:rPr>
              <w:t>Trailing four quarters net store growth</w:t>
            </w:r>
          </w:p>
        </w:tc>
        <w:tc>
          <w:tcPr>
            <w:tcW w:w="94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13</w:t>
            </w:r>
          </w:p>
        </w:tc>
        <w:tc>
          <w:tcPr>
            <w:tcW w:w="10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193</w:t>
            </w:r>
          </w:p>
        </w:tc>
        <w:tc>
          <w:tcPr>
            <w:tcW w:w="12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206</w:t>
            </w:r>
          </w:p>
        </w:tc>
        <w:tc>
          <w:tcPr>
            <w:tcW w:w="10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1,036</w:t>
            </w:r>
          </w:p>
        </w:tc>
        <w:tc>
          <w:tcPr>
            <w:tcW w:w="12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1,242</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-334010</wp:posOffset>
            </wp:positionV>
            <wp:extent cx="431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-316865</wp:posOffset>
            </wp:positionV>
            <wp:extent cx="431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-334010</wp:posOffset>
            </wp:positionV>
            <wp:extent cx="596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-316865</wp:posOffset>
            </wp:positionV>
            <wp:extent cx="596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-334010</wp:posOffset>
            </wp:positionV>
            <wp:extent cx="514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-316865</wp:posOffset>
            </wp:positionV>
            <wp:extent cx="514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-334010</wp:posOffset>
            </wp:positionV>
            <wp:extent cx="514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-316865</wp:posOffset>
            </wp:positionV>
            <wp:extent cx="514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-334010</wp:posOffset>
            </wp:positionV>
            <wp:extent cx="514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-316865</wp:posOffset>
            </wp:positionV>
            <wp:extent cx="514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-25400</wp:posOffset>
            </wp:positionV>
            <wp:extent cx="431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-8255</wp:posOffset>
            </wp:positionV>
            <wp:extent cx="431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-25400</wp:posOffset>
            </wp:positionV>
            <wp:extent cx="596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-8255</wp:posOffset>
            </wp:positionV>
            <wp:extent cx="5969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-25400</wp:posOffset>
            </wp:positionV>
            <wp:extent cx="514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-8255</wp:posOffset>
            </wp:positionV>
            <wp:extent cx="5143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-25400</wp:posOffset>
            </wp:positionV>
            <wp:extent cx="514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-8255</wp:posOffset>
            </wp:positionV>
            <wp:extent cx="5143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-25400</wp:posOffset>
            </wp:positionV>
            <wp:extent cx="514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-8255</wp:posOffset>
            </wp:positionV>
            <wp:extent cx="5143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68" w:lineRule="exact"/>
        <w:rPr>
          <w:sz w:val="20"/>
          <w:szCs w:val="20"/>
          <w:color w:val="auto"/>
        </w:rPr>
      </w:pPr>
    </w:p>
    <w:p>
      <w:pPr>
        <w:jc w:val="center"/>
        <w:ind w:left="760" w:right="140" w:hanging="752"/>
        <w:spacing w:after="0" w:line="274" w:lineRule="auto"/>
        <w:tabs>
          <w:tab w:leader="none" w:pos="371" w:val="left"/>
        </w:tabs>
        <w:numPr>
          <w:ilvl w:val="0"/>
          <w:numId w:val="8"/>
        </w:numPr>
        <w:rPr>
          <w:rFonts w:ascii="Arial" w:cs="Arial" w:eastAsia="Arial" w:hAnsi="Arial"/>
          <w:sz w:val="16"/>
          <w:szCs w:val="16"/>
          <w:color w:val="auto"/>
        </w:rPr>
      </w:pPr>
      <w:r>
        <w:rPr>
          <w:rFonts w:ascii="Arial" w:cs="Arial" w:eastAsia="Arial" w:hAnsi="Arial"/>
          <w:sz w:val="16"/>
          <w:szCs w:val="16"/>
          <w:color w:val="auto"/>
        </w:rPr>
        <w:t>Temporary store closures are not treated as store closures and affected stores are included in the ending store count. Based on information reported to us by our master franchisees, we estimate that as of March 27, 2022, there were approximately 200 international stores temporarily closed.</w:t>
      </w:r>
    </w:p>
    <w:p>
      <w:pPr>
        <w:ind w:left="760" w:right="180" w:hanging="752"/>
        <w:spacing w:after="0" w:line="243" w:lineRule="auto"/>
        <w:tabs>
          <w:tab w:leader="none" w:pos="371"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store growth does not include the effect of transfers. During the first quarter of 2022, we purchased 23 U.S. franchised stores from certain of our existing U.S. franchisees.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80" w:type="dxa"/>
            <w:vAlign w:val="bottom"/>
            <w:gridSpan w:val="3"/>
          </w:tcPr>
          <w:p>
            <w:pPr>
              <w:jc w:val="center"/>
              <w:ind w:left="113"/>
              <w:spacing w:after="0"/>
              <w:rPr>
                <w:sz w:val="20"/>
                <w:szCs w:val="20"/>
                <w:color w:val="auto"/>
              </w:rPr>
            </w:pPr>
            <w:r>
              <w:rPr>
                <w:rFonts w:ascii="Arial" w:cs="Arial" w:eastAsia="Arial" w:hAnsi="Arial"/>
                <w:sz w:val="14"/>
                <w:szCs w:val="14"/>
                <w:b w:val="1"/>
                <w:bCs w:val="1"/>
                <w:color w:val="auto"/>
                <w:w w:val="99"/>
              </w:rPr>
              <w:t>First Quarter</w:t>
            </w: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gridSpan w:val="3"/>
          </w:tcPr>
          <w:p>
            <w:pPr>
              <w:jc w:val="center"/>
              <w:ind w:left="53"/>
              <w:spacing w:after="0"/>
              <w:rPr>
                <w:sz w:val="20"/>
                <w:szCs w:val="20"/>
                <w:color w:val="auto"/>
              </w:rPr>
            </w:pPr>
            <w:r>
              <w:rPr>
                <w:rFonts w:ascii="Arial" w:cs="Arial" w:eastAsia="Arial" w:hAnsi="Arial"/>
                <w:sz w:val="14"/>
                <w:szCs w:val="14"/>
                <w:b w:val="1"/>
                <w:bCs w:val="1"/>
                <w:color w:val="auto"/>
                <w:w w:val="96"/>
              </w:rPr>
              <w:t>First Quarter</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520" w:type="dxa"/>
            <w:vAlign w:val="bottom"/>
            <w:gridSpan w:val="2"/>
            <w:vMerge w:val="restart"/>
          </w:tcPr>
          <w:p>
            <w:pPr>
              <w:ind w:left="20"/>
              <w:spacing w:after="0"/>
              <w:rPr>
                <w:sz w:val="20"/>
                <w:szCs w:val="20"/>
                <w:color w:val="auto"/>
              </w:rPr>
            </w:pPr>
            <w:r>
              <w:rPr>
                <w:rFonts w:ascii="Arial" w:cs="Arial" w:eastAsia="Arial" w:hAnsi="Arial"/>
                <w:sz w:val="18"/>
                <w:szCs w:val="18"/>
                <w:color w:val="auto"/>
              </w:rPr>
              <w:t>U.S. Company-owned stores</w:t>
            </w:r>
          </w:p>
        </w:tc>
        <w:tc>
          <w:tcPr>
            <w:tcW w:w="5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113"/>
              <w:spacing w:after="0"/>
              <w:rPr>
                <w:sz w:val="20"/>
                <w:szCs w:val="20"/>
                <w:color w:val="auto"/>
              </w:rPr>
            </w:pPr>
            <w:r>
              <w:rPr>
                <w:rFonts w:ascii="Arial" w:cs="Arial" w:eastAsia="Arial" w:hAnsi="Arial"/>
                <w:sz w:val="14"/>
                <w:szCs w:val="14"/>
                <w:b w:val="1"/>
                <w:bCs w:val="1"/>
                <w:color w:val="auto"/>
                <w:w w:val="91"/>
              </w:rPr>
              <w:t>of 2022</w:t>
            </w:r>
          </w:p>
        </w:tc>
        <w:tc>
          <w:tcPr>
            <w:tcW w:w="6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left="33"/>
              <w:spacing w:after="0"/>
              <w:rPr>
                <w:sz w:val="20"/>
                <w:szCs w:val="20"/>
                <w:color w:val="auto"/>
              </w:rPr>
            </w:pPr>
            <w:r>
              <w:rPr>
                <w:rFonts w:ascii="Arial" w:cs="Arial" w:eastAsia="Arial" w:hAnsi="Arial"/>
                <w:sz w:val="14"/>
                <w:szCs w:val="14"/>
                <w:b w:val="1"/>
                <w:bCs w:val="1"/>
                <w:color w:val="auto"/>
                <w:w w:val="91"/>
              </w:rPr>
              <w:t>of 2021</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520" w:type="dxa"/>
            <w:vAlign w:val="bottom"/>
            <w:gridSpan w:val="2"/>
            <w:vMerge w:val="continue"/>
          </w:tcPr>
          <w:p>
            <w:pPr>
              <w:spacing w:after="0"/>
              <w:rPr>
                <w:sz w:val="17"/>
                <w:szCs w:val="17"/>
                <w:color w:val="auto"/>
              </w:rPr>
            </w:pPr>
          </w:p>
        </w:tc>
        <w:tc>
          <w:tcPr>
            <w:tcW w:w="5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103.9</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112.7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U.S. franchise royalties and fees</w:t>
            </w:r>
          </w:p>
        </w:tc>
        <w:tc>
          <w:tcPr>
            <w:tcW w:w="520" w:type="dxa"/>
            <w:vAlign w:val="bottom"/>
            <w:tcBorders>
              <w:left w:val="single" w:sz="8" w:color="CFF0FC"/>
            </w:tcBorders>
            <w:shd w:val="clear" w:color="auto" w:fill="CFF0FC"/>
          </w:tcPr>
          <w:p>
            <w:pPr>
              <w:spacing w:after="0"/>
              <w:rPr>
                <w:sz w:val="17"/>
                <w:szCs w:val="17"/>
                <w:color w:val="auto"/>
              </w:rPr>
            </w:pPr>
          </w:p>
        </w:tc>
        <w:tc>
          <w:tcPr>
            <w:tcW w:w="92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122.3</w:t>
            </w:r>
          </w:p>
        </w:tc>
        <w:tc>
          <w:tcPr>
            <w:tcW w:w="140" w:type="dxa"/>
            <w:vAlign w:val="bottom"/>
            <w:tcBorders>
              <w:right w:val="single" w:sz="8" w:color="CFF0FC"/>
            </w:tcBorders>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66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20" w:type="dxa"/>
            <w:vAlign w:val="bottom"/>
            <w:tcBorders>
              <w:left w:val="single" w:sz="8" w:color="CFF0FC"/>
            </w:tcBorders>
            <w:shd w:val="clear" w:color="auto" w:fill="CFF0FC"/>
          </w:tcPr>
          <w:p>
            <w:pPr>
              <w:spacing w:after="0"/>
              <w:rPr>
                <w:sz w:val="17"/>
                <w:szCs w:val="17"/>
                <w:color w:val="auto"/>
              </w:rPr>
            </w:pPr>
          </w:p>
        </w:tc>
        <w:tc>
          <w:tcPr>
            <w:tcW w:w="88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124.5</w:t>
            </w:r>
          </w:p>
        </w:tc>
        <w:tc>
          <w:tcPr>
            <w:tcW w:w="120" w:type="dxa"/>
            <w:vAlign w:val="bottom"/>
            <w:tcBorders>
              <w:right w:val="single" w:sz="8" w:color="CFF0FC"/>
            </w:tcBorders>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Supply chain</w:t>
            </w:r>
          </w:p>
        </w:tc>
        <w:tc>
          <w:tcPr>
            <w:tcW w:w="5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609.5</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568.3</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International franchise royalties and fees</w:t>
            </w:r>
          </w:p>
        </w:tc>
        <w:tc>
          <w:tcPr>
            <w:tcW w:w="520" w:type="dxa"/>
            <w:vAlign w:val="bottom"/>
            <w:tcBorders>
              <w:left w:val="single" w:sz="8" w:color="CFF0FC"/>
            </w:tcBorders>
            <w:shd w:val="clear" w:color="auto" w:fill="CFF0FC"/>
          </w:tcPr>
          <w:p>
            <w:pPr>
              <w:spacing w:after="0"/>
              <w:rPr>
                <w:sz w:val="17"/>
                <w:szCs w:val="17"/>
                <w:color w:val="auto"/>
              </w:rPr>
            </w:pPr>
          </w:p>
        </w:tc>
        <w:tc>
          <w:tcPr>
            <w:tcW w:w="92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68.8</w:t>
            </w:r>
          </w:p>
        </w:tc>
        <w:tc>
          <w:tcPr>
            <w:tcW w:w="140" w:type="dxa"/>
            <w:vAlign w:val="bottom"/>
            <w:tcBorders>
              <w:right w:val="single" w:sz="8" w:color="CFF0FC"/>
            </w:tcBorders>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66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20" w:type="dxa"/>
            <w:vAlign w:val="bottom"/>
            <w:tcBorders>
              <w:left w:val="single" w:sz="8" w:color="CFF0FC"/>
            </w:tcBorders>
            <w:shd w:val="clear" w:color="auto" w:fill="CFF0FC"/>
          </w:tcPr>
          <w:p>
            <w:pPr>
              <w:spacing w:after="0"/>
              <w:rPr>
                <w:sz w:val="17"/>
                <w:szCs w:val="17"/>
                <w:color w:val="auto"/>
              </w:rPr>
            </w:pPr>
          </w:p>
        </w:tc>
        <w:tc>
          <w:tcPr>
            <w:tcW w:w="88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66.8</w:t>
            </w:r>
          </w:p>
        </w:tc>
        <w:tc>
          <w:tcPr>
            <w:tcW w:w="120" w:type="dxa"/>
            <w:vAlign w:val="bottom"/>
            <w:tcBorders>
              <w:right w:val="single" w:sz="8" w:color="CFF0FC"/>
            </w:tcBorders>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U.S. franchise advertising</w:t>
            </w:r>
          </w:p>
        </w:tc>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106.6</w:t>
            </w:r>
          </w:p>
        </w:tc>
        <w:tc>
          <w:tcPr>
            <w:tcW w:w="1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111.4</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20" w:type="dxa"/>
            <w:vAlign w:val="bottom"/>
            <w:gridSpan w:val="2"/>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revenues</w:t>
            </w:r>
          </w:p>
        </w:tc>
        <w:tc>
          <w:tcPr>
            <w:tcW w:w="520" w:type="dxa"/>
            <w:vAlign w:val="bottom"/>
            <w:tcBorders>
              <w:left w:val="single" w:sz="8" w:color="CFF0FC"/>
            </w:tcBorders>
            <w:shd w:val="clear" w:color="auto" w:fill="CFF0FC"/>
          </w:tcPr>
          <w:p>
            <w:pPr>
              <w:spacing w:after="0"/>
              <w:rPr>
                <w:sz w:val="17"/>
                <w:szCs w:val="17"/>
                <w:color w:val="auto"/>
              </w:rPr>
            </w:pPr>
          </w:p>
        </w:tc>
        <w:tc>
          <w:tcPr>
            <w:tcW w:w="920" w:type="dxa"/>
            <w:vAlign w:val="bottom"/>
            <w:tcBorders>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1,011.1</w:t>
            </w:r>
          </w:p>
        </w:tc>
        <w:tc>
          <w:tcPr>
            <w:tcW w:w="140" w:type="dxa"/>
            <w:vAlign w:val="bottom"/>
            <w:tcBorders>
              <w:right w:val="single" w:sz="8" w:color="CFF0FC"/>
            </w:tcBorders>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660" w:type="dxa"/>
            <w:vAlign w:val="bottom"/>
            <w:tcBorders>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100.0</w:t>
            </w:r>
          </w:p>
        </w:tc>
        <w:tc>
          <w:tcPr>
            <w:tcW w:w="28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4"/>
              </w:rPr>
              <w:t>%</w:t>
            </w:r>
          </w:p>
        </w:tc>
        <w:tc>
          <w:tcPr>
            <w:tcW w:w="520" w:type="dxa"/>
            <w:vAlign w:val="bottom"/>
            <w:tcBorders>
              <w:left w:val="single" w:sz="8" w:color="CFF0FC"/>
            </w:tcBorders>
            <w:shd w:val="clear" w:color="auto" w:fill="CFF0FC"/>
          </w:tcPr>
          <w:p>
            <w:pPr>
              <w:spacing w:after="0"/>
              <w:rPr>
                <w:sz w:val="17"/>
                <w:szCs w:val="17"/>
                <w:color w:val="auto"/>
              </w:rPr>
            </w:pPr>
          </w:p>
        </w:tc>
        <w:tc>
          <w:tcPr>
            <w:tcW w:w="880" w:type="dxa"/>
            <w:vAlign w:val="bottom"/>
            <w:tcBorders>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983.7</w:t>
            </w:r>
          </w:p>
        </w:tc>
        <w:tc>
          <w:tcPr>
            <w:tcW w:w="120" w:type="dxa"/>
            <w:vAlign w:val="bottom"/>
            <w:tcBorders>
              <w:right w:val="single" w:sz="8" w:color="CFF0FC"/>
            </w:tcBorders>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100.0</w:t>
            </w:r>
          </w:p>
        </w:tc>
        <w:tc>
          <w:tcPr>
            <w:tcW w:w="320" w:type="dxa"/>
            <w:vAlign w:val="bottom"/>
            <w:gridSpan w:val="2"/>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55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U.S. Company-owned stores</w:t>
            </w:r>
          </w:p>
        </w:tc>
        <w:tc>
          <w:tcPr>
            <w:tcW w:w="5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87.4</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85.7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tcBorders>
              <w:bottom w:val="single" w:sz="8" w:color="CFF0FC"/>
            </w:tcBorders>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Supply chain</w:t>
            </w:r>
          </w:p>
        </w:tc>
        <w:tc>
          <w:tcPr>
            <w:tcW w:w="520" w:type="dxa"/>
            <w:vAlign w:val="bottom"/>
            <w:tcBorders>
              <w:left w:val="single" w:sz="8" w:color="CFF0FC"/>
              <w:bottom w:val="single" w:sz="8" w:color="auto"/>
            </w:tcBorders>
            <w:shd w:val="clear" w:color="auto" w:fill="CFF0FC"/>
          </w:tcPr>
          <w:p>
            <w:pPr>
              <w:spacing w:after="0"/>
              <w:rPr>
                <w:sz w:val="17"/>
                <w:szCs w:val="17"/>
                <w:color w:val="auto"/>
              </w:rPr>
            </w:pPr>
          </w:p>
        </w:tc>
        <w:tc>
          <w:tcPr>
            <w:tcW w:w="920" w:type="dxa"/>
            <w:vAlign w:val="bottom"/>
            <w:tcBorders>
              <w:bottom w:val="single" w:sz="8" w:color="auto"/>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555.2</w:t>
            </w:r>
          </w:p>
        </w:tc>
        <w:tc>
          <w:tcPr>
            <w:tcW w:w="140" w:type="dxa"/>
            <w:vAlign w:val="bottom"/>
            <w:tcBorders>
              <w:bottom w:val="single" w:sz="8" w:color="CFF0FC"/>
              <w:right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right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left w:val="single" w:sz="8" w:color="CFF0FC"/>
              <w:bottom w:val="single" w:sz="8" w:color="auto"/>
            </w:tcBorders>
            <w:shd w:val="clear" w:color="auto" w:fill="CFF0FC"/>
          </w:tcPr>
          <w:p>
            <w:pPr>
              <w:spacing w:after="0"/>
              <w:rPr>
                <w:sz w:val="17"/>
                <w:szCs w:val="17"/>
                <w:color w:val="auto"/>
              </w:rPr>
            </w:pPr>
          </w:p>
        </w:tc>
        <w:tc>
          <w:tcPr>
            <w:tcW w:w="880" w:type="dxa"/>
            <w:vAlign w:val="bottom"/>
            <w:tcBorders>
              <w:bottom w:val="single" w:sz="8" w:color="auto"/>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508.8</w:t>
            </w:r>
          </w:p>
        </w:tc>
        <w:tc>
          <w:tcPr>
            <w:tcW w:w="120" w:type="dxa"/>
            <w:vAlign w:val="bottom"/>
            <w:tcBorders>
              <w:bottom w:val="single" w:sz="8" w:color="CFF0FC"/>
              <w:right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20" w:type="dxa"/>
            <w:vAlign w:val="bottom"/>
            <w:gridSpan w:val="2"/>
          </w:tcPr>
          <w:p>
            <w:pPr>
              <w:ind w:left="200"/>
              <w:spacing w:after="0" w:line="196" w:lineRule="exact"/>
              <w:rPr>
                <w:sz w:val="20"/>
                <w:szCs w:val="20"/>
                <w:color w:val="auto"/>
              </w:rPr>
            </w:pPr>
            <w:r>
              <w:rPr>
                <w:rFonts w:ascii="Arial" w:cs="Arial" w:eastAsia="Arial" w:hAnsi="Arial"/>
                <w:sz w:val="18"/>
                <w:szCs w:val="18"/>
                <w:color w:val="auto"/>
              </w:rPr>
              <w:t>Total cost of sales</w:t>
            </w:r>
          </w:p>
        </w:tc>
        <w:tc>
          <w:tcPr>
            <w:tcW w:w="52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642.5</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63.5 %</w:t>
            </w:r>
          </w:p>
        </w:tc>
        <w:tc>
          <w:tcPr>
            <w:tcW w:w="52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594.5</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gridSpan w:val="3"/>
          </w:tcPr>
          <w:p>
            <w:pPr>
              <w:jc w:val="right"/>
              <w:ind w:right="50"/>
              <w:spacing w:after="0" w:line="196" w:lineRule="exact"/>
              <w:rPr>
                <w:sz w:val="20"/>
                <w:szCs w:val="20"/>
                <w:color w:val="auto"/>
              </w:rPr>
            </w:pPr>
            <w:r>
              <w:rPr>
                <w:rFonts w:ascii="Arial" w:cs="Arial" w:eastAsia="Arial" w:hAnsi="Arial"/>
                <w:sz w:val="18"/>
                <w:szCs w:val="18"/>
                <w:color w:val="auto"/>
              </w:rPr>
              <w:t>60.4 %</w:t>
            </w:r>
          </w:p>
        </w:tc>
        <w:tc>
          <w:tcPr>
            <w:tcW w:w="0" w:type="dxa"/>
            <w:vAlign w:val="bottom"/>
          </w:tcPr>
          <w:p>
            <w:pPr>
              <w:spacing w:after="0"/>
              <w:rPr>
                <w:sz w:val="1"/>
                <w:szCs w:val="1"/>
                <w:color w:val="auto"/>
              </w:rPr>
            </w:pPr>
          </w:p>
        </w:tc>
      </w:tr>
      <w:tr>
        <w:trPr>
          <w:trHeight w:val="196"/>
        </w:trPr>
        <w:tc>
          <w:tcPr>
            <w:tcW w:w="5520" w:type="dxa"/>
            <w:vAlign w:val="bottom"/>
            <w:tcBorders>
              <w:bottom w:val="single" w:sz="8" w:color="CFF0FC"/>
            </w:tcBorders>
            <w:gridSpan w:val="2"/>
            <w:shd w:val="clear" w:color="auto" w:fill="CFF0FC"/>
          </w:tcPr>
          <w:p>
            <w:pPr>
              <w:ind w:left="200"/>
              <w:spacing w:after="0" w:line="196" w:lineRule="exact"/>
              <w:rPr>
                <w:sz w:val="20"/>
                <w:szCs w:val="20"/>
                <w:color w:val="auto"/>
              </w:rPr>
            </w:pPr>
            <w:r>
              <w:rPr>
                <w:rFonts w:ascii="Arial" w:cs="Arial" w:eastAsia="Arial" w:hAnsi="Arial"/>
                <w:sz w:val="18"/>
                <w:szCs w:val="18"/>
                <w:color w:val="auto"/>
              </w:rPr>
              <w:t>Operating margin</w:t>
            </w:r>
          </w:p>
        </w:tc>
        <w:tc>
          <w:tcPr>
            <w:tcW w:w="520" w:type="dxa"/>
            <w:vAlign w:val="bottom"/>
            <w:tcBorders>
              <w:top w:val="single" w:sz="8" w:color="auto"/>
              <w:left w:val="single" w:sz="8" w:color="CFF0FC"/>
              <w:bottom w:val="single" w:sz="8" w:color="auto"/>
            </w:tcBorders>
            <w:shd w:val="clear" w:color="auto" w:fill="CFF0FC"/>
          </w:tcPr>
          <w:p>
            <w:pPr>
              <w:spacing w:after="0"/>
              <w:rPr>
                <w:sz w:val="17"/>
                <w:szCs w:val="17"/>
                <w:color w:val="auto"/>
              </w:rPr>
            </w:pPr>
          </w:p>
        </w:tc>
        <w:tc>
          <w:tcPr>
            <w:tcW w:w="920" w:type="dxa"/>
            <w:vAlign w:val="bottom"/>
            <w:tcBorders>
              <w:top w:val="single" w:sz="8" w:color="auto"/>
              <w:bottom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368.6</w:t>
            </w:r>
          </w:p>
        </w:tc>
        <w:tc>
          <w:tcPr>
            <w:tcW w:w="140" w:type="dxa"/>
            <w:vAlign w:val="bottom"/>
            <w:tcBorders>
              <w:bottom w:val="single" w:sz="8" w:color="CFF0FC"/>
              <w:right w:val="single" w:sz="8" w:color="CFF0FC"/>
            </w:tcBorders>
            <w:shd w:val="clear" w:color="auto" w:fill="CFF0FC"/>
          </w:tcPr>
          <w:p>
            <w:pPr>
              <w:spacing w:after="0"/>
              <w:rPr>
                <w:sz w:val="17"/>
                <w:szCs w:val="17"/>
                <w:color w:val="auto"/>
              </w:rPr>
            </w:pPr>
          </w:p>
        </w:tc>
        <w:tc>
          <w:tcPr>
            <w:tcW w:w="420" w:type="dxa"/>
            <w:vAlign w:val="bottom"/>
            <w:tcBorders>
              <w:top w:val="single" w:sz="8" w:color="auto"/>
              <w:bottom w:val="single" w:sz="8" w:color="auto"/>
            </w:tcBorders>
            <w:shd w:val="clear" w:color="auto" w:fill="CFF0FC"/>
          </w:tcPr>
          <w:p>
            <w:pPr>
              <w:spacing w:after="0"/>
              <w:rPr>
                <w:sz w:val="17"/>
                <w:szCs w:val="17"/>
                <w:color w:val="auto"/>
              </w:rPr>
            </w:pPr>
          </w:p>
        </w:tc>
        <w:tc>
          <w:tcPr>
            <w:tcW w:w="660" w:type="dxa"/>
            <w:vAlign w:val="bottom"/>
            <w:tcBorders>
              <w:top w:val="single" w:sz="8" w:color="auto"/>
              <w:bottom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36.5</w:t>
            </w:r>
          </w:p>
        </w:tc>
        <w:tc>
          <w:tcPr>
            <w:tcW w:w="280" w:type="dxa"/>
            <w:vAlign w:val="bottom"/>
            <w:tcBorders>
              <w:bottom w:val="single" w:sz="8" w:color="CFF0FC"/>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4"/>
              </w:rPr>
              <w:t>%</w:t>
            </w:r>
          </w:p>
        </w:tc>
        <w:tc>
          <w:tcPr>
            <w:tcW w:w="520" w:type="dxa"/>
            <w:vAlign w:val="bottom"/>
            <w:tcBorders>
              <w:top w:val="single" w:sz="8" w:color="auto"/>
              <w:left w:val="single" w:sz="8" w:color="CFF0FC"/>
              <w:bottom w:val="single" w:sz="8" w:color="auto"/>
            </w:tcBorders>
            <w:shd w:val="clear" w:color="auto" w:fill="CFF0FC"/>
          </w:tcPr>
          <w:p>
            <w:pPr>
              <w:spacing w:after="0"/>
              <w:rPr>
                <w:sz w:val="17"/>
                <w:szCs w:val="17"/>
                <w:color w:val="auto"/>
              </w:rPr>
            </w:pPr>
          </w:p>
        </w:tc>
        <w:tc>
          <w:tcPr>
            <w:tcW w:w="880" w:type="dxa"/>
            <w:vAlign w:val="bottom"/>
            <w:tcBorders>
              <w:top w:val="single" w:sz="8" w:color="auto"/>
              <w:bottom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389.2</w:t>
            </w:r>
          </w:p>
        </w:tc>
        <w:tc>
          <w:tcPr>
            <w:tcW w:w="120" w:type="dxa"/>
            <w:vAlign w:val="bottom"/>
            <w:tcBorders>
              <w:bottom w:val="single" w:sz="8" w:color="CFF0FC"/>
              <w:right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spacing w:after="0"/>
              <w:rPr>
                <w:sz w:val="17"/>
                <w:szCs w:val="17"/>
                <w:color w:val="auto"/>
              </w:rPr>
            </w:pPr>
          </w:p>
        </w:tc>
        <w:tc>
          <w:tcPr>
            <w:tcW w:w="5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39.6</w:t>
            </w:r>
          </w:p>
        </w:tc>
        <w:tc>
          <w:tcPr>
            <w:tcW w:w="320" w:type="dxa"/>
            <w:vAlign w:val="bottom"/>
            <w:tcBorders>
              <w:bottom w:val="single" w:sz="8" w:color="CFF0FC"/>
            </w:tcBorders>
            <w:gridSpan w:val="2"/>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6"/>
        </w:trPr>
        <w:tc>
          <w:tcPr>
            <w:tcW w:w="55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General and administrative</w:t>
            </w:r>
          </w:p>
        </w:tc>
        <w:tc>
          <w:tcPr>
            <w:tcW w:w="52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97.5</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9.7 %</w:t>
            </w:r>
          </w:p>
        </w:tc>
        <w:tc>
          <w:tcPr>
            <w:tcW w:w="52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91.3</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gridSpan w:val="3"/>
          </w:tcPr>
          <w:p>
            <w:pPr>
              <w:jc w:val="right"/>
              <w:ind w:right="50"/>
              <w:spacing w:after="0" w:line="196" w:lineRule="exact"/>
              <w:rPr>
                <w:sz w:val="20"/>
                <w:szCs w:val="20"/>
                <w:color w:val="auto"/>
              </w:rPr>
            </w:pPr>
            <w:r>
              <w:rPr>
                <w:rFonts w:ascii="Arial" w:cs="Arial" w:eastAsia="Arial" w:hAnsi="Arial"/>
                <w:sz w:val="18"/>
                <w:szCs w:val="18"/>
                <w:color w:val="auto"/>
              </w:rPr>
              <w:t>9.3 %</w:t>
            </w:r>
          </w:p>
        </w:tc>
        <w:tc>
          <w:tcPr>
            <w:tcW w:w="0" w:type="dxa"/>
            <w:vAlign w:val="bottom"/>
          </w:tcPr>
          <w:p>
            <w:pPr>
              <w:spacing w:after="0"/>
              <w:rPr>
                <w:sz w:val="1"/>
                <w:szCs w:val="1"/>
                <w:color w:val="auto"/>
              </w:rPr>
            </w:pPr>
          </w:p>
        </w:tc>
      </w:tr>
      <w:tr>
        <w:trPr>
          <w:trHeight w:val="203"/>
        </w:trPr>
        <w:tc>
          <w:tcPr>
            <w:tcW w:w="552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U.S. franchise advertising</w:t>
            </w:r>
          </w:p>
        </w:tc>
        <w:tc>
          <w:tcPr>
            <w:tcW w:w="520" w:type="dxa"/>
            <w:vAlign w:val="bottom"/>
            <w:tcBorders>
              <w:left w:val="single" w:sz="8" w:color="CFF0FC"/>
            </w:tcBorders>
            <w:shd w:val="clear" w:color="auto" w:fill="CFF0FC"/>
          </w:tcPr>
          <w:p>
            <w:pPr>
              <w:spacing w:after="0"/>
              <w:rPr>
                <w:sz w:val="17"/>
                <w:szCs w:val="17"/>
                <w:color w:val="auto"/>
              </w:rPr>
            </w:pPr>
          </w:p>
        </w:tc>
        <w:tc>
          <w:tcPr>
            <w:tcW w:w="92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106.6</w:t>
            </w:r>
          </w:p>
        </w:tc>
        <w:tc>
          <w:tcPr>
            <w:tcW w:w="140" w:type="dxa"/>
            <w:vAlign w:val="bottom"/>
            <w:tcBorders>
              <w:right w:val="single" w:sz="8" w:color="CFF0FC"/>
            </w:tcBorders>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10.5 %</w:t>
            </w:r>
          </w:p>
        </w:tc>
        <w:tc>
          <w:tcPr>
            <w:tcW w:w="520" w:type="dxa"/>
            <w:vAlign w:val="bottom"/>
            <w:tcBorders>
              <w:left w:val="single" w:sz="8" w:color="CFF0FC"/>
            </w:tcBorders>
            <w:shd w:val="clear" w:color="auto" w:fill="CFF0FC"/>
          </w:tcPr>
          <w:p>
            <w:pPr>
              <w:spacing w:after="0"/>
              <w:rPr>
                <w:sz w:val="17"/>
                <w:szCs w:val="17"/>
                <w:color w:val="auto"/>
              </w:rPr>
            </w:pPr>
          </w:p>
        </w:tc>
        <w:tc>
          <w:tcPr>
            <w:tcW w:w="88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111.4</w:t>
            </w:r>
          </w:p>
        </w:tc>
        <w:tc>
          <w:tcPr>
            <w:tcW w:w="120" w:type="dxa"/>
            <w:vAlign w:val="bottom"/>
            <w:tcBorders>
              <w:right w:val="single" w:sz="8" w:color="CFF0FC"/>
            </w:tcBorders>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00" w:type="dxa"/>
            <w:vAlign w:val="bottom"/>
            <w:gridSpan w:val="3"/>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11.3 %</w:t>
            </w:r>
          </w:p>
        </w:tc>
        <w:tc>
          <w:tcPr>
            <w:tcW w:w="0" w:type="dxa"/>
            <w:vAlign w:val="bottom"/>
          </w:tcPr>
          <w:p>
            <w:pPr>
              <w:spacing w:after="0"/>
              <w:rPr>
                <w:sz w:val="1"/>
                <w:szCs w:val="1"/>
                <w:color w:val="auto"/>
              </w:rPr>
            </w:pPr>
          </w:p>
        </w:tc>
      </w:tr>
      <w:tr>
        <w:trPr>
          <w:trHeight w:val="20"/>
        </w:trPr>
        <w:tc>
          <w:tcPr>
            <w:tcW w:w="720" w:type="dxa"/>
            <w:vAlign w:val="bottom"/>
            <w:shd w:val="clear" w:color="auto" w:fill="CFF0FC"/>
          </w:tcPr>
          <w:p>
            <w:pPr>
              <w:spacing w:after="0" w:line="20" w:lineRule="exact"/>
              <w:rPr>
                <w:sz w:val="1"/>
                <w:szCs w:val="1"/>
                <w:color w:val="auto"/>
              </w:rPr>
            </w:pPr>
          </w:p>
        </w:tc>
        <w:tc>
          <w:tcPr>
            <w:tcW w:w="4800" w:type="dxa"/>
            <w:vAlign w:val="bottom"/>
            <w:shd w:val="clear" w:color="auto" w:fill="CFF0FC"/>
          </w:tcPr>
          <w:p>
            <w:pPr>
              <w:spacing w:after="0" w:line="20" w:lineRule="exact"/>
              <w:rPr>
                <w:sz w:val="1"/>
                <w:szCs w:val="1"/>
                <w:color w:val="auto"/>
              </w:rPr>
            </w:pPr>
          </w:p>
        </w:tc>
        <w:tc>
          <w:tcPr>
            <w:tcW w:w="520" w:type="dxa"/>
            <w:vAlign w:val="bottom"/>
            <w:tcBorders>
              <w:left w:val="single" w:sz="8" w:color="CFF0FC"/>
            </w:tcBorders>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60" w:type="dxa"/>
            <w:vAlign w:val="bottom"/>
            <w:tcBorders>
              <w:right w:val="single" w:sz="8" w:color="CFF0FC"/>
            </w:tcBorders>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20" w:type="dxa"/>
            <w:vAlign w:val="bottom"/>
            <w:tcBorders>
              <w:left w:val="single" w:sz="8" w:color="CFF0FC"/>
            </w:tcBorders>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20" w:type="dxa"/>
            <w:vAlign w:val="bottom"/>
            <w:gridSpan w:val="2"/>
          </w:tcPr>
          <w:p>
            <w:pPr>
              <w:ind w:left="200"/>
              <w:spacing w:after="0" w:line="196" w:lineRule="exact"/>
              <w:rPr>
                <w:sz w:val="20"/>
                <w:szCs w:val="20"/>
                <w:color w:val="auto"/>
              </w:rPr>
            </w:pPr>
            <w:r>
              <w:rPr>
                <w:rFonts w:ascii="Arial" w:cs="Arial" w:eastAsia="Arial" w:hAnsi="Arial"/>
                <w:sz w:val="18"/>
                <w:szCs w:val="18"/>
                <w:color w:val="auto"/>
              </w:rPr>
              <w:t>Income from operations</w:t>
            </w:r>
          </w:p>
        </w:tc>
        <w:tc>
          <w:tcPr>
            <w:tcW w:w="52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164.5</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16.3 %</w:t>
            </w:r>
          </w:p>
        </w:tc>
        <w:tc>
          <w:tcPr>
            <w:tcW w:w="52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186.5</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gridSpan w:val="3"/>
          </w:tcPr>
          <w:p>
            <w:pPr>
              <w:jc w:val="right"/>
              <w:ind w:right="50"/>
              <w:spacing w:after="0" w:line="196" w:lineRule="exact"/>
              <w:rPr>
                <w:sz w:val="20"/>
                <w:szCs w:val="20"/>
                <w:color w:val="auto"/>
              </w:rPr>
            </w:pPr>
            <w:r>
              <w:rPr>
                <w:rFonts w:ascii="Arial" w:cs="Arial" w:eastAsia="Arial" w:hAnsi="Arial"/>
                <w:sz w:val="18"/>
                <w:szCs w:val="18"/>
                <w:color w:val="auto"/>
              </w:rPr>
              <w:t>19.0 %</w:t>
            </w:r>
          </w:p>
        </w:tc>
        <w:tc>
          <w:tcPr>
            <w:tcW w:w="0" w:type="dxa"/>
            <w:vAlign w:val="bottom"/>
          </w:tcPr>
          <w:p>
            <w:pPr>
              <w:spacing w:after="0"/>
              <w:rPr>
                <w:sz w:val="1"/>
                <w:szCs w:val="1"/>
                <w:color w:val="auto"/>
              </w:rPr>
            </w:pPr>
          </w:p>
        </w:tc>
      </w:tr>
      <w:tr>
        <w:trPr>
          <w:trHeight w:val="203"/>
        </w:trPr>
        <w:tc>
          <w:tcPr>
            <w:tcW w:w="552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Other income</w:t>
            </w:r>
          </w:p>
        </w:tc>
        <w:tc>
          <w:tcPr>
            <w:tcW w:w="520" w:type="dxa"/>
            <w:vAlign w:val="bottom"/>
            <w:tcBorders>
              <w:left w:val="single" w:sz="8" w:color="CFF0FC"/>
            </w:tcBorders>
            <w:shd w:val="clear" w:color="auto" w:fill="CFF0FC"/>
          </w:tcPr>
          <w:p>
            <w:pPr>
              <w:spacing w:after="0"/>
              <w:rPr>
                <w:sz w:val="17"/>
                <w:szCs w:val="17"/>
                <w:color w:val="auto"/>
              </w:rPr>
            </w:pPr>
          </w:p>
        </w:tc>
        <w:tc>
          <w:tcPr>
            <w:tcW w:w="1480" w:type="dxa"/>
            <w:vAlign w:val="bottom"/>
            <w:gridSpan w:val="3"/>
            <w:shd w:val="clear" w:color="auto" w:fill="CFF0FC"/>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0.0 %</w:t>
            </w:r>
          </w:p>
        </w:tc>
        <w:tc>
          <w:tcPr>
            <w:tcW w:w="520" w:type="dxa"/>
            <w:vAlign w:val="bottom"/>
            <w:tcBorders>
              <w:left w:val="single" w:sz="8" w:color="CFF0FC"/>
            </w:tcBorders>
            <w:shd w:val="clear" w:color="auto" w:fill="CFF0FC"/>
          </w:tcPr>
          <w:p>
            <w:pPr>
              <w:spacing w:after="0"/>
              <w:rPr>
                <w:sz w:val="17"/>
                <w:szCs w:val="17"/>
                <w:color w:val="auto"/>
              </w:rPr>
            </w:pPr>
          </w:p>
        </w:tc>
        <w:tc>
          <w:tcPr>
            <w:tcW w:w="88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2.5</w:t>
            </w:r>
          </w:p>
        </w:tc>
        <w:tc>
          <w:tcPr>
            <w:tcW w:w="120" w:type="dxa"/>
            <w:vAlign w:val="bottom"/>
            <w:tcBorders>
              <w:right w:val="single" w:sz="8" w:color="CFF0FC"/>
            </w:tcBorders>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00" w:type="dxa"/>
            <w:vAlign w:val="bottom"/>
            <w:gridSpan w:val="3"/>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02"/>
        </w:trPr>
        <w:tc>
          <w:tcPr>
            <w:tcW w:w="55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Interest expense, net</w:t>
            </w:r>
          </w:p>
        </w:tc>
        <w:tc>
          <w:tcPr>
            <w:tcW w:w="520" w:type="dxa"/>
            <w:vAlign w:val="bottom"/>
          </w:tcPr>
          <w:p>
            <w:pPr>
              <w:spacing w:after="0"/>
              <w:rPr>
                <w:sz w:val="17"/>
                <w:szCs w:val="17"/>
                <w:color w:val="auto"/>
              </w:rPr>
            </w:pP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(46.8 )</w:t>
            </w:r>
          </w:p>
        </w:tc>
        <w:tc>
          <w:tcPr>
            <w:tcW w:w="420" w:type="dxa"/>
            <w:vAlign w:val="bottom"/>
          </w:tcPr>
          <w:p>
            <w:pPr>
              <w:spacing w:after="0"/>
              <w:rPr>
                <w:sz w:val="17"/>
                <w:szCs w:val="17"/>
                <w:color w:val="auto"/>
              </w:rPr>
            </w:pP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(4.7 )%</w:t>
            </w:r>
          </w:p>
        </w:tc>
        <w:tc>
          <w:tcPr>
            <w:tcW w:w="520" w:type="dxa"/>
            <w:vAlign w:val="bottom"/>
          </w:tcPr>
          <w:p>
            <w:pPr>
              <w:spacing w:after="0"/>
              <w:rPr>
                <w:sz w:val="17"/>
                <w:szCs w:val="17"/>
                <w:color w:val="auto"/>
              </w:rPr>
            </w:pPr>
          </w:p>
        </w:tc>
        <w:tc>
          <w:tcPr>
            <w:tcW w:w="1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(39.4 )</w:t>
            </w:r>
          </w:p>
        </w:tc>
        <w:tc>
          <w:tcPr>
            <w:tcW w:w="360" w:type="dxa"/>
            <w:vAlign w:val="bottom"/>
          </w:tcPr>
          <w:p>
            <w:pPr>
              <w:spacing w:after="0"/>
              <w:rPr>
                <w:sz w:val="17"/>
                <w:szCs w:val="17"/>
                <w:color w:val="auto"/>
              </w:rPr>
            </w:pPr>
          </w:p>
        </w:tc>
        <w:tc>
          <w:tcPr>
            <w:tcW w:w="9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196"/>
        </w:trPr>
        <w:tc>
          <w:tcPr>
            <w:tcW w:w="5520" w:type="dxa"/>
            <w:vAlign w:val="bottom"/>
            <w:gridSpan w:val="2"/>
            <w:shd w:val="clear" w:color="auto" w:fill="CFF0FC"/>
          </w:tcPr>
          <w:p>
            <w:pPr>
              <w:ind w:left="200"/>
              <w:spacing w:after="0" w:line="196" w:lineRule="exact"/>
              <w:rPr>
                <w:sz w:val="20"/>
                <w:szCs w:val="20"/>
                <w:color w:val="auto"/>
              </w:rPr>
            </w:pPr>
            <w:r>
              <w:rPr>
                <w:rFonts w:ascii="Arial" w:cs="Arial" w:eastAsia="Arial" w:hAnsi="Arial"/>
                <w:sz w:val="18"/>
                <w:szCs w:val="18"/>
                <w:color w:val="auto"/>
              </w:rPr>
              <w:t>Income before provision for income taxes</w:t>
            </w:r>
          </w:p>
        </w:tc>
        <w:tc>
          <w:tcPr>
            <w:tcW w:w="520" w:type="dxa"/>
            <w:vAlign w:val="bottom"/>
            <w:tcBorders>
              <w:top w:val="single" w:sz="8" w:color="auto"/>
              <w:left w:val="single" w:sz="8" w:color="CFF0FC"/>
            </w:tcBorders>
            <w:shd w:val="clear" w:color="auto" w:fill="CFF0FC"/>
          </w:tcPr>
          <w:p>
            <w:pPr>
              <w:spacing w:after="0"/>
              <w:rPr>
                <w:sz w:val="17"/>
                <w:szCs w:val="17"/>
                <w:color w:val="auto"/>
              </w:rPr>
            </w:pPr>
          </w:p>
        </w:tc>
        <w:tc>
          <w:tcPr>
            <w:tcW w:w="920" w:type="dxa"/>
            <w:vAlign w:val="bottom"/>
            <w:tcBorders>
              <w:top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117.7</w:t>
            </w:r>
          </w:p>
        </w:tc>
        <w:tc>
          <w:tcPr>
            <w:tcW w:w="140" w:type="dxa"/>
            <w:vAlign w:val="bottom"/>
            <w:tcBorders>
              <w:right w:val="single" w:sz="8" w:color="CFF0FC"/>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11.6</w:t>
            </w:r>
          </w:p>
        </w:tc>
        <w:tc>
          <w:tcPr>
            <w:tcW w:w="28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4"/>
              </w:rPr>
              <w:t>%</w:t>
            </w:r>
          </w:p>
        </w:tc>
        <w:tc>
          <w:tcPr>
            <w:tcW w:w="520" w:type="dxa"/>
            <w:vAlign w:val="bottom"/>
            <w:tcBorders>
              <w:top w:val="single" w:sz="8" w:color="auto"/>
              <w:left w:val="single" w:sz="8" w:color="CFF0FC"/>
            </w:tcBorders>
            <w:shd w:val="clear" w:color="auto" w:fill="CFF0FC"/>
          </w:tcPr>
          <w:p>
            <w:pPr>
              <w:spacing w:after="0"/>
              <w:rPr>
                <w:sz w:val="17"/>
                <w:szCs w:val="17"/>
                <w:color w:val="auto"/>
              </w:rPr>
            </w:pPr>
          </w:p>
        </w:tc>
        <w:tc>
          <w:tcPr>
            <w:tcW w:w="880" w:type="dxa"/>
            <w:vAlign w:val="bottom"/>
            <w:tcBorders>
              <w:top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149.6</w:t>
            </w:r>
          </w:p>
        </w:tc>
        <w:tc>
          <w:tcPr>
            <w:tcW w:w="120" w:type="dxa"/>
            <w:vAlign w:val="bottom"/>
            <w:tcBorders>
              <w:right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15.2</w:t>
            </w:r>
          </w:p>
        </w:tc>
        <w:tc>
          <w:tcPr>
            <w:tcW w:w="320" w:type="dxa"/>
            <w:vAlign w:val="bottom"/>
            <w:gridSpan w:val="2"/>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55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5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26.8</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2.6 %</w:t>
            </w:r>
          </w:p>
        </w:tc>
        <w:tc>
          <w:tcPr>
            <w:tcW w:w="5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31.9</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gridSpan w:val="3"/>
          </w:tcPr>
          <w:p>
            <w:pPr>
              <w:jc w:val="right"/>
              <w:ind w:right="50"/>
              <w:spacing w:after="0" w:line="202" w:lineRule="exact"/>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36"/>
        </w:trPr>
        <w:tc>
          <w:tcPr>
            <w:tcW w:w="5520" w:type="dxa"/>
            <w:vAlign w:val="bottom"/>
            <w:tcBorders>
              <w:bottom w:val="single" w:sz="8" w:color="CFF0FC"/>
            </w:tcBorders>
            <w:gridSpan w:val="2"/>
            <w:shd w:val="clear" w:color="auto" w:fill="CFF0FC"/>
          </w:tcPr>
          <w:p>
            <w:pPr>
              <w:ind w:left="200"/>
              <w:spacing w:after="0" w:line="196" w:lineRule="exact"/>
              <w:rPr>
                <w:sz w:val="20"/>
                <w:szCs w:val="20"/>
                <w:color w:val="auto"/>
              </w:rPr>
            </w:pPr>
            <w:r>
              <w:rPr>
                <w:rFonts w:ascii="Arial" w:cs="Arial" w:eastAsia="Arial" w:hAnsi="Arial"/>
                <w:sz w:val="18"/>
                <w:szCs w:val="18"/>
                <w:color w:val="auto"/>
              </w:rPr>
              <w:t>Net income</w:t>
            </w:r>
          </w:p>
        </w:tc>
        <w:tc>
          <w:tcPr>
            <w:tcW w:w="520" w:type="dxa"/>
            <w:vAlign w:val="bottom"/>
            <w:tcBorders>
              <w:top w:val="single" w:sz="8" w:color="auto"/>
              <w:left w:val="single" w:sz="8" w:color="CFF0FC"/>
              <w:bottom w:val="single" w:sz="8" w:color="auto"/>
            </w:tcBorders>
            <w:shd w:val="clear" w:color="auto" w:fill="CFF0FC"/>
          </w:tcPr>
          <w:p>
            <w:pPr>
              <w:jc w:val="right"/>
              <w:ind w:right="270"/>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91.0</w:t>
            </w:r>
          </w:p>
        </w:tc>
        <w:tc>
          <w:tcPr>
            <w:tcW w:w="140" w:type="dxa"/>
            <w:vAlign w:val="bottom"/>
            <w:tcBorders>
              <w:bottom w:val="single" w:sz="8" w:color="CFF0FC"/>
              <w:right w:val="single" w:sz="8" w:color="CFF0FC"/>
            </w:tcBorders>
            <w:shd w:val="clear" w:color="auto" w:fill="CFF0FC"/>
          </w:tcPr>
          <w:p>
            <w:pPr>
              <w:spacing w:after="0"/>
              <w:rPr>
                <w:sz w:val="20"/>
                <w:szCs w:val="20"/>
                <w:color w:val="auto"/>
              </w:rPr>
            </w:pPr>
          </w:p>
        </w:tc>
        <w:tc>
          <w:tcPr>
            <w:tcW w:w="420" w:type="dxa"/>
            <w:vAlign w:val="bottom"/>
            <w:tcBorders>
              <w:top w:val="single" w:sz="8" w:color="auto"/>
              <w:bottom w:val="single" w:sz="8" w:color="auto"/>
            </w:tcBorders>
            <w:shd w:val="clear" w:color="auto" w:fill="CFF0FC"/>
          </w:tcPr>
          <w:p>
            <w:pPr>
              <w:spacing w:after="0"/>
              <w:rPr>
                <w:sz w:val="20"/>
                <w:szCs w:val="20"/>
                <w:color w:val="auto"/>
              </w:rPr>
            </w:pPr>
          </w:p>
        </w:tc>
        <w:tc>
          <w:tcPr>
            <w:tcW w:w="660" w:type="dxa"/>
            <w:vAlign w:val="bottom"/>
            <w:tcBorders>
              <w:top w:val="single" w:sz="8" w:color="auto"/>
              <w:bottom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9.0</w:t>
            </w:r>
          </w:p>
        </w:tc>
        <w:tc>
          <w:tcPr>
            <w:tcW w:w="280" w:type="dxa"/>
            <w:vAlign w:val="bottom"/>
            <w:tcBorders>
              <w:bottom w:val="single" w:sz="8" w:color="CFF0FC"/>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4"/>
              </w:rPr>
              <w:t>%</w:t>
            </w:r>
          </w:p>
        </w:tc>
        <w:tc>
          <w:tcPr>
            <w:tcW w:w="520" w:type="dxa"/>
            <w:vAlign w:val="bottom"/>
            <w:tcBorders>
              <w:top w:val="single" w:sz="8" w:color="auto"/>
              <w:left w:val="single" w:sz="8" w:color="CFF0FC"/>
              <w:bottom w:val="single" w:sz="8" w:color="auto"/>
            </w:tcBorders>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117.8</w:t>
            </w:r>
          </w:p>
        </w:tc>
        <w:tc>
          <w:tcPr>
            <w:tcW w:w="120" w:type="dxa"/>
            <w:vAlign w:val="bottom"/>
            <w:tcBorders>
              <w:bottom w:val="single" w:sz="8" w:color="CFF0FC"/>
              <w:right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5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12.0</w:t>
            </w:r>
          </w:p>
        </w:tc>
        <w:tc>
          <w:tcPr>
            <w:tcW w:w="320" w:type="dxa"/>
            <w:vAlign w:val="bottom"/>
            <w:tcBorders>
              <w:bottom w:val="single" w:sz="8" w:color="CFF0FC"/>
            </w:tcBorders>
            <w:gridSpan w:val="2"/>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18"/>
        </w:trPr>
        <w:tc>
          <w:tcPr>
            <w:tcW w:w="55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Revenues</w:t>
            </w: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720" w:type="dxa"/>
            <w:vAlign w:val="bottom"/>
            <w:tcBorders>
              <w:top w:val="single" w:sz="8" w:color="auto"/>
            </w:tcBorders>
          </w:tcPr>
          <w:p>
            <w:pPr>
              <w:spacing w:after="0"/>
              <w:rPr>
                <w:sz w:val="24"/>
                <w:szCs w:val="24"/>
                <w:color w:val="auto"/>
              </w:rPr>
            </w:pPr>
          </w:p>
        </w:tc>
        <w:tc>
          <w:tcPr>
            <w:tcW w:w="4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80" w:type="dxa"/>
            <w:vAlign w:val="bottom"/>
            <w:gridSpan w:val="3"/>
          </w:tcPr>
          <w:p>
            <w:pPr>
              <w:jc w:val="center"/>
              <w:ind w:left="33"/>
              <w:spacing w:after="0"/>
              <w:rPr>
                <w:sz w:val="20"/>
                <w:szCs w:val="20"/>
                <w:color w:val="auto"/>
              </w:rPr>
            </w:pPr>
            <w:r>
              <w:rPr>
                <w:rFonts w:ascii="Arial" w:cs="Arial" w:eastAsia="Arial" w:hAnsi="Arial"/>
                <w:sz w:val="14"/>
                <w:szCs w:val="14"/>
                <w:b w:val="1"/>
                <w:bCs w:val="1"/>
                <w:color w:val="auto"/>
                <w:w w:val="99"/>
              </w:rPr>
              <w:t>First Quarter</w:t>
            </w: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60" w:type="dxa"/>
            <w:vAlign w:val="bottom"/>
            <w:gridSpan w:val="3"/>
          </w:tcPr>
          <w:p>
            <w:pPr>
              <w:jc w:val="center"/>
              <w:ind w:left="73"/>
              <w:spacing w:after="0"/>
              <w:rPr>
                <w:sz w:val="20"/>
                <w:szCs w:val="20"/>
                <w:color w:val="auto"/>
              </w:rPr>
            </w:pPr>
            <w:r>
              <w:rPr>
                <w:rFonts w:ascii="Arial" w:cs="Arial" w:eastAsia="Arial" w:hAnsi="Arial"/>
                <w:sz w:val="14"/>
                <w:szCs w:val="14"/>
                <w:b w:val="1"/>
                <w:bCs w:val="1"/>
                <w:color w:val="auto"/>
                <w:w w:val="99"/>
              </w:rPr>
              <w:t>First Quarter</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72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33"/>
              <w:spacing w:after="0"/>
              <w:rPr>
                <w:sz w:val="20"/>
                <w:szCs w:val="20"/>
                <w:color w:val="auto"/>
              </w:rPr>
            </w:pPr>
            <w:r>
              <w:rPr>
                <w:rFonts w:ascii="Arial" w:cs="Arial" w:eastAsia="Arial" w:hAnsi="Arial"/>
                <w:sz w:val="14"/>
                <w:szCs w:val="14"/>
                <w:b w:val="1"/>
                <w:bCs w:val="1"/>
                <w:color w:val="auto"/>
                <w:w w:val="91"/>
              </w:rPr>
              <w:t>of 2022</w:t>
            </w:r>
          </w:p>
        </w:tc>
        <w:tc>
          <w:tcPr>
            <w:tcW w:w="6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left="73"/>
              <w:spacing w:after="0"/>
              <w:rPr>
                <w:sz w:val="20"/>
                <w:szCs w:val="20"/>
                <w:color w:val="auto"/>
              </w:rPr>
            </w:pPr>
            <w:r>
              <w:rPr>
                <w:rFonts w:ascii="Arial" w:cs="Arial" w:eastAsia="Arial" w:hAnsi="Arial"/>
                <w:sz w:val="14"/>
                <w:szCs w:val="14"/>
                <w:b w:val="1"/>
                <w:bCs w:val="1"/>
                <w:color w:val="auto"/>
                <w:w w:val="91"/>
              </w:rPr>
              <w:t>of 2021</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52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U.S. Company-owned stores</w:t>
            </w:r>
          </w:p>
        </w:tc>
        <w:tc>
          <w:tcPr>
            <w:tcW w:w="520" w:type="dxa"/>
            <w:vAlign w:val="bottom"/>
            <w:tcBorders>
              <w:left w:val="single" w:sz="8" w:color="CFF0FC"/>
            </w:tcBorders>
            <w:shd w:val="clear" w:color="auto" w:fill="CFF0FC"/>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103.9</w:t>
            </w:r>
          </w:p>
        </w:tc>
        <w:tc>
          <w:tcPr>
            <w:tcW w:w="140" w:type="dxa"/>
            <w:vAlign w:val="bottom"/>
            <w:tcBorders>
              <w:right w:val="single" w:sz="8" w:color="CFF0FC"/>
            </w:tcBorders>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660" w:type="dxa"/>
            <w:vAlign w:val="bottom"/>
            <w:tcBorders>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10.3</w:t>
            </w:r>
          </w:p>
        </w:tc>
        <w:tc>
          <w:tcPr>
            <w:tcW w:w="28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87"/>
              </w:rPr>
              <w:t>%</w:t>
            </w:r>
          </w:p>
        </w:tc>
        <w:tc>
          <w:tcPr>
            <w:tcW w:w="520" w:type="dxa"/>
            <w:vAlign w:val="bottom"/>
            <w:tcBorders>
              <w:left w:val="single" w:sz="8" w:color="CFF0FC"/>
            </w:tcBorders>
            <w:shd w:val="clear" w:color="auto" w:fill="CFF0FC"/>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112.7</w:t>
            </w:r>
          </w:p>
        </w:tc>
        <w:tc>
          <w:tcPr>
            <w:tcW w:w="120" w:type="dxa"/>
            <w:vAlign w:val="bottom"/>
            <w:tcBorders>
              <w:right w:val="single" w:sz="8" w:color="CFF0FC"/>
            </w:tcBorders>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11.4</w:t>
            </w:r>
          </w:p>
        </w:tc>
        <w:tc>
          <w:tcPr>
            <w:tcW w:w="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55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U.S. franchise royalties and fees</w:t>
            </w:r>
          </w:p>
        </w:tc>
        <w:tc>
          <w:tcPr>
            <w:tcW w:w="5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122.3</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12.1 %</w:t>
            </w:r>
          </w:p>
        </w:tc>
        <w:tc>
          <w:tcPr>
            <w:tcW w:w="5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124.5</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12.7 %</w:t>
            </w:r>
          </w:p>
        </w:tc>
        <w:tc>
          <w:tcPr>
            <w:tcW w:w="0" w:type="dxa"/>
            <w:vAlign w:val="bottom"/>
          </w:tcPr>
          <w:p>
            <w:pPr>
              <w:spacing w:after="0"/>
              <w:rPr>
                <w:sz w:val="1"/>
                <w:szCs w:val="1"/>
                <w:color w:val="auto"/>
              </w:rPr>
            </w:pPr>
          </w:p>
        </w:tc>
      </w:tr>
      <w:tr>
        <w:trPr>
          <w:trHeight w:val="203"/>
        </w:trPr>
        <w:tc>
          <w:tcPr>
            <w:tcW w:w="552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Supply chain</w:t>
            </w:r>
          </w:p>
        </w:tc>
        <w:tc>
          <w:tcPr>
            <w:tcW w:w="520" w:type="dxa"/>
            <w:vAlign w:val="bottom"/>
            <w:tcBorders>
              <w:left w:val="single" w:sz="8" w:color="CFF0FC"/>
            </w:tcBorders>
            <w:shd w:val="clear" w:color="auto" w:fill="CFF0FC"/>
          </w:tcPr>
          <w:p>
            <w:pPr>
              <w:spacing w:after="0"/>
              <w:rPr>
                <w:sz w:val="17"/>
                <w:szCs w:val="17"/>
                <w:color w:val="auto"/>
              </w:rPr>
            </w:pPr>
          </w:p>
        </w:tc>
        <w:tc>
          <w:tcPr>
            <w:tcW w:w="92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609.5</w:t>
            </w:r>
          </w:p>
        </w:tc>
        <w:tc>
          <w:tcPr>
            <w:tcW w:w="140" w:type="dxa"/>
            <w:vAlign w:val="bottom"/>
            <w:tcBorders>
              <w:right w:val="single" w:sz="8" w:color="CFF0FC"/>
            </w:tcBorders>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60.3 %</w:t>
            </w:r>
          </w:p>
        </w:tc>
        <w:tc>
          <w:tcPr>
            <w:tcW w:w="520" w:type="dxa"/>
            <w:vAlign w:val="bottom"/>
            <w:tcBorders>
              <w:left w:val="single" w:sz="8" w:color="CFF0FC"/>
            </w:tcBorders>
            <w:shd w:val="clear" w:color="auto" w:fill="CFF0FC"/>
          </w:tcPr>
          <w:p>
            <w:pPr>
              <w:spacing w:after="0"/>
              <w:rPr>
                <w:sz w:val="17"/>
                <w:szCs w:val="17"/>
                <w:color w:val="auto"/>
              </w:rPr>
            </w:pPr>
          </w:p>
        </w:tc>
        <w:tc>
          <w:tcPr>
            <w:tcW w:w="88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568.3</w:t>
            </w:r>
          </w:p>
        </w:tc>
        <w:tc>
          <w:tcPr>
            <w:tcW w:w="120" w:type="dxa"/>
            <w:vAlign w:val="bottom"/>
            <w:tcBorders>
              <w:right w:val="single" w:sz="8" w:color="CFF0FC"/>
            </w:tcBorders>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0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57.8 %</w:t>
            </w:r>
          </w:p>
        </w:tc>
        <w:tc>
          <w:tcPr>
            <w:tcW w:w="0" w:type="dxa"/>
            <w:vAlign w:val="bottom"/>
          </w:tcPr>
          <w:p>
            <w:pPr>
              <w:spacing w:after="0"/>
              <w:rPr>
                <w:sz w:val="1"/>
                <w:szCs w:val="1"/>
                <w:color w:val="auto"/>
              </w:rPr>
            </w:pPr>
          </w:p>
        </w:tc>
      </w:tr>
      <w:tr>
        <w:trPr>
          <w:trHeight w:val="203"/>
        </w:trPr>
        <w:tc>
          <w:tcPr>
            <w:tcW w:w="55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International franchise royalties and fees</w:t>
            </w:r>
          </w:p>
        </w:tc>
        <w:tc>
          <w:tcPr>
            <w:tcW w:w="5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68.8</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6.8 %</w:t>
            </w:r>
          </w:p>
        </w:tc>
        <w:tc>
          <w:tcPr>
            <w:tcW w:w="5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66.8</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203"/>
        </w:trPr>
        <w:tc>
          <w:tcPr>
            <w:tcW w:w="552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U.S. franchise advertising</w:t>
            </w:r>
          </w:p>
        </w:tc>
        <w:tc>
          <w:tcPr>
            <w:tcW w:w="520" w:type="dxa"/>
            <w:vAlign w:val="bottom"/>
            <w:tcBorders>
              <w:left w:val="single" w:sz="8" w:color="CFF0FC"/>
            </w:tcBorders>
            <w:shd w:val="clear" w:color="auto" w:fill="CFF0FC"/>
          </w:tcPr>
          <w:p>
            <w:pPr>
              <w:spacing w:after="0"/>
              <w:rPr>
                <w:sz w:val="17"/>
                <w:szCs w:val="17"/>
                <w:color w:val="auto"/>
              </w:rPr>
            </w:pPr>
          </w:p>
        </w:tc>
        <w:tc>
          <w:tcPr>
            <w:tcW w:w="92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106.6</w:t>
            </w:r>
          </w:p>
        </w:tc>
        <w:tc>
          <w:tcPr>
            <w:tcW w:w="140" w:type="dxa"/>
            <w:vAlign w:val="bottom"/>
            <w:tcBorders>
              <w:right w:val="single" w:sz="8" w:color="CFF0FC"/>
            </w:tcBorders>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10.5 %</w:t>
            </w:r>
          </w:p>
        </w:tc>
        <w:tc>
          <w:tcPr>
            <w:tcW w:w="520" w:type="dxa"/>
            <w:vAlign w:val="bottom"/>
            <w:tcBorders>
              <w:left w:val="single" w:sz="8" w:color="CFF0FC"/>
            </w:tcBorders>
            <w:shd w:val="clear" w:color="auto" w:fill="CFF0FC"/>
          </w:tcPr>
          <w:p>
            <w:pPr>
              <w:spacing w:after="0"/>
              <w:rPr>
                <w:sz w:val="17"/>
                <w:szCs w:val="17"/>
                <w:color w:val="auto"/>
              </w:rPr>
            </w:pPr>
          </w:p>
        </w:tc>
        <w:tc>
          <w:tcPr>
            <w:tcW w:w="88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111.4</w:t>
            </w:r>
          </w:p>
        </w:tc>
        <w:tc>
          <w:tcPr>
            <w:tcW w:w="120" w:type="dxa"/>
            <w:vAlign w:val="bottom"/>
            <w:tcBorders>
              <w:right w:val="single" w:sz="8" w:color="CFF0FC"/>
            </w:tcBorders>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0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11.3 %</w:t>
            </w:r>
          </w:p>
        </w:tc>
        <w:tc>
          <w:tcPr>
            <w:tcW w:w="0" w:type="dxa"/>
            <w:vAlign w:val="bottom"/>
          </w:tcPr>
          <w:p>
            <w:pPr>
              <w:spacing w:after="0"/>
              <w:rPr>
                <w:sz w:val="1"/>
                <w:szCs w:val="1"/>
                <w:color w:val="auto"/>
              </w:rPr>
            </w:pPr>
          </w:p>
        </w:tc>
      </w:tr>
      <w:tr>
        <w:trPr>
          <w:trHeight w:val="20"/>
        </w:trPr>
        <w:tc>
          <w:tcPr>
            <w:tcW w:w="720" w:type="dxa"/>
            <w:vAlign w:val="bottom"/>
            <w:shd w:val="clear" w:color="auto" w:fill="CFF0FC"/>
          </w:tcPr>
          <w:p>
            <w:pPr>
              <w:spacing w:after="0" w:line="20" w:lineRule="exact"/>
              <w:rPr>
                <w:sz w:val="1"/>
                <w:szCs w:val="1"/>
                <w:color w:val="auto"/>
              </w:rPr>
            </w:pPr>
          </w:p>
        </w:tc>
        <w:tc>
          <w:tcPr>
            <w:tcW w:w="4800" w:type="dxa"/>
            <w:vAlign w:val="bottom"/>
            <w:shd w:val="clear" w:color="auto" w:fill="CFF0FC"/>
          </w:tcPr>
          <w:p>
            <w:pPr>
              <w:spacing w:after="0" w:line="20" w:lineRule="exact"/>
              <w:rPr>
                <w:sz w:val="1"/>
                <w:szCs w:val="1"/>
                <w:color w:val="auto"/>
              </w:rPr>
            </w:pPr>
          </w:p>
        </w:tc>
        <w:tc>
          <w:tcPr>
            <w:tcW w:w="520" w:type="dxa"/>
            <w:vAlign w:val="bottom"/>
            <w:tcBorders>
              <w:left w:val="single" w:sz="8" w:color="auto"/>
            </w:tcBorders>
            <w:shd w:val="clear" w:color="auto" w:fill="000000"/>
          </w:tcPr>
          <w:p>
            <w:pPr>
              <w:spacing w:after="0" w:line="20" w:lineRule="exact"/>
              <w:rPr>
                <w:sz w:val="1"/>
                <w:szCs w:val="1"/>
                <w:color w:val="auto"/>
              </w:rPr>
            </w:pPr>
          </w:p>
        </w:tc>
        <w:tc>
          <w:tcPr>
            <w:tcW w:w="920" w:type="dxa"/>
            <w:vAlign w:val="bottom"/>
            <w:tcBorders>
              <w:right w:val="single" w:sz="8" w:color="CFF0FC"/>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20" w:type="dxa"/>
            <w:vAlign w:val="bottom"/>
            <w:tcBorders>
              <w:left w:val="single" w:sz="8" w:color="auto"/>
            </w:tcBorders>
            <w:shd w:val="clear" w:color="auto" w:fill="000000"/>
          </w:tcPr>
          <w:p>
            <w:pPr>
              <w:spacing w:after="0" w:line="20" w:lineRule="exact"/>
              <w:rPr>
                <w:sz w:val="1"/>
                <w:szCs w:val="1"/>
                <w:color w:val="auto"/>
              </w:rPr>
            </w:pPr>
          </w:p>
        </w:tc>
        <w:tc>
          <w:tcPr>
            <w:tcW w:w="88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20" w:type="dxa"/>
            <w:vAlign w:val="bottom"/>
            <w:gridSpan w:val="2"/>
          </w:tcPr>
          <w:p>
            <w:pPr>
              <w:ind w:left="200"/>
              <w:spacing w:after="0" w:line="196" w:lineRule="exact"/>
              <w:rPr>
                <w:sz w:val="20"/>
                <w:szCs w:val="20"/>
                <w:color w:val="auto"/>
              </w:rPr>
            </w:pPr>
            <w:r>
              <w:rPr>
                <w:rFonts w:ascii="Arial" w:cs="Arial" w:eastAsia="Arial" w:hAnsi="Arial"/>
                <w:sz w:val="18"/>
                <w:szCs w:val="18"/>
                <w:color w:val="auto"/>
              </w:rPr>
              <w:t>Total revenues</w:t>
            </w:r>
          </w:p>
        </w:tc>
        <w:tc>
          <w:tcPr>
            <w:tcW w:w="520" w:type="dxa"/>
            <w:vAlign w:val="bottom"/>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1,011.1</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100.0 %</w:t>
            </w:r>
          </w:p>
        </w:tc>
        <w:tc>
          <w:tcPr>
            <w:tcW w:w="520" w:type="dxa"/>
            <w:vAlign w:val="bottom"/>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983.7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-2739390</wp:posOffset>
            </wp:positionV>
            <wp:extent cx="60325"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-2739390</wp:posOffset>
            </wp:positionV>
            <wp:extent cx="205740"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-2739390</wp:posOffset>
            </wp:positionV>
            <wp:extent cx="51435"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-2739390</wp:posOffset>
            </wp:positionV>
            <wp:extent cx="197485"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97485" cy="571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-2465070</wp:posOffset>
            </wp:positionV>
            <wp:extent cx="60325"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-2465070</wp:posOffset>
            </wp:positionV>
            <wp:extent cx="205740"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-2465070</wp:posOffset>
            </wp:positionV>
            <wp:extent cx="51435"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-2465070</wp:posOffset>
            </wp:positionV>
            <wp:extent cx="197485"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97485" cy="571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-2199640</wp:posOffset>
            </wp:positionV>
            <wp:extent cx="60325"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-2199640</wp:posOffset>
            </wp:positionV>
            <wp:extent cx="205740"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-2199640</wp:posOffset>
            </wp:positionV>
            <wp:extent cx="51435"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-2199640</wp:posOffset>
            </wp:positionV>
            <wp:extent cx="197485"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97485" cy="571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-1405255</wp:posOffset>
            </wp:positionV>
            <wp:extent cx="6032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-1388110</wp:posOffset>
            </wp:positionV>
            <wp:extent cx="603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-1405255</wp:posOffset>
            </wp:positionV>
            <wp:extent cx="20574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-1388110</wp:posOffset>
            </wp:positionV>
            <wp:extent cx="20574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-1405255</wp:posOffset>
            </wp:positionV>
            <wp:extent cx="5143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-1388110</wp:posOffset>
            </wp:positionV>
            <wp:extent cx="514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-1405255</wp:posOffset>
            </wp:positionV>
            <wp:extent cx="19748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-1388110</wp:posOffset>
            </wp:positionV>
            <wp:extent cx="19748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9748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-159385</wp:posOffset>
            </wp:positionV>
            <wp:extent cx="43180"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-159385</wp:posOffset>
            </wp:positionV>
            <wp:extent cx="145415"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-159385</wp:posOffset>
            </wp:positionV>
            <wp:extent cx="34290"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-159385</wp:posOffset>
            </wp:positionV>
            <wp:extent cx="137160"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37160" cy="5715"/>
                    </a:xfrm>
                    <a:prstGeom prst="rect">
                      <a:avLst/>
                    </a:prstGeom>
                    <a:noFill/>
                  </pic:spPr>
                </pic:pic>
              </a:graphicData>
            </a:graphic>
          </wp:anchor>
        </w:drawing>
      </w:r>
    </w:p>
    <w:p>
      <w:pPr>
        <w:spacing w:after="0" w:line="209" w:lineRule="exact"/>
        <w:rPr>
          <w:sz w:val="20"/>
          <w:szCs w:val="20"/>
          <w:color w:val="auto"/>
        </w:rPr>
      </w:pPr>
    </w:p>
    <w:p>
      <w:pPr>
        <w:ind w:firstLine="255"/>
        <w:spacing w:after="0" w:line="241" w:lineRule="auto"/>
        <w:rPr>
          <w:sz w:val="20"/>
          <w:szCs w:val="20"/>
          <w:color w:val="auto"/>
        </w:rPr>
      </w:pPr>
      <w:r>
        <w:rPr>
          <w:rFonts w:ascii="Arial" w:cs="Arial" w:eastAsia="Arial" w:hAnsi="Arial"/>
          <w:sz w:val="18"/>
          <w:szCs w:val="18"/>
          <w:color w:val="auto"/>
        </w:rPr>
        <w:t>Revenues primarily consist of retail sales from our Company-owned stores, royalties, advertising contributions and fees from our U.S. franchised stores, royalties and fees from our international franchised stores and sales of food, equipment and supplies from our supply chain centers to substantially all of our U.S. franchised stores and certain international franchised stores. Company-owned store and franchised store revenues may vary from period to period due to changes in store count mix. Supply chain revenues may vary significantly from period to period as a result of fluctuations in commodity prices as well as the mix of products we sell.</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U.S. Stores Revenues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00" w:type="dxa"/>
            <w:vAlign w:val="bottom"/>
            <w:gridSpan w:val="3"/>
          </w:tcPr>
          <w:p>
            <w:pPr>
              <w:jc w:val="center"/>
              <w:ind w:left="56"/>
              <w:spacing w:after="0"/>
              <w:rPr>
                <w:sz w:val="20"/>
                <w:szCs w:val="20"/>
                <w:color w:val="auto"/>
              </w:rPr>
            </w:pPr>
            <w:r>
              <w:rPr>
                <w:rFonts w:ascii="Arial" w:cs="Arial" w:eastAsia="Arial" w:hAnsi="Arial"/>
                <w:sz w:val="14"/>
                <w:szCs w:val="14"/>
                <w:b w:val="1"/>
                <w:bCs w:val="1"/>
                <w:color w:val="auto"/>
                <w:w w:val="99"/>
              </w:rPr>
              <w:t>First Quarter</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40" w:type="dxa"/>
            <w:vAlign w:val="bottom"/>
            <w:gridSpan w:val="3"/>
          </w:tcPr>
          <w:p>
            <w:pPr>
              <w:jc w:val="center"/>
              <w:ind w:left="76"/>
              <w:spacing w:after="0"/>
              <w:rPr>
                <w:sz w:val="20"/>
                <w:szCs w:val="20"/>
                <w:color w:val="auto"/>
              </w:rPr>
            </w:pPr>
            <w:r>
              <w:rPr>
                <w:rFonts w:ascii="Arial" w:cs="Arial" w:eastAsia="Arial" w:hAnsi="Arial"/>
                <w:sz w:val="14"/>
                <w:szCs w:val="14"/>
                <w:b w:val="1"/>
                <w:bCs w:val="1"/>
                <w:color w:val="auto"/>
                <w:w w:val="99"/>
              </w:rPr>
              <w:t>First Quarter</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85"/>
        </w:trPr>
        <w:tc>
          <w:tcPr>
            <w:tcW w:w="55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56"/>
              <w:spacing w:after="0"/>
              <w:rPr>
                <w:sz w:val="20"/>
                <w:szCs w:val="20"/>
                <w:color w:val="auto"/>
              </w:rPr>
            </w:pPr>
            <w:r>
              <w:rPr>
                <w:rFonts w:ascii="Arial" w:cs="Arial" w:eastAsia="Arial" w:hAnsi="Arial"/>
                <w:sz w:val="14"/>
                <w:szCs w:val="14"/>
                <w:b w:val="1"/>
                <w:bCs w:val="1"/>
                <w:color w:val="auto"/>
                <w:w w:val="91"/>
              </w:rPr>
              <w:t>of 2022</w:t>
            </w:r>
          </w:p>
        </w:tc>
        <w:tc>
          <w:tcPr>
            <w:tcW w:w="6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left="76"/>
              <w:spacing w:after="0"/>
              <w:rPr>
                <w:sz w:val="20"/>
                <w:szCs w:val="20"/>
                <w:color w:val="auto"/>
              </w:rPr>
            </w:pPr>
            <w:r>
              <w:rPr>
                <w:rFonts w:ascii="Arial" w:cs="Arial" w:eastAsia="Arial" w:hAnsi="Arial"/>
                <w:sz w:val="14"/>
                <w:szCs w:val="14"/>
                <w:b w:val="1"/>
                <w:bCs w:val="1"/>
                <w:color w:val="auto"/>
                <w:w w:val="91"/>
              </w:rPr>
              <w:t>of 2021</w:t>
            </w:r>
          </w:p>
        </w:tc>
        <w:tc>
          <w:tcPr>
            <w:tcW w:w="6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196"/>
        </w:trPr>
        <w:tc>
          <w:tcPr>
            <w:tcW w:w="55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U.S. Company-owned stores</w:t>
            </w:r>
          </w:p>
        </w:tc>
        <w:tc>
          <w:tcPr>
            <w:tcW w:w="500" w:type="dxa"/>
            <w:vAlign w:val="bottom"/>
            <w:shd w:val="clear" w:color="auto" w:fill="CFF0FC"/>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103.9</w:t>
            </w: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31.2</w:t>
            </w:r>
          </w:p>
        </w:tc>
        <w:tc>
          <w:tcPr>
            <w:tcW w:w="26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87"/>
              </w:rPr>
              <w:t>%</w:t>
            </w:r>
          </w:p>
        </w:tc>
        <w:tc>
          <w:tcPr>
            <w:tcW w:w="500" w:type="dxa"/>
            <w:vAlign w:val="bottom"/>
            <w:shd w:val="clear" w:color="auto" w:fill="CFF0FC"/>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112.7</w:t>
            </w: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32.3</w:t>
            </w:r>
          </w:p>
        </w:tc>
        <w:tc>
          <w:tcPr>
            <w:tcW w:w="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5520" w:type="dxa"/>
            <w:vAlign w:val="bottom"/>
          </w:tcPr>
          <w:p>
            <w:pPr>
              <w:ind w:left="20"/>
              <w:spacing w:after="0" w:line="202" w:lineRule="exact"/>
              <w:rPr>
                <w:sz w:val="20"/>
                <w:szCs w:val="20"/>
                <w:color w:val="auto"/>
              </w:rPr>
            </w:pPr>
            <w:r>
              <w:rPr>
                <w:rFonts w:ascii="Arial" w:cs="Arial" w:eastAsia="Arial" w:hAnsi="Arial"/>
                <w:sz w:val="18"/>
                <w:szCs w:val="18"/>
                <w:color w:val="auto"/>
              </w:rPr>
              <w:t>U.S. franchise royalties and fees</w:t>
            </w:r>
          </w:p>
        </w:tc>
        <w:tc>
          <w:tcPr>
            <w:tcW w:w="5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122.3</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36.8 %</w:t>
            </w:r>
          </w:p>
        </w:tc>
        <w:tc>
          <w:tcPr>
            <w:tcW w:w="5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124.5</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35.7 %</w:t>
            </w:r>
          </w:p>
        </w:tc>
      </w:tr>
      <w:tr>
        <w:trPr>
          <w:trHeight w:val="203"/>
        </w:trPr>
        <w:tc>
          <w:tcPr>
            <w:tcW w:w="5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U.S. franchise advertising</w:t>
            </w:r>
          </w:p>
        </w:tc>
        <w:tc>
          <w:tcPr>
            <w:tcW w:w="5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106.6</w:t>
            </w: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32.0 %</w:t>
            </w:r>
          </w:p>
        </w:tc>
        <w:tc>
          <w:tcPr>
            <w:tcW w:w="5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111.4</w:t>
            </w: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32.0 %</w:t>
            </w:r>
          </w:p>
        </w:tc>
      </w:tr>
      <w:tr>
        <w:trPr>
          <w:trHeight w:val="20"/>
        </w:trPr>
        <w:tc>
          <w:tcPr>
            <w:tcW w:w="552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196"/>
        </w:trPr>
        <w:tc>
          <w:tcPr>
            <w:tcW w:w="5520" w:type="dxa"/>
            <w:vAlign w:val="bottom"/>
          </w:tcPr>
          <w:p>
            <w:pPr>
              <w:ind w:left="20"/>
              <w:spacing w:after="0" w:line="196" w:lineRule="exact"/>
              <w:rPr>
                <w:sz w:val="20"/>
                <w:szCs w:val="20"/>
                <w:color w:val="auto"/>
              </w:rPr>
            </w:pPr>
            <w:r>
              <w:rPr>
                <w:rFonts w:ascii="Arial" w:cs="Arial" w:eastAsia="Arial" w:hAnsi="Arial"/>
                <w:sz w:val="18"/>
                <w:szCs w:val="18"/>
                <w:color w:val="auto"/>
              </w:rPr>
              <w:t>U.S. stores</w:t>
            </w:r>
          </w:p>
        </w:tc>
        <w:tc>
          <w:tcPr>
            <w:tcW w:w="500" w:type="dxa"/>
            <w:vAlign w:val="bottom"/>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332.8</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100.0 %</w:t>
            </w:r>
          </w:p>
        </w:tc>
        <w:tc>
          <w:tcPr>
            <w:tcW w:w="500" w:type="dxa"/>
            <w:vAlign w:val="bottom"/>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348.6</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100.0 %</w:t>
            </w:r>
          </w:p>
        </w:tc>
      </w:tr>
      <w:tr>
        <w:trPr>
          <w:trHeight w:val="20"/>
        </w:trPr>
        <w:tc>
          <w:tcPr>
            <w:tcW w:w="55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-159385</wp:posOffset>
            </wp:positionV>
            <wp:extent cx="43180"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-159385</wp:posOffset>
            </wp:positionV>
            <wp:extent cx="145415"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-159385</wp:posOffset>
            </wp:positionV>
            <wp:extent cx="34290"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-159385</wp:posOffset>
            </wp:positionV>
            <wp:extent cx="137160"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37160" cy="5715"/>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Company-owned Stores</w:t>
      </w:r>
    </w:p>
    <w:p>
      <w:pPr>
        <w:spacing w:after="0" w:line="117" w:lineRule="exact"/>
        <w:rPr>
          <w:sz w:val="20"/>
          <w:szCs w:val="20"/>
          <w:color w:val="auto"/>
        </w:rPr>
      </w:pPr>
    </w:p>
    <w:p>
      <w:pPr>
        <w:ind w:right="80" w:firstLine="255"/>
        <w:spacing w:after="0" w:line="294" w:lineRule="auto"/>
        <w:rPr>
          <w:sz w:val="20"/>
          <w:szCs w:val="20"/>
          <w:color w:val="auto"/>
        </w:rPr>
      </w:pPr>
      <w:r>
        <w:rPr>
          <w:rFonts w:ascii="Arial" w:cs="Arial" w:eastAsia="Arial" w:hAnsi="Arial"/>
          <w:sz w:val="16"/>
          <w:szCs w:val="16"/>
          <w:color w:val="auto"/>
        </w:rPr>
        <w:t>Revenues from U.S. Company-owned store operations decreased $8.8 million, or 7.8%, in the first quarter of 2022 due to a decrease in U.S. Company-owned same store sales. This decrease was partially offset by an increase in the average number of U.S. Company-owned stores open during the period. U.S. Company-owned same store sales decreased 10.5% in the first quarter of 2022 and increased 6.3% in the first quarter of 2021.</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Franchise Royalties and Fees</w:t>
      </w:r>
    </w:p>
    <w:p>
      <w:pPr>
        <w:spacing w:after="0" w:line="117" w:lineRule="exact"/>
        <w:rPr>
          <w:sz w:val="20"/>
          <w:szCs w:val="20"/>
          <w:color w:val="auto"/>
        </w:rPr>
      </w:pPr>
    </w:p>
    <w:p>
      <w:pPr>
        <w:ind w:right="40" w:firstLine="255"/>
        <w:spacing w:after="0" w:line="294" w:lineRule="auto"/>
        <w:rPr>
          <w:sz w:val="20"/>
          <w:szCs w:val="20"/>
          <w:color w:val="auto"/>
        </w:rPr>
      </w:pPr>
      <w:r>
        <w:rPr>
          <w:rFonts w:ascii="Arial" w:cs="Arial" w:eastAsia="Arial" w:hAnsi="Arial"/>
          <w:sz w:val="16"/>
          <w:szCs w:val="16"/>
          <w:color w:val="auto"/>
        </w:rPr>
        <w:t>Revenues from U.S. franchise royalties and fees decreased $2.2 million, or 1.8%, in the first quarter of 2022 due primarily to a decrease in U.S. franchise same store sales. This decrease was partially offset by an increase in the average number of U.S. franchised stores open during the period resulting from net store growth. U.S. franchise same store sales decreased 3.2% in the first quarter of 2022 and increased 13.9% in the first quarter of 2021.</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Franchise Advertising</w:t>
      </w:r>
    </w:p>
    <w:p>
      <w:pPr>
        <w:spacing w:after="0" w:line="117" w:lineRule="exact"/>
        <w:rPr>
          <w:sz w:val="20"/>
          <w:szCs w:val="20"/>
          <w:color w:val="auto"/>
        </w:rPr>
      </w:pPr>
    </w:p>
    <w:p>
      <w:pPr>
        <w:ind w:right="280" w:firstLine="284"/>
        <w:spacing w:after="0" w:line="270" w:lineRule="auto"/>
        <w:rPr>
          <w:sz w:val="20"/>
          <w:szCs w:val="20"/>
          <w:color w:val="auto"/>
        </w:rPr>
      </w:pPr>
      <w:r>
        <w:rPr>
          <w:rFonts w:ascii="Arial" w:cs="Arial" w:eastAsia="Arial" w:hAnsi="Arial"/>
          <w:sz w:val="17"/>
          <w:szCs w:val="17"/>
          <w:color w:val="auto"/>
        </w:rPr>
        <w:t>Revenues from U.S. franchise advertising decreased $4.8 million, or 4.3%, in the first quarter of 2022 due to a decrease in U.S. franchise same store sales as well as approximately $2.5 million in advertising incentives related to certain brand promotions. These decreases were partially offset by an increase in the average number of U.S. franchised stores open during the period, resulting from net store growth.</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Chain</w:t>
      </w:r>
    </w:p>
    <w:p>
      <w:pPr>
        <w:spacing w:after="0" w:line="185" w:lineRule="exact"/>
        <w:rPr>
          <w:sz w:val="20"/>
          <w:szCs w:val="20"/>
          <w:color w:val="auto"/>
        </w:rPr>
      </w:pPr>
    </w:p>
    <w:p>
      <w:pPr>
        <w:ind w:right="80" w:firstLine="255"/>
        <w:spacing w:after="0" w:line="248" w:lineRule="auto"/>
        <w:rPr>
          <w:sz w:val="20"/>
          <w:szCs w:val="20"/>
          <w:color w:val="auto"/>
        </w:rPr>
      </w:pPr>
      <w:r>
        <w:rPr>
          <w:rFonts w:ascii="Arial" w:cs="Arial" w:eastAsia="Arial" w:hAnsi="Arial"/>
          <w:sz w:val="18"/>
          <w:szCs w:val="18"/>
          <w:color w:val="auto"/>
        </w:rPr>
        <w:t>Supply chain revenues increased $41.2 million, or 7.3%, in the first quarter of 2022 due to higher market basket pricing to stores, partially offset by lower order volumes at our U.S. franchise stores. Our market basket pricing to stores increased 11.9% during the first quarter of 2022, which resulted in an estimated $56.1 million increase in supply chain revenues.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Franchise Royalties and Fee Revenues</w:t>
      </w:r>
    </w:p>
    <w:p>
      <w:pPr>
        <w:spacing w:after="0" w:line="104" w:lineRule="exact"/>
        <w:rPr>
          <w:sz w:val="20"/>
          <w:szCs w:val="20"/>
          <w:color w:val="auto"/>
        </w:rPr>
      </w:pPr>
    </w:p>
    <w:p>
      <w:pPr>
        <w:ind w:right="80" w:firstLine="255"/>
        <w:spacing w:after="0" w:line="262" w:lineRule="auto"/>
        <w:rPr>
          <w:sz w:val="20"/>
          <w:szCs w:val="20"/>
          <w:color w:val="auto"/>
        </w:rPr>
      </w:pPr>
      <w:r>
        <w:rPr>
          <w:rFonts w:ascii="Arial" w:cs="Arial" w:eastAsia="Arial" w:hAnsi="Arial"/>
          <w:sz w:val="17"/>
          <w:szCs w:val="17"/>
          <w:color w:val="auto"/>
        </w:rPr>
        <w:t>Revenues from international franchise royalties and fees increased $2.1 million, or 3.1%, in the first quarter of 2022 due primarily to higher international retail sales resulting from international same store sales growth (excluding foreign currency impact) and an increase in the average number of international franchised stores open during the period, resulting from net store growth. The negative impact of changes in foreign currency exchange rates of $4.3 million in the first quarter of 2022 partially offset the increase in international franchise royalties and fees revenues.</w:t>
      </w:r>
    </w:p>
    <w:p>
      <w:pPr>
        <w:spacing w:after="0" w:line="64" w:lineRule="exact"/>
        <w:rPr>
          <w:sz w:val="20"/>
          <w:szCs w:val="20"/>
          <w:color w:val="auto"/>
        </w:rPr>
      </w:pPr>
    </w:p>
    <w:p>
      <w:pPr>
        <w:ind w:right="600" w:firstLine="255"/>
        <w:spacing w:after="0" w:line="261" w:lineRule="auto"/>
        <w:rPr>
          <w:sz w:val="20"/>
          <w:szCs w:val="20"/>
          <w:color w:val="auto"/>
        </w:rPr>
      </w:pPr>
      <w:r>
        <w:rPr>
          <w:rFonts w:ascii="Arial" w:cs="Arial" w:eastAsia="Arial" w:hAnsi="Arial"/>
          <w:sz w:val="18"/>
          <w:szCs w:val="18"/>
          <w:color w:val="auto"/>
        </w:rPr>
        <w:t>Excluding the impact of foreign currency exchange rates, international franchise same store sales increased 1.2% in the first quarter of 2022 and increased 11.8% in the first quarter of 2021.</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Cost of Sales / Operating Margin</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00" w:type="dxa"/>
            <w:vAlign w:val="bottom"/>
            <w:gridSpan w:val="3"/>
          </w:tcPr>
          <w:p>
            <w:pPr>
              <w:jc w:val="center"/>
              <w:ind w:left="97"/>
              <w:spacing w:after="0"/>
              <w:rPr>
                <w:sz w:val="20"/>
                <w:szCs w:val="20"/>
                <w:color w:val="auto"/>
              </w:rPr>
            </w:pPr>
            <w:r>
              <w:rPr>
                <w:rFonts w:ascii="Arial" w:cs="Arial" w:eastAsia="Arial" w:hAnsi="Arial"/>
                <w:sz w:val="14"/>
                <w:szCs w:val="14"/>
                <w:b w:val="1"/>
                <w:bCs w:val="1"/>
                <w:color w:val="auto"/>
                <w:w w:val="99"/>
              </w:rPr>
              <w:t>First Quarter</w:t>
            </w: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40" w:type="dxa"/>
            <w:vAlign w:val="bottom"/>
            <w:gridSpan w:val="3"/>
          </w:tcPr>
          <w:p>
            <w:pPr>
              <w:jc w:val="center"/>
              <w:ind w:left="77"/>
              <w:spacing w:after="0"/>
              <w:rPr>
                <w:sz w:val="20"/>
                <w:szCs w:val="20"/>
                <w:color w:val="auto"/>
              </w:rPr>
            </w:pPr>
            <w:r>
              <w:rPr>
                <w:rFonts w:ascii="Arial" w:cs="Arial" w:eastAsia="Arial" w:hAnsi="Arial"/>
                <w:sz w:val="14"/>
                <w:szCs w:val="14"/>
                <w:b w:val="1"/>
                <w:bCs w:val="1"/>
                <w:color w:val="auto"/>
                <w:w w:val="99"/>
              </w:rPr>
              <w:t>First Quarter</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85"/>
        </w:trPr>
        <w:tc>
          <w:tcPr>
            <w:tcW w:w="55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97"/>
              <w:spacing w:after="0"/>
              <w:rPr>
                <w:sz w:val="20"/>
                <w:szCs w:val="20"/>
                <w:color w:val="auto"/>
              </w:rPr>
            </w:pPr>
            <w:r>
              <w:rPr>
                <w:rFonts w:ascii="Arial" w:cs="Arial" w:eastAsia="Arial" w:hAnsi="Arial"/>
                <w:sz w:val="14"/>
                <w:szCs w:val="14"/>
                <w:b w:val="1"/>
                <w:bCs w:val="1"/>
                <w:color w:val="auto"/>
                <w:w w:val="91"/>
              </w:rPr>
              <w:t>of 2022</w:t>
            </w:r>
          </w:p>
        </w:tc>
        <w:tc>
          <w:tcPr>
            <w:tcW w:w="6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left="77"/>
              <w:spacing w:after="0"/>
              <w:rPr>
                <w:sz w:val="20"/>
                <w:szCs w:val="20"/>
                <w:color w:val="auto"/>
              </w:rPr>
            </w:pPr>
            <w:r>
              <w:rPr>
                <w:rFonts w:ascii="Arial" w:cs="Arial" w:eastAsia="Arial" w:hAnsi="Arial"/>
                <w:sz w:val="14"/>
                <w:szCs w:val="14"/>
                <w:b w:val="1"/>
                <w:bCs w:val="1"/>
                <w:color w:val="auto"/>
                <w:w w:val="91"/>
              </w:rPr>
              <w:t>of 2021</w:t>
            </w:r>
          </w:p>
        </w:tc>
        <w:tc>
          <w:tcPr>
            <w:tcW w:w="6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196"/>
        </w:trPr>
        <w:tc>
          <w:tcPr>
            <w:tcW w:w="55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Consolidated revenues</w:t>
            </w:r>
          </w:p>
        </w:tc>
        <w:tc>
          <w:tcPr>
            <w:tcW w:w="480" w:type="dxa"/>
            <w:vAlign w:val="bottom"/>
            <w:shd w:val="clear" w:color="auto" w:fill="CFF0FC"/>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1,011.1</w:t>
            </w: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100.0</w:t>
            </w:r>
          </w:p>
        </w:tc>
        <w:tc>
          <w:tcPr>
            <w:tcW w:w="28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87"/>
              </w:rPr>
              <w:t>%</w:t>
            </w:r>
          </w:p>
        </w:tc>
        <w:tc>
          <w:tcPr>
            <w:tcW w:w="500" w:type="dxa"/>
            <w:vAlign w:val="bottom"/>
            <w:shd w:val="clear" w:color="auto" w:fill="CFF0FC"/>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983.7</w:t>
            </w: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100.0</w:t>
            </w:r>
          </w:p>
        </w:tc>
        <w:tc>
          <w:tcPr>
            <w:tcW w:w="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5520" w:type="dxa"/>
            <w:vAlign w:val="bottom"/>
          </w:tcPr>
          <w:p>
            <w:pPr>
              <w:ind w:left="20"/>
              <w:spacing w:after="0" w:line="202" w:lineRule="exact"/>
              <w:rPr>
                <w:sz w:val="20"/>
                <w:szCs w:val="20"/>
                <w:color w:val="auto"/>
              </w:rPr>
            </w:pPr>
            <w:r>
              <w:rPr>
                <w:rFonts w:ascii="Arial" w:cs="Arial" w:eastAsia="Arial" w:hAnsi="Arial"/>
                <w:sz w:val="18"/>
                <w:szCs w:val="18"/>
                <w:color w:val="auto"/>
              </w:rPr>
              <w:t>Consolidated cost of sales</w:t>
            </w:r>
          </w:p>
        </w:tc>
        <w:tc>
          <w:tcPr>
            <w:tcW w:w="4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642.5</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63.5 %</w:t>
            </w:r>
          </w:p>
        </w:tc>
        <w:tc>
          <w:tcPr>
            <w:tcW w:w="5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594.5</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60.4 %</w:t>
            </w:r>
          </w:p>
        </w:tc>
      </w:tr>
      <w:tr>
        <w:trPr>
          <w:trHeight w:val="236"/>
        </w:trPr>
        <w:tc>
          <w:tcPr>
            <w:tcW w:w="552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Consolidated operating margin</w:t>
            </w:r>
          </w:p>
        </w:tc>
        <w:tc>
          <w:tcPr>
            <w:tcW w:w="480" w:type="dxa"/>
            <w:vAlign w:val="bottom"/>
            <w:tcBorders>
              <w:top w:val="single" w:sz="8" w:color="auto"/>
              <w:bottom w:val="single" w:sz="8" w:color="auto"/>
            </w:tcBorders>
            <w:shd w:val="clear" w:color="auto" w:fill="CFF0FC"/>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368.6</w:t>
            </w:r>
          </w:p>
        </w:tc>
        <w:tc>
          <w:tcPr>
            <w:tcW w:w="12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top w:val="single" w:sz="8" w:color="auto"/>
              <w:bottom w:val="single" w:sz="8" w:color="auto"/>
            </w:tcBorders>
            <w:shd w:val="clear" w:color="auto" w:fill="CFF0FC"/>
          </w:tcPr>
          <w:p>
            <w:pPr>
              <w:spacing w:after="0"/>
              <w:rPr>
                <w:sz w:val="20"/>
                <w:szCs w:val="20"/>
                <w:color w:val="auto"/>
              </w:rPr>
            </w:pPr>
          </w:p>
        </w:tc>
        <w:tc>
          <w:tcPr>
            <w:tcW w:w="6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36.5</w:t>
            </w:r>
          </w:p>
        </w:tc>
        <w:tc>
          <w:tcPr>
            <w:tcW w:w="280" w:type="dxa"/>
            <w:vAlign w:val="bottom"/>
            <w:tcBorders>
              <w:bottom w:val="single" w:sz="8" w:color="CFF0FC"/>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87"/>
              </w:rPr>
              <w:t>%</w:t>
            </w:r>
          </w:p>
        </w:tc>
        <w:tc>
          <w:tcPr>
            <w:tcW w:w="500" w:type="dxa"/>
            <w:vAlign w:val="bottom"/>
            <w:tcBorders>
              <w:top w:val="single" w:sz="8" w:color="auto"/>
              <w:bottom w:val="single" w:sz="8" w:color="auto"/>
            </w:tcBorders>
            <w:shd w:val="clear" w:color="auto" w:fill="CFF0FC"/>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389.2</w:t>
            </w:r>
          </w:p>
        </w:tc>
        <w:tc>
          <w:tcPr>
            <w:tcW w:w="10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top w:val="single" w:sz="8" w:color="auto"/>
              <w:bottom w:val="single" w:sz="8" w:color="auto"/>
            </w:tcBorders>
            <w:shd w:val="clear" w:color="auto" w:fill="CFF0FC"/>
          </w:tcPr>
          <w:p>
            <w:pPr>
              <w:spacing w:after="0"/>
              <w:rPr>
                <w:sz w:val="20"/>
                <w:szCs w:val="20"/>
                <w:color w:val="auto"/>
              </w:rPr>
            </w:pPr>
          </w:p>
        </w:tc>
        <w:tc>
          <w:tcPr>
            <w:tcW w:w="6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39.6</w:t>
            </w:r>
          </w:p>
        </w:tc>
        <w:tc>
          <w:tcPr>
            <w:tcW w:w="22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-25400</wp:posOffset>
            </wp:positionV>
            <wp:extent cx="431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-8255</wp:posOffset>
            </wp:positionV>
            <wp:extent cx="431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-25400</wp:posOffset>
            </wp:positionV>
            <wp:extent cx="14605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-8255</wp:posOffset>
            </wp:positionV>
            <wp:extent cx="14605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-25400</wp:posOffset>
            </wp:positionV>
            <wp:extent cx="3429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-8255</wp:posOffset>
            </wp:positionV>
            <wp:extent cx="3429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-25400</wp:posOffset>
            </wp:positionV>
            <wp:extent cx="13716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-8255</wp:posOffset>
            </wp:positionV>
            <wp:extent cx="13716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87" w:lineRule="exact"/>
        <w:rPr>
          <w:sz w:val="20"/>
          <w:szCs w:val="20"/>
          <w:color w:val="auto"/>
        </w:rPr>
      </w:pPr>
    </w:p>
    <w:p>
      <w:pPr>
        <w:ind w:right="40" w:firstLine="255"/>
        <w:spacing w:after="0" w:line="251" w:lineRule="auto"/>
        <w:rPr>
          <w:sz w:val="20"/>
          <w:szCs w:val="20"/>
          <w:color w:val="auto"/>
        </w:rPr>
      </w:pPr>
      <w:r>
        <w:rPr>
          <w:rFonts w:ascii="Arial" w:cs="Arial" w:eastAsia="Arial" w:hAnsi="Arial"/>
          <w:sz w:val="17"/>
          <w:szCs w:val="17"/>
          <w:color w:val="auto"/>
        </w:rPr>
        <w:t>Consolidated cost of sales consists of U.S. Company-owned store and supply chain costs incurred to generate related revenues. Components of consolidated cost of sales primarily include food, labor, delivery and occupancy costs. Consolidated operating margin (which we define as revenues less cost of sales) decreased $20.6 million, or 5.3%, in the first quarter of 2022, due primarily to lower U.S. Company-owned store revenues, as well as higher food, labor and delivery costs and lower global franchise revenues. Franchise revenues do not have a cost of sales component, so changes in these revenues have a disproportionate effect on the operating margin. Additionally, as our market basket prices fluctuate, our revenues and margin percentages in our supply chain segment also fluctuate; however, actual product-level dollar margins remain unchanged.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6" w:name="page17"/>
    <w:bookmarkEnd w:id="16"/>
    <w:p>
      <w:pPr>
        <w:ind w:right="40" w:firstLine="255"/>
        <w:spacing w:after="0" w:line="248" w:lineRule="auto"/>
        <w:rPr>
          <w:sz w:val="20"/>
          <w:szCs w:val="20"/>
          <w:color w:val="auto"/>
        </w:rPr>
      </w:pPr>
      <w:r>
        <w:rPr>
          <w:rFonts w:ascii="Arial" w:cs="Arial" w:eastAsia="Arial" w:hAnsi="Arial"/>
          <w:sz w:val="18"/>
          <w:szCs w:val="18"/>
          <w:color w:val="auto"/>
        </w:rPr>
        <w:t>As a percentage of revenues, the consolidated operating margin decreased 3.1 percentage points in the first quarter of 2022. U.S. Company-owned store operating margin decreased 8.0 percentage points in the first quarter of 2022. Supply chain operating margin decreased 1.6 percentage points in the first quarter of 2022. These changes in operating margin are described below.</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Company-Owned Store Operating Margin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gridSpan w:val="3"/>
          </w:tcPr>
          <w:p>
            <w:pPr>
              <w:jc w:val="center"/>
              <w:ind w:left="77"/>
              <w:spacing w:after="0"/>
              <w:rPr>
                <w:sz w:val="20"/>
                <w:szCs w:val="20"/>
                <w:color w:val="auto"/>
              </w:rPr>
            </w:pPr>
            <w:r>
              <w:rPr>
                <w:rFonts w:ascii="Arial" w:cs="Arial" w:eastAsia="Arial" w:hAnsi="Arial"/>
                <w:sz w:val="14"/>
                <w:szCs w:val="14"/>
                <w:b w:val="1"/>
                <w:bCs w:val="1"/>
                <w:color w:val="auto"/>
                <w:w w:val="99"/>
              </w:rPr>
              <w:t>First Quarter</w:t>
            </w: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gridSpan w:val="3"/>
          </w:tcPr>
          <w:p>
            <w:pPr>
              <w:jc w:val="center"/>
              <w:ind w:left="77"/>
              <w:spacing w:after="0"/>
              <w:rPr>
                <w:sz w:val="20"/>
                <w:szCs w:val="20"/>
                <w:color w:val="auto"/>
              </w:rPr>
            </w:pPr>
            <w:r>
              <w:rPr>
                <w:rFonts w:ascii="Arial" w:cs="Arial" w:eastAsia="Arial" w:hAnsi="Arial"/>
                <w:sz w:val="14"/>
                <w:szCs w:val="14"/>
                <w:b w:val="1"/>
                <w:bCs w:val="1"/>
                <w:color w:val="auto"/>
                <w:w w:val="96"/>
              </w:rPr>
              <w:t>First Quarter</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85"/>
        </w:trPr>
        <w:tc>
          <w:tcPr>
            <w:tcW w:w="57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left="77"/>
              <w:spacing w:after="0"/>
              <w:rPr>
                <w:sz w:val="20"/>
                <w:szCs w:val="20"/>
                <w:color w:val="auto"/>
              </w:rPr>
            </w:pPr>
            <w:r>
              <w:rPr>
                <w:rFonts w:ascii="Arial" w:cs="Arial" w:eastAsia="Arial" w:hAnsi="Arial"/>
                <w:sz w:val="14"/>
                <w:szCs w:val="14"/>
                <w:b w:val="1"/>
                <w:bCs w:val="1"/>
                <w:color w:val="auto"/>
                <w:w w:val="91"/>
              </w:rPr>
              <w:t>of 2022</w:t>
            </w:r>
          </w:p>
        </w:tc>
        <w:tc>
          <w:tcPr>
            <w:tcW w:w="62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left="77"/>
              <w:spacing w:after="0"/>
              <w:rPr>
                <w:sz w:val="20"/>
                <w:szCs w:val="20"/>
                <w:color w:val="auto"/>
              </w:rPr>
            </w:pPr>
            <w:r>
              <w:rPr>
                <w:rFonts w:ascii="Arial" w:cs="Arial" w:eastAsia="Arial" w:hAnsi="Arial"/>
                <w:sz w:val="14"/>
                <w:szCs w:val="14"/>
                <w:b w:val="1"/>
                <w:bCs w:val="1"/>
                <w:color w:val="auto"/>
                <w:w w:val="95"/>
              </w:rPr>
              <w:t>of 2021</w:t>
            </w:r>
          </w:p>
        </w:tc>
        <w:tc>
          <w:tcPr>
            <w:tcW w:w="6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196"/>
        </w:trPr>
        <w:tc>
          <w:tcPr>
            <w:tcW w:w="57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Revenues</w:t>
            </w:r>
          </w:p>
        </w:tc>
        <w:tc>
          <w:tcPr>
            <w:tcW w:w="440" w:type="dxa"/>
            <w:vAlign w:val="bottom"/>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103.9</w:t>
            </w:r>
          </w:p>
        </w:tc>
        <w:tc>
          <w:tcPr>
            <w:tcW w:w="2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100.0</w:t>
            </w:r>
          </w:p>
        </w:tc>
        <w:tc>
          <w:tcPr>
            <w:tcW w:w="38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87"/>
              </w:rPr>
              <w:t>%</w:t>
            </w:r>
          </w:p>
        </w:tc>
        <w:tc>
          <w:tcPr>
            <w:tcW w:w="440" w:type="dxa"/>
            <w:vAlign w:val="bottom"/>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112.7</w:t>
            </w:r>
          </w:p>
        </w:tc>
        <w:tc>
          <w:tcPr>
            <w:tcW w:w="1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100.0</w:t>
            </w:r>
          </w:p>
        </w:tc>
        <w:tc>
          <w:tcPr>
            <w:tcW w:w="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5720" w:type="dxa"/>
            <w:vAlign w:val="bottom"/>
          </w:tcPr>
          <w:p>
            <w:pPr>
              <w:ind w:left="20"/>
              <w:spacing w:after="0" w:line="202" w:lineRule="exact"/>
              <w:rPr>
                <w:sz w:val="20"/>
                <w:szCs w:val="20"/>
                <w:color w:val="auto"/>
              </w:rPr>
            </w:pPr>
            <w:r>
              <w:rPr>
                <w:rFonts w:ascii="Arial" w:cs="Arial" w:eastAsia="Arial" w:hAnsi="Arial"/>
                <w:sz w:val="18"/>
                <w:szCs w:val="18"/>
                <w:color w:val="auto"/>
              </w:rPr>
              <w:t>Cost of sales</w:t>
            </w:r>
          </w:p>
        </w:tc>
        <w:tc>
          <w:tcPr>
            <w:tcW w:w="4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87.4</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84.1 %</w:t>
            </w:r>
          </w:p>
        </w:tc>
        <w:tc>
          <w:tcPr>
            <w:tcW w:w="4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85.7</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76.1 %</w:t>
            </w:r>
          </w:p>
        </w:tc>
      </w:tr>
      <w:tr>
        <w:trPr>
          <w:trHeight w:val="236"/>
        </w:trPr>
        <w:tc>
          <w:tcPr>
            <w:tcW w:w="572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Store operating margin</w:t>
            </w:r>
          </w:p>
        </w:tc>
        <w:tc>
          <w:tcPr>
            <w:tcW w:w="440" w:type="dxa"/>
            <w:vAlign w:val="bottom"/>
            <w:tcBorders>
              <w:top w:val="single" w:sz="8" w:color="auto"/>
              <w:bottom w:val="single" w:sz="8" w:color="auto"/>
            </w:tcBorders>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16.5</w:t>
            </w:r>
          </w:p>
        </w:tc>
        <w:tc>
          <w:tcPr>
            <w:tcW w:w="20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top w:val="single" w:sz="8" w:color="auto"/>
              <w:bottom w:val="single" w:sz="8" w:color="auto"/>
            </w:tcBorders>
            <w:shd w:val="clear" w:color="auto" w:fill="CFF0FC"/>
          </w:tcPr>
          <w:p>
            <w:pPr>
              <w:spacing w:after="0"/>
              <w:rPr>
                <w:sz w:val="20"/>
                <w:szCs w:val="20"/>
                <w:color w:val="auto"/>
              </w:rPr>
            </w:pPr>
          </w:p>
        </w:tc>
        <w:tc>
          <w:tcPr>
            <w:tcW w:w="6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15.9</w:t>
            </w:r>
          </w:p>
        </w:tc>
        <w:tc>
          <w:tcPr>
            <w:tcW w:w="380" w:type="dxa"/>
            <w:vAlign w:val="bottom"/>
            <w:tcBorders>
              <w:bottom w:val="single" w:sz="8" w:color="CFF0FC"/>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87"/>
              </w:rPr>
              <w:t>%</w:t>
            </w:r>
          </w:p>
        </w:tc>
        <w:tc>
          <w:tcPr>
            <w:tcW w:w="440" w:type="dxa"/>
            <w:vAlign w:val="bottom"/>
            <w:tcBorders>
              <w:top w:val="single" w:sz="8" w:color="auto"/>
              <w:bottom w:val="single" w:sz="8" w:color="auto"/>
            </w:tcBorders>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27.0</w:t>
            </w:r>
          </w:p>
        </w:tc>
        <w:tc>
          <w:tcPr>
            <w:tcW w:w="18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top w:val="single" w:sz="8" w:color="auto"/>
              <w:bottom w:val="single" w:sz="8" w:color="auto"/>
            </w:tcBorders>
            <w:shd w:val="clear" w:color="auto" w:fill="CFF0FC"/>
          </w:tcPr>
          <w:p>
            <w:pPr>
              <w:spacing w:after="0"/>
              <w:rPr>
                <w:sz w:val="20"/>
                <w:szCs w:val="20"/>
                <w:color w:val="auto"/>
              </w:rPr>
            </w:pPr>
          </w:p>
        </w:tc>
        <w:tc>
          <w:tcPr>
            <w:tcW w:w="6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23.9</w:t>
            </w:r>
          </w:p>
        </w:tc>
        <w:tc>
          <w:tcPr>
            <w:tcW w:w="22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-24765</wp:posOffset>
            </wp:positionV>
            <wp:extent cx="431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-7620</wp:posOffset>
            </wp:positionV>
            <wp:extent cx="431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-24765</wp:posOffset>
            </wp:positionV>
            <wp:extent cx="14605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-7620</wp:posOffset>
            </wp:positionV>
            <wp:extent cx="14605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-24765</wp:posOffset>
            </wp:positionV>
            <wp:extent cx="342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-7620</wp:posOffset>
            </wp:positionV>
            <wp:extent cx="3429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-24765</wp:posOffset>
            </wp:positionV>
            <wp:extent cx="13716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-7620</wp:posOffset>
            </wp:positionV>
            <wp:extent cx="13716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7" w:lineRule="exact"/>
        <w:rPr>
          <w:sz w:val="20"/>
          <w:szCs w:val="20"/>
          <w:color w:val="auto"/>
        </w:rPr>
      </w:pPr>
    </w:p>
    <w:p>
      <w:pPr>
        <w:ind w:right="180" w:firstLine="255"/>
        <w:spacing w:after="0" w:line="243" w:lineRule="auto"/>
        <w:rPr>
          <w:sz w:val="20"/>
          <w:szCs w:val="20"/>
          <w:color w:val="auto"/>
        </w:rPr>
      </w:pPr>
      <w:r>
        <w:rPr>
          <w:rFonts w:ascii="Arial" w:cs="Arial" w:eastAsia="Arial" w:hAnsi="Arial"/>
          <w:sz w:val="18"/>
          <w:szCs w:val="18"/>
          <w:color w:val="auto"/>
        </w:rPr>
        <w:t>U.S. Company-owned store operating margin (which does not include certain store-level costs such as royalties and advertising) decreased $10.5 million, or 38.8%, in the first quarter of 2022, due primarily to lower same store sales, as well as higher food costs. As a percentage of store revenues, the U.S. Company-owned store operating margin decreased 8.0 percentage points in the first quarter of 2022. These changes in operating margin as a percentage of revenues are discussed in additional detail below.</w:t>
      </w:r>
    </w:p>
    <w:p>
      <w:pPr>
        <w:spacing w:after="0" w:line="80" w:lineRule="exact"/>
        <w:rPr>
          <w:sz w:val="20"/>
          <w:szCs w:val="20"/>
          <w:color w:val="auto"/>
        </w:rPr>
      </w:pPr>
    </w:p>
    <w:p>
      <w:pPr>
        <w:ind w:left="1020" w:hanging="38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Food costs increased 3.8 percentage points to 30.9% in the first quarter of 2022 as a result of higher food basket prices.</w:t>
      </w:r>
    </w:p>
    <w:p>
      <w:pPr>
        <w:spacing w:after="0" w:line="103" w:lineRule="exact"/>
        <w:rPr>
          <w:rFonts w:ascii="Arial" w:cs="Arial" w:eastAsia="Arial" w:hAnsi="Arial"/>
          <w:sz w:val="18"/>
          <w:szCs w:val="18"/>
          <w:color w:val="auto"/>
        </w:rPr>
      </w:pPr>
    </w:p>
    <w:p>
      <w:pPr>
        <w:jc w:val="both"/>
        <w:ind w:left="1020" w:right="360" w:hanging="383"/>
        <w:spacing w:after="0" w:line="294" w:lineRule="auto"/>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color w:val="auto"/>
        </w:rPr>
        <w:t>Labor costs increased 2.4 percentage points to 30.8% in the first quarter of 2022 due primarily to continued investments in frontline team member wage rates in our U.S. Company-owned stores in the first quarter of 2022, as well as lower sales leverage. These increases were partially offset by lower headcount attributable to labor shortages affecting store hours and staffing levels in many of our markets.</w:t>
      </w:r>
    </w:p>
    <w:p>
      <w:pPr>
        <w:spacing w:after="0" w:line="39" w:lineRule="exact"/>
        <w:rPr>
          <w:rFonts w:ascii="Arial" w:cs="Arial" w:eastAsia="Arial" w:hAnsi="Arial"/>
          <w:sz w:val="16"/>
          <w:szCs w:val="16"/>
          <w:color w:val="auto"/>
        </w:rPr>
      </w:pPr>
    </w:p>
    <w:p>
      <w:pPr>
        <w:ind w:left="1020" w:right="40" w:hanging="383"/>
        <w:spacing w:after="0" w:line="261"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Occupancy costs, which include rent, telephone, utilities and depreciation, increased 1.3 percentage points to 9.1% in the first quarter of 2022 due primarily to lower sales leverage.</w:t>
      </w:r>
    </w:p>
    <w:p>
      <w:pPr>
        <w:spacing w:after="0" w:line="62" w:lineRule="exact"/>
        <w:rPr>
          <w:rFonts w:ascii="Arial" w:cs="Arial" w:eastAsia="Arial" w:hAnsi="Arial"/>
          <w:sz w:val="18"/>
          <w:szCs w:val="18"/>
          <w:color w:val="auto"/>
        </w:rPr>
      </w:pPr>
    </w:p>
    <w:p>
      <w:pPr>
        <w:ind w:left="1020" w:right="40" w:hanging="383"/>
        <w:spacing w:after="0" w:line="261"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Insurance costs increased 0.9 percentage points to 4.2% in the first quarter of 2022 due primarily to unfavorable claims experience, as well as lower sales leverage.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Chain Operating Margin</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80" w:type="dxa"/>
            <w:vAlign w:val="bottom"/>
            <w:gridSpan w:val="3"/>
          </w:tcPr>
          <w:p>
            <w:pPr>
              <w:jc w:val="center"/>
              <w:ind w:left="77"/>
              <w:spacing w:after="0"/>
              <w:rPr>
                <w:sz w:val="20"/>
                <w:szCs w:val="20"/>
                <w:color w:val="auto"/>
              </w:rPr>
            </w:pPr>
            <w:r>
              <w:rPr>
                <w:rFonts w:ascii="Arial" w:cs="Arial" w:eastAsia="Arial" w:hAnsi="Arial"/>
                <w:sz w:val="14"/>
                <w:szCs w:val="14"/>
                <w:b w:val="1"/>
                <w:bCs w:val="1"/>
                <w:color w:val="auto"/>
                <w:w w:val="99"/>
              </w:rPr>
              <w:t>First Quarter</w:t>
            </w: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40" w:type="dxa"/>
            <w:vAlign w:val="bottom"/>
            <w:gridSpan w:val="3"/>
          </w:tcPr>
          <w:p>
            <w:pPr>
              <w:jc w:val="center"/>
              <w:ind w:left="77"/>
              <w:spacing w:after="0"/>
              <w:rPr>
                <w:sz w:val="20"/>
                <w:szCs w:val="20"/>
                <w:color w:val="auto"/>
              </w:rPr>
            </w:pPr>
            <w:r>
              <w:rPr>
                <w:rFonts w:ascii="Arial" w:cs="Arial" w:eastAsia="Arial" w:hAnsi="Arial"/>
                <w:sz w:val="14"/>
                <w:szCs w:val="14"/>
                <w:b w:val="1"/>
                <w:bCs w:val="1"/>
                <w:color w:val="auto"/>
                <w:w w:val="99"/>
              </w:rPr>
              <w:t>First Quarter</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85"/>
        </w:trPr>
        <w:tc>
          <w:tcPr>
            <w:tcW w:w="55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77"/>
              <w:spacing w:after="0"/>
              <w:rPr>
                <w:sz w:val="20"/>
                <w:szCs w:val="20"/>
                <w:color w:val="auto"/>
              </w:rPr>
            </w:pPr>
            <w:r>
              <w:rPr>
                <w:rFonts w:ascii="Arial" w:cs="Arial" w:eastAsia="Arial" w:hAnsi="Arial"/>
                <w:sz w:val="14"/>
                <w:szCs w:val="14"/>
                <w:b w:val="1"/>
                <w:bCs w:val="1"/>
                <w:color w:val="auto"/>
                <w:w w:val="91"/>
              </w:rPr>
              <w:t>of 2022</w:t>
            </w:r>
          </w:p>
        </w:tc>
        <w:tc>
          <w:tcPr>
            <w:tcW w:w="6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left="77"/>
              <w:spacing w:after="0"/>
              <w:rPr>
                <w:sz w:val="20"/>
                <w:szCs w:val="20"/>
                <w:color w:val="auto"/>
              </w:rPr>
            </w:pPr>
            <w:r>
              <w:rPr>
                <w:rFonts w:ascii="Arial" w:cs="Arial" w:eastAsia="Arial" w:hAnsi="Arial"/>
                <w:sz w:val="14"/>
                <w:szCs w:val="14"/>
                <w:b w:val="1"/>
                <w:bCs w:val="1"/>
                <w:color w:val="auto"/>
                <w:w w:val="91"/>
              </w:rPr>
              <w:t>of 2021</w:t>
            </w:r>
          </w:p>
        </w:tc>
        <w:tc>
          <w:tcPr>
            <w:tcW w:w="6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196"/>
        </w:trPr>
        <w:tc>
          <w:tcPr>
            <w:tcW w:w="55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Revenues</w:t>
            </w:r>
          </w:p>
        </w:tc>
        <w:tc>
          <w:tcPr>
            <w:tcW w:w="500" w:type="dxa"/>
            <w:vAlign w:val="bottom"/>
            <w:shd w:val="clear" w:color="auto" w:fill="CFF0FC"/>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609.5</w:t>
            </w: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100.0</w:t>
            </w:r>
          </w:p>
        </w:tc>
        <w:tc>
          <w:tcPr>
            <w:tcW w:w="28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87"/>
              </w:rPr>
              <w:t>%</w:t>
            </w:r>
          </w:p>
        </w:tc>
        <w:tc>
          <w:tcPr>
            <w:tcW w:w="500" w:type="dxa"/>
            <w:vAlign w:val="bottom"/>
            <w:shd w:val="clear" w:color="auto" w:fill="CFF0FC"/>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568.3</w:t>
            </w: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100.0</w:t>
            </w:r>
          </w:p>
        </w:tc>
        <w:tc>
          <w:tcPr>
            <w:tcW w:w="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5520" w:type="dxa"/>
            <w:vAlign w:val="bottom"/>
          </w:tcPr>
          <w:p>
            <w:pPr>
              <w:ind w:left="20"/>
              <w:spacing w:after="0" w:line="202" w:lineRule="exact"/>
              <w:rPr>
                <w:sz w:val="20"/>
                <w:szCs w:val="20"/>
                <w:color w:val="auto"/>
              </w:rPr>
            </w:pPr>
            <w:r>
              <w:rPr>
                <w:rFonts w:ascii="Arial" w:cs="Arial" w:eastAsia="Arial" w:hAnsi="Arial"/>
                <w:sz w:val="18"/>
                <w:szCs w:val="18"/>
                <w:color w:val="auto"/>
              </w:rPr>
              <w:t>Cost of sales</w:t>
            </w:r>
          </w:p>
        </w:tc>
        <w:tc>
          <w:tcPr>
            <w:tcW w:w="5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555.2</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91.1 %</w:t>
            </w:r>
          </w:p>
        </w:tc>
        <w:tc>
          <w:tcPr>
            <w:tcW w:w="5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508.8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89.5 %</w:t>
            </w:r>
          </w:p>
        </w:tc>
      </w:tr>
      <w:tr>
        <w:trPr>
          <w:trHeight w:val="236"/>
        </w:trPr>
        <w:tc>
          <w:tcPr>
            <w:tcW w:w="552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Supply chain operating margin</w:t>
            </w:r>
          </w:p>
        </w:tc>
        <w:tc>
          <w:tcPr>
            <w:tcW w:w="500" w:type="dxa"/>
            <w:vAlign w:val="bottom"/>
            <w:tcBorders>
              <w:top w:val="single" w:sz="8" w:color="auto"/>
              <w:bottom w:val="single" w:sz="8" w:color="auto"/>
            </w:tcBorders>
            <w:shd w:val="clear" w:color="auto" w:fill="CFF0FC"/>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54.4</w:t>
            </w:r>
          </w:p>
        </w:tc>
        <w:tc>
          <w:tcPr>
            <w:tcW w:w="12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top w:val="single" w:sz="8" w:color="auto"/>
              <w:bottom w:val="single" w:sz="8" w:color="auto"/>
            </w:tcBorders>
            <w:shd w:val="clear" w:color="auto" w:fill="CFF0FC"/>
          </w:tcPr>
          <w:p>
            <w:pPr>
              <w:spacing w:after="0"/>
              <w:rPr>
                <w:sz w:val="20"/>
                <w:szCs w:val="20"/>
                <w:color w:val="auto"/>
              </w:rPr>
            </w:pPr>
          </w:p>
        </w:tc>
        <w:tc>
          <w:tcPr>
            <w:tcW w:w="6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8.9</w:t>
            </w:r>
          </w:p>
        </w:tc>
        <w:tc>
          <w:tcPr>
            <w:tcW w:w="280" w:type="dxa"/>
            <w:vAlign w:val="bottom"/>
            <w:tcBorders>
              <w:bottom w:val="single" w:sz="8" w:color="CFF0FC"/>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87"/>
              </w:rPr>
              <w:t>%</w:t>
            </w:r>
          </w:p>
        </w:tc>
        <w:tc>
          <w:tcPr>
            <w:tcW w:w="500" w:type="dxa"/>
            <w:vAlign w:val="bottom"/>
            <w:tcBorders>
              <w:top w:val="single" w:sz="8" w:color="auto"/>
              <w:bottom w:val="single" w:sz="8" w:color="auto"/>
            </w:tcBorders>
            <w:shd w:val="clear" w:color="auto" w:fill="CFF0FC"/>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59.5</w:t>
            </w:r>
          </w:p>
        </w:tc>
        <w:tc>
          <w:tcPr>
            <w:tcW w:w="10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top w:val="single" w:sz="8" w:color="auto"/>
              <w:bottom w:val="single" w:sz="8" w:color="auto"/>
            </w:tcBorders>
            <w:shd w:val="clear" w:color="auto" w:fill="CFF0FC"/>
          </w:tcPr>
          <w:p>
            <w:pPr>
              <w:spacing w:after="0"/>
              <w:rPr>
                <w:sz w:val="20"/>
                <w:szCs w:val="20"/>
                <w:color w:val="auto"/>
              </w:rPr>
            </w:pPr>
          </w:p>
        </w:tc>
        <w:tc>
          <w:tcPr>
            <w:tcW w:w="6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10.5</w:t>
            </w:r>
          </w:p>
        </w:tc>
        <w:tc>
          <w:tcPr>
            <w:tcW w:w="22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-24765</wp:posOffset>
            </wp:positionV>
            <wp:extent cx="431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-7620</wp:posOffset>
            </wp:positionV>
            <wp:extent cx="431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-24765</wp:posOffset>
            </wp:positionV>
            <wp:extent cx="14605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-7620</wp:posOffset>
            </wp:positionV>
            <wp:extent cx="14605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-24765</wp:posOffset>
            </wp:positionV>
            <wp:extent cx="3429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-7620</wp:posOffset>
            </wp:positionV>
            <wp:extent cx="3429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-24765</wp:posOffset>
            </wp:positionV>
            <wp:extent cx="13716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-7620</wp:posOffset>
            </wp:positionV>
            <wp:extent cx="13716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68" w:lineRule="exact"/>
        <w:rPr>
          <w:sz w:val="20"/>
          <w:szCs w:val="20"/>
          <w:color w:val="auto"/>
        </w:rPr>
      </w:pPr>
    </w:p>
    <w:p>
      <w:pPr>
        <w:ind w:right="380" w:firstLine="255"/>
        <w:spacing w:after="0" w:line="294" w:lineRule="auto"/>
        <w:rPr>
          <w:sz w:val="20"/>
          <w:szCs w:val="20"/>
          <w:color w:val="auto"/>
        </w:rPr>
      </w:pPr>
      <w:r>
        <w:rPr>
          <w:rFonts w:ascii="Arial" w:cs="Arial" w:eastAsia="Arial" w:hAnsi="Arial"/>
          <w:sz w:val="16"/>
          <w:szCs w:val="16"/>
          <w:color w:val="auto"/>
        </w:rPr>
        <w:t>Supply chain operating margin decreased $5.1 million, or 8.6%, in the first quarter of 2022, due primarily to higher labor and delivery costs. As a percentage of supply chain revenues, the supply chain operating margin decreased 1.6 percentage points in the first quarter of 2022 due to higher food, labor and delivery costs resulting from inflationary pressures due to the macroeconomic environment in the U.S., as well as lower sales leverage.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General and Administrative Expenses</w:t>
      </w:r>
    </w:p>
    <w:p>
      <w:pPr>
        <w:spacing w:after="0" w:line="104" w:lineRule="exact"/>
        <w:rPr>
          <w:sz w:val="20"/>
          <w:szCs w:val="20"/>
          <w:color w:val="auto"/>
        </w:rPr>
      </w:pPr>
    </w:p>
    <w:p>
      <w:pPr>
        <w:ind w:right="80" w:firstLine="255"/>
        <w:spacing w:after="0" w:line="248" w:lineRule="auto"/>
        <w:rPr>
          <w:sz w:val="20"/>
          <w:szCs w:val="20"/>
          <w:color w:val="auto"/>
        </w:rPr>
      </w:pPr>
      <w:r>
        <w:rPr>
          <w:rFonts w:ascii="Arial" w:cs="Arial" w:eastAsia="Arial" w:hAnsi="Arial"/>
          <w:sz w:val="18"/>
          <w:szCs w:val="18"/>
          <w:color w:val="auto"/>
        </w:rPr>
        <w:t>General and administrative expenses increased $6.2 million, or 6.8%, in the first quarter of 2022, driven primarily by higher labor costs, including non-cash equity-based compensation expense, as well as higher amortization expense for capitalized software. These increases were partially offset by lower variable performance-based compensation expense.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U.S. Franchise Advertising Expenses</w:t>
      </w:r>
    </w:p>
    <w:p>
      <w:pPr>
        <w:spacing w:after="0" w:line="198" w:lineRule="exact"/>
        <w:rPr>
          <w:sz w:val="20"/>
          <w:szCs w:val="20"/>
          <w:color w:val="auto"/>
        </w:rPr>
      </w:pPr>
    </w:p>
    <w:p>
      <w:pPr>
        <w:ind w:right="40" w:firstLine="255"/>
        <w:spacing w:after="0" w:line="243" w:lineRule="auto"/>
        <w:rPr>
          <w:sz w:val="20"/>
          <w:szCs w:val="20"/>
          <w:color w:val="auto"/>
        </w:rPr>
      </w:pPr>
      <w:r>
        <w:rPr>
          <w:rFonts w:ascii="Arial" w:cs="Arial" w:eastAsia="Arial" w:hAnsi="Arial"/>
          <w:sz w:val="18"/>
          <w:szCs w:val="18"/>
          <w:color w:val="auto"/>
        </w:rPr>
        <w:t>U.S. franchise advertising expenses decreased $4.8 million, or 4.3%, in the first quarter of 2022, consistent with the decrease in U.S. franchise advertising revenues. U.S. franchise advertising costs are accrued and expensed when the related U.S. franchise advertising revenues are recognized, as our consolidated not-for-profit advertising fund is obligated to expend such revenues on advertising and other activities that promote the Domino’s brand and these revenues cannot be used for general corporate purposes.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 Income</w:t>
      </w:r>
    </w:p>
    <w:p>
      <w:pPr>
        <w:spacing w:after="0" w:line="117" w:lineRule="exact"/>
        <w:rPr>
          <w:sz w:val="20"/>
          <w:szCs w:val="20"/>
          <w:color w:val="auto"/>
        </w:rPr>
      </w:pPr>
    </w:p>
    <w:p>
      <w:pPr>
        <w:ind w:right="20" w:firstLine="255"/>
        <w:spacing w:after="0" w:line="248" w:lineRule="auto"/>
        <w:rPr>
          <w:sz w:val="20"/>
          <w:szCs w:val="20"/>
          <w:color w:val="auto"/>
        </w:rPr>
      </w:pPr>
      <w:r>
        <w:rPr>
          <w:rFonts w:ascii="Arial" w:cs="Arial" w:eastAsia="Arial" w:hAnsi="Arial"/>
          <w:sz w:val="18"/>
          <w:szCs w:val="18"/>
          <w:color w:val="auto"/>
        </w:rPr>
        <w:t>During the first quarter of 2021, we recorded a $2.5 million unrealized gain on our investment in DPC Dash (Note 5) resulting from the observable change in price from the valuation of the additional $40.0 million investment we made in the first quarter of 2021. We did not record any adjustments to the carrying amount of $125.8 million in the first quarter of 2022.</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u w:val="single" w:color="auto"/>
          <w:color w:val="auto"/>
        </w:rPr>
        <w:t>Interest Expense, Net</w:t>
      </w:r>
    </w:p>
    <w:p>
      <w:pPr>
        <w:spacing w:after="0" w:line="104" w:lineRule="exact"/>
        <w:rPr>
          <w:sz w:val="20"/>
          <w:szCs w:val="20"/>
          <w:color w:val="auto"/>
        </w:rPr>
      </w:pPr>
    </w:p>
    <w:p>
      <w:pPr>
        <w:ind w:right="420" w:firstLine="255"/>
        <w:spacing w:after="0" w:line="243" w:lineRule="auto"/>
        <w:rPr>
          <w:sz w:val="20"/>
          <w:szCs w:val="20"/>
          <w:color w:val="auto"/>
        </w:rPr>
      </w:pPr>
      <w:r>
        <w:rPr>
          <w:rFonts w:ascii="Arial" w:cs="Arial" w:eastAsia="Arial" w:hAnsi="Arial"/>
          <w:sz w:val="18"/>
          <w:szCs w:val="18"/>
          <w:color w:val="auto"/>
        </w:rPr>
        <w:t>Interest expense, net increased $7.4 million, or 18.8%, in the first quarter of 2022 driven by higher average borrowings resulting from our recapitalization transaction completed on April 16, 2021 (the “2021 Recapitalization”). The Company’s weighted average borrowing rate decreased to 3.7% in the first quarter of 2022 from 3.9% in the first quarter of 2021, resulting from the lower interest rates on the debt outstanding due to the 2021 Recapitalization.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Provision for Income Taxes</w:t>
      </w:r>
    </w:p>
    <w:p>
      <w:pPr>
        <w:spacing w:after="0" w:line="117" w:lineRule="exact"/>
        <w:rPr>
          <w:sz w:val="20"/>
          <w:szCs w:val="20"/>
          <w:color w:val="auto"/>
        </w:rPr>
      </w:pPr>
    </w:p>
    <w:p>
      <w:pPr>
        <w:ind w:right="180" w:firstLine="255"/>
        <w:spacing w:after="0" w:line="284" w:lineRule="auto"/>
        <w:rPr>
          <w:sz w:val="20"/>
          <w:szCs w:val="20"/>
          <w:color w:val="auto"/>
        </w:rPr>
      </w:pPr>
      <w:r>
        <w:rPr>
          <w:rFonts w:ascii="Arial" w:cs="Arial" w:eastAsia="Arial" w:hAnsi="Arial"/>
          <w:sz w:val="16"/>
          <w:szCs w:val="16"/>
          <w:color w:val="auto"/>
        </w:rPr>
        <w:t>Income tax expense decreased $5.1 million, or 16.1%, in the first quarter of 2022 due to a decrease in income before provision for income taxes. The effective tax rate increased to 22.7% during the first quarter of 2022 as compared to 21.3% in the first quarter of 2021. The higher effective tax rate was driven in part by a 0.5 percentage point change in the impact of excess tax benefits from equity-based compensation, which are recorded as a reduction to the income tax provision, as a result of fewer stock option exercises in the first quarter of 2022 as compared to the first quarter of 2021.</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Segment Income</w:t>
      </w:r>
    </w:p>
    <w:p>
      <w:pPr>
        <w:spacing w:after="0" w:line="104" w:lineRule="exact"/>
        <w:rPr>
          <w:sz w:val="20"/>
          <w:szCs w:val="20"/>
          <w:color w:val="auto"/>
        </w:rPr>
      </w:pPr>
    </w:p>
    <w:p>
      <w:pPr>
        <w:ind w:right="500" w:firstLine="255"/>
        <w:spacing w:after="0" w:line="255" w:lineRule="auto"/>
        <w:rPr>
          <w:sz w:val="20"/>
          <w:szCs w:val="20"/>
          <w:color w:val="auto"/>
        </w:rPr>
      </w:pPr>
      <w:r>
        <w:rPr>
          <w:rFonts w:ascii="Arial" w:cs="Arial" w:eastAsia="Arial" w:hAnsi="Arial"/>
          <w:sz w:val="17"/>
          <w:szCs w:val="17"/>
          <w:color w:val="auto"/>
        </w:rPr>
        <w:t>We evaluate the performance of our reportable segments and allocate resources to them based on earnings before interest, taxes, depreciation, amortization and other, referred to as Segment Income. Segment Income for each of our reportable segments is summarized in the table below. Other Segment Income primarily includes corporate administrative costs that are not allocable to a reportable segment, including labor, computer expenses, professional fees, travel and entertainment, rent, insurance and other corporate administrative costs.</w:t>
      </w:r>
    </w:p>
    <w:tbl>
      <w:tblPr>
        <w:tblLayout w:type="fixed"/>
        <w:tblInd w:w="0" w:type="dxa"/>
        <w:tblCellMar>
          <w:top w:w="0" w:type="dxa"/>
          <w:left w:w="0" w:type="dxa"/>
          <w:bottom w:w="0" w:type="dxa"/>
          <w:right w:w="0" w:type="dxa"/>
        </w:tblCellMar>
      </w:tblPr>
      <w:tr>
        <w:trPr>
          <w:trHeight w:val="133"/>
        </w:trPr>
        <w:tc>
          <w:tcPr>
            <w:tcW w:w="7660" w:type="dxa"/>
            <w:vAlign w:val="bottom"/>
          </w:tcPr>
          <w:p>
            <w:pPr>
              <w:spacing w:after="0"/>
              <w:rPr>
                <w:sz w:val="11"/>
                <w:szCs w:val="11"/>
                <w:color w:val="auto"/>
              </w:rPr>
            </w:pPr>
          </w:p>
        </w:tc>
        <w:tc>
          <w:tcPr>
            <w:tcW w:w="1260" w:type="dxa"/>
            <w:vAlign w:val="bottom"/>
          </w:tcPr>
          <w:p>
            <w:pPr>
              <w:jc w:val="center"/>
              <w:ind w:left="302"/>
              <w:spacing w:after="0" w:line="133" w:lineRule="exact"/>
              <w:rPr>
                <w:sz w:val="20"/>
                <w:szCs w:val="20"/>
                <w:color w:val="auto"/>
              </w:rPr>
            </w:pPr>
            <w:r>
              <w:rPr>
                <w:rFonts w:ascii="Arial" w:cs="Arial" w:eastAsia="Arial" w:hAnsi="Arial"/>
                <w:sz w:val="14"/>
                <w:szCs w:val="14"/>
                <w:b w:val="1"/>
                <w:bCs w:val="1"/>
                <w:color w:val="auto"/>
                <w:w w:val="99"/>
              </w:rPr>
              <w:t>First Quarter</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gridSpan w:val="2"/>
          </w:tcPr>
          <w:p>
            <w:pPr>
              <w:jc w:val="right"/>
              <w:ind w:right="460"/>
              <w:spacing w:after="0" w:line="133" w:lineRule="exact"/>
              <w:rPr>
                <w:sz w:val="20"/>
                <w:szCs w:val="20"/>
                <w:color w:val="auto"/>
              </w:rPr>
            </w:pPr>
            <w:r>
              <w:rPr>
                <w:rFonts w:ascii="Arial" w:cs="Arial" w:eastAsia="Arial" w:hAnsi="Arial"/>
                <w:sz w:val="14"/>
                <w:szCs w:val="14"/>
                <w:b w:val="1"/>
                <w:bCs w:val="1"/>
                <w:color w:val="auto"/>
              </w:rPr>
              <w:t>First Quarter</w:t>
            </w:r>
          </w:p>
        </w:tc>
      </w:tr>
      <w:tr>
        <w:trPr>
          <w:trHeight w:val="185"/>
        </w:trPr>
        <w:tc>
          <w:tcPr>
            <w:tcW w:w="7660" w:type="dxa"/>
            <w:vAlign w:val="bottom"/>
          </w:tcPr>
          <w:p>
            <w:pPr>
              <w:spacing w:after="0"/>
              <w:rPr>
                <w:sz w:val="16"/>
                <w:szCs w:val="16"/>
                <w:color w:val="auto"/>
              </w:rPr>
            </w:pPr>
          </w:p>
        </w:tc>
        <w:tc>
          <w:tcPr>
            <w:tcW w:w="1260" w:type="dxa"/>
            <w:vAlign w:val="bottom"/>
          </w:tcPr>
          <w:p>
            <w:pPr>
              <w:jc w:val="center"/>
              <w:ind w:left="302"/>
              <w:spacing w:after="0"/>
              <w:rPr>
                <w:sz w:val="20"/>
                <w:szCs w:val="20"/>
                <w:color w:val="auto"/>
              </w:rPr>
            </w:pPr>
            <w:r>
              <w:rPr>
                <w:rFonts w:ascii="Arial" w:cs="Arial" w:eastAsia="Arial" w:hAnsi="Arial"/>
                <w:sz w:val="14"/>
                <w:szCs w:val="14"/>
                <w:b w:val="1"/>
                <w:bCs w:val="1"/>
                <w:color w:val="auto"/>
                <w:w w:val="91"/>
              </w:rPr>
              <w:t>of 2022</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of 2021</w:t>
            </w:r>
          </w:p>
        </w:tc>
      </w:tr>
      <w:tr>
        <w:trPr>
          <w:trHeight w:val="196"/>
        </w:trPr>
        <w:tc>
          <w:tcPr>
            <w:tcW w:w="766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U.S. stores</w:t>
            </w:r>
          </w:p>
        </w:tc>
        <w:tc>
          <w:tcPr>
            <w:tcW w:w="1260" w:type="dxa"/>
            <w:vAlign w:val="bottom"/>
            <w:tcBorders>
              <w:top w:val="single" w:sz="8" w:color="auto"/>
            </w:tcBorders>
            <w:shd w:val="clear" w:color="auto" w:fill="CFF0FC"/>
          </w:tcPr>
          <w:p>
            <w:pPr>
              <w:jc w:val="right"/>
              <w:ind w:right="1082"/>
              <w:spacing w:after="0" w:line="196" w:lineRule="exact"/>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1"/>
              </w:rPr>
              <w:t>97.3</w:t>
            </w:r>
          </w:p>
        </w:tc>
        <w:tc>
          <w:tcPr>
            <w:tcW w:w="28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107.4</w:t>
            </w:r>
          </w:p>
        </w:tc>
        <w:tc>
          <w:tcPr>
            <w:tcW w:w="80" w:type="dxa"/>
            <w:vAlign w:val="bottom"/>
            <w:shd w:val="clear" w:color="auto" w:fill="CFF0FC"/>
          </w:tcPr>
          <w:p>
            <w:pPr>
              <w:spacing w:after="0"/>
              <w:rPr>
                <w:sz w:val="17"/>
                <w:szCs w:val="17"/>
                <w:color w:val="auto"/>
              </w:rPr>
            </w:pPr>
          </w:p>
        </w:tc>
      </w:tr>
      <w:tr>
        <w:trPr>
          <w:trHeight w:val="203"/>
        </w:trPr>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Supply chain</w:t>
            </w:r>
          </w:p>
        </w:tc>
        <w:tc>
          <w:tcPr>
            <w:tcW w:w="126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w w:val="91"/>
              </w:rPr>
              <w:t>46.3</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52.6</w:t>
            </w:r>
          </w:p>
        </w:tc>
        <w:tc>
          <w:tcPr>
            <w:tcW w:w="80" w:type="dxa"/>
            <w:vAlign w:val="bottom"/>
          </w:tcPr>
          <w:p>
            <w:pPr>
              <w:spacing w:after="0"/>
              <w:rPr>
                <w:sz w:val="17"/>
                <w:szCs w:val="17"/>
                <w:color w:val="auto"/>
              </w:rPr>
            </w:pPr>
          </w:p>
        </w:tc>
      </w:tr>
      <w:tr>
        <w:trPr>
          <w:trHeight w:val="203"/>
        </w:trPr>
        <w:tc>
          <w:tcPr>
            <w:tcW w:w="7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International franchise</w:t>
            </w:r>
          </w:p>
        </w:tc>
        <w:tc>
          <w:tcPr>
            <w:tcW w:w="126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1"/>
              </w:rPr>
              <w:t>55.0</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54.5</w:t>
            </w:r>
          </w:p>
        </w:tc>
        <w:tc>
          <w:tcPr>
            <w:tcW w:w="80" w:type="dxa"/>
            <w:vAlign w:val="bottom"/>
            <w:shd w:val="clear" w:color="auto" w:fill="CFF0FC"/>
          </w:tcPr>
          <w:p>
            <w:pPr>
              <w:spacing w:after="0"/>
              <w:rPr>
                <w:sz w:val="17"/>
                <w:szCs w:val="17"/>
                <w:color w:val="auto"/>
              </w:rPr>
            </w:pPr>
          </w:p>
        </w:tc>
      </w:tr>
      <w:tr>
        <w:trPr>
          <w:trHeight w:val="230"/>
        </w:trPr>
        <w:tc>
          <w:tcPr>
            <w:tcW w:w="7660" w:type="dxa"/>
            <w:vAlign w:val="bottom"/>
          </w:tcPr>
          <w:p>
            <w:pPr>
              <w:ind w:left="200"/>
              <w:spacing w:after="0"/>
              <w:rPr>
                <w:sz w:val="20"/>
                <w:szCs w:val="20"/>
                <w:color w:val="auto"/>
              </w:rPr>
            </w:pPr>
            <w:r>
              <w:rPr>
                <w:rFonts w:ascii="Arial" w:cs="Arial" w:eastAsia="Arial" w:hAnsi="Arial"/>
                <w:sz w:val="18"/>
                <w:szCs w:val="18"/>
                <w:color w:val="auto"/>
              </w:rPr>
              <w:t>Other</w:t>
            </w:r>
          </w:p>
        </w:tc>
        <w:tc>
          <w:tcPr>
            <w:tcW w:w="126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(7.7 )</w:t>
            </w:r>
          </w:p>
        </w:tc>
        <w:tc>
          <w:tcPr>
            <w:tcW w:w="24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(6.1 )</w:t>
            </w: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Stores</w:t>
      </w:r>
    </w:p>
    <w:p>
      <w:pPr>
        <w:spacing w:after="0" w:line="104" w:lineRule="exact"/>
        <w:rPr>
          <w:sz w:val="20"/>
          <w:szCs w:val="20"/>
          <w:color w:val="auto"/>
        </w:rPr>
      </w:pPr>
    </w:p>
    <w:p>
      <w:pPr>
        <w:ind w:right="140" w:firstLine="255"/>
        <w:spacing w:after="0" w:line="241" w:lineRule="auto"/>
        <w:rPr>
          <w:sz w:val="20"/>
          <w:szCs w:val="20"/>
          <w:color w:val="auto"/>
        </w:rPr>
      </w:pPr>
      <w:r>
        <w:rPr>
          <w:rFonts w:ascii="Arial" w:cs="Arial" w:eastAsia="Arial" w:hAnsi="Arial"/>
          <w:sz w:val="18"/>
          <w:szCs w:val="18"/>
          <w:color w:val="auto"/>
        </w:rPr>
        <w:t>U.S. stores Segment Income decreased $10.1 million, or 9.4%, in the first quarter of 2022, primarily due to the $10.5 million decrease in U.S. Company-owned store operating margin, as well as the $2.2 million decrease in U.S. franchise royalties and fees revenues, each as discussed above. U.S. franchise revenues do not have a cost of sales component, therefore changes in these revenues have a disproportionate effect on U.S. stores Segment Income. U.S. franchise advertising costs are accrued and expensed when the related U.S. franchise advertising revenues are recognized and had no impact on U.S. stores Segment Income.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Chain</w:t>
      </w:r>
    </w:p>
    <w:p>
      <w:pPr>
        <w:spacing w:after="0" w:line="104" w:lineRule="exact"/>
        <w:rPr>
          <w:sz w:val="20"/>
          <w:szCs w:val="20"/>
          <w:color w:val="auto"/>
        </w:rPr>
      </w:pPr>
    </w:p>
    <w:p>
      <w:pPr>
        <w:ind w:right="360" w:firstLine="255"/>
        <w:spacing w:after="0" w:line="261" w:lineRule="auto"/>
        <w:rPr>
          <w:sz w:val="20"/>
          <w:szCs w:val="20"/>
          <w:color w:val="auto"/>
        </w:rPr>
      </w:pPr>
      <w:r>
        <w:rPr>
          <w:rFonts w:ascii="Arial" w:cs="Arial" w:eastAsia="Arial" w:hAnsi="Arial"/>
          <w:sz w:val="18"/>
          <w:szCs w:val="18"/>
          <w:color w:val="auto"/>
        </w:rPr>
        <w:t>Supply chain Segment Income decreased $6.2 million, or 11.8%, in the first quarter of 2022, primarily due to the $5.1 million decrease in operating margin described above.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Franchise</w:t>
      </w:r>
    </w:p>
    <w:p>
      <w:pPr>
        <w:spacing w:after="0" w:line="104" w:lineRule="exact"/>
        <w:rPr>
          <w:sz w:val="20"/>
          <w:szCs w:val="20"/>
          <w:color w:val="auto"/>
        </w:rPr>
      </w:pPr>
    </w:p>
    <w:p>
      <w:pPr>
        <w:jc w:val="both"/>
        <w:ind w:right="500" w:firstLine="255"/>
        <w:spacing w:after="0" w:line="248" w:lineRule="auto"/>
        <w:rPr>
          <w:sz w:val="20"/>
          <w:szCs w:val="20"/>
          <w:color w:val="auto"/>
        </w:rPr>
      </w:pPr>
      <w:r>
        <w:rPr>
          <w:rFonts w:ascii="Arial" w:cs="Arial" w:eastAsia="Arial" w:hAnsi="Arial"/>
          <w:sz w:val="18"/>
          <w:szCs w:val="18"/>
          <w:color w:val="auto"/>
        </w:rPr>
        <w:t>International franchise Segment Income increased $0.6 million, or 1.1%, in the first quarter of 2022, primarily due to the $2.1 million increase in international franchise royalties and fees revenues discussed above. International franchise revenues do not have a cost of sales component, therefore changes in these revenues have a disproportionate effect on international franchise Segment Income.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6"/>
          <w:szCs w:val="16"/>
          <w:color w:val="auto"/>
        </w:rPr>
        <w:t>Other Segment Income decreased $1.6 million, or 26.6%, in the first quarter of 2022, due primarily to higher labor, professional fees and travel costs.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These increases were partially offset by lower variable performance-based compensation expense.</w:t>
      </w: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80" w:firstLine="281"/>
        <w:spacing w:after="0" w:line="255" w:lineRule="auto"/>
        <w:rPr>
          <w:sz w:val="20"/>
          <w:szCs w:val="20"/>
          <w:color w:val="auto"/>
        </w:rPr>
      </w:pPr>
      <w:r>
        <w:rPr>
          <w:rFonts w:ascii="Arial" w:cs="Arial" w:eastAsia="Arial" w:hAnsi="Arial"/>
          <w:sz w:val="17"/>
          <w:szCs w:val="17"/>
          <w:color w:val="auto"/>
        </w:rPr>
        <w:t>Historically, our receivable collection periods and inventory turn rates are faster than the normal payment terms on our current liabilities resulting in efficient deployment of working capital. We generally collect our receivables within three weeks from the date of the related sale and we generally experience multiple inventory turns per month. In addition, our sales are not typically seasonal, which further limits variations in our working capital requirements. These factors allow us to manage our working capital and our ongoing cash flows from operations to invest in our business and other strategic opportunities, pay dividends and repurchase and retire shares of our common stock. As of March 27, 2022, we had working capital of $90.8 million, excluding restricted cash and cash equivalents of $168.2 million, advertising fund assets, restricted, of $175.5 million and advertising fund liabilities of $168.2 million. Working capital includes total unrestricted cash and cash equivalents of $165.0 million.</w:t>
      </w:r>
    </w:p>
    <w:p>
      <w:pPr>
        <w:spacing w:after="0" w:line="166" w:lineRule="exact"/>
        <w:rPr>
          <w:sz w:val="20"/>
          <w:szCs w:val="20"/>
          <w:color w:val="auto"/>
        </w:rPr>
      </w:pPr>
    </w:p>
    <w:p>
      <w:pPr>
        <w:ind w:firstLine="281"/>
        <w:spacing w:after="0" w:line="272" w:lineRule="auto"/>
        <w:rPr>
          <w:sz w:val="20"/>
          <w:szCs w:val="20"/>
          <w:color w:val="auto"/>
        </w:rPr>
      </w:pPr>
      <w:r>
        <w:rPr>
          <w:rFonts w:ascii="Arial" w:cs="Arial" w:eastAsia="Arial" w:hAnsi="Arial"/>
          <w:sz w:val="16"/>
          <w:szCs w:val="16"/>
          <w:color w:val="auto"/>
        </w:rPr>
        <w:t>Our primary source of liquidity is cash flows from operations and availability of borrowings under our variable funding notes. During the first quarter of 2022, we experienced an increase in international same store sales (excluding foreign currency impact) versus the comparable periods in the prior year. While our U.S. same store sales declined, both the U.S. and international businesses grew store counts in the first quarter of 2022. These factors contributed to our global retail sales growth realized in the first quarter of 2022, which resulted in our continued ability to generate positive operating cash flows. As of March 27, 2022, we had a variable funding note facility which allowed for advances of up to $200.0 million of Series 2021-1 Variable Funding Senior Secured Notes, Class A-1 Notes and certain other credit instruments, including letters of credit (the “2021 Variable Funding Notes”). The letters of credit are primarily related to our casualty insurance programs and certain supply chain center leases. As of March 27, 2022, we had no outstanding borrowings and $155.8 million of available borrowing capacity under our 2021 Variable Funding Notes, net of letters of credit issued of $44.2 million.</w:t>
      </w:r>
    </w:p>
    <w:p>
      <w:pPr>
        <w:spacing w:after="0" w:line="154" w:lineRule="exact"/>
        <w:rPr>
          <w:sz w:val="20"/>
          <w:szCs w:val="20"/>
          <w:color w:val="auto"/>
        </w:rPr>
      </w:pPr>
    </w:p>
    <w:p>
      <w:pPr>
        <w:jc w:val="both"/>
        <w:ind w:right="100" w:firstLine="281"/>
        <w:spacing w:after="0" w:line="248" w:lineRule="auto"/>
        <w:rPr>
          <w:sz w:val="20"/>
          <w:szCs w:val="20"/>
          <w:color w:val="auto"/>
        </w:rPr>
      </w:pPr>
      <w:r>
        <w:rPr>
          <w:rFonts w:ascii="Arial" w:cs="Arial" w:eastAsia="Arial" w:hAnsi="Arial"/>
          <w:sz w:val="18"/>
          <w:szCs w:val="18"/>
          <w:color w:val="auto"/>
        </w:rPr>
        <w:t>We expect to continue to use our unrestricted cash and cash equivalents, cash flows from operations, excess cash from our recapitalization transactions and available borrowings under our variable funding notes to, among other things, fund working capital requirements, invest in our core business, service our indebtedness, pay dividends and repurchase shares of our common stock.</w:t>
      </w:r>
    </w:p>
    <w:p>
      <w:pPr>
        <w:spacing w:after="0" w:line="168" w:lineRule="exact"/>
        <w:rPr>
          <w:sz w:val="20"/>
          <w:szCs w:val="20"/>
          <w:color w:val="auto"/>
        </w:rPr>
      </w:pPr>
    </w:p>
    <w:p>
      <w:pPr>
        <w:ind w:right="20" w:firstLine="281"/>
        <w:spacing w:after="0"/>
        <w:rPr>
          <w:sz w:val="20"/>
          <w:szCs w:val="20"/>
          <w:color w:val="auto"/>
        </w:rPr>
      </w:pPr>
      <w:r>
        <w:rPr>
          <w:rFonts w:ascii="Arial" w:cs="Arial" w:eastAsia="Arial" w:hAnsi="Arial"/>
          <w:sz w:val="18"/>
          <w:szCs w:val="18"/>
          <w:color w:val="auto"/>
        </w:rPr>
        <w:t>Our ability to continue to fund these items and continue to service our debt could be adversely affected by the occurrence of any of the events described under “Risk Factors” in our 2021 Form 10-K. There can be no assurance that our business will generate sufficient cash flows from operations or that future borrowings will be available under our variable funding notes or otherwise to enable us to service our indebtedness, or to make anticipated capital expenditures. Our future operating performance and our ability to service, extend or refinance our outstanding senior notes and to service, extend or refinance our variable funding notes will be subject to future economic conditions and to financial, business and other factors, many of which are beyond our control.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04" w:lineRule="exact"/>
        <w:rPr>
          <w:sz w:val="20"/>
          <w:szCs w:val="20"/>
          <w:color w:val="auto"/>
        </w:rPr>
      </w:pPr>
    </w:p>
    <w:p>
      <w:pPr>
        <w:ind w:firstLine="255"/>
        <w:spacing w:after="0" w:line="284" w:lineRule="auto"/>
        <w:rPr>
          <w:sz w:val="20"/>
          <w:szCs w:val="20"/>
          <w:color w:val="auto"/>
        </w:rPr>
      </w:pPr>
      <w:r>
        <w:rPr>
          <w:rFonts w:ascii="Arial" w:cs="Arial" w:eastAsia="Arial" w:hAnsi="Arial"/>
          <w:sz w:val="16"/>
          <w:szCs w:val="16"/>
          <w:color w:val="auto"/>
        </w:rPr>
        <w:t>As of March 27, 2022, we had $120.9 million of restricted cash held for future principal and interest payments and other working capital requirements of our asset-backed securitization structure, $47.1 million of restricted cash held in a three-month interest reserve as required by the related debt agreements and $0.2 million of other restricted cash for a total of $168.2 million of restricted cash and cash equivalents. As of March 27, 2022, we also held $153.7 million of advertising fund restricted cash and cash equivalents, which can only be used for activities that promote the Domino’s brand.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104" w:lineRule="exact"/>
        <w:rPr>
          <w:sz w:val="20"/>
          <w:szCs w:val="20"/>
          <w:color w:val="auto"/>
        </w:rPr>
      </w:pPr>
    </w:p>
    <w:p>
      <w:pPr>
        <w:ind w:right="80" w:firstLine="255"/>
        <w:spacing w:after="0" w:line="243" w:lineRule="auto"/>
        <w:rPr>
          <w:sz w:val="20"/>
          <w:szCs w:val="20"/>
          <w:color w:val="auto"/>
        </w:rPr>
      </w:pPr>
      <w:r>
        <w:rPr>
          <w:rFonts w:ascii="Arial" w:cs="Arial" w:eastAsia="Arial" w:hAnsi="Arial"/>
          <w:sz w:val="18"/>
          <w:szCs w:val="18"/>
          <w:color w:val="auto"/>
        </w:rPr>
        <w:t>As of March 27, 2022, we had approximately $5.06 billion of long-term debt, of which $55.6 million was classified as a current liability. As of March 27, 2022, our fixed rate notes from the recapitalizations we completed in 2021, 2019, 2018, 2017 and 2015 had original scheduled principal payments of $38.6 million in the remainder of 2022, $51.5 million in each of 2023 and 2024, $1.17 billion in 2025, $39.3 million in 2026, $1.31 billion in 2027, $811.5 million in 2028, $625.9 million in 2029, $10.0 million in 2030 and $905.0 million in 2031.</w:t>
      </w:r>
    </w:p>
    <w:p>
      <w:pPr>
        <w:spacing w:after="0" w:line="174" w:lineRule="exact"/>
        <w:rPr>
          <w:sz w:val="20"/>
          <w:szCs w:val="20"/>
          <w:color w:val="auto"/>
        </w:rPr>
      </w:pPr>
    </w:p>
    <w:p>
      <w:pPr>
        <w:ind w:right="60" w:firstLine="281"/>
        <w:spacing w:after="0" w:line="259" w:lineRule="auto"/>
        <w:rPr>
          <w:sz w:val="20"/>
          <w:szCs w:val="20"/>
          <w:color w:val="auto"/>
        </w:rPr>
      </w:pPr>
      <w:r>
        <w:rPr>
          <w:rFonts w:ascii="Arial" w:cs="Arial" w:eastAsia="Arial" w:hAnsi="Arial"/>
          <w:sz w:val="17"/>
          <w:szCs w:val="17"/>
          <w:color w:val="auto"/>
        </w:rPr>
        <w:t>In accordance with our debt agreements, the payment of principal on the outstanding senior notes may be suspended if our leverage ratio is less than or equal to 5.0x total debt to adjusted EBITDA, as defined in the related agreements, and no catch-up provisions are applicable. As of the fourth quarter of 2020, we had a leverage ratio of less than 5.0x, and accordingly, did not make the previously scheduled debt amortization payment on our then-outstanding notes in the first quarter of 2021. Subsequent to the closing of the 2021 Recapitalization, we had a leverage ratio of greater than 5.0x, and accordingly, resumed making the previously scheduled debt amortization payment on our notes beginning in the second quarter of 2021.</w:t>
      </w:r>
    </w:p>
    <w:p>
      <w:pPr>
        <w:spacing w:after="0" w:line="160" w:lineRule="exact"/>
        <w:rPr>
          <w:sz w:val="20"/>
          <w:szCs w:val="20"/>
          <w:color w:val="auto"/>
        </w:rPr>
      </w:pPr>
    </w:p>
    <w:p>
      <w:pPr>
        <w:ind w:right="60" w:firstLine="281"/>
        <w:spacing w:after="0" w:line="248" w:lineRule="auto"/>
        <w:rPr>
          <w:sz w:val="20"/>
          <w:szCs w:val="20"/>
          <w:color w:val="auto"/>
        </w:rPr>
      </w:pPr>
      <w:r>
        <w:rPr>
          <w:rFonts w:ascii="Arial" w:cs="Arial" w:eastAsia="Arial" w:hAnsi="Arial"/>
          <w:sz w:val="18"/>
          <w:szCs w:val="18"/>
          <w:color w:val="auto"/>
        </w:rPr>
        <w:t>The notes are subject to certain financial and non-financial covenants, including a debt service coverage ratio calculation. The covenant requires a minimum coverage ratio of 1.75x total debt service to securitized net cash flow, as defined in the related agreements. In the event that certain covenants are not met, the notes may become due and payable on an accelerated schedule.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Share Repurchase Programs</w:t>
      </w:r>
    </w:p>
    <w:p>
      <w:pPr>
        <w:spacing w:after="0" w:line="198" w:lineRule="exact"/>
        <w:rPr>
          <w:sz w:val="20"/>
          <w:szCs w:val="20"/>
          <w:color w:val="auto"/>
        </w:rPr>
      </w:pPr>
    </w:p>
    <w:p>
      <w:pPr>
        <w:ind w:right="40" w:firstLine="281"/>
        <w:spacing w:after="0" w:line="248" w:lineRule="auto"/>
        <w:rPr>
          <w:sz w:val="20"/>
          <w:szCs w:val="20"/>
          <w:color w:val="auto"/>
        </w:rPr>
      </w:pPr>
      <w:r>
        <w:rPr>
          <w:rFonts w:ascii="Arial" w:cs="Arial" w:eastAsia="Arial" w:hAnsi="Arial"/>
          <w:sz w:val="18"/>
          <w:szCs w:val="18"/>
          <w:color w:val="auto"/>
        </w:rPr>
        <w:t>Our share repurchase programs have historically been funded by excess operating cash flows, excess proceeds from our recapitalization transactions and borrowings under our variable funding notes. On July 20, 2021, our Board of Directors authorized a share repurchase program to repurchase up to $1.0 billion of our common stock.</w:t>
      </w:r>
    </w:p>
    <w:p>
      <w:pPr>
        <w:spacing w:after="0" w:line="114" w:lineRule="exact"/>
        <w:rPr>
          <w:sz w:val="20"/>
          <w:szCs w:val="20"/>
          <w:color w:val="auto"/>
        </w:rPr>
      </w:pPr>
    </w:p>
    <w:p>
      <w:pPr>
        <w:ind w:right="60" w:firstLine="284"/>
        <w:spacing w:after="0" w:line="248" w:lineRule="auto"/>
        <w:rPr>
          <w:sz w:val="20"/>
          <w:szCs w:val="20"/>
          <w:color w:val="auto"/>
        </w:rPr>
      </w:pPr>
      <w:r>
        <w:rPr>
          <w:rFonts w:ascii="Arial" w:cs="Arial" w:eastAsia="Arial" w:hAnsi="Arial"/>
          <w:sz w:val="18"/>
          <w:szCs w:val="18"/>
          <w:color w:val="auto"/>
        </w:rPr>
        <w:t>During the first quarter of 2022, we repurchased and retired 100,810 shares of our common stock under our Board of Directors-approved share repurchase program for a total of approximately $47.7 million. As of March 27, 2022, we had a total remaining authorized amount for share repurchases of approximately $656.4 million.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98" w:lineRule="exact"/>
        <w:rPr>
          <w:sz w:val="20"/>
          <w:szCs w:val="20"/>
          <w:color w:val="auto"/>
        </w:rPr>
      </w:pPr>
    </w:p>
    <w:p>
      <w:pPr>
        <w:ind w:right="80" w:firstLine="255"/>
        <w:spacing w:after="0" w:line="243" w:lineRule="auto"/>
        <w:rPr>
          <w:sz w:val="20"/>
          <w:szCs w:val="20"/>
          <w:color w:val="auto"/>
        </w:rPr>
      </w:pPr>
      <w:r>
        <w:rPr>
          <w:rFonts w:ascii="Arial" w:cs="Arial" w:eastAsia="Arial" w:hAnsi="Arial"/>
          <w:sz w:val="18"/>
          <w:szCs w:val="18"/>
          <w:color w:val="auto"/>
        </w:rPr>
        <w:t>On February 24, 2022, our Board of Directors declared a $1.10 per share quarterly dividend on our outstanding common stock for shareholders of record as of March 15, 2022, which was paid on March 30, 2022. We had approximately $40.6 million accrued for common stock dividends at March 27, 2022. Subsequent to the end of the first quarter, on April 26, 2022, our Board of Directors declared a $1.10 per share quarterly dividend on our outstanding common stock for shareholders of record as of June 15, 2022 to be paid on June 30, 2022.</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0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illustrates the main components of our cash flows: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b w:val="1"/>
                <w:bCs w:val="1"/>
                <w:color w:val="auto"/>
              </w:rPr>
              <w:t>First Quarter</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First Quarter</w:t>
            </w:r>
          </w:p>
        </w:tc>
      </w:tr>
      <w:tr>
        <w:trPr>
          <w:trHeight w:val="185"/>
        </w:trPr>
        <w:tc>
          <w:tcPr>
            <w:tcW w:w="69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6"/>
                <w:szCs w:val="16"/>
                <w:color w:val="auto"/>
              </w:rPr>
            </w:pPr>
          </w:p>
        </w:tc>
        <w:tc>
          <w:tcPr>
            <w:tcW w:w="1440" w:type="dxa"/>
            <w:vAlign w:val="bottom"/>
          </w:tcPr>
          <w:p>
            <w:pPr>
              <w:jc w:val="right"/>
              <w:ind w:right="208"/>
              <w:spacing w:after="0"/>
              <w:rPr>
                <w:sz w:val="20"/>
                <w:szCs w:val="20"/>
                <w:color w:val="auto"/>
              </w:rPr>
            </w:pPr>
            <w:r>
              <w:rPr>
                <w:rFonts w:ascii="Arial" w:cs="Arial" w:eastAsia="Arial" w:hAnsi="Arial"/>
                <w:sz w:val="14"/>
                <w:szCs w:val="14"/>
                <w:b w:val="1"/>
                <w:bCs w:val="1"/>
                <w:color w:val="auto"/>
              </w:rPr>
              <w:t>of 2022</w:t>
            </w: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of 2021</w:t>
            </w:r>
          </w:p>
        </w:tc>
      </w:tr>
      <w:tr>
        <w:trPr>
          <w:trHeight w:val="196"/>
        </w:trPr>
        <w:tc>
          <w:tcPr>
            <w:tcW w:w="694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Cash flows provided by (used in)</w:t>
            </w:r>
          </w:p>
        </w:tc>
        <w:tc>
          <w:tcPr>
            <w:tcW w:w="180" w:type="dxa"/>
            <w:vAlign w:val="bottom"/>
            <w:shd w:val="clear" w:color="auto" w:fill="CFF0FC"/>
          </w:tcPr>
          <w:p>
            <w:pPr>
              <w:spacing w:after="0"/>
              <w:rPr>
                <w:sz w:val="17"/>
                <w:szCs w:val="17"/>
                <w:color w:val="auto"/>
              </w:rPr>
            </w:pPr>
          </w:p>
        </w:tc>
        <w:tc>
          <w:tcPr>
            <w:tcW w:w="144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56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6940" w:type="dxa"/>
            <w:vAlign w:val="bottom"/>
          </w:tcPr>
          <w:p>
            <w:pPr>
              <w:ind w:left="20"/>
              <w:spacing w:after="0" w:line="202" w:lineRule="exact"/>
              <w:rPr>
                <w:sz w:val="20"/>
                <w:szCs w:val="20"/>
                <w:color w:val="auto"/>
              </w:rPr>
            </w:pPr>
            <w:r>
              <w:rPr>
                <w:rFonts w:ascii="Arial" w:cs="Arial" w:eastAsia="Arial" w:hAnsi="Arial"/>
                <w:sz w:val="18"/>
                <w:szCs w:val="18"/>
                <w:color w:val="auto"/>
              </w:rPr>
              <w:t>Net cash provided by operating activities</w:t>
            </w:r>
          </w:p>
        </w:tc>
        <w:tc>
          <w:tcPr>
            <w:tcW w:w="1620" w:type="dxa"/>
            <w:vAlign w:val="bottom"/>
            <w:gridSpan w:val="2"/>
          </w:tcPr>
          <w:p>
            <w:pPr>
              <w:jc w:val="right"/>
              <w:ind w:right="1268"/>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78.8</w:t>
            </w:r>
          </w:p>
        </w:tc>
        <w:tc>
          <w:tcPr>
            <w:tcW w:w="26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152.9</w:t>
            </w:r>
          </w:p>
        </w:tc>
        <w:tc>
          <w:tcPr>
            <w:tcW w:w="80" w:type="dxa"/>
            <w:vAlign w:val="bottom"/>
          </w:tcPr>
          <w:p>
            <w:pPr>
              <w:spacing w:after="0"/>
              <w:rPr>
                <w:sz w:val="17"/>
                <w:szCs w:val="17"/>
                <w:color w:val="auto"/>
              </w:rPr>
            </w:pPr>
          </w:p>
        </w:tc>
      </w:tr>
      <w:tr>
        <w:trPr>
          <w:trHeight w:val="203"/>
        </w:trPr>
        <w:tc>
          <w:tcPr>
            <w:tcW w:w="69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cash used in investing activities</w:t>
            </w:r>
          </w:p>
        </w:tc>
        <w:tc>
          <w:tcPr>
            <w:tcW w:w="18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w w:val="96"/>
              </w:rPr>
              <w:t>(20.6 )</w:t>
            </w:r>
          </w:p>
        </w:tc>
        <w:tc>
          <w:tcPr>
            <w:tcW w:w="32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(56.4 )</w:t>
            </w:r>
          </w:p>
        </w:tc>
      </w:tr>
      <w:tr>
        <w:trPr>
          <w:trHeight w:val="203"/>
        </w:trPr>
        <w:tc>
          <w:tcPr>
            <w:tcW w:w="6940" w:type="dxa"/>
            <w:vAlign w:val="bottom"/>
          </w:tcPr>
          <w:p>
            <w:pPr>
              <w:ind w:left="20"/>
              <w:spacing w:after="0" w:line="202" w:lineRule="exact"/>
              <w:rPr>
                <w:sz w:val="20"/>
                <w:szCs w:val="20"/>
                <w:color w:val="auto"/>
              </w:rPr>
            </w:pPr>
            <w:r>
              <w:rPr>
                <w:rFonts w:ascii="Arial" w:cs="Arial" w:eastAsia="Arial" w:hAnsi="Arial"/>
                <w:sz w:val="18"/>
                <w:szCs w:val="18"/>
                <w:color w:val="auto"/>
              </w:rPr>
              <w:t>Net cash used in financing activities</w:t>
            </w: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7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w w:val="96"/>
              </w:rPr>
              <w:t>(62.1 )</w:t>
            </w:r>
          </w:p>
        </w:tc>
        <w:tc>
          <w:tcPr>
            <w:tcW w:w="320" w:type="dxa"/>
            <w:vAlign w:val="bottom"/>
          </w:tcPr>
          <w:p>
            <w:pPr>
              <w:spacing w:after="0"/>
              <w:rPr>
                <w:sz w:val="17"/>
                <w:szCs w:val="17"/>
                <w:color w:val="auto"/>
              </w:rPr>
            </w:pPr>
          </w:p>
        </w:tc>
        <w:tc>
          <w:tcPr>
            <w:tcW w:w="1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(23.1 )</w:t>
            </w:r>
          </w:p>
        </w:tc>
      </w:tr>
      <w:tr>
        <w:trPr>
          <w:trHeight w:val="203"/>
        </w:trPr>
        <w:tc>
          <w:tcPr>
            <w:tcW w:w="69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Effect of exchange rate changes on cash</w:t>
            </w:r>
          </w:p>
        </w:tc>
        <w:tc>
          <w:tcPr>
            <w:tcW w:w="180" w:type="dxa"/>
            <w:vAlign w:val="bottom"/>
            <w:tcBorders>
              <w:bottom w:val="single" w:sz="8" w:color="CFF0FC"/>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0.4</w:t>
            </w:r>
          </w:p>
        </w:tc>
        <w:tc>
          <w:tcPr>
            <w:tcW w:w="2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0.2</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6940" w:type="dxa"/>
            <w:vAlign w:val="bottom"/>
          </w:tcPr>
          <w:p>
            <w:pPr>
              <w:ind w:left="20"/>
              <w:spacing w:after="0" w:line="196" w:lineRule="exact"/>
              <w:rPr>
                <w:sz w:val="20"/>
                <w:szCs w:val="20"/>
                <w:color w:val="auto"/>
              </w:rPr>
            </w:pPr>
            <w:r>
              <w:rPr>
                <w:rFonts w:ascii="Arial" w:cs="Arial" w:eastAsia="Arial" w:hAnsi="Arial"/>
                <w:sz w:val="18"/>
                <w:szCs w:val="18"/>
                <w:color w:val="auto"/>
              </w:rPr>
              <w:t>Change in cash and cash equivalents, restricted cash and cash equivalents</w:t>
            </w:r>
          </w:p>
        </w:tc>
        <w:tc>
          <w:tcPr>
            <w:tcW w:w="1620" w:type="dxa"/>
            <w:vAlign w:val="bottom"/>
            <w:gridSpan w:val="2"/>
          </w:tcPr>
          <w:p>
            <w:pPr>
              <w:jc w:val="right"/>
              <w:ind w:right="1268"/>
              <w:spacing w:after="0" w:line="196"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(3.6 )</w:t>
            </w: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73.5</w:t>
            </w:r>
          </w:p>
        </w:tc>
        <w:tc>
          <w:tcPr>
            <w:tcW w:w="80" w:type="dxa"/>
            <w:vAlign w:val="bottom"/>
          </w:tcPr>
          <w:p>
            <w:pPr>
              <w:spacing w:after="0"/>
              <w:rPr>
                <w:sz w:val="17"/>
                <w:szCs w:val="17"/>
                <w:color w:val="auto"/>
              </w:rPr>
            </w:pPr>
          </w:p>
        </w:tc>
      </w:tr>
      <w:tr>
        <w:trPr>
          <w:trHeight w:val="20"/>
        </w:trPr>
        <w:tc>
          <w:tcPr>
            <w:tcW w:w="6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-159385</wp:posOffset>
            </wp:positionV>
            <wp:extent cx="60325"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-159385</wp:posOffset>
            </wp:positionV>
            <wp:extent cx="51435"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40" w:firstLine="281"/>
        <w:spacing w:after="0" w:line="274" w:lineRule="auto"/>
        <w:rPr>
          <w:sz w:val="20"/>
          <w:szCs w:val="20"/>
          <w:color w:val="auto"/>
        </w:rPr>
      </w:pPr>
      <w:r>
        <w:rPr>
          <w:rFonts w:ascii="Arial" w:cs="Arial" w:eastAsia="Arial" w:hAnsi="Arial"/>
          <w:sz w:val="16"/>
          <w:szCs w:val="16"/>
          <w:color w:val="auto"/>
        </w:rPr>
        <w:t>Cash provided by operating activities decreased $74.1 million in the first quarter of 2022, primarily due to the negative impact of changes in operating assets and liabilities of $32.2 million. The negative impact of changes in operating assets and liabilities related to the timing of payments on accounts payable, accrued liabilities and income taxes as well as the timing and pricing of inventory in the first quarter of 2022 as compared to the first quarter of 2021. The decrease in cash provided by operating activities was also due to a $23.3 million negative impact of changes in advertising fund assets and liabilities, restricted, in the first quarter of 2022 as compared to the first quarter of 2021 due to payments for advertising activities outpacing receipts for advertising contributions. Additionally, net income decreased $26.8 million; however, this included an $8.2 million increase in non-cash adjustments, resulting in an overall decrease to cash provided by operating activities in the first quarter of 2022 as compared to the first quarter of 2021 of $18.6 million.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04" w:lineRule="exact"/>
        <w:rPr>
          <w:sz w:val="20"/>
          <w:szCs w:val="20"/>
          <w:color w:val="auto"/>
        </w:rPr>
      </w:pPr>
    </w:p>
    <w:p>
      <w:pPr>
        <w:jc w:val="both"/>
        <w:ind w:right="460" w:firstLine="281"/>
        <w:spacing w:after="0" w:line="248" w:lineRule="auto"/>
        <w:rPr>
          <w:sz w:val="20"/>
          <w:szCs w:val="20"/>
          <w:color w:val="auto"/>
        </w:rPr>
      </w:pPr>
      <w:r>
        <w:rPr>
          <w:rFonts w:ascii="Arial" w:cs="Arial" w:eastAsia="Arial" w:hAnsi="Arial"/>
          <w:sz w:val="18"/>
          <w:szCs w:val="18"/>
          <w:color w:val="auto"/>
        </w:rPr>
        <w:t>Cash used in investing activities was $20.6 million in the first quarter of 2022, which primarily consisted of $12.5 million of capital expenditures (driven primarily by investments in technological initiatives, supply chain centers and corporate store operations). We also acquired 23 U.S. franchise stores from certain of our existing U.S. franchisees for $6.8 million.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31" w:lineRule="exact"/>
        <w:rPr>
          <w:sz w:val="20"/>
          <w:szCs w:val="20"/>
          <w:color w:val="auto"/>
        </w:rPr>
      </w:pPr>
    </w:p>
    <w:p>
      <w:pPr>
        <w:ind w:right="100" w:firstLine="284"/>
        <w:spacing w:after="0" w:line="249" w:lineRule="auto"/>
        <w:rPr>
          <w:sz w:val="20"/>
          <w:szCs w:val="20"/>
          <w:color w:val="auto"/>
        </w:rPr>
      </w:pPr>
      <w:r>
        <w:rPr>
          <w:rFonts w:ascii="Arial" w:cs="Arial" w:eastAsia="Arial" w:hAnsi="Arial"/>
          <w:sz w:val="18"/>
          <w:szCs w:val="18"/>
          <w:color w:val="auto"/>
        </w:rPr>
        <w:t>Cash used in financing activities was $62.1 million in the first quarter of 2022, which primarily consisted of the repurchase of approximately $47.7 million in common stock under our Board of Directors-approved share repurchase program, repayments of long-term debt and finance lease obligations of $13.9 million and tax payments for the vesting of restricted stock of $0.8 million. These uses of cash were partially offset by proceeds from the exercise of stock options of $0.3 million.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02" w:lineRule="exact"/>
        <w:rPr>
          <w:sz w:val="20"/>
          <w:szCs w:val="20"/>
          <w:color w:val="auto"/>
        </w:rPr>
      </w:pPr>
    </w:p>
    <w:p>
      <w:pPr>
        <w:ind w:right="280" w:firstLine="284"/>
        <w:spacing w:after="0" w:line="239" w:lineRule="auto"/>
        <w:rPr>
          <w:sz w:val="20"/>
          <w:szCs w:val="20"/>
          <w:color w:val="auto"/>
        </w:rPr>
      </w:pPr>
      <w:r>
        <w:rPr>
          <w:rFonts w:ascii="Arial" w:cs="Arial" w:eastAsia="Arial" w:hAnsi="Arial"/>
          <w:sz w:val="18"/>
          <w:szCs w:val="18"/>
          <w:color w:val="auto"/>
        </w:rPr>
        <w:t>For a description of the Company’s critical accounting estimates, refer to “Part II—Item 7—Management’s Discussion and Analysis of Financial Condition and Results of Operations” in the 2021 Form 10-K. The Company considers its most significant accounting policies and estimates to be long-lived assets, casualty insurance reserves and income taxes. There have been no material changes to the Company’s critical accounting estimates since January 2, 2022.</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This filing contains various forward-looking statements about the Company within the meaning of the Private Securities Litigation Reform Act of 1995 (the “Act”) that are based on current management expectations that involve substantial risks and uncertainties which could cause actual results to differ materially from the results expressed in, or implied by, these forward-looking statements. The following cautionary statements are being made pursuant to the provisions of the Act and with the intention of obtaining the benefits of the “safe harbor” provisions of the Act. You can identify forward-looking statements by the use of words such as “anticipates,” “believes,” “could,” “should,” “estimates,” “expects,” “intends,” “may,” “will,” “plans,” “predicts,” “projects,” “seeks,” “approximately,” “potential,” “outlook” and similar terms and phrases that concern our strategy, plans or intentions, including references to assumptions. These forward-looking statements address various matters including information concerning future results of operations and business strategy, our anticipated profitability, estimates in same store sales growth, the growth of our U.S. and international business, our ability to service our indebtedness, our future cash flows, our operating performance, trends in our business and other descriptions of future events reflect the Company’s expectations based upon currently available information and data. While we believe these expectations and projections are based on reasonable assumptions, such forward-looking statements are inherently subject to risks, uncertainties and assumptions. Important factors that could cause actual results to differ materially from our expectations are more fully described under the section headed “Risk Factors” in this filing and in our other filings with the Securities and Exchange Commission, including under the section headed “Risk Factors” in our 2021 Form 10-K. Actual results may differ materially from those expressed or implied in the forward-looking statements as a result of various factors, including but not limited to: our substantial increased indebtedness as a result of our recapitalization transactions and our ability to incur additional indebtedness or refinance or renegotiate key terms of that indebtedness in the future; the impact a downgrade in our credit rating may have on our business, financial condition and results of operations; our future financial performance and our ability to pay principal and interest on our indebtedness; our ability to manage difficulties associated with or related to the ongoing COVID-19 pandemic and the effects of COVID-19 and related regulations and policies on our business and supply chain, including impacts on the availability of labor; labor shortages or changes in operating expenses resulting from changes in prices of food (particularly cheese), fuel and other commodity costs, labor, utilities, insurance, employee benefits and other operating costs; the effectiveness of our advertising, operations and promotional initiatives; shortages, interruptions or disruptions in the supply or delivery of fresh food products and store equipment; the strength of our brand, including our ability to compete in the U.S. and internationally in our intensely competitive industry, including the food service and food delivery markets; the impact of social media and other consumer-oriented technologies on our business, brand and reputation; the impact of new or improved technologies and alternative methods of delivery on consumer behavior; new product, digital ordering and concept developments by us, and other food-industry competitors; our ability to maintain good relationships with and attract new franchisees, and franchisees’ ability to successfully manage their operations without negatively impacting our royalty payments and fees or our brand’s reputation; our ability to successfully implement cost-saving strategies; our ability and that of our franchisees to successfully operate in the current and future credit environment; changes in the level of consumer spending given general economic conditions, including interest rates, energy prices and consumer confidence; our ability and that of our franchisees to open new restaurants and keep existing restaurants in operation; the impact that widespread illness, health epidemics or general health concerns, severe weather conditions and natural disasters may have on our business and the economies of the countries where we operate; changes in foreign currency exchange rates; changes in income tax rates; our ability to retain or replace our executive officers and other key members of management and our ability to adequately staff our stores and supply chain centers with qualified personnel; our ability to find and/or retain suitable real estate for our stores and supply chain centers; changes in government legislation and regulations, including changes in laws and regulations regarding information privacy, payment methods and consumer protection and social media; adverse legal judgments or settlements; food-borne illness or contamination of products or food tampering; data breaches, power loss, technological failures, user error or other cyber risks threatening us or our franchisees; the impact that environmental, social and governance matters may have on our business and reputation; the effect of war, terrorism, catastrophic events or climate change; our ability to pay dividends and repurchase shares; changes in consumer tastes, spending and traffic patterns and demographic trends; actions by activist investors; changes in accounting policies; and adequacy of our insurance coverage. In light of these risks, uncertainties and assumptions, the forward-looking events discussed in this filing might not occur. All forward-looking statements speak only as of the date of this filing and should be evaluated with an understanding of their inherent uncertainty. Except as required under federal securities laws and the rules and regulations of the Securities and Exchange Commission, or other applicable law, we will not undertake, and specifically disclaim, any obligation to publicly update or revise any forward-looking statements to reflect events or circumstances arising after the date of this filing, whether as a result of new information, future events or otherwise. You are cautioned not to place undue reliance on the forward-looking statements included in this filing or that may be made elsewhere from time to time by, or on behalf of, us. All forward-looking statements attributable to us are expressly qualified by these cautionary statements.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w:t>
      </w:r>
    </w:p>
    <w:p>
      <w:pPr>
        <w:spacing w:after="0" w:line="239" w:lineRule="exact"/>
        <w:rPr>
          <w:sz w:val="20"/>
          <w:szCs w:val="20"/>
          <w:color w:val="auto"/>
        </w:rPr>
      </w:pPr>
    </w:p>
    <w:p>
      <w:pPr>
        <w:ind w:firstLine="284"/>
        <w:spacing w:after="0" w:line="294" w:lineRule="auto"/>
        <w:rPr>
          <w:sz w:val="20"/>
          <w:szCs w:val="20"/>
          <w:color w:val="auto"/>
        </w:rPr>
      </w:pPr>
      <w:r>
        <w:rPr>
          <w:rFonts w:ascii="Arial" w:cs="Arial" w:eastAsia="Arial" w:hAnsi="Arial"/>
          <w:sz w:val="16"/>
          <w:szCs w:val="16"/>
          <w:color w:val="auto"/>
        </w:rPr>
        <w:t>We do not engage in speculative transactions nor do we hold or issue financial instruments for trading purposes. In connection with the recapitalizations of our business, we have issued fixed rate notes and entered into variable funding notes and, at March 27, 2022, we are exposed to interest rate risk on borrowings under our variable funding notes. As of March 27, 2022, we had no outstanding borrowings under our 2021 Variable Funding Notes.</w:t>
      </w:r>
    </w:p>
    <w:p>
      <w:pPr>
        <w:spacing w:after="0" w:line="174" w:lineRule="exact"/>
        <w:rPr>
          <w:sz w:val="20"/>
          <w:szCs w:val="20"/>
          <w:color w:val="auto"/>
        </w:rPr>
      </w:pPr>
    </w:p>
    <w:p>
      <w:pPr>
        <w:ind w:right="20" w:firstLine="284"/>
        <w:spacing w:after="0" w:line="257" w:lineRule="auto"/>
        <w:rPr>
          <w:sz w:val="20"/>
          <w:szCs w:val="20"/>
          <w:color w:val="auto"/>
        </w:rPr>
      </w:pPr>
      <w:r>
        <w:rPr>
          <w:rFonts w:ascii="Arial" w:cs="Arial" w:eastAsia="Arial" w:hAnsi="Arial"/>
          <w:sz w:val="17"/>
          <w:szCs w:val="17"/>
          <w:color w:val="auto"/>
        </w:rPr>
        <w:t>Our 2021 Variable Funding Notes bear interest at fluctuating interest rates based on LIBOR. There is currently uncertainty around whether LIBOR will continue to exist after 2023. Our 2021 Variable Funding Notes loan documents contemplate a transition from LIBOR to secured overnight financing rate (“SOFR”) in the event that LIBOR ceases to exist. Because the composition and characteristics of SOFR are not the same as those of LIBOR, in such event, there can be no assurance that SOFR will perform the same way LIBOR would have at any given time or for any applicable period. As a result, our interest expense could increase, in which event we may have difficulties making interest payments and funding our other fixed costs, and our available cash flow for general corporate requirements may be adversely affected.</w:t>
      </w:r>
    </w:p>
    <w:p>
      <w:pPr>
        <w:spacing w:after="0" w:line="162" w:lineRule="exact"/>
        <w:rPr>
          <w:sz w:val="20"/>
          <w:szCs w:val="20"/>
          <w:color w:val="auto"/>
        </w:rPr>
      </w:pPr>
    </w:p>
    <w:p>
      <w:pPr>
        <w:ind w:right="40" w:firstLine="284"/>
        <w:spacing w:after="0" w:line="261" w:lineRule="auto"/>
        <w:rPr>
          <w:sz w:val="20"/>
          <w:szCs w:val="20"/>
          <w:color w:val="auto"/>
        </w:rPr>
      </w:pPr>
      <w:r>
        <w:rPr>
          <w:rFonts w:ascii="Arial" w:cs="Arial" w:eastAsia="Arial" w:hAnsi="Arial"/>
          <w:sz w:val="18"/>
          <w:szCs w:val="18"/>
          <w:color w:val="auto"/>
        </w:rPr>
        <w:t>Our fixed rate debt exposes the Company to changes in market interest rates reflected in the fair value of the debt and to the risk that the Company may need to refinance maturing debt with new debt at a higher rate.</w:t>
      </w:r>
    </w:p>
    <w:p>
      <w:pPr>
        <w:spacing w:after="0" w:line="157" w:lineRule="exact"/>
        <w:rPr>
          <w:sz w:val="20"/>
          <w:szCs w:val="20"/>
          <w:color w:val="auto"/>
        </w:rPr>
      </w:pPr>
    </w:p>
    <w:p>
      <w:pPr>
        <w:ind w:right="160" w:firstLine="284"/>
        <w:spacing w:after="0" w:line="276" w:lineRule="auto"/>
        <w:rPr>
          <w:sz w:val="20"/>
          <w:szCs w:val="20"/>
          <w:color w:val="auto"/>
        </w:rPr>
      </w:pPr>
      <w:r>
        <w:rPr>
          <w:rFonts w:ascii="Arial" w:cs="Arial" w:eastAsia="Arial" w:hAnsi="Arial"/>
          <w:sz w:val="16"/>
          <w:szCs w:val="16"/>
          <w:color w:val="auto"/>
        </w:rPr>
        <w:t>We are exposed to market risks from changes in commodity prices. During the normal course of business, we purchase cheese and certain other food products that are affected by changes in commodity prices and, as a result, we are subject to volatility in our food costs. Severe increases in commodity prices or food costs, including as a result of inflation, could affect the global and U.S. economies and could also adversely impact our business, financial condition or results of operations. We may periodically enter into financial instruments to manage this risk, although we have not done so historically. We do not engage in speculative transactions or hold or issue financial instruments for trading purposes. In instances when we use fixed pricing agreements with our suppliers, these agreements cover our physical commodity needs, are not net-settled and are accounted for as normal purchases.</w:t>
      </w:r>
    </w:p>
    <w:p>
      <w:pPr>
        <w:spacing w:after="0" w:line="189" w:lineRule="exact"/>
        <w:rPr>
          <w:sz w:val="20"/>
          <w:szCs w:val="20"/>
          <w:color w:val="auto"/>
        </w:rPr>
      </w:pPr>
    </w:p>
    <w:p>
      <w:pPr>
        <w:ind w:right="180" w:firstLine="284"/>
        <w:spacing w:after="0" w:line="257" w:lineRule="auto"/>
        <w:rPr>
          <w:sz w:val="20"/>
          <w:szCs w:val="20"/>
          <w:color w:val="auto"/>
        </w:rPr>
      </w:pPr>
      <w:r>
        <w:rPr>
          <w:rFonts w:ascii="Arial" w:cs="Arial" w:eastAsia="Arial" w:hAnsi="Arial"/>
          <w:sz w:val="17"/>
          <w:szCs w:val="17"/>
          <w:color w:val="auto"/>
        </w:rPr>
        <w:t>We have exposure to various foreign currency exchange rate fluctuations for revenues generated by our operations outside the U.S., which can adversely impact our net income and cash flows. Approximately 6.8% of our total revenues in the first quarter of 2022 and the first quarter of 2021 were derived from our international franchise segment, a majority of which were denominated in foreign currencies. We also operate dough manufacturing and distribution facilities in Canada, which generate revenues denominated in Canadian dollars. We do not enter into financial instruments to manage this foreign currency exchange risk. A hypothetical 10% adverse change in the foreign currency rates for our international markets would have resulted in a negative impact on royalty revenues of approximately $6.2 million in the first quarter of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02" w:lineRule="exact"/>
        <w:rPr>
          <w:sz w:val="20"/>
          <w:szCs w:val="20"/>
          <w:color w:val="auto"/>
        </w:rPr>
      </w:pPr>
    </w:p>
    <w:p>
      <w:pPr>
        <w:ind w:right="140" w:firstLine="284"/>
        <w:spacing w:after="0" w:line="262" w:lineRule="auto"/>
        <w:rPr>
          <w:sz w:val="20"/>
          <w:szCs w:val="20"/>
          <w:color w:val="auto"/>
        </w:rPr>
      </w:pPr>
      <w:r>
        <w:rPr>
          <w:rFonts w:ascii="Arial" w:cs="Arial" w:eastAsia="Arial" w:hAnsi="Arial"/>
          <w:sz w:val="17"/>
          <w:szCs w:val="17"/>
          <w:color w:val="auto"/>
        </w:rPr>
        <w:t>Management, with the participation of the Company’s Chief Executive Officer (who is also serving as the Company’s principal financial officer), Richard E. Allison, Jr., performed an evaluation of the effectiveness of the Company’s disclosure controls and procedures (as that term is defined in Rules 13a-15(e) and 15d-15(e) under the Securities Exchange Act of 1934, as amended) as of the end of the period covered by this report. Based on that evaluation, Mr. Allison concluded that the Company’s disclosure controls and procedures were effective.</w:t>
      </w:r>
    </w:p>
    <w:p>
      <w:pPr>
        <w:spacing w:after="0" w:line="159" w:lineRule="exact"/>
        <w:rPr>
          <w:sz w:val="20"/>
          <w:szCs w:val="20"/>
          <w:color w:val="auto"/>
        </w:rPr>
      </w:pPr>
    </w:p>
    <w:p>
      <w:pPr>
        <w:jc w:val="both"/>
        <w:ind w:right="440" w:firstLine="284"/>
        <w:spacing w:after="0"/>
        <w:rPr>
          <w:sz w:val="20"/>
          <w:szCs w:val="20"/>
          <w:color w:val="auto"/>
        </w:rPr>
      </w:pPr>
      <w:r>
        <w:rPr>
          <w:rFonts w:ascii="Arial" w:cs="Arial" w:eastAsia="Arial" w:hAnsi="Arial"/>
          <w:sz w:val="18"/>
          <w:szCs w:val="18"/>
          <w:color w:val="auto"/>
        </w:rPr>
        <w:t>During the quarterly period ended March 27, 2022, there were no changes in the Company’s internal control over financial reporting as defined in Rules 13a-15(f) and 15d-15(f) that have materially affected or are reasonably likely to materially affect the Company’s internal control over financial reporting.</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jc w:val="both"/>
        <w:ind w:firstLine="281"/>
        <w:spacing w:after="0" w:line="307" w:lineRule="auto"/>
        <w:rPr>
          <w:sz w:val="20"/>
          <w:szCs w:val="20"/>
          <w:color w:val="auto"/>
        </w:rPr>
      </w:pPr>
      <w:r>
        <w:rPr>
          <w:rFonts w:ascii="Arial" w:cs="Arial" w:eastAsia="Arial" w:hAnsi="Arial"/>
          <w:sz w:val="16"/>
          <w:szCs w:val="16"/>
          <w:color w:val="auto"/>
        </w:rPr>
        <w:t>We are a party to lawsuits, revenue agent reviews by taxing authorities and administrative proceedings in the ordinary course of business which include, without limitation, workers’ compensation, general liability, automobile and franchisee claims. We are also subject to suits related to employment practices.</w:t>
      </w:r>
    </w:p>
    <w:p>
      <w:pPr>
        <w:spacing w:after="0" w:line="96" w:lineRule="exact"/>
        <w:rPr>
          <w:sz w:val="20"/>
          <w:szCs w:val="20"/>
          <w:color w:val="auto"/>
        </w:rPr>
      </w:pPr>
    </w:p>
    <w:p>
      <w:pPr>
        <w:ind w:right="420" w:firstLine="281"/>
        <w:spacing w:after="0" w:line="246" w:lineRule="auto"/>
        <w:rPr>
          <w:sz w:val="20"/>
          <w:szCs w:val="20"/>
          <w:color w:val="auto"/>
        </w:rPr>
      </w:pPr>
      <w:r>
        <w:rPr>
          <w:rFonts w:ascii="Arial" w:cs="Arial" w:eastAsia="Arial" w:hAnsi="Arial"/>
          <w:sz w:val="18"/>
          <w:szCs w:val="18"/>
          <w:color w:val="auto"/>
        </w:rPr>
        <w:t>While we may occasionally be party to large claims, including class action suits, we do not believe that any existing matters, individually or in the aggregate, will materially affect our financial position, results of operations or cash flows.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There have been no material changes with respect to those risk factors previously disclosed in Item 1A “Risk Factors” in Part I of our 2021 Form 10-K.</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 Purchases of Equity Securities by the Issuer and Affiliated Purchasers.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tcPr>
          <w:p>
            <w:pPr>
              <w:jc w:val="center"/>
              <w:ind w:right="101"/>
              <w:spacing w:after="0"/>
              <w:rPr>
                <w:sz w:val="20"/>
                <w:szCs w:val="20"/>
                <w:color w:val="auto"/>
              </w:rPr>
            </w:pPr>
            <w:r>
              <w:rPr>
                <w:rFonts w:ascii="Arial" w:cs="Arial" w:eastAsia="Arial" w:hAnsi="Arial"/>
                <w:sz w:val="14"/>
                <w:szCs w:val="14"/>
                <w:b w:val="1"/>
                <w:bCs w:val="1"/>
                <w:color w:val="auto"/>
                <w:w w:val="99"/>
              </w:rPr>
              <w:t>Maximum</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tcPr>
          <w:p>
            <w:pPr>
              <w:jc w:val="center"/>
              <w:ind w:right="101"/>
              <w:spacing w:after="0"/>
              <w:rPr>
                <w:sz w:val="20"/>
                <w:szCs w:val="20"/>
                <w:color w:val="auto"/>
              </w:rPr>
            </w:pPr>
            <w:r>
              <w:rPr>
                <w:rFonts w:ascii="Arial" w:cs="Arial" w:eastAsia="Arial" w:hAnsi="Arial"/>
                <w:sz w:val="14"/>
                <w:szCs w:val="14"/>
                <w:b w:val="1"/>
                <w:bCs w:val="1"/>
                <w:color w:val="auto"/>
                <w:w w:val="95"/>
              </w:rPr>
              <w:t>Approximate Dollar</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tcPr>
          <w:p>
            <w:pPr>
              <w:jc w:val="center"/>
              <w:ind w:right="101"/>
              <w:spacing w:after="0"/>
              <w:rPr>
                <w:sz w:val="20"/>
                <w:szCs w:val="20"/>
                <w:color w:val="auto"/>
              </w:rPr>
            </w:pPr>
            <w:r>
              <w:rPr>
                <w:rFonts w:ascii="Arial" w:cs="Arial" w:eastAsia="Arial" w:hAnsi="Arial"/>
                <w:sz w:val="14"/>
                <w:szCs w:val="14"/>
                <w:b w:val="1"/>
                <w:bCs w:val="1"/>
                <w:color w:val="auto"/>
                <w:w w:val="92"/>
              </w:rPr>
              <w:t>Value of Shares that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1"/>
              </w:rPr>
              <w:t>Purchased as Part of</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tcPr>
          <w:p>
            <w:pPr>
              <w:jc w:val="center"/>
              <w:ind w:right="101"/>
              <w:spacing w:after="0"/>
              <w:rPr>
                <w:sz w:val="20"/>
                <w:szCs w:val="20"/>
                <w:color w:val="auto"/>
              </w:rPr>
            </w:pPr>
            <w:r>
              <w:rPr>
                <w:rFonts w:ascii="Arial" w:cs="Arial" w:eastAsia="Arial" w:hAnsi="Arial"/>
                <w:sz w:val="14"/>
                <w:szCs w:val="14"/>
                <w:b w:val="1"/>
                <w:bCs w:val="1"/>
                <w:color w:val="auto"/>
                <w:w w:val="93"/>
              </w:rPr>
              <w:t>May Yet Be Purchased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7"/>
              </w:rPr>
              <w:t>of Shares</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jc w:val="right"/>
              <w:ind w:right="176"/>
              <w:spacing w:after="0"/>
              <w:rPr>
                <w:sz w:val="20"/>
                <w:szCs w:val="20"/>
                <w:color w:val="auto"/>
              </w:rPr>
            </w:pPr>
            <w:r>
              <w:rPr>
                <w:rFonts w:ascii="Arial" w:cs="Arial" w:eastAsia="Arial" w:hAnsi="Arial"/>
                <w:sz w:val="14"/>
                <w:szCs w:val="14"/>
                <w:b w:val="1"/>
                <w:bCs w:val="1"/>
                <w:color w:val="auto"/>
                <w:w w:val="96"/>
              </w:rPr>
              <w:t>Average Price Paid</w:t>
            </w:r>
          </w:p>
        </w:tc>
        <w:tc>
          <w:tcPr>
            <w:tcW w:w="420" w:type="dxa"/>
            <w:vAlign w:val="bottom"/>
          </w:tcPr>
          <w:p>
            <w:pPr>
              <w:spacing w:after="0"/>
              <w:rPr>
                <w:sz w:val="15"/>
                <w:szCs w:val="15"/>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2"/>
              </w:rPr>
              <w:t>Publicly Announced</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tcPr>
          <w:p>
            <w:pPr>
              <w:jc w:val="center"/>
              <w:ind w:right="101"/>
              <w:spacing w:after="0"/>
              <w:rPr>
                <w:sz w:val="20"/>
                <w:szCs w:val="20"/>
                <w:color w:val="auto"/>
              </w:rPr>
            </w:pPr>
            <w:r>
              <w:rPr>
                <w:rFonts w:ascii="Arial" w:cs="Arial" w:eastAsia="Arial" w:hAnsi="Arial"/>
                <w:sz w:val="14"/>
                <w:szCs w:val="14"/>
                <w:b w:val="1"/>
                <w:bCs w:val="1"/>
                <w:color w:val="auto"/>
                <w:w w:val="94"/>
              </w:rPr>
              <w:t>Under the Program (2)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Period</w:t>
            </w:r>
          </w:p>
        </w:tc>
        <w:tc>
          <w:tcPr>
            <w:tcW w:w="60" w:type="dxa"/>
            <w:vAlign w:val="bottom"/>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Purchased (1)</w:t>
            </w:r>
          </w:p>
        </w:tc>
        <w:tc>
          <w:tcPr>
            <w:tcW w:w="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Per Share</w:t>
            </w:r>
          </w:p>
        </w:tc>
        <w:tc>
          <w:tcPr>
            <w:tcW w:w="420" w:type="dxa"/>
            <w:vAlign w:val="bottom"/>
          </w:tcPr>
          <w:p>
            <w:pPr>
              <w:spacing w:after="0"/>
              <w:rPr>
                <w:sz w:val="16"/>
                <w:szCs w:val="16"/>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Program (2)</w:t>
            </w:r>
          </w:p>
        </w:tc>
        <w:tc>
          <w:tcPr>
            <w:tcW w:w="4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720" w:type="dxa"/>
            <w:vAlign w:val="bottom"/>
            <w:shd w:val="clear" w:color="auto" w:fill="CFF0FC"/>
          </w:tcPr>
          <w:p>
            <w:pPr>
              <w:ind w:left="20"/>
              <w:spacing w:after="0" w:line="156" w:lineRule="exact"/>
              <w:rPr>
                <w:sz w:val="20"/>
                <w:szCs w:val="20"/>
                <w:color w:val="auto"/>
              </w:rPr>
            </w:pPr>
            <w:r>
              <w:rPr>
                <w:rFonts w:ascii="Arial" w:cs="Arial" w:eastAsia="Arial" w:hAnsi="Arial"/>
                <w:sz w:val="18"/>
                <w:szCs w:val="18"/>
                <w:color w:val="auto"/>
              </w:rPr>
              <w:t>Period #1 (January 3, 2022</w:t>
            </w:r>
          </w:p>
        </w:tc>
        <w:tc>
          <w:tcPr>
            <w:tcW w:w="162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46,661</w:t>
            </w:r>
          </w:p>
        </w:tc>
        <w:tc>
          <w:tcPr>
            <w:tcW w:w="60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498.29</w:t>
            </w:r>
          </w:p>
        </w:tc>
        <w:tc>
          <w:tcPr>
            <w:tcW w:w="238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45,517</w:t>
            </w:r>
          </w:p>
        </w:tc>
        <w:tc>
          <w:tcPr>
            <w:tcW w:w="58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681,437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to January 30, 2022)</w:t>
            </w:r>
          </w:p>
        </w:tc>
        <w:tc>
          <w:tcPr>
            <w:tcW w:w="1620" w:type="dxa"/>
            <w:vAlign w:val="bottom"/>
            <w:gridSpan w:val="2"/>
            <w:vMerge w:val="continue"/>
            <w:shd w:val="clear" w:color="auto" w:fill="CFF0FC"/>
          </w:tcPr>
          <w:p>
            <w:pPr>
              <w:spacing w:after="0"/>
              <w:rPr>
                <w:sz w:val="18"/>
                <w:szCs w:val="18"/>
                <w:color w:val="auto"/>
              </w:rPr>
            </w:pPr>
          </w:p>
        </w:tc>
        <w:tc>
          <w:tcPr>
            <w:tcW w:w="600" w:type="dxa"/>
            <w:vAlign w:val="bottom"/>
            <w:gridSpan w:val="2"/>
            <w:vMerge w:val="continue"/>
            <w:shd w:val="clear" w:color="auto" w:fill="CFF0FC"/>
          </w:tcPr>
          <w:p>
            <w:pPr>
              <w:spacing w:after="0"/>
              <w:rPr>
                <w:sz w:val="18"/>
                <w:szCs w:val="18"/>
                <w:color w:val="auto"/>
              </w:rPr>
            </w:pPr>
          </w:p>
        </w:tc>
        <w:tc>
          <w:tcPr>
            <w:tcW w:w="1500" w:type="dxa"/>
            <w:vAlign w:val="bottom"/>
            <w:vMerge w:val="continue"/>
            <w:shd w:val="clear" w:color="auto" w:fill="CFF0FC"/>
          </w:tcPr>
          <w:p>
            <w:pPr>
              <w:spacing w:after="0"/>
              <w:rPr>
                <w:sz w:val="18"/>
                <w:szCs w:val="18"/>
                <w:color w:val="auto"/>
              </w:rPr>
            </w:pPr>
          </w:p>
        </w:tc>
        <w:tc>
          <w:tcPr>
            <w:tcW w:w="2380" w:type="dxa"/>
            <w:vAlign w:val="bottom"/>
            <w:gridSpan w:val="2"/>
            <w:vMerge w:val="continue"/>
            <w:shd w:val="clear" w:color="auto" w:fill="CFF0FC"/>
          </w:tcPr>
          <w:p>
            <w:pPr>
              <w:spacing w:after="0"/>
              <w:rPr>
                <w:sz w:val="18"/>
                <w:szCs w:val="18"/>
                <w:color w:val="auto"/>
              </w:rPr>
            </w:pPr>
          </w:p>
        </w:tc>
        <w:tc>
          <w:tcPr>
            <w:tcW w:w="580" w:type="dxa"/>
            <w:vAlign w:val="bottom"/>
            <w:gridSpan w:val="2"/>
            <w:vMerge w:val="continue"/>
            <w:shd w:val="clear" w:color="auto" w:fill="CFF0FC"/>
          </w:tcPr>
          <w:p>
            <w:pPr>
              <w:spacing w:after="0"/>
              <w:rPr>
                <w:sz w:val="18"/>
                <w:szCs w:val="18"/>
                <w:color w:val="auto"/>
              </w:rPr>
            </w:pPr>
          </w:p>
        </w:tc>
        <w:tc>
          <w:tcPr>
            <w:tcW w:w="174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20"/>
              <w:spacing w:after="0" w:line="162" w:lineRule="exact"/>
              <w:rPr>
                <w:sz w:val="20"/>
                <w:szCs w:val="20"/>
                <w:color w:val="auto"/>
              </w:rPr>
            </w:pPr>
            <w:r>
              <w:rPr>
                <w:rFonts w:ascii="Arial" w:cs="Arial" w:eastAsia="Arial" w:hAnsi="Arial"/>
                <w:sz w:val="18"/>
                <w:szCs w:val="18"/>
                <w:color w:val="auto"/>
              </w:rPr>
              <w:t>Period #2 (January 31, 2022</w:t>
            </w:r>
          </w:p>
        </w:tc>
        <w:tc>
          <w:tcPr>
            <w:tcW w:w="1620" w:type="dxa"/>
            <w:vAlign w:val="bottom"/>
            <w:gridSpan w:val="2"/>
            <w:vMerge w:val="restart"/>
          </w:tcPr>
          <w:p>
            <w:pPr>
              <w:jc w:val="right"/>
              <w:spacing w:after="0"/>
              <w:rPr>
                <w:sz w:val="20"/>
                <w:szCs w:val="20"/>
                <w:color w:val="auto"/>
              </w:rPr>
            </w:pPr>
            <w:r>
              <w:rPr>
                <w:rFonts w:ascii="Arial" w:cs="Arial" w:eastAsia="Arial" w:hAnsi="Arial"/>
                <w:sz w:val="18"/>
                <w:szCs w:val="18"/>
                <w:color w:val="auto"/>
              </w:rPr>
              <w:t>56,600</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452.20</w:t>
            </w:r>
          </w:p>
        </w:tc>
        <w:tc>
          <w:tcPr>
            <w:tcW w:w="2380" w:type="dxa"/>
            <w:vAlign w:val="bottom"/>
            <w:gridSpan w:val="2"/>
            <w:vMerge w:val="restart"/>
          </w:tcPr>
          <w:p>
            <w:pPr>
              <w:jc w:val="right"/>
              <w:spacing w:after="0"/>
              <w:rPr>
                <w:sz w:val="20"/>
                <w:szCs w:val="20"/>
                <w:color w:val="auto"/>
              </w:rPr>
            </w:pPr>
            <w:r>
              <w:rPr>
                <w:rFonts w:ascii="Arial" w:cs="Arial" w:eastAsia="Arial" w:hAnsi="Arial"/>
                <w:sz w:val="18"/>
                <w:szCs w:val="18"/>
                <w:color w:val="auto"/>
              </w:rPr>
              <w:t>55,293</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vMerge w:val="restart"/>
          </w:tcPr>
          <w:p>
            <w:pPr>
              <w:jc w:val="right"/>
              <w:spacing w:after="0"/>
              <w:rPr>
                <w:sz w:val="20"/>
                <w:szCs w:val="20"/>
                <w:color w:val="auto"/>
              </w:rPr>
            </w:pPr>
            <w:r>
              <w:rPr>
                <w:rFonts w:ascii="Arial" w:cs="Arial" w:eastAsia="Arial" w:hAnsi="Arial"/>
                <w:sz w:val="18"/>
                <w:szCs w:val="18"/>
                <w:color w:val="auto"/>
              </w:rPr>
              <w:t>656,437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720" w:type="dxa"/>
            <w:vAlign w:val="bottom"/>
          </w:tcPr>
          <w:p>
            <w:pPr>
              <w:ind w:left="160"/>
              <w:spacing w:after="0"/>
              <w:rPr>
                <w:sz w:val="20"/>
                <w:szCs w:val="20"/>
                <w:color w:val="auto"/>
              </w:rPr>
            </w:pPr>
            <w:r>
              <w:rPr>
                <w:rFonts w:ascii="Arial" w:cs="Arial" w:eastAsia="Arial" w:hAnsi="Arial"/>
                <w:sz w:val="18"/>
                <w:szCs w:val="18"/>
                <w:color w:val="auto"/>
              </w:rPr>
              <w:t>to February 27, 2022)</w:t>
            </w:r>
          </w:p>
        </w:tc>
        <w:tc>
          <w:tcPr>
            <w:tcW w:w="162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238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Period #3 (February 28, 2022</w:t>
            </w:r>
          </w:p>
        </w:tc>
        <w:tc>
          <w:tcPr>
            <w:tcW w:w="60" w:type="dxa"/>
            <w:vAlign w:val="bottom"/>
            <w:vMerge w:val="restart"/>
            <w:shd w:val="clear" w:color="auto" w:fill="CFF0FC"/>
          </w:tcPr>
          <w:p>
            <w:pPr>
              <w:spacing w:after="0"/>
              <w:rPr>
                <w:sz w:val="14"/>
                <w:szCs w:val="14"/>
                <w:color w:val="auto"/>
              </w:rPr>
            </w:pPr>
          </w:p>
        </w:tc>
        <w:tc>
          <w:tcPr>
            <w:tcW w:w="15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3,451</w:t>
            </w:r>
          </w:p>
        </w:tc>
        <w:tc>
          <w:tcPr>
            <w:tcW w:w="4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5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416.51</w:t>
            </w:r>
          </w:p>
        </w:tc>
        <w:tc>
          <w:tcPr>
            <w:tcW w:w="420" w:type="dxa"/>
            <w:vAlign w:val="bottom"/>
            <w:shd w:val="clear" w:color="auto" w:fill="CFF0FC"/>
          </w:tcPr>
          <w:p>
            <w:pPr>
              <w:spacing w:after="0"/>
              <w:rPr>
                <w:sz w:val="14"/>
                <w:szCs w:val="14"/>
                <w:color w:val="auto"/>
              </w:rPr>
            </w:pPr>
          </w:p>
        </w:tc>
        <w:tc>
          <w:tcPr>
            <w:tcW w:w="1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7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656,437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20" w:type="dxa"/>
            <w:vAlign w:val="bottom"/>
            <w:tcBorders>
              <w:bottom w:val="single" w:sz="8" w:color="CFF0FC"/>
            </w:tcBorders>
            <w:shd w:val="clear" w:color="auto" w:fill="CFF0FC"/>
          </w:tcPr>
          <w:p>
            <w:pPr>
              <w:ind w:left="160"/>
              <w:spacing w:after="0" w:line="202" w:lineRule="exact"/>
              <w:rPr>
                <w:sz w:val="20"/>
                <w:szCs w:val="20"/>
                <w:color w:val="auto"/>
              </w:rPr>
            </w:pPr>
            <w:r>
              <w:rPr>
                <w:rFonts w:ascii="Arial" w:cs="Arial" w:eastAsia="Arial" w:hAnsi="Arial"/>
                <w:sz w:val="18"/>
                <w:szCs w:val="18"/>
                <w:color w:val="auto"/>
              </w:rPr>
              <w:t>to March 27, 2022)</w:t>
            </w:r>
          </w:p>
        </w:tc>
        <w:tc>
          <w:tcPr>
            <w:tcW w:w="60" w:type="dxa"/>
            <w:vAlign w:val="bottom"/>
            <w:tcBorders>
              <w:bottom w:val="single" w:sz="8" w:color="CFF0FC"/>
            </w:tcBorders>
            <w:vMerge w:val="continue"/>
            <w:shd w:val="clear" w:color="auto" w:fill="CFF0FC"/>
          </w:tcPr>
          <w:p>
            <w:pPr>
              <w:spacing w:after="0"/>
              <w:rPr>
                <w:sz w:val="17"/>
                <w:szCs w:val="17"/>
                <w:color w:val="auto"/>
              </w:rPr>
            </w:pPr>
          </w:p>
        </w:tc>
        <w:tc>
          <w:tcPr>
            <w:tcW w:w="1560" w:type="dxa"/>
            <w:vAlign w:val="bottom"/>
            <w:tcBorders>
              <w:bottom w:val="single" w:sz="8" w:color="auto"/>
            </w:tcBorders>
            <w:vMerge w:val="continue"/>
            <w:shd w:val="clear" w:color="auto" w:fill="CFF0FC"/>
          </w:tcPr>
          <w:p>
            <w:pPr>
              <w:spacing w:after="0"/>
              <w:rPr>
                <w:sz w:val="17"/>
                <w:szCs w:val="17"/>
                <w:color w:val="auto"/>
              </w:rPr>
            </w:pPr>
          </w:p>
        </w:tc>
        <w:tc>
          <w:tcPr>
            <w:tcW w:w="4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vMerge w:val="continue"/>
            <w:shd w:val="clear" w:color="auto" w:fill="CFF0FC"/>
          </w:tcPr>
          <w:p>
            <w:pPr>
              <w:spacing w:after="0"/>
              <w:rPr>
                <w:sz w:val="17"/>
                <w:szCs w:val="17"/>
                <w:color w:val="auto"/>
              </w:rPr>
            </w:pPr>
          </w:p>
        </w:tc>
        <w:tc>
          <w:tcPr>
            <w:tcW w:w="420" w:type="dxa"/>
            <w:vAlign w:val="bottom"/>
            <w:tcBorders>
              <w:bottom w:val="single" w:sz="8" w:color="CFF0FC"/>
            </w:tcBorders>
            <w:shd w:val="clear" w:color="auto" w:fill="CFF0FC"/>
          </w:tcPr>
          <w:p>
            <w:pPr>
              <w:spacing w:after="0"/>
              <w:rPr>
                <w:sz w:val="17"/>
                <w:szCs w:val="17"/>
                <w:color w:val="auto"/>
              </w:rPr>
            </w:pPr>
          </w:p>
        </w:tc>
        <w:tc>
          <w:tcPr>
            <w:tcW w:w="1960" w:type="dxa"/>
            <w:vAlign w:val="bottom"/>
            <w:tcBorders>
              <w:bottom w:val="single" w:sz="8" w:color="auto"/>
            </w:tcBorders>
            <w:vMerge w:val="continue"/>
            <w:shd w:val="clear" w:color="auto" w:fill="CFF0FC"/>
          </w:tcPr>
          <w:p>
            <w:pPr>
              <w:spacing w:after="0"/>
              <w:rPr>
                <w:sz w:val="17"/>
                <w:szCs w:val="17"/>
                <w:color w:val="auto"/>
              </w:rPr>
            </w:pPr>
          </w:p>
        </w:tc>
        <w:tc>
          <w:tcPr>
            <w:tcW w:w="4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740" w:type="dxa"/>
            <w:vAlign w:val="bottom"/>
            <w:tcBorders>
              <w:bottom w:val="single" w:sz="8" w:color="auto"/>
            </w:tcBorders>
            <w:vMerge w:val="continue"/>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2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16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106,712</w:t>
            </w:r>
          </w:p>
        </w:tc>
        <w:tc>
          <w:tcPr>
            <w:tcW w:w="60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471.20</w:t>
            </w:r>
          </w:p>
        </w:tc>
        <w:tc>
          <w:tcPr>
            <w:tcW w:w="2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100,810</w:t>
            </w:r>
          </w:p>
        </w:tc>
        <w:tc>
          <w:tcPr>
            <w:tcW w:w="58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656,437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-159385</wp:posOffset>
            </wp:positionV>
            <wp:extent cx="68580"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-159385</wp:posOffset>
            </wp:positionV>
            <wp:extent cx="68580"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-159385</wp:posOffset>
            </wp:positionV>
            <wp:extent cx="60325"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-159385</wp:posOffset>
            </wp:positionV>
            <wp:extent cx="59690"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74" w:lineRule="exact"/>
        <w:rPr>
          <w:sz w:val="20"/>
          <w:szCs w:val="20"/>
          <w:color w:val="auto"/>
        </w:rPr>
      </w:pPr>
    </w:p>
    <w:p>
      <w:pPr>
        <w:ind w:left="480" w:right="20" w:hanging="459"/>
        <w:spacing w:after="0" w:line="235" w:lineRule="auto"/>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5,902 shares in the first quarter of 2022 were purchased as part of the Company’s employee stock payroll deduction plan. During the first quarter, the shares were purchased at an average price of $444.24.</w:t>
      </w:r>
    </w:p>
    <w:p>
      <w:pPr>
        <w:spacing w:after="0" w:line="67" w:lineRule="exact"/>
        <w:rPr>
          <w:rFonts w:ascii="Arial" w:cs="Arial" w:eastAsia="Arial" w:hAnsi="Arial"/>
          <w:sz w:val="18"/>
          <w:szCs w:val="18"/>
          <w:color w:val="auto"/>
        </w:rPr>
      </w:pPr>
    </w:p>
    <w:p>
      <w:pPr>
        <w:ind w:left="480" w:right="380" w:hanging="459"/>
        <w:spacing w:after="0" w:line="224" w:lineRule="auto"/>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July 20, 2021, the Company’s Board of Directors authorized a share repurchase program to repurchase up to $1.0 billion of the Company’s common stock. As of March 27, 2022, $656.4 million remained available for future purchases of the Company’s common stock under this share repurchase program.</w:t>
      </w:r>
    </w:p>
    <w:p>
      <w:pPr>
        <w:spacing w:after="0" w:line="68" w:lineRule="exact"/>
        <w:rPr>
          <w:rFonts w:ascii="Arial" w:cs="Arial" w:eastAsia="Arial" w:hAnsi="Arial"/>
          <w:sz w:val="18"/>
          <w:szCs w:val="18"/>
          <w:color w:val="auto"/>
        </w:rPr>
      </w:pPr>
    </w:p>
    <w:p>
      <w:pPr>
        <w:ind w:left="480" w:right="140"/>
        <w:spacing w:after="0" w:line="224" w:lineRule="auto"/>
        <w:rPr>
          <w:rFonts w:ascii="Arial" w:cs="Arial" w:eastAsia="Arial" w:hAnsi="Arial"/>
          <w:sz w:val="18"/>
          <w:szCs w:val="18"/>
          <w:color w:val="auto"/>
        </w:rPr>
      </w:pPr>
      <w:r>
        <w:rPr>
          <w:rFonts w:ascii="Arial" w:cs="Arial" w:eastAsia="Arial" w:hAnsi="Arial"/>
          <w:sz w:val="18"/>
          <w:szCs w:val="18"/>
          <w:color w:val="auto"/>
        </w:rPr>
        <w:t>Authorization for the repurchase program may be modified, suspended, or discontinued at any time. The repurchase of shares in any particular period and the actual amount of such purchases remain at the discretion of the Board of Directors, and no assurance can be given that shares will be repurchased in the future.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940" w:type="dxa"/>
            <w:vAlign w:val="bottom"/>
            <w:gridSpan w:val="16"/>
            <w:vMerge w:val="restart"/>
          </w:tcPr>
          <w:p>
            <w:pPr>
              <w:ind w:left="14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940" w:type="dxa"/>
            <w:vAlign w:val="bottom"/>
            <w:tcBorders>
              <w:bottom w:val="single" w:sz="8" w:color="auto"/>
            </w:tcBorders>
            <w:gridSpan w:val="1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920" w:type="dxa"/>
            <w:vAlign w:val="bottom"/>
          </w:tcPr>
          <w:p>
            <w:pPr>
              <w:ind w:left="20"/>
              <w:spacing w:after="0" w:line="156" w:lineRule="exact"/>
              <w:rPr>
                <w:sz w:val="20"/>
                <w:szCs w:val="20"/>
                <w:color w:val="auto"/>
              </w:rPr>
            </w:pPr>
            <w:r>
              <w:rPr>
                <w:rFonts w:ascii="Arial" w:cs="Arial" w:eastAsia="Arial" w:hAnsi="Arial"/>
                <w:sz w:val="18"/>
                <w:szCs w:val="18"/>
                <w:color w:val="auto"/>
              </w:rPr>
              <w:t>10.1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0" w:type="dxa"/>
            <w:vAlign w:val="bottom"/>
            <w:gridSpan w:val="20"/>
          </w:tcPr>
          <w:p>
            <w:pPr>
              <w:spacing w:after="0" w:line="156" w:lineRule="exact"/>
              <w:rPr>
                <w:rFonts w:ascii="Arial" w:cs="Arial" w:eastAsia="Arial" w:hAnsi="Arial"/>
                <w:sz w:val="18"/>
                <w:szCs w:val="18"/>
                <w:color w:val="0000FF"/>
                <w:w w:val="93"/>
              </w:rPr>
            </w:pPr>
            <w:hyperlink r:id="rId206">
              <w:r>
                <w:rPr>
                  <w:rFonts w:ascii="Arial" w:cs="Arial" w:eastAsia="Arial" w:hAnsi="Arial"/>
                  <w:sz w:val="18"/>
                  <w:szCs w:val="18"/>
                  <w:color w:val="0000FF"/>
                  <w:w w:val="93"/>
                </w:rPr>
                <w:t>Amended and Restated Employment Agreement dated as of February 24, 2022 by and among Domino’s Pizza, Inc., Domino’s Pizza LLC</w:t>
              </w:r>
            </w:hyperlink>
          </w:p>
        </w:tc>
        <w:tc>
          <w:tcPr>
            <w:tcW w:w="0" w:type="dxa"/>
            <w:vAlign w:val="bottom"/>
          </w:tcPr>
          <w:p>
            <w:pPr>
              <w:spacing w:after="0"/>
              <w:rPr>
                <w:sz w:val="1"/>
                <w:szCs w:val="1"/>
                <w:color w:val="auto"/>
              </w:rPr>
            </w:pPr>
          </w:p>
        </w:tc>
      </w:tr>
      <w:tr>
        <w:trPr>
          <w:trHeight w:val="156"/>
        </w:trPr>
        <w:tc>
          <w:tcPr>
            <w:tcW w:w="920" w:type="dxa"/>
            <w:vAlign w:val="bottom"/>
            <w:vMerge w:val="restart"/>
          </w:tcPr>
          <w:p>
            <w:pPr>
              <w:ind w:left="2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tcBorders>
              <w:top w:val="single" w:sz="8" w:color="0000FF"/>
            </w:tcBorders>
            <w:gridSpan w:val="15"/>
          </w:tcPr>
          <w:p>
            <w:pPr>
              <w:spacing w:after="0" w:line="156" w:lineRule="exact"/>
              <w:rPr>
                <w:rFonts w:ascii="Arial" w:cs="Arial" w:eastAsia="Arial" w:hAnsi="Arial"/>
                <w:sz w:val="18"/>
                <w:szCs w:val="18"/>
                <w:color w:val="0000FF"/>
                <w:w w:val="93"/>
              </w:rPr>
            </w:pPr>
            <w:hyperlink r:id="rId206">
              <w:r>
                <w:rPr>
                  <w:rFonts w:ascii="Arial" w:cs="Arial" w:eastAsia="Arial" w:hAnsi="Arial"/>
                  <w:sz w:val="18"/>
                  <w:szCs w:val="18"/>
                  <w:color w:val="0000FF"/>
                  <w:w w:val="93"/>
                </w:rPr>
                <w:t>and Russell J. Weiner (Incorporated by reference to Exhibit 10.1 to the registrant’s current report on Form 8-K filed on March 1, 2022).</w:t>
              </w:r>
            </w:hyperlink>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40" w:type="dxa"/>
            <w:vAlign w:val="bottom"/>
            <w:tcBorders>
              <w:top w:val="single" w:sz="8" w:color="0000FF"/>
            </w:tcBorders>
            <w:gridSpan w:val="12"/>
          </w:tcPr>
          <w:p>
            <w:pPr>
              <w:spacing w:after="0" w:line="169" w:lineRule="exact"/>
              <w:rPr>
                <w:rFonts w:ascii="Arial" w:cs="Arial" w:eastAsia="Arial" w:hAnsi="Arial"/>
                <w:sz w:val="18"/>
                <w:szCs w:val="18"/>
                <w:color w:val="0000FF"/>
                <w:w w:val="91"/>
              </w:rPr>
            </w:pPr>
            <w:hyperlink r:id="rId207">
              <w:r>
                <w:rPr>
                  <w:rFonts w:ascii="Arial" w:cs="Arial" w:eastAsia="Arial" w:hAnsi="Arial"/>
                  <w:sz w:val="18"/>
                  <w:szCs w:val="18"/>
                  <w:color w:val="0000FF"/>
                  <w:w w:val="91"/>
                </w:rPr>
                <w:t>Time Sharing Agreement dated as of February 24, 2022 by and between Domino’s Pizza LLC and Russell J. Weiner (Incorporated by</w:t>
              </w:r>
            </w:hyperlink>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20" w:type="dxa"/>
            <w:vAlign w:val="bottom"/>
            <w:vMerge w:val="restart"/>
          </w:tcPr>
          <w:p>
            <w:pPr>
              <w:ind w:left="2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90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1"/>
              </w:rPr>
            </w:pPr>
            <w:hyperlink r:id="rId207">
              <w:r>
                <w:rPr>
                  <w:rFonts w:ascii="Arial" w:cs="Arial" w:eastAsia="Arial" w:hAnsi="Arial"/>
                  <w:sz w:val="18"/>
                  <w:szCs w:val="18"/>
                  <w:color w:val="0000FF"/>
                  <w:w w:val="91"/>
                </w:rPr>
                <w:t>reference to Exhibit 10.2 to the registrant’s current report on Form 8-K filed on March 1, 2022).</w:t>
              </w:r>
            </w:hyperlink>
          </w:p>
        </w:tc>
        <w:tc>
          <w:tcPr>
            <w:tcW w:w="20" w:type="dxa"/>
            <w:vAlign w:val="bottom"/>
            <w:tcBorders>
              <w:top w:val="single" w:sz="8" w:color="0000FF"/>
              <w:bottom w:val="single" w:sz="8" w:color="0000EE"/>
            </w:tcBorders>
          </w:tcPr>
          <w:p>
            <w:pPr>
              <w:spacing w:after="0"/>
              <w:rPr>
                <w:sz w:val="13"/>
                <w:szCs w:val="13"/>
                <w:color w:val="auto"/>
              </w:rPr>
            </w:pPr>
          </w:p>
        </w:tc>
        <w:tc>
          <w:tcPr>
            <w:tcW w:w="2740" w:type="dxa"/>
            <w:vAlign w:val="bottom"/>
            <w:tcBorders>
              <w:top w:val="single" w:sz="8" w:color="0000FF"/>
            </w:tcBorders>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0" w:type="dxa"/>
            <w:vAlign w:val="bottom"/>
            <w:gridSpan w:val="20"/>
          </w:tcPr>
          <w:p>
            <w:pPr>
              <w:spacing w:after="0" w:line="169" w:lineRule="exact"/>
              <w:rPr>
                <w:rFonts w:ascii="Arial" w:cs="Arial" w:eastAsia="Arial" w:hAnsi="Arial"/>
                <w:sz w:val="18"/>
                <w:szCs w:val="18"/>
                <w:color w:val="0000FF"/>
                <w:w w:val="90"/>
              </w:rPr>
            </w:pPr>
            <w:hyperlink r:id="rId208">
              <w:r>
                <w:rPr>
                  <w:rFonts w:ascii="Arial" w:cs="Arial" w:eastAsia="Arial" w:hAnsi="Arial"/>
                  <w:sz w:val="18"/>
                  <w:szCs w:val="18"/>
                  <w:color w:val="0000FF"/>
                  <w:w w:val="90"/>
                </w:rPr>
                <w:t>Employment Agreement dated as of February 25, 2022 by and between Domino’s Pizza LLC and Sandeep Reddy (Incorporated by reference</w:t>
              </w:r>
            </w:hyperlink>
          </w:p>
        </w:tc>
        <w:tc>
          <w:tcPr>
            <w:tcW w:w="0" w:type="dxa"/>
            <w:vAlign w:val="bottom"/>
          </w:tcPr>
          <w:p>
            <w:pPr>
              <w:spacing w:after="0"/>
              <w:rPr>
                <w:sz w:val="1"/>
                <w:szCs w:val="1"/>
                <w:color w:val="auto"/>
              </w:rPr>
            </w:pPr>
          </w:p>
        </w:tc>
      </w:tr>
      <w:tr>
        <w:trPr>
          <w:trHeight w:val="155"/>
        </w:trPr>
        <w:tc>
          <w:tcPr>
            <w:tcW w:w="920" w:type="dxa"/>
            <w:vAlign w:val="bottom"/>
            <w:vMerge w:val="restart"/>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8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208">
              <w:r>
                <w:rPr>
                  <w:rFonts w:ascii="Arial" w:cs="Arial" w:eastAsia="Arial" w:hAnsi="Arial"/>
                  <w:sz w:val="18"/>
                  <w:szCs w:val="18"/>
                  <w:color w:val="0000FF"/>
                </w:rPr>
                <w:t>to Exhibit 10.3 to the registrant’s current report on Form 8-K filed on March 1, 2022).</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tcBorders>
              <w:right w:val="single" w:sz="8" w:color="0000EE"/>
            </w:tcBorders>
            <w:shd w:val="clear" w:color="auto" w:fill="0000FF"/>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0" w:type="dxa"/>
            <w:vAlign w:val="bottom"/>
            <w:gridSpan w:val="20"/>
          </w:tcPr>
          <w:p>
            <w:pPr>
              <w:spacing w:after="0" w:line="169" w:lineRule="exact"/>
              <w:rPr>
                <w:rFonts w:ascii="Arial" w:cs="Arial" w:eastAsia="Arial" w:hAnsi="Arial"/>
                <w:sz w:val="18"/>
                <w:szCs w:val="18"/>
                <w:color w:val="0000FF"/>
                <w:w w:val="94"/>
              </w:rPr>
            </w:pPr>
            <w:hyperlink r:id="rId209">
              <w:r>
                <w:rPr>
                  <w:rFonts w:ascii="Arial" w:cs="Arial" w:eastAsia="Arial" w:hAnsi="Arial"/>
                  <w:sz w:val="18"/>
                  <w:szCs w:val="18"/>
                  <w:color w:val="0000FF"/>
                  <w:w w:val="94"/>
                </w:rPr>
                <w:t>Amended and Restated Employment Agreement dated as of March 2, 2022 by and between Domino’s Pizza LLC and Joseph H. Jordan</w:t>
              </w:r>
            </w:hyperlink>
          </w:p>
        </w:tc>
        <w:tc>
          <w:tcPr>
            <w:tcW w:w="0" w:type="dxa"/>
            <w:vAlign w:val="bottom"/>
          </w:tcPr>
          <w:p>
            <w:pPr>
              <w:spacing w:after="0"/>
              <w:rPr>
                <w:sz w:val="1"/>
                <w:szCs w:val="1"/>
                <w:color w:val="auto"/>
              </w:rPr>
            </w:pPr>
          </w:p>
        </w:tc>
      </w:tr>
      <w:tr>
        <w:trPr>
          <w:trHeight w:val="156"/>
        </w:trPr>
        <w:tc>
          <w:tcPr>
            <w:tcW w:w="920" w:type="dxa"/>
            <w:vAlign w:val="bottom"/>
            <w:vMerge w:val="restart"/>
          </w:tcPr>
          <w:p>
            <w:pPr>
              <w:ind w:left="2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209">
              <w:r>
                <w:rPr>
                  <w:rFonts w:ascii="Arial" w:cs="Arial" w:eastAsia="Arial" w:hAnsi="Arial"/>
                  <w:sz w:val="18"/>
                  <w:szCs w:val="18"/>
                  <w:color w:val="0000FF"/>
                </w:rPr>
                <w:t>(Incorporated by reference to Exhibit 10.1 to the registrant’s current report on Form 8-K filed on March 4, 2022).</w:t>
              </w:r>
            </w:hyperlink>
          </w:p>
        </w:tc>
        <w:tc>
          <w:tcPr>
            <w:tcW w:w="40" w:type="dxa"/>
            <w:vAlign w:val="bottom"/>
          </w:tcPr>
          <w:p>
            <w:pPr>
              <w:spacing w:after="0"/>
              <w:rPr>
                <w:sz w:val="13"/>
                <w:szCs w:val="13"/>
                <w:color w:val="auto"/>
              </w:rPr>
            </w:pPr>
          </w:p>
        </w:tc>
        <w:tc>
          <w:tcPr>
            <w:tcW w:w="2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940" w:type="dxa"/>
            <w:vAlign w:val="bottom"/>
            <w:tcBorders>
              <w:right w:val="single" w:sz="8" w:color="0000EE"/>
            </w:tcBorders>
            <w:gridSpan w:val="4"/>
            <w:shd w:val="clear" w:color="auto" w:fill="0000FF"/>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0" w:type="dxa"/>
            <w:vAlign w:val="bottom"/>
            <w:gridSpan w:val="20"/>
          </w:tcPr>
          <w:p>
            <w:pPr>
              <w:spacing w:after="0" w:line="169" w:lineRule="exact"/>
              <w:rPr>
                <w:rFonts w:ascii="Arial" w:cs="Arial" w:eastAsia="Arial" w:hAnsi="Arial"/>
                <w:sz w:val="18"/>
                <w:szCs w:val="18"/>
                <w:color w:val="0000FF"/>
                <w:w w:val="95"/>
              </w:rPr>
            </w:pPr>
            <w:hyperlink w:anchor="page26">
              <w:r>
                <w:rPr>
                  <w:rFonts w:ascii="Arial" w:cs="Arial" w:eastAsia="Arial" w:hAnsi="Arial"/>
                  <w:sz w:val="18"/>
                  <w:szCs w:val="18"/>
                  <w:color w:val="0000FF"/>
                  <w:w w:val="95"/>
                </w:rPr>
                <w:t>Addendum to Employment Agreement effective as of February 24, 2022 by and among Domino’s Pizza, Inc., Domino’s Pizza LLC and</w:t>
              </w:r>
            </w:hyperlink>
          </w:p>
        </w:tc>
        <w:tc>
          <w:tcPr>
            <w:tcW w:w="0" w:type="dxa"/>
            <w:vAlign w:val="bottom"/>
          </w:tcPr>
          <w:p>
            <w:pPr>
              <w:spacing w:after="0"/>
              <w:rPr>
                <w:sz w:val="1"/>
                <w:szCs w:val="1"/>
                <w:color w:val="auto"/>
              </w:rPr>
            </w:pPr>
          </w:p>
        </w:tc>
      </w:tr>
      <w:tr>
        <w:trPr>
          <w:trHeight w:val="155"/>
        </w:trPr>
        <w:tc>
          <w:tcPr>
            <w:tcW w:w="920" w:type="dxa"/>
            <w:vAlign w:val="bottom"/>
            <w:vMerge w:val="restart"/>
          </w:tcPr>
          <w:p>
            <w:pPr>
              <w:ind w:left="2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1"/>
              </w:rPr>
            </w:pPr>
            <w:hyperlink w:anchor="page26">
              <w:r>
                <w:rPr>
                  <w:rFonts w:ascii="Arial" w:cs="Arial" w:eastAsia="Arial" w:hAnsi="Arial"/>
                  <w:sz w:val="18"/>
                  <w:szCs w:val="18"/>
                  <w:color w:val="0000FF"/>
                  <w:w w:val="91"/>
                </w:rPr>
                <w:t>Richard E. Allison, Jr.</w:t>
              </w:r>
            </w:hyperlink>
          </w:p>
        </w:tc>
        <w:tc>
          <w:tcPr>
            <w:tcW w:w="20" w:type="dxa"/>
            <w:vAlign w:val="bottom"/>
            <w:tcBorders>
              <w:top w:val="single" w:sz="8" w:color="0000FF"/>
              <w:bottom w:val="single" w:sz="8" w:color="0000EE"/>
            </w:tcBorders>
          </w:tcPr>
          <w:p>
            <w:pPr>
              <w:spacing w:after="0"/>
              <w:rPr>
                <w:sz w:val="13"/>
                <w:szCs w:val="13"/>
                <w:color w:val="auto"/>
              </w:rPr>
            </w:pPr>
          </w:p>
        </w:tc>
        <w:tc>
          <w:tcPr>
            <w:tcW w:w="8200" w:type="dxa"/>
            <w:vAlign w:val="bottom"/>
            <w:tcBorders>
              <w:top w:val="single" w:sz="8" w:color="0000FF"/>
            </w:tcBorders>
            <w:gridSpan w:val="12"/>
          </w:tcPr>
          <w:p>
            <w:pPr>
              <w:spacing w:after="0"/>
              <w:rPr>
                <w:sz w:val="13"/>
                <w:szCs w:val="13"/>
                <w:color w:val="auto"/>
              </w:rPr>
            </w:pPr>
          </w:p>
        </w:tc>
        <w:tc>
          <w:tcPr>
            <w:tcW w:w="2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0" w:type="dxa"/>
            <w:vAlign w:val="bottom"/>
            <w:gridSpan w:val="20"/>
          </w:tcPr>
          <w:p>
            <w:pPr>
              <w:spacing w:after="0" w:line="169" w:lineRule="exact"/>
              <w:rPr>
                <w:rFonts w:ascii="Arial" w:cs="Arial" w:eastAsia="Arial" w:hAnsi="Arial"/>
                <w:sz w:val="18"/>
                <w:szCs w:val="18"/>
                <w:color w:val="0000FF"/>
                <w:w w:val="91"/>
              </w:rPr>
            </w:pPr>
            <w:hyperlink w:anchor="page30">
              <w:r>
                <w:rPr>
                  <w:rFonts w:ascii="Arial" w:cs="Arial" w:eastAsia="Arial" w:hAnsi="Arial"/>
                  <w:sz w:val="18"/>
                  <w:szCs w:val="18"/>
                  <w:color w:val="0000FF"/>
                  <w:w w:val="91"/>
                </w:rPr>
                <w:t>Form of Restricted Stock Unit Award Agreement (three vesting dates) under the Amended Domino’s Pizza, Inc. 2004 Equity Incentive Plan.</w:t>
              </w:r>
            </w:hyperlink>
          </w:p>
        </w:tc>
        <w:tc>
          <w:tcPr>
            <w:tcW w:w="0" w:type="dxa"/>
            <w:vAlign w:val="bottom"/>
          </w:tcPr>
          <w:p>
            <w:pPr>
              <w:spacing w:after="0"/>
              <w:rPr>
                <w:sz w:val="1"/>
                <w:szCs w:val="1"/>
                <w:color w:val="auto"/>
              </w:rPr>
            </w:pPr>
          </w:p>
        </w:tc>
      </w:tr>
      <w:tr>
        <w:trPr>
          <w:trHeight w:val="169"/>
        </w:trPr>
        <w:tc>
          <w:tcPr>
            <w:tcW w:w="920" w:type="dxa"/>
            <w:vAlign w:val="bottom"/>
          </w:tcPr>
          <w:p>
            <w:pPr>
              <w:ind w:left="20"/>
              <w:spacing w:after="0" w:line="169" w:lineRule="exact"/>
              <w:rPr>
                <w:sz w:val="20"/>
                <w:szCs w:val="20"/>
                <w:color w:val="auto"/>
              </w:rPr>
            </w:pPr>
            <w:r>
              <w:rPr>
                <w:rFonts w:ascii="Arial" w:cs="Arial" w:eastAsia="Arial" w:hAnsi="Arial"/>
                <w:sz w:val="18"/>
                <w:szCs w:val="18"/>
                <w:color w:val="auto"/>
              </w:rPr>
              <w:t>31.1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20" w:type="dxa"/>
            <w:vAlign w:val="bottom"/>
            <w:tcBorders>
              <w:top w:val="single" w:sz="8" w:color="0000FF"/>
              <w:bottom w:val="single" w:sz="8" w:color="0000FF"/>
            </w:tcBorders>
            <w:gridSpan w:val="17"/>
          </w:tcPr>
          <w:p>
            <w:pPr>
              <w:spacing w:after="0" w:line="169" w:lineRule="exact"/>
              <w:rPr>
                <w:rFonts w:ascii="Arial" w:cs="Arial" w:eastAsia="Arial" w:hAnsi="Arial"/>
                <w:sz w:val="18"/>
                <w:szCs w:val="18"/>
                <w:color w:val="0000FF"/>
                <w:w w:val="90"/>
              </w:rPr>
            </w:pPr>
            <w:hyperlink w:anchor="page35">
              <w:r>
                <w:rPr>
                  <w:rFonts w:ascii="Arial" w:cs="Arial" w:eastAsia="Arial" w:hAnsi="Arial"/>
                  <w:sz w:val="18"/>
                  <w:szCs w:val="18"/>
                  <w:color w:val="0000FF"/>
                  <w:w w:val="90"/>
                </w:rPr>
                <w:t>Certification by Richard E. Allison, Jr. pursuant to Rule 13a-14(a) and 15d-14(a), as adopted pursuant to Section 302 of the Sarbanes-Oxley</w:t>
              </w:r>
            </w:hyperlink>
          </w:p>
        </w:tc>
        <w:tc>
          <w:tcPr>
            <w:tcW w:w="20" w:type="dxa"/>
            <w:vAlign w:val="bottom"/>
            <w:tcBorders>
              <w:bottom w:val="single" w:sz="8" w:color="0000FF"/>
            </w:tcBorders>
          </w:tcPr>
          <w:p>
            <w:pPr>
              <w:spacing w:after="0"/>
              <w:rPr>
                <w:sz w:val="14"/>
                <w:szCs w:val="14"/>
                <w:color w:val="auto"/>
              </w:rPr>
            </w:pPr>
          </w:p>
        </w:tc>
        <w:tc>
          <w:tcPr>
            <w:tcW w:w="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20" w:type="dxa"/>
            <w:vAlign w:val="bottom"/>
            <w:vMerge w:val="restart"/>
          </w:tcPr>
          <w:p>
            <w:pPr>
              <w:ind w:left="2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40" w:type="dxa"/>
            <w:vAlign w:val="bottom"/>
            <w:tcBorders>
              <w:bottom w:val="single" w:sz="8" w:color="0000FF"/>
            </w:tcBorders>
            <w:gridSpan w:val="3"/>
          </w:tcPr>
          <w:p>
            <w:pPr>
              <w:spacing w:after="0" w:line="156" w:lineRule="exact"/>
              <w:rPr>
                <w:rFonts w:ascii="Arial" w:cs="Arial" w:eastAsia="Arial" w:hAnsi="Arial"/>
                <w:sz w:val="18"/>
                <w:szCs w:val="18"/>
                <w:color w:val="0000FF"/>
                <w:w w:val="92"/>
              </w:rPr>
            </w:pPr>
            <w:hyperlink w:anchor="page35">
              <w:r>
                <w:rPr>
                  <w:rFonts w:ascii="Arial" w:cs="Arial" w:eastAsia="Arial" w:hAnsi="Arial"/>
                  <w:sz w:val="18"/>
                  <w:szCs w:val="18"/>
                  <w:color w:val="0000FF"/>
                  <w:w w:val="92"/>
                </w:rPr>
                <w:t>Act of 2002, relating to Domino’s Pizza, Inc.</w:t>
              </w:r>
            </w:hyperlink>
          </w:p>
        </w:tc>
        <w:tc>
          <w:tcPr>
            <w:tcW w:w="20" w:type="dxa"/>
            <w:vAlign w:val="bottom"/>
            <w:tcBorders>
              <w:bottom w:val="single" w:sz="8" w:color="0000EE"/>
            </w:tcBorders>
          </w:tcPr>
          <w:p>
            <w:pPr>
              <w:spacing w:after="0"/>
              <w:rPr>
                <w:sz w:val="13"/>
                <w:szCs w:val="13"/>
                <w:color w:val="auto"/>
              </w:rPr>
            </w:pPr>
          </w:p>
        </w:tc>
        <w:tc>
          <w:tcPr>
            <w:tcW w:w="6880" w:type="dxa"/>
            <w:vAlign w:val="bottom"/>
            <w:gridSpan w:val="14"/>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0" w:type="dxa"/>
            <w:vAlign w:val="bottom"/>
            <w:gridSpan w:val="20"/>
          </w:tcPr>
          <w:p>
            <w:pPr>
              <w:spacing w:after="0" w:line="169" w:lineRule="exact"/>
              <w:rPr>
                <w:rFonts w:ascii="Arial" w:cs="Arial" w:eastAsia="Arial" w:hAnsi="Arial"/>
                <w:sz w:val="18"/>
                <w:szCs w:val="18"/>
                <w:color w:val="0000FF"/>
                <w:w w:val="91"/>
              </w:rPr>
            </w:pPr>
            <w:hyperlink w:anchor="page37">
              <w:r>
                <w:rPr>
                  <w:rFonts w:ascii="Arial" w:cs="Arial" w:eastAsia="Arial" w:hAnsi="Arial"/>
                  <w:sz w:val="18"/>
                  <w:szCs w:val="18"/>
                  <w:color w:val="0000FF"/>
                  <w:w w:val="91"/>
                </w:rPr>
                <w:t>Certification by Richard E. Allison, Jr. pursuant to Section 1350, Chapter 63 of Title 18, United States Code, as adopted pursuant to Section</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0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w:anchor="page37">
              <w:r>
                <w:rPr>
                  <w:rFonts w:ascii="Arial" w:cs="Arial" w:eastAsia="Arial" w:hAnsi="Arial"/>
                  <w:sz w:val="18"/>
                  <w:szCs w:val="18"/>
                  <w:color w:val="0000FF"/>
                </w:rPr>
                <w:t>906 of the Sarbanes-Oxley Act of 2002, relating to Domino’s Pizza, Inc.</w:t>
              </w:r>
            </w:hyperlink>
          </w:p>
        </w:tc>
        <w:tc>
          <w:tcPr>
            <w:tcW w:w="10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 w:type="dxa"/>
            <w:vAlign w:val="bottom"/>
          </w:tcPr>
          <w:p>
            <w:pPr>
              <w:ind w:left="20"/>
              <w:spacing w:after="0" w:line="156" w:lineRule="exact"/>
              <w:rPr>
                <w:sz w:val="20"/>
                <w:szCs w:val="20"/>
                <w:color w:val="auto"/>
              </w:rPr>
            </w:pPr>
            <w:r>
              <w:rPr>
                <w:rFonts w:ascii="Arial" w:cs="Arial" w:eastAsia="Arial" w:hAnsi="Arial"/>
                <w:sz w:val="18"/>
                <w:szCs w:val="18"/>
                <w:color w:val="auto"/>
              </w:rPr>
              <w:t>101.INS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0" w:type="dxa"/>
            <w:vAlign w:val="bottom"/>
            <w:tcBorders>
              <w:top w:val="single" w:sz="8" w:color="0000FF"/>
            </w:tcBorders>
            <w:gridSpan w:val="5"/>
          </w:tcPr>
          <w:p>
            <w:pPr>
              <w:spacing w:after="0" w:line="156" w:lineRule="exact"/>
              <w:rPr>
                <w:sz w:val="20"/>
                <w:szCs w:val="20"/>
                <w:color w:val="auto"/>
              </w:rPr>
            </w:pPr>
            <w:r>
              <w:rPr>
                <w:rFonts w:ascii="Arial" w:cs="Arial" w:eastAsia="Arial" w:hAnsi="Arial"/>
                <w:sz w:val="18"/>
                <w:szCs w:val="18"/>
                <w:color w:val="auto"/>
                <w:w w:val="91"/>
              </w:rPr>
              <w:t>XBRL Instance Document – The instance document does not appear in</w:t>
            </w:r>
          </w:p>
        </w:tc>
        <w:tc>
          <w:tcPr>
            <w:tcW w:w="20" w:type="dxa"/>
            <w:vAlign w:val="bottom"/>
            <w:tcBorders>
              <w:top w:val="single" w:sz="8" w:color="0000EE"/>
            </w:tcBorders>
          </w:tcPr>
          <w:p>
            <w:pPr>
              <w:spacing w:after="0"/>
              <w:rPr>
                <w:sz w:val="13"/>
                <w:szCs w:val="13"/>
                <w:color w:val="auto"/>
              </w:rPr>
            </w:pPr>
          </w:p>
        </w:tc>
        <w:tc>
          <w:tcPr>
            <w:tcW w:w="4980" w:type="dxa"/>
            <w:vAlign w:val="bottom"/>
            <w:gridSpan w:val="14"/>
          </w:tcPr>
          <w:p>
            <w:pPr>
              <w:spacing w:after="0" w:line="156" w:lineRule="exact"/>
              <w:rPr>
                <w:sz w:val="20"/>
                <w:szCs w:val="20"/>
                <w:color w:val="auto"/>
              </w:rPr>
            </w:pPr>
            <w:r>
              <w:rPr>
                <w:rFonts w:ascii="Arial" w:cs="Arial" w:eastAsia="Arial" w:hAnsi="Arial"/>
                <w:sz w:val="18"/>
                <w:szCs w:val="18"/>
                <w:color w:val="auto"/>
                <w:w w:val="90"/>
              </w:rPr>
              <w:t>the Interactive Data File because its XBRL tags are embedded within</w:t>
            </w:r>
          </w:p>
        </w:tc>
        <w:tc>
          <w:tcPr>
            <w:tcW w:w="0" w:type="dxa"/>
            <w:vAlign w:val="bottom"/>
          </w:tcPr>
          <w:p>
            <w:pPr>
              <w:spacing w:after="0"/>
              <w:rPr>
                <w:sz w:val="1"/>
                <w:szCs w:val="1"/>
                <w:color w:val="auto"/>
              </w:rPr>
            </w:pPr>
          </w:p>
        </w:tc>
      </w:tr>
      <w:tr>
        <w:trPr>
          <w:trHeight w:val="188"/>
        </w:trPr>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0" w:type="dxa"/>
            <w:vAlign w:val="bottom"/>
            <w:gridSpan w:val="20"/>
          </w:tcPr>
          <w:p>
            <w:pPr>
              <w:spacing w:after="0" w:line="189" w:lineRule="exact"/>
              <w:rPr>
                <w:sz w:val="20"/>
                <w:szCs w:val="20"/>
                <w:color w:val="auto"/>
              </w:rPr>
            </w:pPr>
            <w:r>
              <w:rPr>
                <w:rFonts w:ascii="Arial" w:cs="Arial" w:eastAsia="Arial" w:hAnsi="Arial"/>
                <w:sz w:val="18"/>
                <w:szCs w:val="18"/>
                <w:color w:val="auto"/>
              </w:rPr>
              <w:t>the Inline XBRL document.</w:t>
            </w:r>
          </w:p>
        </w:tc>
        <w:tc>
          <w:tcPr>
            <w:tcW w:w="0" w:type="dxa"/>
            <w:vAlign w:val="bottom"/>
          </w:tcPr>
          <w:p>
            <w:pPr>
              <w:spacing w:after="0"/>
              <w:rPr>
                <w:sz w:val="1"/>
                <w:szCs w:val="1"/>
                <w:color w:val="auto"/>
              </w:rPr>
            </w:pPr>
          </w:p>
        </w:tc>
      </w:tr>
      <w:tr>
        <w:trPr>
          <w:trHeight w:val="189"/>
        </w:trPr>
        <w:tc>
          <w:tcPr>
            <w:tcW w:w="920" w:type="dxa"/>
            <w:vAlign w:val="bottom"/>
          </w:tcPr>
          <w:p>
            <w:pPr>
              <w:ind w:left="20"/>
              <w:spacing w:after="0" w:line="189" w:lineRule="exact"/>
              <w:rPr>
                <w:sz w:val="20"/>
                <w:szCs w:val="20"/>
                <w:color w:val="auto"/>
              </w:rPr>
            </w:pPr>
            <w:r>
              <w:rPr>
                <w:rFonts w:ascii="Arial" w:cs="Arial" w:eastAsia="Arial" w:hAnsi="Arial"/>
                <w:sz w:val="18"/>
                <w:szCs w:val="18"/>
                <w:color w:val="auto"/>
              </w:rPr>
              <w:t>101.SCH</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0" w:type="dxa"/>
            <w:vAlign w:val="bottom"/>
            <w:gridSpan w:val="20"/>
          </w:tcPr>
          <w:p>
            <w:pPr>
              <w:spacing w:after="0" w:line="189" w:lineRule="exact"/>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189"/>
        </w:trPr>
        <w:tc>
          <w:tcPr>
            <w:tcW w:w="920" w:type="dxa"/>
            <w:vAlign w:val="bottom"/>
          </w:tcPr>
          <w:p>
            <w:pPr>
              <w:ind w:left="20"/>
              <w:spacing w:after="0" w:line="189" w:lineRule="exact"/>
              <w:rPr>
                <w:sz w:val="20"/>
                <w:szCs w:val="20"/>
                <w:color w:val="auto"/>
              </w:rPr>
            </w:pPr>
            <w:r>
              <w:rPr>
                <w:rFonts w:ascii="Arial" w:cs="Arial" w:eastAsia="Arial" w:hAnsi="Arial"/>
                <w:sz w:val="18"/>
                <w:szCs w:val="18"/>
                <w:color w:val="auto"/>
              </w:rPr>
              <w:t>101.CAL</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0" w:type="dxa"/>
            <w:vAlign w:val="bottom"/>
            <w:gridSpan w:val="20"/>
          </w:tcPr>
          <w:p>
            <w:pPr>
              <w:spacing w:after="0" w:line="189" w:lineRule="exact"/>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189"/>
        </w:trPr>
        <w:tc>
          <w:tcPr>
            <w:tcW w:w="920" w:type="dxa"/>
            <w:vAlign w:val="bottom"/>
          </w:tcPr>
          <w:p>
            <w:pPr>
              <w:ind w:left="20"/>
              <w:spacing w:after="0" w:line="189" w:lineRule="exact"/>
              <w:rPr>
                <w:sz w:val="20"/>
                <w:szCs w:val="20"/>
                <w:color w:val="auto"/>
              </w:rPr>
            </w:pPr>
            <w:r>
              <w:rPr>
                <w:rFonts w:ascii="Arial" w:cs="Arial" w:eastAsia="Arial" w:hAnsi="Arial"/>
                <w:sz w:val="18"/>
                <w:szCs w:val="18"/>
                <w:color w:val="auto"/>
              </w:rPr>
              <w:t>101.LAB</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0" w:type="dxa"/>
            <w:vAlign w:val="bottom"/>
            <w:gridSpan w:val="20"/>
          </w:tcPr>
          <w:p>
            <w:pPr>
              <w:spacing w:after="0" w:line="189" w:lineRule="exact"/>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189"/>
        </w:trPr>
        <w:tc>
          <w:tcPr>
            <w:tcW w:w="920" w:type="dxa"/>
            <w:vAlign w:val="bottom"/>
          </w:tcPr>
          <w:p>
            <w:pPr>
              <w:ind w:left="20"/>
              <w:spacing w:after="0" w:line="189" w:lineRule="exact"/>
              <w:rPr>
                <w:sz w:val="20"/>
                <w:szCs w:val="20"/>
                <w:color w:val="auto"/>
              </w:rPr>
            </w:pPr>
            <w:r>
              <w:rPr>
                <w:rFonts w:ascii="Arial" w:cs="Arial" w:eastAsia="Arial" w:hAnsi="Arial"/>
                <w:sz w:val="18"/>
                <w:szCs w:val="18"/>
                <w:color w:val="auto"/>
              </w:rPr>
              <w:t>101.PRE</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0" w:type="dxa"/>
            <w:vAlign w:val="bottom"/>
            <w:gridSpan w:val="20"/>
          </w:tcPr>
          <w:p>
            <w:pPr>
              <w:spacing w:after="0" w:line="189" w:lineRule="exact"/>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05"/>
        </w:trPr>
        <w:tc>
          <w:tcPr>
            <w:tcW w:w="920" w:type="dxa"/>
            <w:vAlign w:val="bottom"/>
          </w:tcPr>
          <w:p>
            <w:pPr>
              <w:ind w:left="20"/>
              <w:spacing w:after="0" w:line="205" w:lineRule="exact"/>
              <w:rPr>
                <w:sz w:val="20"/>
                <w:szCs w:val="20"/>
                <w:color w:val="auto"/>
              </w:rPr>
            </w:pPr>
            <w:r>
              <w:rPr>
                <w:rFonts w:ascii="Arial" w:cs="Arial" w:eastAsia="Arial" w:hAnsi="Arial"/>
                <w:sz w:val="18"/>
                <w:szCs w:val="18"/>
                <w:color w:val="auto"/>
              </w:rPr>
              <w:t>101.DEF</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20"/>
          </w:tcPr>
          <w:p>
            <w:pPr>
              <w:spacing w:after="0" w:line="205" w:lineRule="exact"/>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bl>
    <w:p>
      <w:pPr>
        <w:ind w:left="5540" w:right="3680" w:hanging="5519"/>
        <w:spacing w:after="0" w:line="478"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24" w:name="page25"/>
    <w:bookmarkEnd w:id="24"/>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firstLine="255"/>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42"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DOMINO’S PIZZA, INC.</w:t>
      </w:r>
    </w:p>
    <w:p>
      <w:pPr>
        <w:ind w:left="6020"/>
        <w:spacing w:after="0"/>
        <w:rPr>
          <w:sz w:val="20"/>
          <w:szCs w:val="20"/>
          <w:color w:val="auto"/>
        </w:rPr>
      </w:pPr>
      <w:r>
        <w:rPr>
          <w:rFonts w:ascii="Arial" w:cs="Arial" w:eastAsia="Arial" w:hAnsi="Arial"/>
          <w:sz w:val="18"/>
          <w:szCs w:val="18"/>
          <w:color w:val="auto"/>
        </w:rPr>
        <w:t>(Registrant)</w:t>
      </w:r>
    </w:p>
    <w:p>
      <w:pPr>
        <w:spacing w:after="0" w:line="155" w:lineRule="exact"/>
        <w:rPr>
          <w:sz w:val="20"/>
          <w:szCs w:val="20"/>
          <w:color w:val="auto"/>
        </w:rPr>
      </w:pPr>
    </w:p>
    <w:p>
      <w:pPr>
        <w:ind w:left="20"/>
        <w:spacing w:after="0"/>
        <w:tabs>
          <w:tab w:leader="none" w:pos="6000" w:val="left"/>
        </w:tabs>
        <w:rPr>
          <w:sz w:val="20"/>
          <w:szCs w:val="20"/>
          <w:color w:val="auto"/>
        </w:rPr>
      </w:pPr>
      <w:r>
        <w:rPr>
          <w:rFonts w:ascii="Arial" w:cs="Arial" w:eastAsia="Arial" w:hAnsi="Arial"/>
          <w:sz w:val="18"/>
          <w:szCs w:val="18"/>
          <w:color w:val="auto"/>
        </w:rPr>
        <w:t>Date: April 28, 2022</w:t>
      </w:r>
      <w:r>
        <w:rPr>
          <w:sz w:val="20"/>
          <w:szCs w:val="20"/>
          <w:color w:val="auto"/>
        </w:rPr>
        <w:tab/>
      </w:r>
      <w:r>
        <w:rPr>
          <w:rFonts w:ascii="Arial" w:cs="Arial" w:eastAsia="Arial" w:hAnsi="Arial"/>
          <w:sz w:val="16"/>
          <w:szCs w:val="16"/>
          <w:color w:val="auto"/>
        </w:rPr>
        <w:t>/s/ Richard E. Allison,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6350</wp:posOffset>
            </wp:positionV>
            <wp:extent cx="332613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1">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14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Richard E. Allison, Jr.</w:t>
      </w:r>
    </w:p>
    <w:p>
      <w:pPr>
        <w:ind w:left="6020"/>
        <w:spacing w:after="0" w:line="203" w:lineRule="auto"/>
        <w:rPr>
          <w:sz w:val="20"/>
          <w:szCs w:val="20"/>
          <w:color w:val="auto"/>
        </w:rPr>
      </w:pPr>
      <w:r>
        <w:rPr>
          <w:rFonts w:ascii="Arial" w:cs="Arial" w:eastAsia="Arial" w:hAnsi="Arial"/>
          <w:sz w:val="18"/>
          <w:szCs w:val="18"/>
          <w:color w:val="auto"/>
        </w:rPr>
        <w:t>Chief Executive Officer</w:t>
      </w:r>
    </w:p>
    <w:p>
      <w:pPr>
        <w:ind w:left="6020"/>
        <w:spacing w:after="0"/>
        <w:rPr>
          <w:sz w:val="20"/>
          <w:szCs w:val="20"/>
          <w:color w:val="auto"/>
        </w:rPr>
      </w:pPr>
      <w:r>
        <w:rPr>
          <w:rFonts w:ascii="Arial" w:cs="Arial" w:eastAsia="Arial" w:hAnsi="Arial"/>
          <w:sz w:val="17"/>
          <w:szCs w:val="17"/>
          <w:color w:val="auto"/>
        </w:rPr>
        <w:t>(Principal Executive Officer and Principal Financial Officer)</w:t>
      </w:r>
    </w:p>
    <w:p>
      <w:pPr>
        <w:spacing w:after="0" w:line="19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0"/>
          </w:cols>
          <w:pgMar w:left="320" w:top="324" w:right="1039" w:bottom="1440" w:gutter="0" w:footer="0" w:header="0"/>
        </w:sectPr>
      </w:pPr>
    </w:p>
    <w:bookmarkStart w:id="25" w:name="page26"/>
    <w:bookmarkEnd w:id="25"/>
    <w:p>
      <w:pPr>
        <w:jc w:val="right"/>
        <w:spacing w:after="0"/>
        <w:rPr>
          <w:sz w:val="20"/>
          <w:szCs w:val="20"/>
          <w:color w:val="auto"/>
        </w:rPr>
      </w:pPr>
      <w:r>
        <w:rPr>
          <w:rFonts w:ascii="Arial" w:cs="Arial" w:eastAsia="Arial" w:hAnsi="Arial"/>
          <w:sz w:val="22"/>
          <w:szCs w:val="22"/>
          <w:b w:val="1"/>
          <w:bCs w:val="1"/>
          <w:color w:val="auto"/>
        </w:rPr>
        <w:t>Exhibit 10.5</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ADDENDUM TO EMPLOYMENT AGREEMENT</w:t>
      </w:r>
    </w:p>
    <w:p>
      <w:pPr>
        <w:spacing w:after="0" w:line="98" w:lineRule="exact"/>
        <w:rPr>
          <w:sz w:val="20"/>
          <w:szCs w:val="20"/>
          <w:color w:val="auto"/>
        </w:rPr>
      </w:pPr>
    </w:p>
    <w:p>
      <w:pPr>
        <w:ind w:left="440"/>
        <w:spacing w:after="0"/>
        <w:rPr>
          <w:sz w:val="20"/>
          <w:szCs w:val="20"/>
          <w:color w:val="auto"/>
        </w:rPr>
      </w:pPr>
      <w:r>
        <w:rPr>
          <w:rFonts w:ascii="Arial" w:cs="Arial" w:eastAsia="Arial" w:hAnsi="Arial"/>
          <w:sz w:val="22"/>
          <w:szCs w:val="22"/>
          <w:b w:val="1"/>
          <w:bCs w:val="1"/>
          <w:color w:val="auto"/>
        </w:rPr>
        <w:t xml:space="preserve">THIS ADDENDUM </w:t>
      </w:r>
      <w:r>
        <w:rPr>
          <w:rFonts w:ascii="Arial" w:cs="Arial" w:eastAsia="Arial" w:hAnsi="Arial"/>
          <w:sz w:val="22"/>
          <w:szCs w:val="22"/>
          <w:color w:val="auto"/>
        </w:rPr>
        <w:t>to the Employment Agreement dated January 8, 2018 and effective as of July 1, 2018 (the</w:t>
      </w:r>
    </w:p>
    <w:p>
      <w:pPr>
        <w:spacing w:after="0" w:line="14"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Agreement</w:t>
      </w:r>
      <w:r>
        <w:rPr>
          <w:rFonts w:ascii="Arial" w:cs="Arial" w:eastAsia="Arial" w:hAnsi="Arial"/>
          <w:sz w:val="21"/>
          <w:szCs w:val="21"/>
          <w:color w:val="auto"/>
        </w:rPr>
        <w:t>”) by and among Richard E. Allison, Jr. (the “</w:t>
      </w:r>
      <w:r>
        <w:rPr>
          <w:rFonts w:ascii="Arial" w:cs="Arial" w:eastAsia="Arial" w:hAnsi="Arial"/>
          <w:sz w:val="21"/>
          <w:szCs w:val="21"/>
          <w:u w:val="single" w:color="auto"/>
          <w:color w:val="auto"/>
        </w:rPr>
        <w:t>Executive</w:t>
      </w:r>
      <w:r>
        <w:rPr>
          <w:rFonts w:ascii="Arial" w:cs="Arial" w:eastAsia="Arial" w:hAnsi="Arial"/>
          <w:sz w:val="21"/>
          <w:szCs w:val="21"/>
          <w:color w:val="auto"/>
        </w:rPr>
        <w:t>”), Domino’s Pizza, Inc. (the “</w:t>
      </w:r>
      <w:r>
        <w:rPr>
          <w:rFonts w:ascii="Arial" w:cs="Arial" w:eastAsia="Arial" w:hAnsi="Arial"/>
          <w:sz w:val="21"/>
          <w:szCs w:val="21"/>
          <w:u w:val="single" w:color="auto"/>
          <w:color w:val="auto"/>
        </w:rPr>
        <w:t>Company</w:t>
      </w:r>
      <w:r>
        <w:rPr>
          <w:rFonts w:ascii="Arial" w:cs="Arial" w:eastAsia="Arial" w:hAnsi="Arial"/>
          <w:sz w:val="21"/>
          <w:szCs w:val="21"/>
          <w:color w:val="auto"/>
        </w:rPr>
        <w:t>”) and Domino’s</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Pizza LLC (the “</w:t>
      </w:r>
      <w:r>
        <w:rPr>
          <w:rFonts w:ascii="Arial" w:cs="Arial" w:eastAsia="Arial" w:hAnsi="Arial"/>
          <w:sz w:val="22"/>
          <w:szCs w:val="22"/>
          <w:u w:val="single" w:color="auto"/>
          <w:color w:val="auto"/>
        </w:rPr>
        <w:t>Principal Subsidiary</w:t>
      </w:r>
      <w:r>
        <w:rPr>
          <w:rFonts w:ascii="Arial" w:cs="Arial" w:eastAsia="Arial" w:hAnsi="Arial"/>
          <w:sz w:val="22"/>
          <w:szCs w:val="22"/>
          <w:color w:val="auto"/>
        </w:rPr>
        <w:t>”) is effective as of February 24, 2022 (the “</w:t>
      </w:r>
      <w:r>
        <w:rPr>
          <w:rFonts w:ascii="Arial" w:cs="Arial" w:eastAsia="Arial" w:hAnsi="Arial"/>
          <w:sz w:val="22"/>
          <w:szCs w:val="22"/>
          <w:u w:val="single" w:color="auto"/>
          <w:color w:val="auto"/>
        </w:rPr>
        <w:t>Addendum</w:t>
      </w:r>
      <w:r>
        <w:rPr>
          <w:rFonts w:ascii="Arial" w:cs="Arial" w:eastAsia="Arial" w:hAnsi="Arial"/>
          <w:sz w:val="22"/>
          <w:szCs w:val="22"/>
          <w:color w:val="auto"/>
        </w:rPr>
        <w:t>”).</w:t>
      </w:r>
    </w:p>
    <w:p>
      <w:pPr>
        <w:spacing w:after="0" w:line="74" w:lineRule="exact"/>
        <w:rPr>
          <w:sz w:val="20"/>
          <w:szCs w:val="20"/>
          <w:color w:val="auto"/>
        </w:rPr>
      </w:pPr>
    </w:p>
    <w:p>
      <w:pPr>
        <w:ind w:left="5260"/>
        <w:spacing w:after="0"/>
        <w:rPr>
          <w:sz w:val="20"/>
          <w:szCs w:val="20"/>
          <w:color w:val="auto"/>
        </w:rPr>
      </w:pPr>
      <w:r>
        <w:rPr>
          <w:rFonts w:ascii="Arial" w:cs="Arial" w:eastAsia="Arial" w:hAnsi="Arial"/>
          <w:sz w:val="22"/>
          <w:szCs w:val="22"/>
          <w:b w:val="1"/>
          <w:bCs w:val="1"/>
          <w:u w:val="single" w:color="auto"/>
          <w:color w:val="auto"/>
        </w:rPr>
        <w:t>Recitals</w:t>
      </w:r>
    </w:p>
    <w:p>
      <w:pPr>
        <w:spacing w:after="0" w:line="98" w:lineRule="exact"/>
        <w:rPr>
          <w:sz w:val="20"/>
          <w:szCs w:val="20"/>
          <w:color w:val="auto"/>
        </w:rPr>
      </w:pPr>
    </w:p>
    <w:p>
      <w:pPr>
        <w:ind w:left="440"/>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parties desire to amend certain obligations contained in the Agreement as set forth herein;</w:t>
      </w:r>
    </w:p>
    <w:p>
      <w:pPr>
        <w:spacing w:after="0" w:line="98" w:lineRule="exact"/>
        <w:rPr>
          <w:sz w:val="20"/>
          <w:szCs w:val="20"/>
          <w:color w:val="auto"/>
        </w:rPr>
      </w:pPr>
    </w:p>
    <w:p>
      <w:pPr>
        <w:ind w:right="220" w:firstLine="432"/>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premises and mutual agreements set forth herein, and in the Agreement,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parties hereto agree as follows.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Addendum</w:t>
      </w:r>
    </w:p>
    <w:p>
      <w:pPr>
        <w:spacing w:after="0" w:line="104" w:lineRule="exact"/>
        <w:rPr>
          <w:sz w:val="20"/>
          <w:szCs w:val="20"/>
          <w:color w:val="auto"/>
        </w:rPr>
      </w:pPr>
    </w:p>
    <w:p>
      <w:pPr>
        <w:ind w:left="440" w:hanging="432"/>
        <w:spacing w:after="0"/>
        <w:tabs>
          <w:tab w:leader="none" w:pos="440" w:val="left"/>
        </w:tabs>
        <w:numPr>
          <w:ilvl w:val="0"/>
          <w:numId w:val="12"/>
        </w:numPr>
        <w:rPr>
          <w:rFonts w:ascii="Arial" w:cs="Arial" w:eastAsia="Arial" w:hAnsi="Arial"/>
          <w:sz w:val="21"/>
          <w:szCs w:val="21"/>
          <w:color w:val="auto"/>
        </w:rPr>
      </w:pPr>
      <w:r>
        <w:rPr>
          <w:rFonts w:ascii="Arial" w:cs="Arial" w:eastAsia="Arial" w:hAnsi="Arial"/>
          <w:sz w:val="21"/>
          <w:szCs w:val="21"/>
          <w:color w:val="auto"/>
        </w:rPr>
        <w:t>The defined terms set forth in the Agreement and Recitals above are incorporated by reference in this Addendum.</w:t>
      </w:r>
    </w:p>
    <w:p>
      <w:pPr>
        <w:spacing w:after="0" w:line="109" w:lineRule="exact"/>
        <w:rPr>
          <w:rFonts w:ascii="Arial" w:cs="Arial" w:eastAsia="Arial" w:hAnsi="Arial"/>
          <w:sz w:val="21"/>
          <w:szCs w:val="21"/>
          <w:color w:val="auto"/>
        </w:rPr>
      </w:pPr>
    </w:p>
    <w:p>
      <w:pPr>
        <w:ind w:left="440" w:hanging="432"/>
        <w:spacing w:after="0"/>
        <w:tabs>
          <w:tab w:leader="none" w:pos="4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A new Sub-Section 4.5.3 is added to the Agreement after Sub-Section 4.5.2 and shall read as follows:</w:t>
      </w:r>
    </w:p>
    <w:p>
      <w:pPr>
        <w:spacing w:after="0" w:line="206" w:lineRule="exact"/>
        <w:rPr>
          <w:sz w:val="20"/>
          <w:szCs w:val="20"/>
          <w:color w:val="auto"/>
        </w:rPr>
      </w:pPr>
    </w:p>
    <w:p>
      <w:pPr>
        <w:ind w:left="1020" w:right="20"/>
        <w:spacing w:after="0" w:line="267" w:lineRule="auto"/>
        <w:rPr>
          <w:sz w:val="20"/>
          <w:szCs w:val="20"/>
          <w:color w:val="auto"/>
        </w:rPr>
      </w:pPr>
      <w:r>
        <w:rPr>
          <w:rFonts w:ascii="Arial" w:cs="Arial" w:eastAsia="Arial" w:hAnsi="Arial"/>
          <w:sz w:val="19"/>
          <w:szCs w:val="19"/>
          <w:color w:val="auto"/>
        </w:rPr>
        <w:t>Notwithstanding Section 4.5.2 above, effective July 16, 2022, the Company’s obligation to provide the Executive and his spouse the entitlement to participate in the Company’s health plan shall terminate and the Company shall instead provide to the Executive during his lifetime and to the Executive’s spouse during her lifetime an annual payment in an amount to be determined by the Company and based on the methodology described in Appendix A (each such annual payment, a “Payment”). For the avoidance of doubt, the Executive’s spouse will be entitled to receive a Payment only for so long as she is married to the Executive; provided, however, in the event that the Executive predeceases his spouse while they are married to each other, his spouse shall continue to receive a Payment for the remainder of her life. Each Payment shall be made in accordance with Appendix A. On a basis no less frequently than annually, the Company shall fund the trust in an amount as is sufficient, in the Company’s discretion, to make the Payment contemplated by this Section 4.5.3 for the year following the year in which the Company makes such contribution to the trust. In the event that Executive or his spouse becomes eligible for health care coverage through another employer, the Payment for the Executive or his spouse, or both, as the case may be, shall cease until such time as the Executive or his spouse, or both, as the case may be, is no longer eligible for such other coverage. In addition to the Payments provided to the Executive and to the Executive’s spouse, for so long as Executive or his spouse receives a Payment hereunder, the Company shall make available to the Executive and the Executive’s spouse a Company resource to assist the Executive and the Executive’s spouse in reviewing, evaluating and securing health care coverage. Any benefit associated with the provision of such resource shall be taxable to the Executive or the Executive’s spouse, as applicable, on an annual basis. Alternatively, the Executive and/or the Executive’s spouse may secure a resource of his/her choosing to assist in reviewing, evaluating and securing health care coverage.</w:t>
      </w:r>
    </w:p>
    <w:p>
      <w:pPr>
        <w:spacing w:after="0" w:line="17"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6" w:name="page27"/>
    <w:bookmarkEnd w:id="26"/>
    <w:p>
      <w:pPr>
        <w:ind w:left="432" w:hanging="432"/>
        <w:spacing w:after="0"/>
        <w:tabs>
          <w:tab w:leader="none" w:pos="432" w:val="left"/>
        </w:tabs>
        <w:numPr>
          <w:ilvl w:val="0"/>
          <w:numId w:val="13"/>
        </w:numPr>
        <w:rPr>
          <w:rFonts w:ascii="Arial" w:cs="Arial" w:eastAsia="Arial" w:hAnsi="Arial"/>
          <w:sz w:val="22"/>
          <w:szCs w:val="22"/>
          <w:color w:val="auto"/>
        </w:rPr>
      </w:pPr>
      <w:r>
        <w:rPr>
          <w:rFonts w:ascii="Arial" w:cs="Arial" w:eastAsia="Arial" w:hAnsi="Arial"/>
          <w:sz w:val="22"/>
          <w:szCs w:val="22"/>
          <w:color w:val="auto"/>
        </w:rPr>
        <w:t>A new Appendix A is hereby inserted into the Agreement after the signature page and shall read as follows:</w:t>
      </w:r>
    </w:p>
    <w:p>
      <w:pPr>
        <w:spacing w:after="0" w:line="98" w:lineRule="exact"/>
        <w:rPr>
          <w:sz w:val="20"/>
          <w:szCs w:val="20"/>
          <w:color w:val="auto"/>
        </w:rPr>
      </w:pPr>
    </w:p>
    <w:p>
      <w:pPr>
        <w:ind w:left="1492"/>
        <w:spacing w:after="0" w:line="270" w:lineRule="auto"/>
        <w:rPr>
          <w:sz w:val="20"/>
          <w:szCs w:val="20"/>
          <w:color w:val="auto"/>
        </w:rPr>
      </w:pPr>
      <w:r>
        <w:rPr>
          <w:rFonts w:ascii="Arial" w:cs="Arial" w:eastAsia="Arial" w:hAnsi="Arial"/>
          <w:sz w:val="19"/>
          <w:szCs w:val="19"/>
          <w:color w:val="auto"/>
        </w:rPr>
        <w:t>The Payment described in Section 4.5.3 of the Agreement will be based on the annual cost of (a) individual market coverage (for clarification purposes, this shall include medical insurance coverage, prescription medicine coverage, dental insurance coverage and vision insurance coverage) elected by the Executive and the Executive’s spouse, and once each becomes Medicare-eligible, the cost of their Medicare supplemental coverage (inclusive of Part B premiums), (b) the cost of the annual membership fee to join a physician group, described at times as “concierge medicine” or “membership medicine,” (c) seventy-five percent (75%) of the out-of-pocket costs not covered by the policies contemplated under (a) (including but not limited to deductibles, copayments and coinsurance for those items covered by a medical, prescription drug, dental or vision plan) as well as other health care expenses for services that are medically necessary but are excluded from coverage by the individual market plan or by Medicare (inclusive of medical, prescription drug, dental or vision expenses) (for the avoidance of doubt, the Executive or Executive’s spouse shall pay the remaining twenty-five percent (25%) of such costs), and (d) the cost of any third-party resource retained by the Executive and/or the Executive’s spouse to assist them in reviewing, evaluating and securing such healthcare coverage and to manage payments and act as advocates on claims for the Executive and/or the Executive’s spouse; provided, that in no event shall the amount of the Payment by the Company exceed $150,000 per year, subject to the increase for inflation described below. For item (c) above, health care expenses that are excluded from coverage by the individual market plan or by Medicare should be substantiated with an explanation of benefits (EOB) or other document from the insurer stating the expense is not covered under the terms of the applicable plan, where possible without negative impact to the Executive and/or the Executive’s spouse. Starting for calendar 2023, such $150,000 Payment limit shall be increased automatically by three percent (3%) once for every five (5) year period that the Payment is in effect for the Executive and/or the Executive’s spouse.</w:t>
      </w:r>
    </w:p>
    <w:p>
      <w:pPr>
        <w:spacing w:after="0" w:line="184" w:lineRule="exact"/>
        <w:rPr>
          <w:sz w:val="20"/>
          <w:szCs w:val="20"/>
          <w:color w:val="auto"/>
        </w:rPr>
      </w:pPr>
    </w:p>
    <w:p>
      <w:pPr>
        <w:ind w:left="1492" w:right="20"/>
        <w:spacing w:after="0" w:line="255" w:lineRule="auto"/>
        <w:rPr>
          <w:sz w:val="20"/>
          <w:szCs w:val="20"/>
          <w:color w:val="auto"/>
        </w:rPr>
      </w:pPr>
      <w:r>
        <w:rPr>
          <w:rFonts w:ascii="Arial" w:cs="Arial" w:eastAsia="Arial" w:hAnsi="Arial"/>
          <w:sz w:val="20"/>
          <w:szCs w:val="20"/>
          <w:color w:val="auto"/>
        </w:rPr>
        <w:t>By October 15</w:t>
      </w:r>
      <w:r>
        <w:rPr>
          <w:rFonts w:ascii="Arial" w:cs="Arial" w:eastAsia="Arial" w:hAnsi="Arial"/>
          <w:sz w:val="13"/>
          <w:szCs w:val="13"/>
          <w:color w:val="auto"/>
        </w:rPr>
        <w:t>th</w:t>
      </w:r>
      <w:r>
        <w:rPr>
          <w:rFonts w:ascii="Arial" w:cs="Arial" w:eastAsia="Arial" w:hAnsi="Arial"/>
          <w:sz w:val="20"/>
          <w:szCs w:val="20"/>
          <w:color w:val="auto"/>
        </w:rPr>
        <w:t xml:space="preserve"> of each year, the Executive and/or his spouse shall notify the Company of the coverage they have elected for the following year or request the assistance of the Company resource in choosing such coverage. The Company will then make the payment of the Payment in two installments. The first installment, which will equal to the annual cost of the items described in subsections (a), (b), and (d) above, will be made by February 1</w:t>
      </w:r>
      <w:r>
        <w:rPr>
          <w:rFonts w:ascii="Arial" w:cs="Arial" w:eastAsia="Arial" w:hAnsi="Arial"/>
          <w:sz w:val="13"/>
          <w:szCs w:val="13"/>
          <w:color w:val="auto"/>
        </w:rPr>
        <w:t>st</w:t>
      </w:r>
      <w:r>
        <w:rPr>
          <w:rFonts w:ascii="Arial" w:cs="Arial" w:eastAsia="Arial" w:hAnsi="Arial"/>
          <w:sz w:val="20"/>
          <w:szCs w:val="20"/>
          <w:color w:val="auto"/>
        </w:rPr>
        <w:t xml:space="preserve"> of each year, provided that the Executive and/or his spouse have provided documentation of such expenses by January 10</w:t>
      </w:r>
      <w:r>
        <w:rPr>
          <w:rFonts w:ascii="Arial" w:cs="Arial" w:eastAsia="Arial" w:hAnsi="Arial"/>
          <w:sz w:val="13"/>
          <w:szCs w:val="13"/>
          <w:color w:val="auto"/>
        </w:rPr>
        <w:t>th</w:t>
      </w:r>
      <w:r>
        <w:rPr>
          <w:rFonts w:ascii="Arial" w:cs="Arial" w:eastAsia="Arial" w:hAnsi="Arial"/>
          <w:sz w:val="20"/>
          <w:szCs w:val="20"/>
          <w:color w:val="auto"/>
        </w:rPr>
        <w:t xml:space="preserve"> of that year. If receipt of such documentation is delayed, the first installment of the Payment will be equally delayed. The second installment of the Payment will cover any expenses covered under subsection (c) above and will be paid by the Company on or before December 31</w:t>
      </w:r>
      <w:r>
        <w:rPr>
          <w:rFonts w:ascii="Arial" w:cs="Arial" w:eastAsia="Arial" w:hAnsi="Arial"/>
          <w:sz w:val="13"/>
          <w:szCs w:val="13"/>
          <w:color w:val="auto"/>
        </w:rPr>
        <w:t>st</w:t>
      </w:r>
      <w:r>
        <w:rPr>
          <w:rFonts w:ascii="Arial" w:cs="Arial" w:eastAsia="Arial" w:hAnsi="Arial"/>
          <w:sz w:val="20"/>
          <w:szCs w:val="20"/>
          <w:color w:val="auto"/>
        </w:rPr>
        <w:t xml:space="preserve"> of each year provided that the Executive or his spouse has delivered supporting documentation (including an Explanation of Benefits from Medicare or the individual market coverage as well as the document showing the substantiation described above) of</w:t>
      </w:r>
    </w:p>
    <w:p>
      <w:pPr>
        <w:spacing w:after="0" w:line="3"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51435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361" w:right="359" w:bottom="1440" w:gutter="0" w:footer="0" w:header="0"/>
        </w:sectPr>
      </w:pPr>
    </w:p>
    <w:bookmarkStart w:id="27" w:name="page28"/>
    <w:bookmarkEnd w:id="27"/>
    <w:p>
      <w:pPr>
        <w:ind w:left="1492" w:right="200"/>
        <w:spacing w:after="0" w:line="297" w:lineRule="auto"/>
        <w:rPr>
          <w:sz w:val="20"/>
          <w:szCs w:val="20"/>
          <w:color w:val="auto"/>
        </w:rPr>
      </w:pPr>
      <w:r>
        <w:rPr>
          <w:rFonts w:ascii="Arial" w:cs="Arial" w:eastAsia="Arial" w:hAnsi="Arial"/>
          <w:sz w:val="19"/>
          <w:szCs w:val="19"/>
          <w:color w:val="auto"/>
        </w:rPr>
        <w:t>such expenses on or before December 1st of that year. Again, if receipt of such documentation is delayed, the second installment of the Payment will be equally delayed. The Company will issue a Form 1099 to the Executive and/or his spouse on an annual basis covering the Payment made during each calendar year.</w:t>
      </w:r>
    </w:p>
    <w:p>
      <w:pPr>
        <w:spacing w:after="0" w:line="161" w:lineRule="exact"/>
        <w:rPr>
          <w:sz w:val="20"/>
          <w:szCs w:val="20"/>
          <w:color w:val="auto"/>
        </w:rPr>
      </w:pPr>
    </w:p>
    <w:p>
      <w:pPr>
        <w:ind w:left="1492"/>
        <w:spacing w:after="0" w:line="287" w:lineRule="auto"/>
        <w:rPr>
          <w:sz w:val="20"/>
          <w:szCs w:val="20"/>
          <w:color w:val="auto"/>
        </w:rPr>
      </w:pPr>
      <w:r>
        <w:rPr>
          <w:rFonts w:ascii="Arial" w:cs="Arial" w:eastAsia="Arial" w:hAnsi="Arial"/>
          <w:sz w:val="19"/>
          <w:szCs w:val="19"/>
          <w:color w:val="auto"/>
        </w:rPr>
        <w:t>Receipt of the Payment is not conditioned on the Executive and his spouse agreeing to use the Payment to purchase health insurance or certifying or substantiating that they have done so. The amount of the Payment for any year shall not affect the amount of the Payment for a subsequent year, and the right to payment of the Payment shall not be subject to liquidation or exchange for any other benefit.</w:t>
      </w:r>
    </w:p>
    <w:p>
      <w:pPr>
        <w:spacing w:after="0" w:line="278" w:lineRule="exact"/>
        <w:rPr>
          <w:sz w:val="20"/>
          <w:szCs w:val="20"/>
          <w:color w:val="auto"/>
        </w:rPr>
      </w:pPr>
    </w:p>
    <w:p>
      <w:pPr>
        <w:ind w:left="432" w:hanging="432"/>
        <w:spacing w:after="0"/>
        <w:tabs>
          <w:tab w:leader="none" w:pos="432" w:val="left"/>
        </w:tabs>
        <w:numPr>
          <w:ilvl w:val="0"/>
          <w:numId w:val="14"/>
        </w:numPr>
        <w:rPr>
          <w:rFonts w:ascii="Arial" w:cs="Arial" w:eastAsia="Arial" w:hAnsi="Arial"/>
          <w:sz w:val="22"/>
          <w:szCs w:val="22"/>
          <w:color w:val="auto"/>
        </w:rPr>
      </w:pPr>
      <w:r>
        <w:rPr>
          <w:rFonts w:ascii="Arial" w:cs="Arial" w:eastAsia="Arial" w:hAnsi="Arial"/>
          <w:sz w:val="22"/>
          <w:szCs w:val="22"/>
          <w:color w:val="auto"/>
        </w:rPr>
        <w:t>Any provisions in the Agreement not revised herein remain in full force and effect.</w:t>
      </w:r>
    </w:p>
    <w:p>
      <w:pPr>
        <w:spacing w:after="0" w:line="98" w:lineRule="exact"/>
        <w:rPr>
          <w:rFonts w:ascii="Arial" w:cs="Arial" w:eastAsia="Arial" w:hAnsi="Arial"/>
          <w:sz w:val="22"/>
          <w:szCs w:val="22"/>
          <w:color w:val="auto"/>
        </w:rPr>
      </w:pPr>
    </w:p>
    <w:p>
      <w:pPr>
        <w:ind w:left="2872"/>
        <w:spacing w:after="0"/>
        <w:rPr>
          <w:rFonts w:ascii="Arial" w:cs="Arial" w:eastAsia="Arial" w:hAnsi="Arial"/>
          <w:sz w:val="22"/>
          <w:szCs w:val="22"/>
          <w:color w:val="auto"/>
        </w:rPr>
      </w:pPr>
      <w:r>
        <w:rPr>
          <w:rFonts w:ascii="Arial" w:cs="Arial" w:eastAsia="Arial" w:hAnsi="Arial"/>
          <w:sz w:val="22"/>
          <w:szCs w:val="22"/>
          <w:color w:val="auto"/>
        </w:rPr>
        <w:t>[REMAINDER OF PAGE INTENTIONALLY LEFT BLANK]</w:t>
      </w:r>
    </w:p>
    <w:p>
      <w:pPr>
        <w:spacing w:after="0" w:line="301" w:lineRule="exact"/>
        <w:rPr>
          <w:sz w:val="20"/>
          <w:szCs w:val="20"/>
          <w:color w:val="auto"/>
        </w:rPr>
      </w:pPr>
    </w:p>
    <w:p>
      <w:pPr>
        <w:jc w:val="center"/>
        <w:ind w:right="-91"/>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52"/>
          </w:cols>
          <w:pgMar w:left="328" w:top="361" w:right="419" w:bottom="1440" w:gutter="0" w:footer="0" w:header="0"/>
        </w:sectPr>
      </w:pPr>
    </w:p>
    <w:bookmarkStart w:id="28" w:name="page29"/>
    <w:bookmarkEnd w:id="28"/>
    <w:p>
      <w:pPr>
        <w:ind w:right="200" w:firstLine="432"/>
        <w:spacing w:after="0" w:line="280" w:lineRule="auto"/>
        <w:rPr>
          <w:sz w:val="20"/>
          <w:szCs w:val="20"/>
          <w:color w:val="auto"/>
        </w:rPr>
      </w:pPr>
      <w:r>
        <w:rPr>
          <w:rFonts w:ascii="Arial" w:cs="Arial" w:eastAsia="Arial" w:hAnsi="Arial"/>
          <w:sz w:val="21"/>
          <w:szCs w:val="21"/>
          <w:b w:val="1"/>
          <w:bCs w:val="1"/>
          <w:color w:val="auto"/>
        </w:rPr>
        <w:t>IN WITNESS WHEREOF</w:t>
      </w:r>
      <w:r>
        <w:rPr>
          <w:rFonts w:ascii="Arial" w:cs="Arial" w:eastAsia="Arial" w:hAnsi="Arial"/>
          <w:sz w:val="21"/>
          <w:szCs w:val="21"/>
          <w:color w:val="auto"/>
        </w:rPr>
        <w:t>, this Addendum has been executed on behalf of the Company and the Principal Subsidiary by</w:t>
      </w:r>
      <w:r>
        <w:rPr>
          <w:rFonts w:ascii="Arial" w:cs="Arial" w:eastAsia="Arial" w:hAnsi="Arial"/>
          <w:sz w:val="21"/>
          <w:szCs w:val="21"/>
          <w:b w:val="1"/>
          <w:bCs w:val="1"/>
          <w:color w:val="auto"/>
        </w:rPr>
        <w:t xml:space="preserve"> </w:t>
      </w:r>
      <w:r>
        <w:rPr>
          <w:rFonts w:ascii="Arial" w:cs="Arial" w:eastAsia="Arial" w:hAnsi="Arial"/>
          <w:sz w:val="21"/>
          <w:szCs w:val="21"/>
          <w:color w:val="auto"/>
        </w:rPr>
        <w:t>their respective duly authorized representatives and by the Executive, as of the date first above written.</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820" w:type="dxa"/>
            <w:vAlign w:val="bottom"/>
          </w:tcPr>
          <w:p>
            <w:pPr>
              <w:ind w:left="780"/>
              <w:spacing w:after="0"/>
              <w:rPr>
                <w:sz w:val="20"/>
                <w:szCs w:val="20"/>
                <w:color w:val="auto"/>
              </w:rPr>
            </w:pPr>
            <w:r>
              <w:rPr>
                <w:rFonts w:ascii="Arial" w:cs="Arial" w:eastAsia="Arial" w:hAnsi="Arial"/>
                <w:sz w:val="22"/>
                <w:szCs w:val="22"/>
                <w:b w:val="1"/>
                <w:bCs w:val="1"/>
                <w:color w:val="auto"/>
              </w:rPr>
              <w:t>THE COMPANY:</w:t>
            </w:r>
          </w:p>
        </w:tc>
        <w:tc>
          <w:tcPr>
            <w:tcW w:w="7420" w:type="dxa"/>
            <w:vAlign w:val="bottom"/>
            <w:gridSpan w:val="7"/>
          </w:tcPr>
          <w:p>
            <w:pPr>
              <w:ind w:left="420"/>
              <w:spacing w:after="0"/>
              <w:rPr>
                <w:sz w:val="20"/>
                <w:szCs w:val="20"/>
                <w:color w:val="auto"/>
              </w:rPr>
            </w:pPr>
            <w:r>
              <w:rPr>
                <w:rFonts w:ascii="Arial" w:cs="Arial" w:eastAsia="Arial" w:hAnsi="Arial"/>
                <w:sz w:val="22"/>
                <w:szCs w:val="22"/>
                <w:b w:val="1"/>
                <w:bCs w:val="1"/>
                <w:color w:val="auto"/>
              </w:rPr>
              <w:t>DOMINO’S PIZZA, INC.</w:t>
            </w:r>
          </w:p>
        </w:tc>
      </w:tr>
      <w:tr>
        <w:trPr>
          <w:trHeight w:val="678"/>
        </w:trPr>
        <w:tc>
          <w:tcPr>
            <w:tcW w:w="3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200" w:type="dxa"/>
            <w:vAlign w:val="bottom"/>
            <w:gridSpan w:val="5"/>
          </w:tcPr>
          <w:p>
            <w:pPr>
              <w:spacing w:after="0"/>
              <w:rPr>
                <w:sz w:val="20"/>
                <w:szCs w:val="20"/>
                <w:color w:val="auto"/>
              </w:rPr>
            </w:pPr>
            <w:r>
              <w:rPr>
                <w:rFonts w:ascii="Arial" w:cs="Arial" w:eastAsia="Arial" w:hAnsi="Arial"/>
                <w:sz w:val="22"/>
                <w:szCs w:val="22"/>
                <w:color w:val="auto"/>
              </w:rPr>
              <w:t>By:___/s/ David A. Brandon______</w:t>
            </w:r>
          </w:p>
        </w:tc>
      </w:tr>
      <w:tr>
        <w:trPr>
          <w:trHeight w:val="242"/>
        </w:trPr>
        <w:tc>
          <w:tcPr>
            <w:tcW w:w="38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120" w:type="dxa"/>
            <w:vAlign w:val="bottom"/>
            <w:tcBorders>
              <w:top w:val="single" w:sz="8" w:color="auto"/>
            </w:tcBorders>
            <w:gridSpan w:val="4"/>
          </w:tcPr>
          <w:p>
            <w:pPr>
              <w:spacing w:after="0" w:line="242" w:lineRule="exact"/>
              <w:rPr>
                <w:sz w:val="20"/>
                <w:szCs w:val="20"/>
                <w:color w:val="auto"/>
              </w:rPr>
            </w:pPr>
            <w:r>
              <w:rPr>
                <w:rFonts w:ascii="Arial" w:cs="Arial" w:eastAsia="Arial" w:hAnsi="Arial"/>
                <w:sz w:val="22"/>
                <w:szCs w:val="22"/>
                <w:color w:val="auto"/>
              </w:rPr>
              <w:t>Name: David A. Brandon</w:t>
            </w:r>
          </w:p>
        </w:tc>
        <w:tc>
          <w:tcPr>
            <w:tcW w:w="2080" w:type="dxa"/>
            <w:vAlign w:val="bottom"/>
          </w:tcPr>
          <w:p>
            <w:pPr>
              <w:spacing w:after="0"/>
              <w:rPr>
                <w:sz w:val="21"/>
                <w:szCs w:val="21"/>
                <w:color w:val="auto"/>
              </w:rPr>
            </w:pPr>
          </w:p>
        </w:tc>
      </w:tr>
      <w:tr>
        <w:trPr>
          <w:trHeight w:val="274"/>
        </w:trPr>
        <w:tc>
          <w:tcPr>
            <w:tcW w:w="38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5200" w:type="dxa"/>
            <w:vAlign w:val="bottom"/>
            <w:gridSpan w:val="5"/>
          </w:tcPr>
          <w:p>
            <w:pPr>
              <w:spacing w:after="0"/>
              <w:rPr>
                <w:sz w:val="20"/>
                <w:szCs w:val="20"/>
                <w:color w:val="auto"/>
              </w:rPr>
            </w:pPr>
            <w:r>
              <w:rPr>
                <w:rFonts w:ascii="Arial" w:cs="Arial" w:eastAsia="Arial" w:hAnsi="Arial"/>
                <w:sz w:val="22"/>
                <w:szCs w:val="22"/>
                <w:color w:val="auto"/>
              </w:rPr>
              <w:t>Title: Chairman</w:t>
            </w:r>
          </w:p>
        </w:tc>
      </w:tr>
      <w:tr>
        <w:trPr>
          <w:trHeight w:val="486"/>
        </w:trPr>
        <w:tc>
          <w:tcPr>
            <w:tcW w:w="3820" w:type="dxa"/>
            <w:vAlign w:val="bottom"/>
          </w:tcPr>
          <w:p>
            <w:pPr>
              <w:ind w:left="780"/>
              <w:spacing w:after="0"/>
              <w:rPr>
                <w:sz w:val="20"/>
                <w:szCs w:val="20"/>
                <w:color w:val="auto"/>
              </w:rPr>
            </w:pPr>
            <w:r>
              <w:rPr>
                <w:rFonts w:ascii="Arial" w:cs="Arial" w:eastAsia="Arial" w:hAnsi="Arial"/>
                <w:sz w:val="22"/>
                <w:szCs w:val="22"/>
                <w:b w:val="1"/>
                <w:bCs w:val="1"/>
                <w:color w:val="auto"/>
              </w:rPr>
              <w:t>PRINCIPAL SUBSIDIARY:</w:t>
            </w:r>
          </w:p>
        </w:tc>
        <w:tc>
          <w:tcPr>
            <w:tcW w:w="7420" w:type="dxa"/>
            <w:vAlign w:val="bottom"/>
            <w:gridSpan w:val="7"/>
          </w:tcPr>
          <w:p>
            <w:pPr>
              <w:ind w:left="860"/>
              <w:spacing w:after="0"/>
              <w:rPr>
                <w:sz w:val="20"/>
                <w:szCs w:val="20"/>
                <w:color w:val="auto"/>
              </w:rPr>
            </w:pPr>
            <w:r>
              <w:rPr>
                <w:rFonts w:ascii="Arial" w:cs="Arial" w:eastAsia="Arial" w:hAnsi="Arial"/>
                <w:sz w:val="22"/>
                <w:szCs w:val="22"/>
                <w:b w:val="1"/>
                <w:bCs w:val="1"/>
                <w:color w:val="auto"/>
              </w:rPr>
              <w:t>DOMINO’S PIZZA LLC</w:t>
            </w:r>
          </w:p>
        </w:tc>
      </w:tr>
      <w:tr>
        <w:trPr>
          <w:trHeight w:val="678"/>
        </w:trPr>
        <w:tc>
          <w:tcPr>
            <w:tcW w:w="3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200" w:type="dxa"/>
            <w:vAlign w:val="bottom"/>
            <w:gridSpan w:val="5"/>
          </w:tcPr>
          <w:p>
            <w:pPr>
              <w:spacing w:after="0"/>
              <w:rPr>
                <w:sz w:val="20"/>
                <w:szCs w:val="20"/>
                <w:color w:val="auto"/>
              </w:rPr>
            </w:pPr>
            <w:r>
              <w:rPr>
                <w:rFonts w:ascii="Arial" w:cs="Arial" w:eastAsia="Arial" w:hAnsi="Arial"/>
                <w:sz w:val="22"/>
                <w:szCs w:val="22"/>
                <w:color w:val="auto"/>
              </w:rPr>
              <w:t>By:____/s/ Lisa V. Price_________</w:t>
            </w:r>
          </w:p>
        </w:tc>
      </w:tr>
      <w:tr>
        <w:trPr>
          <w:trHeight w:val="20"/>
        </w:trPr>
        <w:tc>
          <w:tcPr>
            <w:tcW w:w="3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r>
      <w:tr>
        <w:trPr>
          <w:trHeight w:val="242"/>
        </w:trPr>
        <w:tc>
          <w:tcPr>
            <w:tcW w:w="38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200" w:type="dxa"/>
            <w:vAlign w:val="bottom"/>
            <w:gridSpan w:val="5"/>
          </w:tcPr>
          <w:p>
            <w:pPr>
              <w:spacing w:after="0" w:line="242" w:lineRule="exact"/>
              <w:rPr>
                <w:sz w:val="20"/>
                <w:szCs w:val="20"/>
                <w:color w:val="auto"/>
              </w:rPr>
            </w:pPr>
            <w:r>
              <w:rPr>
                <w:rFonts w:ascii="Arial" w:cs="Arial" w:eastAsia="Arial" w:hAnsi="Arial"/>
                <w:sz w:val="22"/>
                <w:szCs w:val="22"/>
                <w:color w:val="auto"/>
              </w:rPr>
              <w:t>Name: Lisa V. Price</w:t>
            </w:r>
          </w:p>
        </w:tc>
      </w:tr>
      <w:tr>
        <w:trPr>
          <w:trHeight w:val="274"/>
        </w:trPr>
        <w:tc>
          <w:tcPr>
            <w:tcW w:w="38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5200" w:type="dxa"/>
            <w:vAlign w:val="bottom"/>
            <w:gridSpan w:val="5"/>
          </w:tcPr>
          <w:p>
            <w:pPr>
              <w:spacing w:after="0"/>
              <w:rPr>
                <w:sz w:val="20"/>
                <w:szCs w:val="20"/>
                <w:color w:val="auto"/>
              </w:rPr>
            </w:pPr>
            <w:r>
              <w:rPr>
                <w:rFonts w:ascii="Arial" w:cs="Arial" w:eastAsia="Arial" w:hAnsi="Arial"/>
                <w:sz w:val="22"/>
                <w:szCs w:val="22"/>
                <w:color w:val="auto"/>
              </w:rPr>
              <w:t>Title: Chief Human Resources Officer</w:t>
            </w:r>
          </w:p>
        </w:tc>
      </w:tr>
      <w:tr>
        <w:trPr>
          <w:trHeight w:val="678"/>
        </w:trPr>
        <w:tc>
          <w:tcPr>
            <w:tcW w:w="3820" w:type="dxa"/>
            <w:vAlign w:val="bottom"/>
          </w:tcPr>
          <w:p>
            <w:pPr>
              <w:ind w:left="780"/>
              <w:spacing w:after="0"/>
              <w:rPr>
                <w:sz w:val="20"/>
                <w:szCs w:val="20"/>
                <w:color w:val="auto"/>
              </w:rPr>
            </w:pPr>
            <w:r>
              <w:rPr>
                <w:rFonts w:ascii="Arial" w:cs="Arial" w:eastAsia="Arial" w:hAnsi="Arial"/>
                <w:sz w:val="22"/>
                <w:szCs w:val="22"/>
                <w:b w:val="1"/>
                <w:bCs w:val="1"/>
                <w:color w:val="auto"/>
              </w:rPr>
              <w:t>THE EXECUTIVE:</w:t>
            </w:r>
          </w:p>
        </w:tc>
        <w:tc>
          <w:tcPr>
            <w:tcW w:w="7420" w:type="dxa"/>
            <w:vAlign w:val="bottom"/>
            <w:gridSpan w:val="7"/>
          </w:tcPr>
          <w:p>
            <w:pPr>
              <w:ind w:left="860"/>
              <w:spacing w:after="0"/>
              <w:rPr>
                <w:sz w:val="20"/>
                <w:szCs w:val="20"/>
                <w:color w:val="auto"/>
              </w:rPr>
            </w:pPr>
            <w:r>
              <w:rPr>
                <w:rFonts w:ascii="Arial" w:cs="Arial" w:eastAsia="Arial" w:hAnsi="Arial"/>
                <w:sz w:val="22"/>
                <w:szCs w:val="22"/>
                <w:color w:val="auto"/>
              </w:rPr>
              <w:t>___/s/ Richard E. Allison, Jr.______</w:t>
            </w:r>
          </w:p>
        </w:tc>
      </w:tr>
      <w:tr>
        <w:trPr>
          <w:trHeight w:val="20"/>
        </w:trPr>
        <w:tc>
          <w:tcPr>
            <w:tcW w:w="3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780" w:type="dxa"/>
            <w:vAlign w:val="bottom"/>
            <w:gridSpan w:val="2"/>
            <w:shd w:val="clear" w:color="auto" w:fill="000000"/>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r>
      <w:tr>
        <w:trPr>
          <w:trHeight w:val="273"/>
        </w:trPr>
        <w:tc>
          <w:tcPr>
            <w:tcW w:w="38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5200" w:type="dxa"/>
            <w:vAlign w:val="bottom"/>
            <w:gridSpan w:val="5"/>
          </w:tcPr>
          <w:p>
            <w:pPr>
              <w:spacing w:after="0"/>
              <w:rPr>
                <w:sz w:val="20"/>
                <w:szCs w:val="20"/>
                <w:color w:val="auto"/>
              </w:rPr>
            </w:pPr>
            <w:r>
              <w:rPr>
                <w:rFonts w:ascii="Arial" w:cs="Arial" w:eastAsia="Arial" w:hAnsi="Arial"/>
                <w:sz w:val="22"/>
                <w:szCs w:val="22"/>
                <w:color w:val="auto"/>
              </w:rPr>
              <w:t>Name: Richard E. Allison, Jr.</w:t>
            </w:r>
          </w:p>
        </w:tc>
      </w:tr>
      <w:tr>
        <w:trPr>
          <w:trHeight w:val="891"/>
        </w:trPr>
        <w:tc>
          <w:tcPr>
            <w:tcW w:w="3820" w:type="dxa"/>
            <w:vAlign w:val="bottom"/>
          </w:tcPr>
          <w:p>
            <w:pPr>
              <w:spacing w:after="0"/>
              <w:rPr>
                <w:sz w:val="24"/>
                <w:szCs w:val="24"/>
                <w:color w:val="auto"/>
              </w:rPr>
            </w:pPr>
          </w:p>
        </w:tc>
        <w:tc>
          <w:tcPr>
            <w:tcW w:w="2220" w:type="dxa"/>
            <w:vAlign w:val="bottom"/>
            <w:gridSpan w:val="2"/>
          </w:tcPr>
          <w:p>
            <w:pPr>
              <w:jc w:val="right"/>
              <w:ind w:right="360"/>
              <w:spacing w:after="0"/>
              <w:rPr>
                <w:sz w:val="20"/>
                <w:szCs w:val="20"/>
                <w:color w:val="auto"/>
              </w:rPr>
            </w:pPr>
            <w:r>
              <w:rPr>
                <w:rFonts w:ascii="Arial" w:cs="Arial" w:eastAsia="Arial" w:hAnsi="Arial"/>
                <w:sz w:val="22"/>
                <w:szCs w:val="22"/>
                <w:color w:val="auto"/>
              </w:rPr>
              <w:t>4</w:t>
            </w: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05"/>
        </w:trPr>
        <w:tc>
          <w:tcPr>
            <w:tcW w:w="382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0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20"/>
          <w:szCs w:val="20"/>
          <w:b w:val="1"/>
          <w:bCs w:val="1"/>
          <w:color w:val="auto"/>
        </w:rPr>
        <w:t>Exhibit 10.6</w:t>
      </w:r>
    </w:p>
    <w:p>
      <w:pPr>
        <w:spacing w:after="0" w:line="284" w:lineRule="exact"/>
        <w:rPr>
          <w:sz w:val="20"/>
          <w:szCs w:val="20"/>
          <w:color w:val="auto"/>
        </w:rPr>
      </w:pPr>
    </w:p>
    <w:tbl>
      <w:tblPr>
        <w:tblLayout w:type="fixed"/>
        <w:tblInd w:w="10" w:type="dxa"/>
        <w:tblCellMar>
          <w:top w:w="0" w:type="dxa"/>
          <w:left w:w="0" w:type="dxa"/>
          <w:bottom w:w="0" w:type="dxa"/>
          <w:right w:w="0" w:type="dxa"/>
        </w:tblCellMar>
      </w:tblPr>
      <w:tr>
        <w:trPr>
          <w:trHeight w:val="303"/>
        </w:trPr>
        <w:tc>
          <w:tcPr>
            <w:tcW w:w="5860" w:type="dxa"/>
            <w:vAlign w:val="bottom"/>
            <w:tcBorders>
              <w:top w:val="single" w:sz="8" w:color="00000A"/>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b w:val="1"/>
                <w:bCs w:val="1"/>
                <w:color w:val="auto"/>
              </w:rPr>
              <w:t>Name:</w:t>
            </w:r>
          </w:p>
        </w:tc>
        <w:tc>
          <w:tcPr>
            <w:tcW w:w="5380" w:type="dxa"/>
            <w:vAlign w:val="bottom"/>
            <w:tcBorders>
              <w:top w:val="single" w:sz="8" w:color="00000A"/>
              <w:bottom w:val="single" w:sz="8" w:color="00000A"/>
              <w:right w:val="single" w:sz="8" w:color="00000A"/>
            </w:tcBorders>
          </w:tcPr>
          <w:p>
            <w:pPr>
              <w:spacing w:after="0"/>
              <w:rPr>
                <w:sz w:val="20"/>
                <w:szCs w:val="20"/>
                <w:color w:val="auto"/>
              </w:rPr>
            </w:pPr>
            <w:r>
              <w:rPr>
                <w:rFonts w:ascii="Arial" w:cs="Arial" w:eastAsia="Arial" w:hAnsi="Arial"/>
                <w:sz w:val="22"/>
                <w:szCs w:val="22"/>
                <w:b w:val="1"/>
                <w:bCs w:val="1"/>
                <w:color w:val="auto"/>
              </w:rPr>
              <w:t>[●]</w:t>
            </w:r>
          </w:p>
        </w:tc>
      </w:tr>
      <w:tr>
        <w:trPr>
          <w:trHeight w:val="247"/>
        </w:trPr>
        <w:tc>
          <w:tcPr>
            <w:tcW w:w="5860" w:type="dxa"/>
            <w:vAlign w:val="bottom"/>
            <w:tcBorders>
              <w:left w:val="single" w:sz="8" w:color="00000A"/>
              <w:bottom w:val="single" w:sz="8" w:color="00000A"/>
              <w:right w:val="single" w:sz="8" w:color="00000A"/>
            </w:tcBorders>
          </w:tcPr>
          <w:p>
            <w:pPr>
              <w:ind w:left="40"/>
              <w:spacing w:after="0" w:line="247" w:lineRule="exact"/>
              <w:rPr>
                <w:sz w:val="20"/>
                <w:szCs w:val="20"/>
                <w:color w:val="auto"/>
              </w:rPr>
            </w:pPr>
            <w:r>
              <w:rPr>
                <w:rFonts w:ascii="Arial" w:cs="Arial" w:eastAsia="Arial" w:hAnsi="Arial"/>
                <w:sz w:val="22"/>
                <w:szCs w:val="22"/>
                <w:b w:val="1"/>
                <w:bCs w:val="1"/>
                <w:color w:val="auto"/>
              </w:rPr>
              <w:t>Number of RSUs subject to Award:</w:t>
            </w:r>
          </w:p>
        </w:tc>
        <w:tc>
          <w:tcPr>
            <w:tcW w:w="5380" w:type="dxa"/>
            <w:vAlign w:val="bottom"/>
            <w:tcBorders>
              <w:bottom w:val="single" w:sz="8" w:color="00000A"/>
              <w:right w:val="single" w:sz="8" w:color="00000A"/>
            </w:tcBorders>
          </w:tcPr>
          <w:p>
            <w:pPr>
              <w:spacing w:after="0" w:line="247" w:lineRule="exact"/>
              <w:rPr>
                <w:sz w:val="20"/>
                <w:szCs w:val="20"/>
                <w:color w:val="auto"/>
              </w:rPr>
            </w:pPr>
            <w:r>
              <w:rPr>
                <w:rFonts w:ascii="Arial" w:cs="Arial" w:eastAsia="Arial" w:hAnsi="Arial"/>
                <w:sz w:val="22"/>
                <w:szCs w:val="22"/>
                <w:b w:val="1"/>
                <w:bCs w:val="1"/>
                <w:color w:val="auto"/>
              </w:rPr>
              <w:t>[●]</w:t>
            </w:r>
          </w:p>
        </w:tc>
      </w:tr>
      <w:tr>
        <w:trPr>
          <w:trHeight w:val="263"/>
        </w:trPr>
        <w:tc>
          <w:tcPr>
            <w:tcW w:w="58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b w:val="1"/>
                <w:bCs w:val="1"/>
                <w:color w:val="auto"/>
              </w:rPr>
              <w:t>Date of Grant:</w:t>
            </w:r>
          </w:p>
        </w:tc>
        <w:tc>
          <w:tcPr>
            <w:tcW w:w="538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b w:val="1"/>
                <w:bCs w:val="1"/>
                <w:color w:val="auto"/>
              </w:rPr>
              <w:t>[●]</w:t>
            </w:r>
          </w:p>
        </w:tc>
      </w:tr>
    </w:tbl>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DOMINO’S PIZZA, INC.</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2004 EQUITY INCENTIVE PLAN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RESTRICTED STOCK UNIT AWARD AGREEMENT</w:t>
      </w:r>
    </w:p>
    <w:p>
      <w:pPr>
        <w:spacing w:after="0" w:line="314" w:lineRule="exact"/>
        <w:rPr>
          <w:sz w:val="20"/>
          <w:szCs w:val="20"/>
          <w:color w:val="auto"/>
        </w:rPr>
      </w:pPr>
    </w:p>
    <w:p>
      <w:pPr>
        <w:ind w:right="100" w:firstLine="749"/>
        <w:spacing w:after="0" w:line="236" w:lineRule="auto"/>
        <w:rPr>
          <w:sz w:val="20"/>
          <w:szCs w:val="20"/>
          <w:color w:val="auto"/>
        </w:rPr>
      </w:pPr>
      <w:r>
        <w:rPr>
          <w:rFonts w:ascii="Arial" w:cs="Arial" w:eastAsia="Arial" w:hAnsi="Arial"/>
          <w:sz w:val="22"/>
          <w:szCs w:val="22"/>
          <w:color w:val="auto"/>
        </w:rPr>
        <w:t>This agreement (including any exhibits hereto, this “</w:t>
      </w:r>
      <w:r>
        <w:rPr>
          <w:rFonts w:ascii="Arial" w:cs="Arial" w:eastAsia="Arial" w:hAnsi="Arial"/>
          <w:sz w:val="22"/>
          <w:szCs w:val="22"/>
          <w:u w:val="single" w:color="auto"/>
          <w:color w:val="auto"/>
        </w:rPr>
        <w:t>Agreement</w:t>
      </w:r>
      <w:r>
        <w:rPr>
          <w:rFonts w:ascii="Arial" w:cs="Arial" w:eastAsia="Arial" w:hAnsi="Arial"/>
          <w:sz w:val="22"/>
          <w:szCs w:val="22"/>
          <w:color w:val="auto"/>
        </w:rPr>
        <w:t>”) evidences an award (this “</w:t>
      </w:r>
      <w:r>
        <w:rPr>
          <w:rFonts w:ascii="Arial" w:cs="Arial" w:eastAsia="Arial" w:hAnsi="Arial"/>
          <w:sz w:val="22"/>
          <w:szCs w:val="22"/>
          <w:u w:val="single" w:color="auto"/>
          <w:color w:val="auto"/>
        </w:rPr>
        <w:t>Award</w:t>
      </w:r>
      <w:r>
        <w:rPr>
          <w:rFonts w:ascii="Arial" w:cs="Arial" w:eastAsia="Arial" w:hAnsi="Arial"/>
          <w:sz w:val="22"/>
          <w:szCs w:val="22"/>
          <w:color w:val="auto"/>
        </w:rPr>
        <w:t>”) of restricted stock units (the “</w:t>
      </w:r>
      <w:r>
        <w:rPr>
          <w:rFonts w:ascii="Arial" w:cs="Arial" w:eastAsia="Arial" w:hAnsi="Arial"/>
          <w:sz w:val="22"/>
          <w:szCs w:val="22"/>
          <w:u w:val="single" w:color="auto"/>
          <w:color w:val="auto"/>
        </w:rPr>
        <w:t>RSUs</w:t>
      </w:r>
      <w:r>
        <w:rPr>
          <w:rFonts w:ascii="Arial" w:cs="Arial" w:eastAsia="Arial" w:hAnsi="Arial"/>
          <w:sz w:val="22"/>
          <w:szCs w:val="22"/>
          <w:color w:val="auto"/>
        </w:rPr>
        <w:t>”) granted by Domino’s Pizza, Inc. (the “</w:t>
      </w:r>
      <w:r>
        <w:rPr>
          <w:rFonts w:ascii="Arial" w:cs="Arial" w:eastAsia="Arial" w:hAnsi="Arial"/>
          <w:sz w:val="22"/>
          <w:szCs w:val="22"/>
          <w:u w:val="single" w:color="auto"/>
          <w:color w:val="auto"/>
        </w:rPr>
        <w:t>Company</w:t>
      </w:r>
      <w:r>
        <w:rPr>
          <w:rFonts w:ascii="Arial" w:cs="Arial" w:eastAsia="Arial" w:hAnsi="Arial"/>
          <w:sz w:val="22"/>
          <w:szCs w:val="22"/>
          <w:color w:val="auto"/>
        </w:rPr>
        <w:t>”) to the undersigned (the “</w:t>
      </w:r>
      <w:r>
        <w:rPr>
          <w:rFonts w:ascii="Arial" w:cs="Arial" w:eastAsia="Arial" w:hAnsi="Arial"/>
          <w:sz w:val="22"/>
          <w:szCs w:val="22"/>
          <w:u w:val="single" w:color="auto"/>
          <w:color w:val="auto"/>
        </w:rPr>
        <w:t>Participant</w:t>
      </w:r>
      <w:r>
        <w:rPr>
          <w:rFonts w:ascii="Arial" w:cs="Arial" w:eastAsia="Arial" w:hAnsi="Arial"/>
          <w:sz w:val="22"/>
          <w:szCs w:val="22"/>
          <w:color w:val="auto"/>
        </w:rPr>
        <w:t>”) pursuant and subject to the terms and conditions of the Domino’s Pizza, Inc. 2004 Equity Incentive Plan (as amended from time to time, the “</w:t>
      </w:r>
      <w:r>
        <w:rPr>
          <w:rFonts w:ascii="Arial" w:cs="Arial" w:eastAsia="Arial" w:hAnsi="Arial"/>
          <w:sz w:val="22"/>
          <w:szCs w:val="22"/>
          <w:u w:val="single" w:color="auto"/>
          <w:color w:val="auto"/>
        </w:rPr>
        <w:t>Plan</w:t>
      </w:r>
      <w:r>
        <w:rPr>
          <w:rFonts w:ascii="Arial" w:cs="Arial" w:eastAsia="Arial" w:hAnsi="Arial"/>
          <w:sz w:val="22"/>
          <w:szCs w:val="22"/>
          <w:color w:val="auto"/>
        </w:rPr>
        <w:t>”), which is incorporated herein by reference. Except as otherwise defined herein, all capitalized terms used herein have the same meaning as in the Plan.</w:t>
      </w:r>
    </w:p>
    <w:p>
      <w:pPr>
        <w:spacing w:after="0" w:line="214" w:lineRule="exact"/>
        <w:rPr>
          <w:sz w:val="20"/>
          <w:szCs w:val="20"/>
          <w:color w:val="auto"/>
        </w:rPr>
      </w:pPr>
    </w:p>
    <w:p>
      <w:pPr>
        <w:ind w:right="120"/>
        <w:spacing w:after="0" w:line="249" w:lineRule="auto"/>
        <w:rPr>
          <w:sz w:val="20"/>
          <w:szCs w:val="20"/>
          <w:color w:val="auto"/>
        </w:rPr>
      </w:pPr>
      <w:r>
        <w:rPr>
          <w:rFonts w:ascii="Arial" w:cs="Arial" w:eastAsia="Arial" w:hAnsi="Arial"/>
          <w:sz w:val="21"/>
          <w:szCs w:val="21"/>
          <w:color w:val="auto"/>
        </w:rPr>
        <w:t>1.</w:t>
      </w:r>
      <w:r>
        <w:rPr>
          <w:rFonts w:ascii="Arial" w:cs="Arial" w:eastAsia="Arial" w:hAnsi="Arial"/>
          <w:sz w:val="21"/>
          <w:szCs w:val="21"/>
          <w:u w:val="single" w:color="auto"/>
          <w:color w:val="auto"/>
        </w:rPr>
        <w:t>RSU Award</w:t>
      </w:r>
      <w:r>
        <w:rPr>
          <w:rFonts w:ascii="Arial" w:cs="Arial" w:eastAsia="Arial" w:hAnsi="Arial"/>
          <w:sz w:val="21"/>
          <w:szCs w:val="21"/>
          <w:color w:val="auto"/>
        </w:rPr>
        <w:t>. The Company grants to the Participant on the date set forth above (the “</w:t>
      </w:r>
      <w:r>
        <w:rPr>
          <w:rFonts w:ascii="Arial" w:cs="Arial" w:eastAsia="Arial" w:hAnsi="Arial"/>
          <w:sz w:val="21"/>
          <w:szCs w:val="21"/>
          <w:u w:val="single" w:color="auto"/>
          <w:color w:val="auto"/>
        </w:rPr>
        <w:t>Date of Grant</w:t>
      </w:r>
      <w:r>
        <w:rPr>
          <w:rFonts w:ascii="Arial" w:cs="Arial" w:eastAsia="Arial" w:hAnsi="Arial"/>
          <w:sz w:val="21"/>
          <w:szCs w:val="21"/>
          <w:color w:val="auto"/>
        </w:rPr>
        <w:t>”) the number of restricted stock units (the “</w:t>
      </w:r>
      <w:r>
        <w:rPr>
          <w:rFonts w:ascii="Arial" w:cs="Arial" w:eastAsia="Arial" w:hAnsi="Arial"/>
          <w:sz w:val="21"/>
          <w:szCs w:val="21"/>
          <w:u w:val="single" w:color="auto"/>
          <w:color w:val="auto"/>
        </w:rPr>
        <w:t>Restricted Stock Units</w:t>
      </w:r>
      <w:r>
        <w:rPr>
          <w:rFonts w:ascii="Arial" w:cs="Arial" w:eastAsia="Arial" w:hAnsi="Arial"/>
          <w:sz w:val="21"/>
          <w:szCs w:val="21"/>
          <w:color w:val="auto"/>
        </w:rPr>
        <w:t>”) set forth above giving the Participant the conditional right to receive, without payment and pursuant to and subject to the terms and conditions set forth in this Agreement and in the Plan, one share of Stock with respect to each resulting Restricted Stock Unit that becomes vested pursuant to this Award, subject to adjustment pursuant to Section 7 of the Plan in respect of transactions occurring after the date hereof.</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2.</w:t>
      </w:r>
      <w:r>
        <w:rPr>
          <w:rFonts w:ascii="Arial" w:cs="Arial" w:eastAsia="Arial" w:hAnsi="Arial"/>
          <w:sz w:val="22"/>
          <w:szCs w:val="22"/>
          <w:u w:val="single" w:color="auto"/>
          <w:color w:val="auto"/>
        </w:rPr>
        <w:t>Vesting Conditions</w:t>
      </w:r>
      <w:r>
        <w:rPr>
          <w:rFonts w:ascii="Arial" w:cs="Arial" w:eastAsia="Arial" w:hAnsi="Arial"/>
          <w:sz w:val="22"/>
          <w:szCs w:val="22"/>
          <w:color w:val="auto"/>
        </w:rPr>
        <w:t xml:space="preserve">. The RSUs shall vest as provided for in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hereto.</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3.</w:t>
      </w:r>
      <w:r>
        <w:rPr>
          <w:rFonts w:ascii="Arial" w:cs="Arial" w:eastAsia="Arial" w:hAnsi="Arial"/>
          <w:sz w:val="22"/>
          <w:szCs w:val="22"/>
          <w:u w:val="single" w:color="auto"/>
          <w:color w:val="auto"/>
        </w:rPr>
        <w:t>Delivery of Shares; Settlement of Award</w:t>
      </w:r>
      <w:r>
        <w:rPr>
          <w:rFonts w:ascii="Arial" w:cs="Arial" w:eastAsia="Arial" w:hAnsi="Arial"/>
          <w:sz w:val="22"/>
          <w:szCs w:val="22"/>
          <w:color w:val="auto"/>
        </w:rPr>
        <w:t>.</w:t>
      </w:r>
    </w:p>
    <w:p>
      <w:pPr>
        <w:spacing w:after="0" w:line="233" w:lineRule="exact"/>
        <w:rPr>
          <w:sz w:val="20"/>
          <w:szCs w:val="20"/>
          <w:color w:val="auto"/>
        </w:rPr>
      </w:pPr>
    </w:p>
    <w:p>
      <w:pPr>
        <w:ind w:left="1500" w:right="100" w:hanging="743"/>
        <w:spacing w:after="0" w:line="235" w:lineRule="auto"/>
        <w:tabs>
          <w:tab w:leader="none" w:pos="1500" w:val="left"/>
        </w:tabs>
        <w:numPr>
          <w:ilvl w:val="0"/>
          <w:numId w:val="15"/>
        </w:numPr>
        <w:rPr>
          <w:rFonts w:ascii="Arial" w:cs="Arial" w:eastAsia="Arial" w:hAnsi="Arial"/>
          <w:sz w:val="22"/>
          <w:szCs w:val="22"/>
          <w:color w:val="auto"/>
        </w:rPr>
      </w:pPr>
      <w:r>
        <w:rPr>
          <w:rFonts w:ascii="Arial" w:cs="Arial" w:eastAsia="Arial" w:hAnsi="Arial"/>
          <w:sz w:val="22"/>
          <w:szCs w:val="22"/>
          <w:u w:val="single" w:color="auto"/>
          <w:color w:val="auto"/>
        </w:rPr>
        <w:t>In General</w:t>
      </w:r>
      <w:r>
        <w:rPr>
          <w:rFonts w:ascii="Arial" w:cs="Arial" w:eastAsia="Arial" w:hAnsi="Arial"/>
          <w:sz w:val="22"/>
          <w:szCs w:val="22"/>
          <w:color w:val="auto"/>
        </w:rPr>
        <w:t>. The Company shall, as soon as practicable and in all events no later than thirty (30) days following the applicable Settlement Date, transfer to the Participant (or, in the event of the Participant’s death, to the person to whom this Award has passed by will or the laws of descent and distribution) the number of shares of Stock that equals the vested portion of this Award. No shares of Stock will be transferred pursuant to this Award unless and until all legal requirements applicable to the issuance or transfer of such shares have been satisfied.</w:t>
      </w:r>
    </w:p>
    <w:p>
      <w:pPr>
        <w:spacing w:after="0" w:line="187" w:lineRule="exact"/>
        <w:rPr>
          <w:rFonts w:ascii="Arial" w:cs="Arial" w:eastAsia="Arial" w:hAnsi="Arial"/>
          <w:sz w:val="22"/>
          <w:szCs w:val="22"/>
          <w:color w:val="auto"/>
        </w:rPr>
      </w:pPr>
    </w:p>
    <w:p>
      <w:pPr>
        <w:ind w:left="1500" w:right="100" w:hanging="743"/>
        <w:spacing w:after="0"/>
        <w:tabs>
          <w:tab w:leader="none" w:pos="1500" w:val="left"/>
        </w:tabs>
        <w:numPr>
          <w:ilvl w:val="0"/>
          <w:numId w:val="15"/>
        </w:numPr>
        <w:rPr>
          <w:rFonts w:ascii="Arial" w:cs="Arial" w:eastAsia="Arial" w:hAnsi="Arial"/>
          <w:sz w:val="22"/>
          <w:szCs w:val="22"/>
          <w:color w:val="auto"/>
        </w:rPr>
      </w:pPr>
      <w:r>
        <w:rPr>
          <w:rFonts w:ascii="Arial" w:cs="Arial" w:eastAsia="Arial" w:hAnsi="Arial"/>
          <w:sz w:val="22"/>
          <w:szCs w:val="22"/>
          <w:u w:val="single" w:color="auto"/>
          <w:color w:val="auto"/>
        </w:rPr>
        <w:t>Settlement Date</w:t>
      </w:r>
      <w:r>
        <w:rPr>
          <w:rFonts w:ascii="Arial" w:cs="Arial" w:eastAsia="Arial" w:hAnsi="Arial"/>
          <w:sz w:val="22"/>
          <w:szCs w:val="22"/>
          <w:color w:val="auto"/>
        </w:rPr>
        <w:t>. For purposes of this Agreement, “</w:t>
      </w:r>
      <w:r>
        <w:rPr>
          <w:rFonts w:ascii="Arial" w:cs="Arial" w:eastAsia="Arial" w:hAnsi="Arial"/>
          <w:sz w:val="22"/>
          <w:szCs w:val="22"/>
          <w:u w:val="single" w:color="auto"/>
          <w:color w:val="auto"/>
        </w:rPr>
        <w:t>Settlement Date</w:t>
      </w:r>
      <w:r>
        <w:rPr>
          <w:rFonts w:ascii="Arial" w:cs="Arial" w:eastAsia="Arial" w:hAnsi="Arial"/>
          <w:sz w:val="22"/>
          <w:szCs w:val="22"/>
          <w:color w:val="auto"/>
        </w:rPr>
        <w:t>” means the date on or following and by reference to which any vested RSUs subject to this Award are to be settled, if at all, in whole or in part, through the delivery of shares of Stock, as set forth below:</w:t>
      </w:r>
    </w:p>
    <w:p>
      <w:pPr>
        <w:spacing w:after="0" w:line="186" w:lineRule="exact"/>
        <w:rPr>
          <w:sz w:val="20"/>
          <w:szCs w:val="20"/>
          <w:color w:val="auto"/>
        </w:rPr>
      </w:pPr>
    </w:p>
    <w:p>
      <w:pPr>
        <w:jc w:val="both"/>
        <w:ind w:left="2260" w:right="280" w:hanging="755"/>
        <w:spacing w:after="0" w:line="297" w:lineRule="auto"/>
        <w:tabs>
          <w:tab w:leader="none" w:pos="2260" w:val="left"/>
        </w:tabs>
        <w:numPr>
          <w:ilvl w:val="0"/>
          <w:numId w:val="16"/>
        </w:numPr>
        <w:rPr>
          <w:rFonts w:ascii="Arial" w:cs="Arial" w:eastAsia="Arial" w:hAnsi="Arial"/>
          <w:sz w:val="19"/>
          <w:szCs w:val="19"/>
          <w:color w:val="auto"/>
        </w:rPr>
      </w:pPr>
      <w:r>
        <w:rPr>
          <w:rFonts w:ascii="Arial" w:cs="Arial" w:eastAsia="Arial" w:hAnsi="Arial"/>
          <w:sz w:val="19"/>
          <w:szCs w:val="19"/>
          <w:color w:val="auto"/>
        </w:rPr>
        <w:t xml:space="preserve">Other than in the event of a Covered Transaction (as defined in the Plan), the Settlement Date for the First RSU Tranche (as defined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shall be the First Scheduled Vesting Date (as defined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the Settlement Date for the Second RSU Tranche (as defined in </w:t>
      </w:r>
      <w:r>
        <w:rPr>
          <w:rFonts w:ascii="Arial" w:cs="Arial" w:eastAsia="Arial" w:hAnsi="Arial"/>
          <w:sz w:val="19"/>
          <w:szCs w:val="19"/>
          <w:u w:val="single" w:color="auto"/>
          <w:color w:val="auto"/>
        </w:rPr>
        <w:t>Exhibit A</w:t>
      </w:r>
      <w:r>
        <w:rPr>
          <w:rFonts w:ascii="Arial" w:cs="Arial" w:eastAsia="Arial" w:hAnsi="Arial"/>
          <w:sz w:val="19"/>
          <w:szCs w:val="19"/>
          <w:color w:val="auto"/>
        </w:rPr>
        <w:t>)</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0" w:name="page31"/>
    <w:bookmarkEnd w:id="30"/>
    <w:p>
      <w:pPr>
        <w:ind w:left="10220"/>
        <w:spacing w:after="0"/>
        <w:rPr>
          <w:sz w:val="20"/>
          <w:szCs w:val="20"/>
          <w:color w:val="auto"/>
        </w:rPr>
      </w:pPr>
      <w:r>
        <w:rPr>
          <w:rFonts w:ascii="Arial" w:cs="Arial" w:eastAsia="Arial" w:hAnsi="Arial"/>
          <w:sz w:val="18"/>
          <w:szCs w:val="18"/>
          <w:b w:val="1"/>
          <w:bCs w:val="1"/>
          <w:color w:val="auto"/>
        </w:rPr>
        <w:t>Exhibit 10.6</w:t>
      </w:r>
    </w:p>
    <w:p>
      <w:pPr>
        <w:spacing w:after="0" w:line="30" w:lineRule="exact"/>
        <w:rPr>
          <w:sz w:val="20"/>
          <w:szCs w:val="20"/>
          <w:color w:val="auto"/>
        </w:rPr>
      </w:pPr>
    </w:p>
    <w:p>
      <w:pPr>
        <w:jc w:val="both"/>
        <w:ind w:left="2260" w:right="160"/>
        <w:spacing w:after="0" w:line="234" w:lineRule="auto"/>
        <w:rPr>
          <w:sz w:val="20"/>
          <w:szCs w:val="20"/>
          <w:color w:val="auto"/>
        </w:rPr>
      </w:pPr>
      <w:r>
        <w:rPr>
          <w:rFonts w:ascii="Arial" w:cs="Arial" w:eastAsia="Arial" w:hAnsi="Arial"/>
          <w:sz w:val="22"/>
          <w:szCs w:val="22"/>
          <w:color w:val="auto"/>
        </w:rPr>
        <w:t xml:space="preserve">shall be the Second Scheduled Vesting Date (as defined in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and the Settlement Date for the Third RSU Tranche (as defined in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shall be the Third Scheduled Vesting Date (as defined in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187" w:lineRule="exact"/>
        <w:rPr>
          <w:sz w:val="20"/>
          <w:szCs w:val="20"/>
          <w:color w:val="auto"/>
        </w:rPr>
      </w:pPr>
    </w:p>
    <w:p>
      <w:pPr>
        <w:ind w:left="2260" w:right="40" w:hanging="755"/>
        <w:spacing w:after="0" w:line="277" w:lineRule="auto"/>
        <w:tabs>
          <w:tab w:leader="none" w:pos="2260" w:val="left"/>
        </w:tabs>
        <w:numPr>
          <w:ilvl w:val="0"/>
          <w:numId w:val="17"/>
        </w:numPr>
        <w:rPr>
          <w:rFonts w:ascii="Arial" w:cs="Arial" w:eastAsia="Arial" w:hAnsi="Arial"/>
          <w:sz w:val="19"/>
          <w:szCs w:val="19"/>
          <w:color w:val="auto"/>
        </w:rPr>
      </w:pPr>
      <w:r>
        <w:rPr>
          <w:rFonts w:ascii="Arial" w:cs="Arial" w:eastAsia="Arial" w:hAnsi="Arial"/>
          <w:sz w:val="19"/>
          <w:szCs w:val="19"/>
          <w:color w:val="auto"/>
        </w:rPr>
        <w:t xml:space="preserve">In the event of a Covered Transaction, the Settlement Date shall be the date of consummation of the Covered Transaction, with the Company transferring shares of Stock underlying the RSUs immediately prior to the consummation of such Covered Transaction;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Covered Transaction does not meet the requirements for a “change in control event,” as that term is defined in Treasury Regulations § 1.409A–3(i)(5)(i), the Settlement Date for any portion of this Award that is subject to, and not exempt from, the applicable requirements of Section 409A (the “</w:t>
      </w:r>
      <w:r>
        <w:rPr>
          <w:rFonts w:ascii="Arial" w:cs="Arial" w:eastAsia="Arial" w:hAnsi="Arial"/>
          <w:sz w:val="19"/>
          <w:szCs w:val="19"/>
          <w:u w:val="single" w:color="auto"/>
          <w:color w:val="auto"/>
        </w:rPr>
        <w:t>409A Award Portion</w:t>
      </w:r>
      <w:r>
        <w:rPr>
          <w:rFonts w:ascii="Arial" w:cs="Arial" w:eastAsia="Arial" w:hAnsi="Arial"/>
          <w:sz w:val="19"/>
          <w:szCs w:val="19"/>
          <w:color w:val="auto"/>
        </w:rPr>
        <w:t xml:space="preserve">”) shall be the Scheduled Vesting Date (as defined in </w:t>
      </w:r>
      <w:r>
        <w:rPr>
          <w:rFonts w:ascii="Arial" w:cs="Arial" w:eastAsia="Arial" w:hAnsi="Arial"/>
          <w:sz w:val="19"/>
          <w:szCs w:val="19"/>
          <w:u w:val="single" w:color="auto"/>
          <w:color w:val="auto"/>
        </w:rPr>
        <w:t>Exhibit A</w:t>
      </w:r>
      <w:r>
        <w:rPr>
          <w:rFonts w:ascii="Arial" w:cs="Arial" w:eastAsia="Arial" w:hAnsi="Arial"/>
          <w:sz w:val="19"/>
          <w:szCs w:val="19"/>
          <w:color w:val="auto"/>
        </w:rPr>
        <w:t>) applicable to the 409A Award Portion.</w:t>
      </w:r>
    </w:p>
    <w:p>
      <w:pPr>
        <w:spacing w:after="0" w:line="151" w:lineRule="exact"/>
        <w:rPr>
          <w:rFonts w:ascii="Arial" w:cs="Arial" w:eastAsia="Arial" w:hAnsi="Arial"/>
          <w:sz w:val="19"/>
          <w:szCs w:val="19"/>
          <w:color w:val="auto"/>
        </w:rPr>
      </w:pPr>
    </w:p>
    <w:p>
      <w:pPr>
        <w:ind w:left="2260" w:right="160" w:hanging="755"/>
        <w:spacing w:after="0" w:line="275" w:lineRule="auto"/>
        <w:tabs>
          <w:tab w:leader="none" w:pos="2260" w:val="left"/>
        </w:tabs>
        <w:numPr>
          <w:ilvl w:val="0"/>
          <w:numId w:val="17"/>
        </w:numPr>
        <w:rPr>
          <w:rFonts w:ascii="Arial" w:cs="Arial" w:eastAsia="Arial" w:hAnsi="Arial"/>
          <w:sz w:val="19"/>
          <w:szCs w:val="19"/>
          <w:color w:val="auto"/>
        </w:rPr>
      </w:pPr>
      <w:r>
        <w:rPr>
          <w:rFonts w:ascii="Arial" w:cs="Arial" w:eastAsia="Arial" w:hAnsi="Arial"/>
          <w:sz w:val="19"/>
          <w:szCs w:val="19"/>
          <w:color w:val="auto"/>
        </w:rPr>
        <w:t>Notwithstanding anything to the contrary in this Agreement, if the Participant is determined to be a “specified employee” within the meaning of Section 409A and the Treasury regulations thereunder, as determined by the Company, at the time of the Participant’s “separation from service” within the meaning of Section 409A and the Treasury regulations thereunder (after giving effect to the presumptions contained therein), then to the extent necessary to prevent any accelerated or additional tax under Section 409A, the settlement and delivery of any shares of Stock hereunder upon such separation from service will be delayed until the earlier of: (a) the date that is six months and one day following the Participant’s separation from service and (b) the Participant’s death.</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color w:val="auto"/>
        </w:rPr>
        <w:t>4.</w:t>
      </w:r>
      <w:r>
        <w:rPr>
          <w:rFonts w:ascii="Arial" w:cs="Arial" w:eastAsia="Arial" w:hAnsi="Arial"/>
          <w:sz w:val="22"/>
          <w:szCs w:val="22"/>
          <w:u w:val="single" w:color="auto"/>
          <w:color w:val="auto"/>
        </w:rPr>
        <w:t>Forfeiture; Recovery of Compensation</w:t>
      </w:r>
      <w:r>
        <w:rPr>
          <w:rFonts w:ascii="Arial" w:cs="Arial" w:eastAsia="Arial" w:hAnsi="Arial"/>
          <w:sz w:val="22"/>
          <w:szCs w:val="22"/>
          <w:color w:val="auto"/>
        </w:rPr>
        <w:t>.</w:t>
      </w:r>
    </w:p>
    <w:p>
      <w:pPr>
        <w:spacing w:after="0" w:line="233" w:lineRule="exact"/>
        <w:rPr>
          <w:sz w:val="20"/>
          <w:szCs w:val="20"/>
          <w:color w:val="auto"/>
        </w:rPr>
      </w:pPr>
    </w:p>
    <w:p>
      <w:pPr>
        <w:ind w:right="80" w:firstLine="749"/>
        <w:spacing w:after="0" w:line="279" w:lineRule="auto"/>
        <w:rPr>
          <w:sz w:val="20"/>
          <w:szCs w:val="20"/>
          <w:color w:val="auto"/>
        </w:rPr>
      </w:pPr>
      <w:r>
        <w:rPr>
          <w:rFonts w:ascii="Arial" w:cs="Arial" w:eastAsia="Arial" w:hAnsi="Arial"/>
          <w:sz w:val="19"/>
          <w:szCs w:val="19"/>
          <w:color w:val="auto"/>
        </w:rPr>
        <w:t>The Administrator may cancel, rescind, withhold or otherwise limit or restrict this Award at any time if the Participant is not in compliance with all applicable provisions of this Agreement and the Plan. By accepting this Award, the Participant expressly acknowledges and agrees that his or her rights under this Award, and those of any permitted transferee of this Award, including the right to any shares of Stock acquired under this Award or proceeds from the disposition thereof, are subject to any applicable clawback or incentive compensation recovery policy of the Company as may be in effect from time to time. Nothing in the preceding sentence shall be construed as limiting the general application of Section 10 of this Agreement.</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5.</w:t>
      </w:r>
      <w:r>
        <w:rPr>
          <w:rFonts w:ascii="Arial" w:cs="Arial" w:eastAsia="Arial" w:hAnsi="Arial"/>
          <w:sz w:val="22"/>
          <w:szCs w:val="22"/>
          <w:u w:val="single" w:color="auto"/>
          <w:color w:val="auto"/>
        </w:rPr>
        <w:t>Dividends; Other Rights</w:t>
      </w:r>
      <w:r>
        <w:rPr>
          <w:rFonts w:ascii="Arial" w:cs="Arial" w:eastAsia="Arial" w:hAnsi="Arial"/>
          <w:sz w:val="22"/>
          <w:szCs w:val="22"/>
          <w:color w:val="auto"/>
        </w:rPr>
        <w:t>.</w:t>
      </w:r>
    </w:p>
    <w:p>
      <w:pPr>
        <w:spacing w:after="0" w:line="233" w:lineRule="exact"/>
        <w:rPr>
          <w:sz w:val="20"/>
          <w:szCs w:val="20"/>
          <w:color w:val="auto"/>
        </w:rPr>
      </w:pPr>
    </w:p>
    <w:p>
      <w:pPr>
        <w:ind w:right="100" w:firstLine="749"/>
        <w:spacing w:after="0" w:line="233" w:lineRule="auto"/>
        <w:rPr>
          <w:sz w:val="20"/>
          <w:szCs w:val="20"/>
          <w:color w:val="auto"/>
        </w:rPr>
      </w:pPr>
      <w:r>
        <w:rPr>
          <w:rFonts w:ascii="Arial" w:cs="Arial" w:eastAsia="Arial" w:hAnsi="Arial"/>
          <w:sz w:val="22"/>
          <w:szCs w:val="22"/>
          <w:color w:val="auto"/>
        </w:rPr>
        <w:t>This Award shall not be interpreted to bestow upon the Participant any equity interest or ownership in the Company or any Affiliate prior to the date on which the Company delivers shares of Stock (if any) to the Participant. The Participant is not entitled to vote any shares of Stock by reason of the granting of this Award, and the Participant shall have the rights of a shareholder only as to those shares of Stock, if any, that are actually delivered under this Award. Notwithstanding the foregoing, upon the delivery of any shares of Stock in respect of any vested RSUs subject hereto, the Participant shall be entitled to a cash payment by the Company in an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1" w:name="page32"/>
    <w:bookmarkEnd w:id="31"/>
    <w:p>
      <w:pPr>
        <w:ind w:left="10220"/>
        <w:spacing w:after="0"/>
        <w:rPr>
          <w:sz w:val="20"/>
          <w:szCs w:val="20"/>
          <w:color w:val="auto"/>
        </w:rPr>
      </w:pPr>
      <w:r>
        <w:rPr>
          <w:rFonts w:ascii="Arial" w:cs="Arial" w:eastAsia="Arial" w:hAnsi="Arial"/>
          <w:sz w:val="18"/>
          <w:szCs w:val="18"/>
          <w:b w:val="1"/>
          <w:bCs w:val="1"/>
          <w:color w:val="auto"/>
        </w:rPr>
        <w:t>Exhibit 10.6</w:t>
      </w:r>
    </w:p>
    <w:p>
      <w:pPr>
        <w:spacing w:after="0" w:line="30" w:lineRule="exact"/>
        <w:rPr>
          <w:sz w:val="20"/>
          <w:szCs w:val="20"/>
          <w:color w:val="auto"/>
        </w:rPr>
      </w:pPr>
    </w:p>
    <w:p>
      <w:pPr>
        <w:ind w:right="60"/>
        <w:spacing w:after="0" w:line="233" w:lineRule="auto"/>
        <w:rPr>
          <w:sz w:val="20"/>
          <w:szCs w:val="20"/>
          <w:color w:val="auto"/>
        </w:rPr>
      </w:pPr>
      <w:r>
        <w:rPr>
          <w:rFonts w:ascii="Arial" w:cs="Arial" w:eastAsia="Arial" w:hAnsi="Arial"/>
          <w:sz w:val="22"/>
          <w:szCs w:val="22"/>
          <w:color w:val="auto"/>
        </w:rPr>
        <w:t>amount equal to the amount that the Participant would have received, if any, as a regular cash dividend had the Participant held such shares of Stock from the Date of Grant to the date such shares of Stock are delivered hereunder, less all applicable taxes and withholding obligations. Any such payment shall be paid, if at all, without interest on the date such shares of Stock are delivered hereunder.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6.</w:t>
      </w:r>
      <w:r>
        <w:rPr>
          <w:rFonts w:ascii="Arial" w:cs="Arial" w:eastAsia="Arial" w:hAnsi="Arial"/>
          <w:sz w:val="22"/>
          <w:szCs w:val="22"/>
          <w:u w:val="single" w:color="auto"/>
          <w:color w:val="auto"/>
        </w:rPr>
        <w:t>Certain Tax Matters</w:t>
      </w:r>
      <w:r>
        <w:rPr>
          <w:rFonts w:ascii="Arial" w:cs="Arial" w:eastAsia="Arial" w:hAnsi="Arial"/>
          <w:sz w:val="22"/>
          <w:szCs w:val="22"/>
          <w:color w:val="auto"/>
        </w:rPr>
        <w:t>.</w:t>
      </w:r>
    </w:p>
    <w:p>
      <w:pPr>
        <w:spacing w:after="0" w:line="233" w:lineRule="exact"/>
        <w:rPr>
          <w:sz w:val="20"/>
          <w:szCs w:val="20"/>
          <w:color w:val="auto"/>
        </w:rPr>
      </w:pPr>
    </w:p>
    <w:p>
      <w:pPr>
        <w:ind w:right="120" w:firstLine="749"/>
        <w:spacing w:after="0" w:line="274" w:lineRule="auto"/>
        <w:rPr>
          <w:sz w:val="20"/>
          <w:szCs w:val="20"/>
          <w:color w:val="auto"/>
        </w:rPr>
      </w:pPr>
      <w:r>
        <w:rPr>
          <w:rFonts w:ascii="Arial" w:cs="Arial" w:eastAsia="Arial" w:hAnsi="Arial"/>
          <w:sz w:val="19"/>
          <w:szCs w:val="19"/>
          <w:color w:val="auto"/>
        </w:rPr>
        <w:t>The Participant expressly acknowledges that because this Award consists of an unfunded and unsecured promise by the Company to deliver Stock in the future, subject to the terms hereof, it is not possible to make a so-called “83(b) election” with respect to this Award. This Award is intended to be exempt from, or comply with, Section 409A and shall be construed by the Administrator accordingly. Notwithstanding the preceding, neither the Company, nor any Affiliate, nor the Administrator, nor any person acting on behalf of any of them, shall be liable to the Participant by reason of any acceleration of income, or any tax or additional tax, asserted (A) by reason of any failure of this Award or any portion thereof to satisfy the requirements for exemption from, or compliance with, Section 409A or (B) by reason of Section 4999 of the Code. All references to “Section 409A” in this Agreement shall be references to Section 409A of the Code, the Treasury Regulations promulgated thereunder and such other guidance as determined by the Company in its sole discretion.</w:t>
      </w:r>
    </w:p>
    <w:p>
      <w:pPr>
        <w:spacing w:after="0" w:line="185" w:lineRule="exact"/>
        <w:rPr>
          <w:sz w:val="20"/>
          <w:szCs w:val="20"/>
          <w:color w:val="auto"/>
        </w:rPr>
      </w:pPr>
    </w:p>
    <w:p>
      <w:pPr>
        <w:ind w:right="20"/>
        <w:spacing w:after="0" w:line="244" w:lineRule="auto"/>
        <w:rPr>
          <w:sz w:val="20"/>
          <w:szCs w:val="20"/>
          <w:color w:val="auto"/>
        </w:rPr>
      </w:pPr>
      <w:r>
        <w:rPr>
          <w:rFonts w:ascii="Arial" w:cs="Arial" w:eastAsia="Arial" w:hAnsi="Arial"/>
          <w:sz w:val="21"/>
          <w:szCs w:val="21"/>
          <w:color w:val="auto"/>
        </w:rPr>
        <w:t>7.</w:t>
      </w:r>
      <w:r>
        <w:rPr>
          <w:rFonts w:ascii="Arial" w:cs="Arial" w:eastAsia="Arial" w:hAnsi="Arial"/>
          <w:sz w:val="21"/>
          <w:szCs w:val="21"/>
          <w:u w:val="single" w:color="auto"/>
          <w:color w:val="auto"/>
        </w:rPr>
        <w:t>Withholding</w:t>
      </w:r>
      <w:r>
        <w:rPr>
          <w:rFonts w:ascii="Arial" w:cs="Arial" w:eastAsia="Arial" w:hAnsi="Arial"/>
          <w:sz w:val="21"/>
          <w:szCs w:val="21"/>
          <w:color w:val="auto"/>
        </w:rPr>
        <w:t>. The Participant shall pay to the Company, or make provision satisfactory to the Company for payment of, any taxes required by law to be withheld in connection with the vesting and/or settlement of the RSUs (including, without limitation, any amount that is treated as “wages” for FICA/FUTA or Medicare tax purposes on a current basis rather than when distributed). The Administrator may, in its sole discretion, require that a portion of the shares of Stock that would have otherwise been delivered to the Participant upon vesting and settlement of the RSUs be sold by the Participant or retained by the Company to satisfy any applicable federal, state or local income, employment or other tax withholding and payment obligations, or in the case of any such taxes due upon vesting and prior to delivery of shares of Stock hereunder that the number of shares subject to this Award may be reduced to satisfy such tax withholding and payment obligations (but, with respect to any amounts constituting deferred compensation subject to Section 409A, as determined by the Company in its sole discretion, not in excess of amounts permitted to be accelerated by Section 409A including Treasury Regulation Section 1.409A-3(j)(4)(vi)). The Company and its Affiliates may, to the extent permitted by law, deduct any unsatisfied tax obligations from any payment of any kind otherwise due to the Participant.</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8.</w:t>
      </w:r>
      <w:r>
        <w:rPr>
          <w:rFonts w:ascii="Arial" w:cs="Arial" w:eastAsia="Arial" w:hAnsi="Arial"/>
          <w:sz w:val="22"/>
          <w:szCs w:val="22"/>
          <w:u w:val="single" w:color="auto"/>
          <w:color w:val="auto"/>
        </w:rPr>
        <w:t>Transfer of Award</w:t>
      </w:r>
      <w:r>
        <w:rPr>
          <w:rFonts w:ascii="Arial" w:cs="Arial" w:eastAsia="Arial" w:hAnsi="Arial"/>
          <w:sz w:val="22"/>
          <w:szCs w:val="22"/>
          <w:color w:val="auto"/>
        </w:rPr>
        <w:t>.</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This Award may not be transferred except as expressly permitted under Section 6(a)(4) of the Plan.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9.</w:t>
      </w:r>
      <w:r>
        <w:rPr>
          <w:rFonts w:ascii="Arial" w:cs="Arial" w:eastAsia="Arial" w:hAnsi="Arial"/>
          <w:sz w:val="22"/>
          <w:szCs w:val="22"/>
          <w:u w:val="single" w:color="auto"/>
          <w:color w:val="auto"/>
        </w:rPr>
        <w:t>Effect on Employment</w:t>
      </w:r>
      <w:r>
        <w:rPr>
          <w:rFonts w:ascii="Arial" w:cs="Arial" w:eastAsia="Arial" w:hAnsi="Arial"/>
          <w:sz w:val="22"/>
          <w:szCs w:val="22"/>
          <w:color w:val="auto"/>
        </w:rPr>
        <w:t>.</w:t>
      </w:r>
    </w:p>
    <w:p>
      <w:pPr>
        <w:spacing w:after="0" w:line="233" w:lineRule="exact"/>
        <w:rPr>
          <w:sz w:val="20"/>
          <w:szCs w:val="20"/>
          <w:color w:val="auto"/>
        </w:rPr>
      </w:pPr>
    </w:p>
    <w:p>
      <w:pPr>
        <w:ind w:right="420" w:firstLine="749"/>
        <w:spacing w:after="0"/>
        <w:rPr>
          <w:sz w:val="20"/>
          <w:szCs w:val="20"/>
          <w:color w:val="auto"/>
        </w:rPr>
      </w:pPr>
      <w:r>
        <w:rPr>
          <w:rFonts w:ascii="Arial" w:cs="Arial" w:eastAsia="Arial" w:hAnsi="Arial"/>
          <w:sz w:val="22"/>
          <w:szCs w:val="22"/>
          <w:color w:val="auto"/>
        </w:rPr>
        <w:t>This Agreement is not a contract of employment between the Company (or any Subsidiary) and the Participant. The Participant retains the right to terminate his or her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2" w:name="page33"/>
    <w:bookmarkEnd w:id="32"/>
    <w:p>
      <w:pPr>
        <w:ind w:left="10220"/>
        <w:spacing w:after="0"/>
        <w:rPr>
          <w:sz w:val="20"/>
          <w:szCs w:val="20"/>
          <w:color w:val="auto"/>
        </w:rPr>
      </w:pPr>
      <w:r>
        <w:rPr>
          <w:rFonts w:ascii="Arial" w:cs="Arial" w:eastAsia="Arial" w:hAnsi="Arial"/>
          <w:sz w:val="18"/>
          <w:szCs w:val="18"/>
          <w:b w:val="1"/>
          <w:bCs w:val="1"/>
          <w:color w:val="auto"/>
        </w:rPr>
        <w:t>Exhibit 10.6</w:t>
      </w:r>
    </w:p>
    <w:p>
      <w:pPr>
        <w:spacing w:after="0" w:line="30" w:lineRule="exact"/>
        <w:rPr>
          <w:sz w:val="20"/>
          <w:szCs w:val="20"/>
          <w:color w:val="auto"/>
        </w:rPr>
      </w:pPr>
    </w:p>
    <w:p>
      <w:pPr>
        <w:ind w:right="160"/>
        <w:spacing w:after="0" w:line="245" w:lineRule="auto"/>
        <w:rPr>
          <w:sz w:val="20"/>
          <w:szCs w:val="20"/>
          <w:color w:val="auto"/>
        </w:rPr>
      </w:pPr>
      <w:r>
        <w:rPr>
          <w:rFonts w:ascii="Arial" w:cs="Arial" w:eastAsia="Arial" w:hAnsi="Arial"/>
          <w:sz w:val="21"/>
          <w:szCs w:val="21"/>
          <w:color w:val="auto"/>
        </w:rPr>
        <w:t>employment with the Company (or one of its Subsidiaries, as applicable), and the Company (and its Subsidiaries as applicable) retains the right to terminate or modify the terms of the Participant’s employment, subject to any rights retained by either party under the Participant’s employment agreement, if Participant has an employment agreement, and no loss of rights, contingent or otherwise, under this Agreement upon termination of employment shall be claimed by the Participant as an element of damages in any dispute over such termination of employment.</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10.</w:t>
      </w:r>
      <w:r>
        <w:rPr>
          <w:rFonts w:ascii="Arial" w:cs="Arial" w:eastAsia="Arial" w:hAnsi="Arial"/>
          <w:sz w:val="22"/>
          <w:szCs w:val="22"/>
          <w:u w:val="single" w:color="auto"/>
          <w:color w:val="auto"/>
        </w:rPr>
        <w:t>Provisions of the Plan</w:t>
      </w:r>
      <w:r>
        <w:rPr>
          <w:rFonts w:ascii="Arial" w:cs="Arial" w:eastAsia="Arial" w:hAnsi="Arial"/>
          <w:sz w:val="22"/>
          <w:szCs w:val="22"/>
          <w:color w:val="auto"/>
        </w:rPr>
        <w:t>.</w:t>
      </w:r>
    </w:p>
    <w:p>
      <w:pPr>
        <w:spacing w:after="0" w:line="233" w:lineRule="exact"/>
        <w:rPr>
          <w:sz w:val="20"/>
          <w:szCs w:val="20"/>
          <w:color w:val="auto"/>
        </w:rPr>
      </w:pPr>
    </w:p>
    <w:p>
      <w:pPr>
        <w:ind w:right="180" w:firstLine="749"/>
        <w:spacing w:after="0" w:line="287" w:lineRule="auto"/>
        <w:rPr>
          <w:sz w:val="20"/>
          <w:szCs w:val="20"/>
          <w:color w:val="auto"/>
        </w:rPr>
      </w:pPr>
      <w:r>
        <w:rPr>
          <w:rFonts w:ascii="Arial" w:cs="Arial" w:eastAsia="Arial" w:hAnsi="Arial"/>
          <w:sz w:val="19"/>
          <w:szCs w:val="19"/>
          <w:color w:val="auto"/>
        </w:rPr>
        <w:t>This Agreement is subject in its entirety to the provisions of the Plan, which are incorporated herein by reference. A copy of the Plan as in effect on the Date of Grant has been furnished to the Participant. By accepting all or any part of this Award, the Participant agrees to be bound by the terms of the Plan and this Agreement. In the event of any conflict between the terms of this Agreement and the Plan, the terms of the Plan shall control (except as otherwise expressly provided herein).</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color w:val="auto"/>
        </w:rPr>
        <w:t>11.</w:t>
      </w:r>
      <w:r>
        <w:rPr>
          <w:rFonts w:ascii="Arial" w:cs="Arial" w:eastAsia="Arial" w:hAnsi="Arial"/>
          <w:sz w:val="22"/>
          <w:szCs w:val="22"/>
          <w:u w:val="single" w:color="auto"/>
          <w:color w:val="auto"/>
        </w:rPr>
        <w:t>Acknowledgements</w:t>
      </w:r>
      <w:r>
        <w:rPr>
          <w:rFonts w:ascii="Arial" w:cs="Arial" w:eastAsia="Arial" w:hAnsi="Arial"/>
          <w:sz w:val="22"/>
          <w:szCs w:val="22"/>
          <w:color w:val="auto"/>
        </w:rPr>
        <w:t>.</w:t>
      </w:r>
    </w:p>
    <w:p>
      <w:pPr>
        <w:spacing w:after="0" w:line="233" w:lineRule="exact"/>
        <w:rPr>
          <w:sz w:val="20"/>
          <w:szCs w:val="20"/>
          <w:color w:val="auto"/>
        </w:rPr>
      </w:pPr>
    </w:p>
    <w:p>
      <w:pPr>
        <w:ind w:right="200" w:firstLine="749"/>
        <w:spacing w:after="0" w:line="282" w:lineRule="auto"/>
        <w:rPr>
          <w:sz w:val="20"/>
          <w:szCs w:val="20"/>
          <w:color w:val="auto"/>
        </w:rPr>
      </w:pPr>
      <w:r>
        <w:rPr>
          <w:rFonts w:ascii="Arial" w:cs="Arial" w:eastAsia="Arial" w:hAnsi="Arial"/>
          <w:sz w:val="19"/>
          <w:szCs w:val="19"/>
          <w:color w:val="auto"/>
        </w:rPr>
        <w:t>The Participant acknowledges and agrees that (i) this Agreement may be executed in two or more counterparts, each of which shall be an original and all of which together shall constitute one and the same instrument, (ii) this agreement may be executed and exchanged using facsimile, portable document format (PDF) or electronic signature, which, in each case, shall constitute an original signature for all purposes hereunder and (iii) such signature by the Company will be binding against the Company and will create a legally binding agreement when this Agreement is countersigned by the Participant.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follows.]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3" w:name="page34"/>
    <w:bookmarkEnd w:id="33"/>
    <w:p>
      <w:pPr>
        <w:ind w:left="760"/>
        <w:spacing w:after="0"/>
        <w:rPr>
          <w:sz w:val="20"/>
          <w:szCs w:val="20"/>
          <w:color w:val="auto"/>
        </w:rPr>
      </w:pPr>
      <w:r>
        <w:rPr>
          <w:rFonts w:ascii="Arial" w:cs="Arial" w:eastAsia="Arial" w:hAnsi="Arial"/>
          <w:sz w:val="19"/>
          <w:szCs w:val="19"/>
          <w:color w:val="auto"/>
        </w:rPr>
        <w:t>IN WITNESS WHEREOF, the Company has caused this Agreement to be executed by its duly authorized officer.</w:t>
      </w:r>
    </w:p>
    <w:p>
      <w:pPr>
        <w:spacing w:after="0" w:line="268"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DOMINO’S PIZZA, INC.</w:t>
      </w:r>
    </w:p>
    <w:p>
      <w:pPr>
        <w:spacing w:after="0" w:line="233"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______________________________</w:t>
      </w:r>
    </w:p>
    <w:p>
      <w:pPr>
        <w:ind w:left="5240"/>
        <w:spacing w:after="0" w:line="238" w:lineRule="auto"/>
        <w:tabs>
          <w:tab w:leader="none" w:pos="6100" w:val="left"/>
        </w:tabs>
        <w:rPr>
          <w:sz w:val="20"/>
          <w:szCs w:val="20"/>
          <w:color w:val="auto"/>
        </w:rPr>
      </w:pPr>
      <w:r>
        <w:rPr>
          <w:rFonts w:ascii="Arial" w:cs="Arial" w:eastAsia="Arial" w:hAnsi="Arial"/>
          <w:sz w:val="22"/>
          <w:szCs w:val="22"/>
          <w:color w:val="auto"/>
        </w:rPr>
        <w:t>Name:</w:t>
        <w:tab/>
        <w:t>Richard E. Allison, Jr.</w:t>
      </w:r>
    </w:p>
    <w:p>
      <w:pPr>
        <w:ind w:left="5240"/>
        <w:spacing w:after="0"/>
        <w:tabs>
          <w:tab w:leader="none" w:pos="61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Chief Executive Officer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Acknowledged and Agreed:</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By: _______________________________________</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320" w:top="577" w:right="99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color w:val="auto"/>
        </w:rPr>
        <w:t>EXHIBIT 31.1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OF CHIEF EXECUTIVE OFFICER OF DOMINO’S PIZZA, INC.</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I, Richard E. Allison, Jr., certify that:</w:t>
      </w:r>
    </w:p>
    <w:p>
      <w:pPr>
        <w:spacing w:after="0" w:line="202" w:lineRule="exact"/>
        <w:rPr>
          <w:sz w:val="20"/>
          <w:szCs w:val="20"/>
          <w:color w:val="auto"/>
        </w:rPr>
      </w:pPr>
    </w:p>
    <w:p>
      <w:pPr>
        <w:ind w:left="380" w:hanging="372"/>
        <w:spacing w:after="0"/>
        <w:tabs>
          <w:tab w:leader="none" w:pos="380" w:val="left"/>
        </w:tabs>
        <w:numPr>
          <w:ilvl w:val="0"/>
          <w:numId w:val="18"/>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Domino’s Pizza, Inc.;</w:t>
      </w:r>
    </w:p>
    <w:p>
      <w:pPr>
        <w:spacing w:after="0" w:line="2" w:lineRule="exact"/>
        <w:rPr>
          <w:rFonts w:ascii="Arial" w:cs="Arial" w:eastAsia="Arial" w:hAnsi="Arial"/>
          <w:sz w:val="20"/>
          <w:szCs w:val="20"/>
          <w:color w:val="auto"/>
        </w:rPr>
      </w:pPr>
    </w:p>
    <w:p>
      <w:pPr>
        <w:ind w:left="380" w:right="120" w:hanging="372"/>
        <w:spacing w:after="0" w:line="225" w:lineRule="auto"/>
        <w:tabs>
          <w:tab w:leader="none" w:pos="380" w:val="left"/>
        </w:tabs>
        <w:numPr>
          <w:ilvl w:val="0"/>
          <w:numId w:val="18"/>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20"/>
          <w:szCs w:val="20"/>
          <w:color w:val="auto"/>
        </w:rPr>
      </w:pPr>
    </w:p>
    <w:p>
      <w:pPr>
        <w:ind w:left="380" w:right="180" w:hanging="372"/>
        <w:spacing w:after="0" w:line="281" w:lineRule="auto"/>
        <w:tabs>
          <w:tab w:leader="none" w:pos="3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ind w:left="380" w:right="40" w:hanging="372"/>
        <w:spacing w:after="0" w:line="250" w:lineRule="auto"/>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80"/>
        <w:spacing w:after="0" w:line="225" w:lineRule="auto"/>
        <w:rPr>
          <w:rFonts w:ascii="Arial" w:cs="Arial" w:eastAsia="Arial" w:hAnsi="Arial"/>
          <w:sz w:val="18"/>
          <w:szCs w:val="18"/>
          <w:color w:val="auto"/>
        </w:rPr>
      </w:pPr>
      <w:r>
        <w:rPr>
          <w:rFonts w:ascii="Arial" w:cs="Arial" w:eastAsia="Arial" w:hAnsi="Arial"/>
          <w:sz w:val="20"/>
          <w:szCs w:val="20"/>
          <w:color w:val="auto"/>
        </w:rPr>
        <w:t>13a-15(f) and 15d-15(f)) for the registrant and have:</w:t>
      </w:r>
    </w:p>
    <w:p>
      <w:pPr>
        <w:ind w:left="760" w:right="160" w:hanging="378"/>
        <w:spacing w:after="0" w:line="237" w:lineRule="auto"/>
        <w:tabs>
          <w:tab w:leader="none" w:pos="760" w:val="left"/>
        </w:tabs>
        <w:numPr>
          <w:ilvl w:val="1"/>
          <w:numId w:val="18"/>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760" w:hanging="378"/>
        <w:spacing w:after="0" w:line="225" w:lineRule="auto"/>
        <w:tabs>
          <w:tab w:leader="none" w:pos="760" w:val="left"/>
        </w:tabs>
        <w:numPr>
          <w:ilvl w:val="1"/>
          <w:numId w:val="18"/>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20"/>
          <w:szCs w:val="20"/>
          <w:color w:val="auto"/>
        </w:rPr>
      </w:pPr>
    </w:p>
    <w:p>
      <w:pPr>
        <w:ind w:left="760" w:right="100" w:hanging="378"/>
        <w:spacing w:after="0" w:line="225" w:lineRule="auto"/>
        <w:tabs>
          <w:tab w:leader="none" w:pos="760" w:val="left"/>
        </w:tabs>
        <w:numPr>
          <w:ilvl w:val="1"/>
          <w:numId w:val="18"/>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20"/>
          <w:szCs w:val="20"/>
          <w:color w:val="auto"/>
        </w:rPr>
      </w:pPr>
    </w:p>
    <w:p>
      <w:pPr>
        <w:ind w:left="760" w:right="220" w:hanging="378"/>
        <w:spacing w:after="0" w:line="237" w:lineRule="auto"/>
        <w:tabs>
          <w:tab w:leader="none" w:pos="760" w:val="left"/>
        </w:tabs>
        <w:numPr>
          <w:ilvl w:val="1"/>
          <w:numId w:val="18"/>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380" w:right="80" w:hanging="372"/>
        <w:spacing w:after="0" w:line="225" w:lineRule="auto"/>
        <w:tabs>
          <w:tab w:leader="none" w:pos="380"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20"/>
          <w:szCs w:val="20"/>
          <w:color w:val="auto"/>
        </w:rPr>
      </w:pPr>
    </w:p>
    <w:p>
      <w:pPr>
        <w:ind w:left="760" w:right="60" w:hanging="378"/>
        <w:spacing w:after="0" w:line="250" w:lineRule="auto"/>
        <w:tabs>
          <w:tab w:leader="none" w:pos="7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760" w:right="360" w:hanging="378"/>
        <w:spacing w:after="0" w:line="234" w:lineRule="auto"/>
        <w:tabs>
          <w:tab w:leader="none" w:pos="760" w:val="left"/>
        </w:tabs>
        <w:numPr>
          <w:ilvl w:val="1"/>
          <w:numId w:val="18"/>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April 28, 2022</w:t>
            </w:r>
          </w:p>
        </w:tc>
        <w:tc>
          <w:tcPr>
            <w:tcW w:w="6260" w:type="dxa"/>
            <w:vAlign w:val="bottom"/>
            <w:gridSpan w:val="3"/>
          </w:tcPr>
          <w:p>
            <w:pPr>
              <w:jc w:val="right"/>
              <w:ind w:right="20"/>
              <w:spacing w:after="0"/>
              <w:rPr>
                <w:sz w:val="20"/>
                <w:szCs w:val="20"/>
                <w:color w:val="auto"/>
              </w:rPr>
            </w:pPr>
            <w:r>
              <w:rPr>
                <w:rFonts w:ascii="Arial" w:cs="Arial" w:eastAsia="Arial" w:hAnsi="Arial"/>
                <w:sz w:val="18"/>
                <w:szCs w:val="18"/>
                <w:color w:val="auto"/>
              </w:rPr>
              <w:t>/s/ Richard E. Allison, Jr.</w:t>
            </w:r>
          </w:p>
        </w:tc>
      </w:tr>
      <w:tr>
        <w:trPr>
          <w:trHeight w:val="168"/>
        </w:trPr>
        <w:tc>
          <w:tcPr>
            <w:tcW w:w="20" w:type="dxa"/>
            <w:vAlign w:val="bottom"/>
          </w:tcPr>
          <w:p>
            <w:pPr>
              <w:spacing w:after="0"/>
              <w:rPr>
                <w:sz w:val="14"/>
                <w:szCs w:val="14"/>
                <w:color w:val="auto"/>
              </w:rPr>
            </w:pPr>
          </w:p>
        </w:tc>
        <w:tc>
          <w:tcPr>
            <w:tcW w:w="1060" w:type="dxa"/>
            <w:vAlign w:val="bottom"/>
            <w:tcBorders>
              <w:top w:val="single" w:sz="8" w:color="auto"/>
            </w:tcBorders>
          </w:tcPr>
          <w:p>
            <w:pPr>
              <w:spacing w:after="0" w:line="168" w:lineRule="exact"/>
              <w:rPr>
                <w:sz w:val="20"/>
                <w:szCs w:val="20"/>
                <w:color w:val="auto"/>
              </w:rPr>
            </w:pPr>
            <w:r>
              <w:rPr>
                <w:rFonts w:ascii="Arial" w:cs="Arial" w:eastAsia="Arial" w:hAnsi="Arial"/>
                <w:sz w:val="18"/>
                <w:szCs w:val="18"/>
                <w:color w:val="auto"/>
              </w:rPr>
              <w:t>Date</w:t>
            </w:r>
          </w:p>
        </w:tc>
        <w:tc>
          <w:tcPr>
            <w:tcW w:w="390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80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8"/>
                <w:szCs w:val="18"/>
                <w:color w:val="auto"/>
              </w:rPr>
              <w:t>Richard E. Allison, Jr.</w:t>
            </w:r>
          </w:p>
        </w:tc>
        <w:tc>
          <w:tcPr>
            <w:tcW w:w="20" w:type="dxa"/>
            <w:vAlign w:val="bottom"/>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82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w w:val="97"/>
              </w:rPr>
              <w:t>Chief Executive Officer</w:t>
            </w:r>
          </w:p>
        </w:tc>
      </w:tr>
      <w:tr>
        <w:trPr>
          <w:trHeight w:val="189"/>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6260" w:type="dxa"/>
            <w:vAlign w:val="bottom"/>
            <w:gridSpan w:val="3"/>
          </w:tcPr>
          <w:p>
            <w:pPr>
              <w:jc w:val="right"/>
              <w:ind w:right="20"/>
              <w:spacing w:after="0" w:line="189" w:lineRule="exact"/>
              <w:rPr>
                <w:sz w:val="20"/>
                <w:szCs w:val="20"/>
                <w:color w:val="auto"/>
              </w:rPr>
            </w:pPr>
            <w:r>
              <w:rPr>
                <w:rFonts w:ascii="Arial" w:cs="Arial" w:eastAsia="Arial" w:hAnsi="Arial"/>
                <w:sz w:val="18"/>
                <w:szCs w:val="18"/>
                <w:i w:val="1"/>
                <w:iCs w:val="1"/>
                <w:color w:val="auto"/>
              </w:rPr>
              <w:t>(Principal Executive Officer and</w:t>
            </w:r>
          </w:p>
        </w:tc>
      </w:tr>
      <w:tr>
        <w:trPr>
          <w:trHeight w:val="230"/>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6260" w:type="dxa"/>
            <w:vAlign w:val="bottom"/>
            <w:gridSpan w:val="3"/>
          </w:tcPr>
          <w:p>
            <w:pPr>
              <w:jc w:val="right"/>
              <w:ind w:right="20"/>
              <w:spacing w:after="0"/>
              <w:rPr>
                <w:sz w:val="20"/>
                <w:szCs w:val="20"/>
                <w:color w:val="auto"/>
              </w:rPr>
            </w:pPr>
            <w:r>
              <w:rPr>
                <w:rFonts w:ascii="Arial" w:cs="Arial" w:eastAsia="Arial" w:hAnsi="Arial"/>
                <w:sz w:val="18"/>
                <w:szCs w:val="18"/>
                <w:i w:val="1"/>
                <w:iCs w:val="1"/>
                <w:color w:val="auto"/>
              </w:rPr>
              <w:t>Principal Financial Officer)</w:t>
            </w:r>
          </w:p>
        </w:tc>
      </w:tr>
      <w:tr>
        <w:trPr>
          <w:trHeight w:val="520"/>
        </w:trPr>
        <w:tc>
          <w:tcPr>
            <w:tcW w:w="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35" w:name="page36"/>
    <w:bookmarkEnd w:id="35"/>
    <w:p>
      <w:pPr>
        <w:ind w:left="9040"/>
        <w:spacing w:after="0"/>
        <w:rPr>
          <w:sz w:val="20"/>
          <w:szCs w:val="20"/>
          <w:color w:val="auto"/>
        </w:rPr>
      </w:pPr>
      <w:r>
        <w:rPr>
          <w:rFonts w:ascii="Arial" w:cs="Arial" w:eastAsia="Arial" w:hAnsi="Arial"/>
          <w:sz w:val="17"/>
          <w:szCs w:val="17"/>
          <w:color w:val="auto"/>
        </w:rPr>
        <w:t>EXHIBIT 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737870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530"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22"/>
          <w:szCs w:val="22"/>
          <w:color w:val="auto"/>
        </w:rPr>
        <w:t>Exhibit 32.1</w:t>
      </w:r>
    </w:p>
    <w:p>
      <w:pPr>
        <w:jc w:val="center"/>
        <w:ind w:right="60"/>
        <w:spacing w:after="0" w:line="238" w:lineRule="auto"/>
        <w:rPr>
          <w:sz w:val="20"/>
          <w:szCs w:val="20"/>
          <w:color w:val="auto"/>
        </w:rPr>
      </w:pPr>
      <w:r>
        <w:rPr>
          <w:rFonts w:ascii="Arial" w:cs="Arial" w:eastAsia="Arial" w:hAnsi="Arial"/>
          <w:sz w:val="22"/>
          <w:szCs w:val="22"/>
          <w:b w:val="1"/>
          <w:bCs w:val="1"/>
          <w:color w:val="auto"/>
        </w:rPr>
        <w:t>CERTIFICATION PURSUANT TO</w:t>
      </w:r>
    </w:p>
    <w:p>
      <w:pPr>
        <w:jc w:val="center"/>
        <w:spacing w:after="0" w:line="230" w:lineRule="auto"/>
        <w:rPr>
          <w:sz w:val="20"/>
          <w:szCs w:val="20"/>
          <w:color w:val="auto"/>
        </w:rPr>
      </w:pPr>
      <w:r>
        <w:rPr>
          <w:rFonts w:ascii="Arial" w:cs="Arial" w:eastAsia="Arial" w:hAnsi="Arial"/>
          <w:sz w:val="22"/>
          <w:szCs w:val="22"/>
          <w:b w:val="1"/>
          <w:bCs w:val="1"/>
          <w:color w:val="auto"/>
        </w:rPr>
        <w:t>18 U.S.C. SECTION 1350</w:t>
      </w:r>
    </w:p>
    <w:p>
      <w:pPr>
        <w:jc w:val="center"/>
        <w:ind w:right="60"/>
        <w:spacing w:after="0" w:line="231" w:lineRule="auto"/>
        <w:rPr>
          <w:sz w:val="20"/>
          <w:szCs w:val="20"/>
          <w:color w:val="auto"/>
        </w:rPr>
      </w:pPr>
      <w:r>
        <w:rPr>
          <w:rFonts w:ascii="Arial" w:cs="Arial" w:eastAsia="Arial" w:hAnsi="Arial"/>
          <w:sz w:val="22"/>
          <w:szCs w:val="22"/>
          <w:b w:val="1"/>
          <w:bCs w:val="1"/>
          <w:color w:val="auto"/>
        </w:rPr>
        <w:t>AS ADOPTED PURSUANT TO</w:t>
      </w: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00" w:lineRule="exact"/>
        <w:rPr>
          <w:sz w:val="20"/>
          <w:szCs w:val="20"/>
          <w:color w:val="auto"/>
        </w:rPr>
      </w:pPr>
    </w:p>
    <w:p>
      <w:pPr>
        <w:spacing w:after="0" w:line="258"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In connection with the Quarterly Report of Domino’s Pizza, Inc. (the “Company”) on Form 10-Q for the period ended September 12, 2021, as filed with the Securities and Exchange Commission (the “Report”), I, Richard E. Allison, Jr., Chief Executive Officer of the Company, certify, pursuant to 18 U.S.C. § 1350, adopted pursuant to §906 of the Sarbanes-Oxley Act of 2002, that based on my knowledge:</w:t>
      </w:r>
    </w:p>
    <w:p>
      <w:pPr>
        <w:spacing w:after="0" w:line="200" w:lineRule="exact"/>
        <w:rPr>
          <w:sz w:val="20"/>
          <w:szCs w:val="20"/>
          <w:color w:val="auto"/>
        </w:rPr>
      </w:pPr>
    </w:p>
    <w:p>
      <w:pPr>
        <w:spacing w:after="0" w:line="255" w:lineRule="exact"/>
        <w:rPr>
          <w:sz w:val="20"/>
          <w:szCs w:val="20"/>
          <w:color w:val="auto"/>
        </w:rPr>
      </w:pPr>
    </w:p>
    <w:p>
      <w:pPr>
        <w:ind w:left="760" w:right="400" w:hanging="378"/>
        <w:spacing w:after="0" w:line="250" w:lineRule="auto"/>
        <w:tabs>
          <w:tab w:leader="none" w:pos="760"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as amended; and</w:t>
      </w:r>
    </w:p>
    <w:p>
      <w:pPr>
        <w:spacing w:after="0" w:line="201" w:lineRule="exact"/>
        <w:rPr>
          <w:rFonts w:ascii="Arial" w:cs="Arial" w:eastAsia="Arial" w:hAnsi="Arial"/>
          <w:sz w:val="22"/>
          <w:szCs w:val="22"/>
          <w:color w:val="auto"/>
        </w:rPr>
      </w:pPr>
    </w:p>
    <w:p>
      <w:pPr>
        <w:ind w:left="760" w:right="460" w:hanging="378"/>
        <w:spacing w:after="0" w:line="250" w:lineRule="auto"/>
        <w:tabs>
          <w:tab w:leader="none" w:pos="760"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760"/>
        <w:spacing w:after="0"/>
        <w:rPr>
          <w:sz w:val="20"/>
          <w:szCs w:val="20"/>
          <w:color w:val="auto"/>
        </w:rPr>
      </w:pPr>
      <w:r>
        <w:rPr>
          <w:rFonts w:ascii="Arial" w:cs="Arial" w:eastAsia="Arial" w:hAnsi="Arial"/>
          <w:sz w:val="22"/>
          <w:szCs w:val="22"/>
          <w:u w:val="single" w:color="auto"/>
          <w:color w:val="auto"/>
        </w:rPr>
        <w:t>/s/ Richard E. Allison, Jr.</w:t>
      </w:r>
    </w:p>
    <w:p>
      <w:pPr>
        <w:ind w:left="3760"/>
        <w:spacing w:after="0" w:line="238" w:lineRule="auto"/>
        <w:rPr>
          <w:sz w:val="20"/>
          <w:szCs w:val="20"/>
          <w:color w:val="auto"/>
        </w:rPr>
      </w:pPr>
      <w:r>
        <w:rPr>
          <w:rFonts w:ascii="Arial" w:cs="Arial" w:eastAsia="Arial" w:hAnsi="Arial"/>
          <w:sz w:val="22"/>
          <w:szCs w:val="22"/>
          <w:color w:val="auto"/>
        </w:rPr>
        <w:t>Richard E. Allison, Jr.</w:t>
      </w:r>
    </w:p>
    <w:p>
      <w:pPr>
        <w:ind w:left="3760"/>
        <w:spacing w:after="0" w:line="230" w:lineRule="auto"/>
        <w:rPr>
          <w:sz w:val="20"/>
          <w:szCs w:val="20"/>
          <w:color w:val="auto"/>
        </w:rPr>
      </w:pPr>
      <w:r>
        <w:rPr>
          <w:rFonts w:ascii="Arial" w:cs="Arial" w:eastAsia="Arial" w:hAnsi="Arial"/>
          <w:sz w:val="22"/>
          <w:szCs w:val="22"/>
          <w:color w:val="auto"/>
        </w:rPr>
        <w:t>Chief Executive Officer</w:t>
      </w:r>
    </w:p>
    <w:p>
      <w:pPr>
        <w:ind w:left="3760"/>
        <w:spacing w:after="0" w:line="231" w:lineRule="auto"/>
        <w:rPr>
          <w:sz w:val="20"/>
          <w:szCs w:val="20"/>
          <w:color w:val="auto"/>
        </w:rPr>
      </w:pPr>
      <w:r>
        <w:rPr>
          <w:rFonts w:ascii="Arial" w:cs="Arial" w:eastAsia="Arial" w:hAnsi="Arial"/>
          <w:sz w:val="22"/>
          <w:szCs w:val="22"/>
          <w:i w:val="1"/>
          <w:iCs w:val="1"/>
          <w:color w:val="auto"/>
        </w:rPr>
        <w:t>(Principal Executive Officer and</w:t>
      </w:r>
    </w:p>
    <w:p>
      <w:pPr>
        <w:ind w:left="3760"/>
        <w:spacing w:after="0"/>
        <w:rPr>
          <w:sz w:val="20"/>
          <w:szCs w:val="20"/>
          <w:color w:val="auto"/>
        </w:rPr>
      </w:pPr>
      <w:r>
        <w:rPr>
          <w:rFonts w:ascii="Arial" w:cs="Arial" w:eastAsia="Arial" w:hAnsi="Arial"/>
          <w:sz w:val="22"/>
          <w:szCs w:val="22"/>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color w:val="auto"/>
        </w:rPr>
        <w:t>Dated: April 28, 2022</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Domino’s Pizza, Inc. and will be retained by Domino’s Pizza,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314960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37" w:name="page38"/>
    <w:bookmarkEnd w:id="3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6"/>
    </w:lvl>
  </w:abstractNum>
  <w:abstractNum w:abstractNumId="4">
    <w:nsid w:val="66EF438D"/>
    <w:multiLevelType w:val="hybridMultilevel"/>
    <w:lvl w:ilvl="0">
      <w:lvlJc w:val="left"/>
      <w:lvlText w:val="%1."/>
      <w:numFmt w:val="decimal"/>
      <w:start w:val="10"/>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104"/>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3"/>
    </w:lvl>
  </w:abstractNum>
  <w:abstractNum w:abstractNumId="13">
    <w:nsid w:val="4E6AFB66"/>
    <w:multiLevelType w:val="hybridMultilevel"/>
    <w:lvl w:ilvl="0">
      <w:lvlJc w:val="left"/>
      <w:lvlText w:val="%1."/>
      <w:numFmt w:val="decimal"/>
      <w:start w:val="4"/>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lowerRoman"/>
      <w:start w:val="1"/>
    </w:lvl>
  </w:abstractNum>
  <w:abstractNum w:abstractNumId="16">
    <w:nsid w:val="431BD7B7"/>
    <w:multiLevelType w:val="hybridMultilevel"/>
    <w:lvl w:ilvl="0">
      <w:lvlJc w:val="left"/>
      <w:lvlText w:val="(%1)"/>
      <w:numFmt w:val="lowerRoman"/>
      <w:start w:val="2"/>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10" Type="http://schemas.openxmlformats.org/officeDocument/2006/relationships/image" Target="media/image199.png"/><Relationship Id="rId211" Type="http://schemas.openxmlformats.org/officeDocument/2006/relationships/image" Target="media/image200.png"/><Relationship Id="rId212" Type="http://schemas.openxmlformats.org/officeDocument/2006/relationships/image" Target="media/image201.png"/><Relationship Id="rId213" Type="http://schemas.openxmlformats.org/officeDocument/2006/relationships/image" Target="media/image202.png"/><Relationship Id="rId214" Type="http://schemas.openxmlformats.org/officeDocument/2006/relationships/image" Target="media/image203.png"/><Relationship Id="rId215" Type="http://schemas.openxmlformats.org/officeDocument/2006/relationships/image" Target="media/image204.png"/><Relationship Id="rId216" Type="http://schemas.openxmlformats.org/officeDocument/2006/relationships/image" Target="media/image205.png"/><Relationship Id="rId217" Type="http://schemas.openxmlformats.org/officeDocument/2006/relationships/image" Target="media/image206.png"/><Relationship Id="rId218" Type="http://schemas.openxmlformats.org/officeDocument/2006/relationships/image" Target="media/image207.png"/><Relationship Id="rId219" Type="http://schemas.openxmlformats.org/officeDocument/2006/relationships/image" Target="media/image208.png"/><Relationship Id="rId220" Type="http://schemas.openxmlformats.org/officeDocument/2006/relationships/image" Target="media/image209.png"/><Relationship Id="rId221" Type="http://schemas.openxmlformats.org/officeDocument/2006/relationships/image" Target="media/image210.png"/><Relationship Id="rId222" Type="http://schemas.openxmlformats.org/officeDocument/2006/relationships/image" Target="media/image211.png"/><Relationship Id="rId223" Type="http://schemas.openxmlformats.org/officeDocument/2006/relationships/image" Target="media/image212.png"/><Relationship Id="rId224" Type="http://schemas.openxmlformats.org/officeDocument/2006/relationships/image" Target="media/image213.png"/><Relationship Id="rId225" Type="http://schemas.openxmlformats.org/officeDocument/2006/relationships/image" Target="media/image214.png"/><Relationship Id="rId226" Type="http://schemas.openxmlformats.org/officeDocument/2006/relationships/image" Target="media/image215.png"/><Relationship Id="rId206" Type="http://schemas.openxmlformats.org/officeDocument/2006/relationships/hyperlink" Target="https://www.sec.gov/Archives/edgar/data/0001286681/000119312522059952/d291533dex101.htm" TargetMode="External"/><Relationship Id="rId207" Type="http://schemas.openxmlformats.org/officeDocument/2006/relationships/hyperlink" Target="https://www.sec.gov/Archives/edgar/data/0001286681/000119312522059952/d291533dex102.htm" TargetMode="External"/><Relationship Id="rId208" Type="http://schemas.openxmlformats.org/officeDocument/2006/relationships/hyperlink" Target="https://www.sec.gov/Archives/edgar/data/0001286681/000119312522059952/d291533dex103.htm" TargetMode="External"/><Relationship Id="rId209" Type="http://schemas.openxmlformats.org/officeDocument/2006/relationships/hyperlink" Target="https://www.sec.gov/Archives/edgar/data/0001286681/000119312522065165/d312023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2022-04-28T06:50:37Z</dcterms:created>
  <dcterms:modified xsi:type="dcterms:W3CDTF">2022-04-28T06:50:37Z</dcterms:modified>
</cp:coreProperties>
</file>