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3780" w:right="1600" w:hanging="3772"/>
        <w:spacing w:after="0" w:line="412"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23, 2025</w:t>
      </w:r>
    </w:p>
    <w:p>
      <w:pPr>
        <w:spacing w:after="0" w:line="288"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40" w:type="dxa"/>
        <w:tblCellMar>
          <w:top w:w="0" w:type="dxa"/>
          <w:left w:w="0" w:type="dxa"/>
          <w:bottom w:w="0" w:type="dxa"/>
          <w:right w:w="0" w:type="dxa"/>
        </w:tblCellMar>
      </w:tblPr>
      <w:tr>
        <w:trPr>
          <w:trHeight w:val="205"/>
        </w:trPr>
        <w:tc>
          <w:tcPr>
            <w:tcW w:w="2960" w:type="dxa"/>
            <w:vAlign w:val="bottom"/>
          </w:tcPr>
          <w:p>
            <w:pPr>
              <w:jc w:val="center"/>
              <w:ind w:right="439"/>
              <w:spacing w:after="0" w:line="205"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7"/>
                <w:szCs w:val="17"/>
                <w:color w:val="auto"/>
              </w:rPr>
            </w:pPr>
          </w:p>
        </w:tc>
        <w:tc>
          <w:tcPr>
            <w:tcW w:w="2320" w:type="dxa"/>
            <w:vAlign w:val="bottom"/>
          </w:tcPr>
          <w:p>
            <w:pPr>
              <w:jc w:val="right"/>
              <w:ind w:right="64"/>
              <w:spacing w:after="0" w:line="205" w:lineRule="exact"/>
              <w:rPr>
                <w:sz w:val="20"/>
                <w:szCs w:val="20"/>
                <w:color w:val="auto"/>
              </w:rPr>
            </w:pPr>
            <w:r>
              <w:rPr>
                <w:rFonts w:ascii="Times New Roman" w:cs="Times New Roman" w:eastAsia="Times New Roman" w:hAnsi="Times New Roman"/>
                <w:sz w:val="18"/>
                <w:szCs w:val="18"/>
                <w:b w:val="1"/>
                <w:bCs w:val="1"/>
                <w:color w:val="auto"/>
              </w:rPr>
              <w:t>38-2511577</w:t>
            </w:r>
          </w:p>
        </w:tc>
      </w:tr>
      <w:tr>
        <w:trPr>
          <w:trHeight w:val="149"/>
        </w:trPr>
        <w:tc>
          <w:tcPr>
            <w:tcW w:w="2960" w:type="dxa"/>
            <w:vAlign w:val="bottom"/>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320" w:type="dxa"/>
            <w:vAlign w:val="bottom"/>
          </w:tcPr>
          <w:p>
            <w:pPr>
              <w:jc w:val="center"/>
              <w:ind w:left="11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4"/>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4"/>
                <w:szCs w:val="14"/>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27"/>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56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296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(734) 930-3030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0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20" w:type="dxa"/>
            <w:vAlign w:val="bottom"/>
          </w:tcPr>
          <w:p>
            <w:pPr>
              <w:spacing w:after="0"/>
              <w:rPr>
                <w:sz w:val="18"/>
                <w:szCs w:val="18"/>
                <w:color w:val="auto"/>
              </w:rPr>
            </w:pPr>
          </w:p>
        </w:tc>
        <w:tc>
          <w:tcPr>
            <w:tcW w:w="2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45"/>
        </w:trPr>
        <w:tc>
          <w:tcPr>
            <w:tcW w:w="4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Domino’s Pizza, Inc. Common Stock, $0.01 par value</w:t>
            </w:r>
          </w:p>
        </w:tc>
        <w:tc>
          <w:tcPr>
            <w:tcW w:w="400" w:type="dxa"/>
            <w:vAlign w:val="bottom"/>
          </w:tcPr>
          <w:p>
            <w:pPr>
              <w:spacing w:after="0"/>
              <w:rPr>
                <w:sz w:val="24"/>
                <w:szCs w:val="24"/>
                <w:color w:val="auto"/>
              </w:rPr>
            </w:pPr>
          </w:p>
        </w:tc>
        <w:tc>
          <w:tcPr>
            <w:tcW w:w="20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DPZ</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90" w:lineRule="exact"/>
        <w:rPr>
          <w:sz w:val="24"/>
          <w:szCs w:val="24"/>
          <w:color w:val="auto"/>
        </w:rPr>
      </w:pPr>
    </w:p>
    <w:p>
      <w:pPr>
        <w:ind w:right="2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57" w:lineRule="exact"/>
        <w:rPr>
          <w:sz w:val="24"/>
          <w:szCs w:val="24"/>
          <w:color w:val="auto"/>
        </w:rPr>
      </w:pPr>
    </w:p>
    <w:p>
      <w:pPr>
        <w:ind w:right="22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5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21, 2025, Domino’s Pizza, Inc. had 34,241,477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060" w:type="dxa"/>
            <w:vAlign w:val="bottom"/>
            <w:gridSpan w:val="2"/>
            <w:vMerge w:val="continue"/>
          </w:tcPr>
          <w:p>
            <w:pPr>
              <w:spacing w:after="0"/>
              <w:rPr>
                <w:sz w:val="14"/>
                <w:szCs w:val="14"/>
                <w:color w:val="auto"/>
              </w:rPr>
            </w:pPr>
          </w:p>
        </w:tc>
        <w:tc>
          <w:tcPr>
            <w:tcW w:w="9400" w:type="dxa"/>
            <w:vAlign w:val="bottom"/>
            <w:gridSpan w:val="21"/>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 As of March 23, 2025 and December 29,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ended March 23, 2025 and March 24,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Fiscal quarters ended March 23, 2025 and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March 24, 2024</w:t>
            </w:r>
          </w:p>
        </w:tc>
        <w:tc>
          <w:tcPr>
            <w:tcW w:w="7400" w:type="dxa"/>
            <w:vAlign w:val="bottom"/>
            <w:tcBorders>
              <w:top w:val="single" w:sz="8" w:color="0000EE"/>
            </w:tcBorders>
            <w:gridSpan w:val="12"/>
          </w:tcPr>
          <w:p>
            <w:pPr>
              <w:spacing w:after="0"/>
              <w:rPr>
                <w:sz w:val="17"/>
                <w:szCs w:val="17"/>
                <w:color w:val="auto"/>
              </w:rPr>
            </w:pPr>
          </w:p>
        </w:tc>
        <w:tc>
          <w:tcPr>
            <w:tcW w:w="6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Fiscal quarters ended March 23, 2025 and March 24,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100" w:type="dxa"/>
            <w:vAlign w:val="bottom"/>
            <w:tcBorders>
              <w:top w:val="single" w:sz="8" w:color="0000EE"/>
            </w:tcBorders>
            <w:gridSpan w:val="5"/>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4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64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38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EE"/>
            </w:tcBorders>
            <w:gridSpan w:val="2"/>
          </w:tcPr>
          <w:p>
            <w:pPr>
              <w:spacing w:after="0"/>
              <w:rPr>
                <w:sz w:val="24"/>
                <w:szCs w:val="24"/>
                <w:color w:val="auto"/>
              </w:rPr>
            </w:pPr>
          </w:p>
        </w:tc>
        <w:tc>
          <w:tcPr>
            <w:tcW w:w="808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7"/>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08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64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0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2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9260" w:type="dxa"/>
            <w:vAlign w:val="bottom"/>
            <w:gridSpan w:val="2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00" w:type="dxa"/>
            <w:vAlign w:val="bottom"/>
            <w:gridSpan w:val="15"/>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5"/>
                <w:szCs w:val="15"/>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23, 2025</w:t>
            </w:r>
          </w:p>
        </w:tc>
        <w:tc>
          <w:tcPr>
            <w:tcW w:w="220" w:type="dxa"/>
            <w:vAlign w:val="bottom"/>
          </w:tcPr>
          <w:p>
            <w:pPr>
              <w:spacing w:after="0"/>
              <w:rPr>
                <w:sz w:val="15"/>
                <w:szCs w:val="15"/>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0"/>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304,320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186,126</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195,370</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302,837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309,104</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70,919</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103,396</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1,015,934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905,278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Land and buildings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104,355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191,718</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398,077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390,542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22,717</w:t>
            </w:r>
          </w:p>
        </w:tc>
        <w:tc>
          <w:tcPr>
            <w:tcW w:w="100" w:type="dxa"/>
            <w:vAlign w:val="bottom"/>
          </w:tcPr>
          <w:p>
            <w:pPr>
              <w:spacing w:after="0"/>
              <w:rPr>
                <w:sz w:val="18"/>
                <w:szCs w:val="18"/>
                <w:color w:val="auto"/>
              </w:rPr>
            </w:pPr>
          </w:p>
        </w:tc>
      </w:tr>
      <w:tr>
        <w:trPr>
          <w:trHeight w:val="209"/>
        </w:trPr>
        <w:tc>
          <w:tcPr>
            <w:tcW w:w="7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714,995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709,770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(420,069 )</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(408,591 )</w:t>
            </w:r>
          </w:p>
        </w:tc>
      </w:tr>
      <w:tr>
        <w:trPr>
          <w:trHeight w:val="209"/>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294,926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217,097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210,302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156,119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DPC Dash</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47,520</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566,759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1,877,619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1,737,013</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deficit</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1,149,764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1,149,679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85,898</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25,658</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101,567</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198,238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1,696,760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1,612,462</w:t>
            </w:r>
          </w:p>
        </w:tc>
        <w:tc>
          <w:tcPr>
            <w:tcW w:w="100" w:type="dxa"/>
            <w:vAlign w:val="bottom"/>
          </w:tcPr>
          <w:p>
            <w:pPr>
              <w:spacing w:after="0"/>
              <w:rPr>
                <w:sz w:val="18"/>
                <w:szCs w:val="18"/>
                <w:color w:val="auto"/>
              </w:rPr>
            </w:pPr>
          </w:p>
        </w:tc>
      </w:tr>
      <w:tr>
        <w:trPr>
          <w:trHeight w:val="20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3,825,659</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188,547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181,983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33,229</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46,338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4,093,547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4,086,842</w:t>
            </w:r>
          </w:p>
        </w:tc>
        <w:tc>
          <w:tcPr>
            <w:tcW w:w="100" w:type="dxa"/>
            <w:vAlign w:val="bottom"/>
          </w:tcPr>
          <w:p>
            <w:pPr>
              <w:spacing w:after="0"/>
              <w:rPr>
                <w:sz w:val="18"/>
                <w:szCs w:val="18"/>
                <w:color w:val="auto"/>
              </w:rPr>
            </w:pPr>
          </w:p>
        </w:tc>
      </w:tr>
      <w:tr>
        <w:trPr>
          <w:trHeight w:val="210"/>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(3,906,833 )</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(3,956,474 )</w:t>
            </w: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(7,089 )</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(7,432 )</w:t>
            </w:r>
          </w:p>
        </w:tc>
      </w:tr>
      <w:tr>
        <w:trPr>
          <w:trHeight w:val="20"/>
        </w:trPr>
        <w:tc>
          <w:tcPr>
            <w:tcW w:w="7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(3,912,688 )</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(3,962,291 )</w:t>
            </w:r>
          </w:p>
        </w:tc>
      </w:tr>
      <w:tr>
        <w:trPr>
          <w:trHeight w:val="249"/>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1,877,619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1,737,013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-5640070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-4516755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-1996440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-1156335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6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17"/>
        </w:trPr>
        <w:tc>
          <w:tcPr>
            <w:tcW w:w="77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3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392"/>
              <w:spacing w:after="0" w:line="118" w:lineRule="exact"/>
              <w:rPr>
                <w:sz w:val="20"/>
                <w:szCs w:val="20"/>
                <w:color w:val="auto"/>
              </w:rPr>
            </w:pPr>
            <w:r>
              <w:rPr>
                <w:rFonts w:ascii="Times New Roman" w:cs="Times New Roman" w:eastAsia="Times New Roman" w:hAnsi="Times New Roman"/>
                <w:sz w:val="13"/>
                <w:szCs w:val="13"/>
                <w:b w:val="1"/>
                <w:bCs w:val="1"/>
                <w:color w:val="auto"/>
              </w:rPr>
              <w:t>March 24,</w:t>
            </w:r>
          </w:p>
        </w:tc>
        <w:tc>
          <w:tcPr>
            <w:tcW w:w="100" w:type="dxa"/>
            <w:vAlign w:val="bottom"/>
          </w:tcPr>
          <w:p>
            <w:pPr>
              <w:spacing w:after="0"/>
              <w:rPr>
                <w:sz w:val="10"/>
                <w:szCs w:val="10"/>
                <w:color w:val="auto"/>
              </w:rPr>
            </w:pPr>
          </w:p>
        </w:tc>
      </w:tr>
      <w:tr>
        <w:trPr>
          <w:trHeight w:val="17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Company-owned stores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91,598</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150,518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chain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669,924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659,214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1,112,056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1,084,647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Company-owned stores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chain</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591,998</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586,319</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668,909</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443,147</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421,870</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109,077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8"/>
                <w:szCs w:val="18"/>
                <w:color w:val="auto"/>
              </w:rPr>
            </w:pPr>
          </w:p>
        </w:tc>
      </w:tr>
      <w:tr>
        <w:trPr>
          <w:trHeight w:val="210"/>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210,095</w:t>
            </w:r>
          </w:p>
        </w:tc>
        <w:tc>
          <w:tcPr>
            <w:tcW w:w="3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210,413</w:t>
            </w: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(18,699 )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(45,585 )</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(45,846 )</w:t>
            </w:r>
          </w:p>
        </w:tc>
      </w:tr>
      <w:tr>
        <w:trPr>
          <w:trHeight w:val="210"/>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192,482</w:t>
            </w:r>
          </w:p>
        </w:tc>
        <w:tc>
          <w:tcPr>
            <w:tcW w:w="3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149,607</w:t>
            </w: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42,831</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 -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-2553970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-1988185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-1422400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-865505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-582295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840" w:type="dxa"/>
            <w:vAlign w:val="bottom"/>
          </w:tcPr>
          <w:p>
            <w:pPr>
              <w:spacing w:after="0"/>
              <w:rPr>
                <w:sz w:val="10"/>
                <w:szCs w:val="10"/>
                <w:color w:val="auto"/>
              </w:rPr>
            </w:pPr>
          </w:p>
        </w:tc>
        <w:tc>
          <w:tcPr>
            <w:tcW w:w="170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60" w:type="dxa"/>
            <w:vAlign w:val="bottom"/>
          </w:tcPr>
          <w:p>
            <w:pPr>
              <w:jc w:val="right"/>
              <w:ind w:right="838"/>
              <w:spacing w:after="0" w:line="118" w:lineRule="exact"/>
              <w:rPr>
                <w:sz w:val="20"/>
                <w:szCs w:val="20"/>
                <w:color w:val="auto"/>
              </w:rPr>
            </w:pPr>
            <w:r>
              <w:rPr>
                <w:rFonts w:ascii="Times New Roman" w:cs="Times New Roman" w:eastAsia="Times New Roman" w:hAnsi="Times New Roman"/>
                <w:sz w:val="13"/>
                <w:szCs w:val="13"/>
                <w:b w:val="1"/>
                <w:bCs w:val="1"/>
                <w:color w:val="auto"/>
              </w:rPr>
              <w:t>March 24,</w:t>
            </w:r>
          </w:p>
        </w:tc>
        <w:tc>
          <w:tcPr>
            <w:tcW w:w="100" w:type="dxa"/>
            <w:vAlign w:val="bottom"/>
          </w:tcPr>
          <w:p>
            <w:pPr>
              <w:spacing w:after="0"/>
              <w:rPr>
                <w:sz w:val="10"/>
                <w:szCs w:val="10"/>
                <w:color w:val="auto"/>
              </w:rPr>
            </w:pPr>
          </w:p>
        </w:tc>
      </w:tr>
      <w:tr>
        <w:trPr>
          <w:trHeight w:val="17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shd w:val="clear" w:color="auto" w:fill="CFF0FC"/>
          </w:tcPr>
          <w:p>
            <w:pPr>
              <w:jc w:val="right"/>
              <w:ind w:right="15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10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(1,125 )</w:t>
            </w: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700" w:type="dxa"/>
            <w:vAlign w:val="bottom"/>
            <w:tcBorders>
              <w:top w:val="single" w:sz="8" w:color="auto"/>
              <w:bottom w:val="single" w:sz="8" w:color="auto"/>
            </w:tcBorders>
            <w:shd w:val="clear" w:color="auto" w:fill="CFF0FC"/>
          </w:tcPr>
          <w:p>
            <w:pPr>
              <w:jc w:val="right"/>
              <w:ind w:right="15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149,994</w:t>
            </w:r>
          </w:p>
        </w:tc>
        <w:tc>
          <w:tcPr>
            <w:tcW w:w="3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5"/>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0" w:type="dxa"/>
            <w:vAlign w:val="bottom"/>
          </w:tcPr>
          <w:p>
            <w:pPr>
              <w:spacing w:after="0"/>
              <w:rPr>
                <w:sz w:val="1"/>
                <w:szCs w:val="1"/>
                <w:color w:val="auto"/>
              </w:rPr>
            </w:pPr>
          </w:p>
        </w:tc>
      </w:tr>
      <w:tr>
        <w:trPr>
          <w:trHeight w:val="117"/>
        </w:trPr>
        <w:tc>
          <w:tcPr>
            <w:tcW w:w="78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32"/>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351"/>
              <w:spacing w:after="0" w:line="118" w:lineRule="exact"/>
              <w:rPr>
                <w:sz w:val="20"/>
                <w:szCs w:val="20"/>
                <w:color w:val="auto"/>
              </w:rPr>
            </w:pPr>
            <w:r>
              <w:rPr>
                <w:rFonts w:ascii="Times New Roman" w:cs="Times New Roman" w:eastAsia="Times New Roman" w:hAnsi="Times New Roman"/>
                <w:sz w:val="13"/>
                <w:szCs w:val="13"/>
                <w:b w:val="1"/>
                <w:bCs w:val="1"/>
                <w:color w:val="auto"/>
              </w:rPr>
              <w:t>March 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Refranchising loss</w:t>
            </w: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26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(2,290 )</w:t>
            </w:r>
          </w:p>
        </w:tc>
        <w:tc>
          <w:tcPr>
            <w:tcW w:w="2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(3,757 )</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26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(1,569 )</w:t>
            </w:r>
          </w:p>
        </w:tc>
        <w:tc>
          <w:tcPr>
            <w:tcW w:w="2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(8,104 )</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Benefit for losses on accounts and notes receivable</w:t>
            </w: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(57 )</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26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(24,027 )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(9,961 )</w:t>
            </w: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26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(9,095 )</w:t>
            </w:r>
          </w:p>
        </w:tc>
        <w:tc>
          <w:tcPr>
            <w:tcW w:w="2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(31,925 )</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179,076</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(14,745 )</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(20,181 )</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(1,225 )</w:t>
            </w:r>
          </w:p>
        </w:tc>
        <w:tc>
          <w:tcPr>
            <w:tcW w:w="2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(15,970 )</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(21,486 )</w:t>
            </w:r>
          </w:p>
        </w:tc>
        <w:tc>
          <w:tcPr>
            <w:tcW w:w="0" w:type="dxa"/>
            <w:vAlign w:val="bottom"/>
          </w:tcPr>
          <w:p>
            <w:pPr>
              <w:spacing w:after="0"/>
              <w:rPr>
                <w:sz w:val="1"/>
                <w:szCs w:val="1"/>
                <w:color w:val="auto"/>
              </w:rPr>
            </w:pPr>
          </w:p>
        </w:tc>
      </w:tr>
      <w:tr>
        <w:trPr>
          <w:trHeight w:val="209"/>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(646 )</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(13,525 )</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(50,000 )</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(25,000 )</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26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(8,158 )</w:t>
            </w:r>
          </w:p>
        </w:tc>
        <w:tc>
          <w:tcPr>
            <w:tcW w:w="2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(6,700 )</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(617 )</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(51,892</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0" w:type="dxa"/>
            <w:vAlign w:val="bottom"/>
          </w:tcPr>
          <w:p>
            <w:pPr>
              <w:spacing w:after="0"/>
              <w:rPr>
                <w:sz w:val="1"/>
                <w:szCs w:val="1"/>
                <w:color w:val="auto"/>
              </w:rPr>
            </w:pPr>
          </w:p>
        </w:tc>
      </w:tr>
      <w:tr>
        <w:trPr>
          <w:trHeight w:val="210"/>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111,510</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195,370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80,928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6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462,424</w:t>
            </w: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304,320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6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573,934</w:t>
            </w:r>
          </w:p>
        </w:tc>
        <w:tc>
          <w:tcPr>
            <w:tcW w:w="300" w:type="dxa"/>
            <w:vAlign w:val="bottom"/>
          </w:tcPr>
          <w:p>
            <w:pPr>
              <w:spacing w:after="0"/>
              <w:rPr>
                <w:sz w:val="16"/>
                <w:szCs w:val="16"/>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469,645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8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2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-3779520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-3213735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-2395220</wp:posOffset>
            </wp:positionV>
            <wp:extent cx="939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-2395220</wp:posOffset>
            </wp:positionV>
            <wp:extent cx="9398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-2091055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-985520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-967740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-281940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share and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23,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Additionally, the condensed consolidated balance sheet at December 29, 2024 has been derived from the audited consolidated financial statements at that date but does not include all of the information and footnotes required by accounting principles generally accepted in the United States for complete financial statements. Certain captions have been conformed to the current period presentation. For further information, refer to the consolidated financial statements and footnotes for the fiscal year ended December 29, 2024 included in the Company’s 2024 Annual Report on Form 10-K, filed with the Securities and Exchange Commission on February 24, 2025 (the “ 2024 Form 10-K”).</w:t>
      </w:r>
    </w:p>
    <w:p>
      <w:pPr>
        <w:spacing w:after="0" w:line="84" w:lineRule="exact"/>
        <w:rPr>
          <w:sz w:val="20"/>
          <w:szCs w:val="20"/>
          <w:color w:val="auto"/>
        </w:rPr>
      </w:pPr>
    </w:p>
    <w:p>
      <w:pPr>
        <w:jc w:val="both"/>
        <w:ind w:right="400" w:firstLine="255"/>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first quarter ended March 23, 2025 are not necessarily indicative of the results that may be expected for the fiscal year ending December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three reportable segments: (i) U.S. stores; (ii) supply chain; and (iii) international franchise.</w:t>
      </w:r>
    </w:p>
    <w:p>
      <w:pPr>
        <w:spacing w:after="0" w:line="131"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and, to a lesser extent, other products, from the Company’s supply chain center operations in the U.S. and Canada. The international franchise segment includes operations related to the Company’s franchising business in foreign markets. The Company’s chief operating decision maker is its Chief Executive Officer, and he evaluates the performance of the Company’s segments and allocates resources to them based on revenues and earnings before interest, taxes, depreciation, amortization and other, referred to as Segment Income. The Company uses Segment Income to determine future business objectives and targets and for long-range planning for the reportable segments, as well as to evaluate their operating performance.</w:t>
      </w:r>
    </w:p>
    <w:p>
      <w:pPr>
        <w:spacing w:after="0" w:line="94" w:lineRule="exact"/>
        <w:rPr>
          <w:sz w:val="20"/>
          <w:szCs w:val="20"/>
          <w:color w:val="auto"/>
        </w:rPr>
      </w:pPr>
    </w:p>
    <w:p>
      <w:pPr>
        <w:jc w:val="both"/>
        <w:ind w:right="120" w:firstLine="255"/>
        <w:spacing w:after="0" w:line="261" w:lineRule="auto"/>
        <w:rPr>
          <w:sz w:val="20"/>
          <w:szCs w:val="20"/>
          <w:color w:val="auto"/>
        </w:rPr>
      </w:pPr>
      <w:r>
        <w:rPr>
          <w:rFonts w:ascii="Times New Roman" w:cs="Times New Roman" w:eastAsia="Times New Roman" w:hAnsi="Times New Roman"/>
          <w:sz w:val="18"/>
          <w:szCs w:val="18"/>
          <w:color w:val="auto"/>
        </w:rPr>
        <w:t>The tables below summarize the financial information, including revenues, significant segment expenses, Segment Income and capital expenditures, concerning the Company’s reportable segments for the first quarters ended March 23, 2025 and March 24, 2024. Intersegment revenues are comprised of sales of food and, to a lesser extent, other products, from the supply chain segment to the Company-owned stores in the U.S. stores segment. Intersegment sales prices are market based.</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Accounting Standards Update (“ASU”) 2023-07, Segment Reporting (Topic 280): Improvements to Reportable Segment</w:t>
      </w:r>
    </w:p>
    <w:p>
      <w:pPr>
        <w:spacing w:after="0" w:line="3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Disclosures (“ASU 2023-07”) </w:t>
      </w:r>
      <w:r>
        <w:rPr>
          <w:rFonts w:ascii="Times New Roman" w:cs="Times New Roman" w:eastAsia="Times New Roman" w:hAnsi="Times New Roman"/>
          <w:sz w:val="18"/>
          <w:szCs w:val="18"/>
          <w:color w:val="auto"/>
        </w:rPr>
        <w:t>in the fourth quarter of 2024. The Company has included the relevant interim disclosures retrospectively for all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in the condensed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Fiscal Quarter Ended March 23, 2025</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5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140" w:type="dxa"/>
            <w:vAlign w:val="bottom"/>
          </w:tcPr>
          <w:p>
            <w:pPr>
              <w:spacing w:after="0"/>
              <w:rPr>
                <w:sz w:val="10"/>
                <w:szCs w:val="10"/>
                <w:color w:val="auto"/>
              </w:rPr>
            </w:pPr>
          </w:p>
        </w:tc>
        <w:tc>
          <w:tcPr>
            <w:tcW w:w="102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Company-owned stores</w:t>
            </w:r>
          </w:p>
        </w:tc>
        <w:tc>
          <w:tcPr>
            <w:tcW w:w="17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Supply chain</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(27,986 )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(27,986 )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7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366,573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669,924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75,559</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1,112,056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 - food</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sales - labor</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5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131,818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72,820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63,779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268,417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76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976</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5,510</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6,486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-959485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-942340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-959485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-942340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-959485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-942340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Fiscal Quarter Ended March 24, 2024</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5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140" w:type="dxa"/>
            <w:vAlign w:val="bottom"/>
          </w:tcPr>
          <w:p>
            <w:pPr>
              <w:spacing w:after="0"/>
              <w:rPr>
                <w:sz w:val="10"/>
                <w:szCs w:val="10"/>
                <w:color w:val="auto"/>
              </w:rPr>
            </w:pPr>
          </w:p>
        </w:tc>
        <w:tc>
          <w:tcPr>
            <w:tcW w:w="102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Company-owned stores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686,642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686,642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(27,428 )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(27,428 )</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353,467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659,214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71,966</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1,084,647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 - food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sales - labor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62,218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136,108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64,576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59,332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260,016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2,597</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2,775</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480" w:right="60" w:hanging="459"/>
        <w:spacing w:after="0" w:line="243"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sales - other, includes delivery, occupancy costs (including rent, telephone and utilities) and insurance expense. Depreciation and amortization is not included in the measurement of Segment Income.</w:t>
      </w:r>
    </w:p>
    <w:p>
      <w:pPr>
        <w:ind w:left="480" w:right="120" w:hanging="459"/>
        <w:spacing w:after="0" w:line="228"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 consists primarily of labor cost (including variable performance-based compensation expense), computer expenses, professional fees, travel and entertainment, rent, insurance and other. Depreciation and amortization, non-cash equity-based compensation expense and gains and losses from the sale of assets are not included in the measurement of Segment Income.</w:t>
      </w:r>
    </w:p>
    <w:p>
      <w:pPr>
        <w:ind w:left="480" w:right="360" w:hanging="459"/>
        <w:spacing w:after="0" w:line="239"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had $8.7 million and $14.2 million of other capital expenditures not attributable to the reportable segments primarily representing capitalized software in the first quarters of 2025 and 2024, respectively.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income before provision for income taxes: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17"/>
        </w:trPr>
        <w:tc>
          <w:tcPr>
            <w:tcW w:w="77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3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March 24,</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268,417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260,016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 other </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(27,313 )</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(18,173 )</w:t>
            </w: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(20,362 )</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(19,869 )</w:t>
            </w: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(10,381 )</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(11,338 )</w:t>
            </w: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(266 )</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(90 )</w:t>
            </w: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Refranchising loss</w:t>
            </w:r>
          </w:p>
        </w:tc>
        <w:tc>
          <w:tcPr>
            <w:tcW w:w="2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210,095</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210,413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(18,699 )</w:t>
            </w: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(45,585 )</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(45,846 )</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192,482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480" w:right="420" w:hanging="459"/>
        <w:spacing w:after="0" w:line="261"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administrative costs that have not been allocated to a reportable segment including labor, computer expenses, professional fees, travel and entertainment, rent, insurance and other corporate administrative costs.</w:t>
      </w:r>
    </w:p>
    <w:p>
      <w:pPr>
        <w:spacing w:after="0" w:line="167"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not regularly provided financial information related to the assets of the reportable segments, and he does not evaluate their performance or allocate resources to them based on assets. Therefore, total assets by reportable segment are not included in the Company’s segment disclosures.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jc w:val="right"/>
              <w:ind w:right="497"/>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tcPr>
          <w:p>
            <w:pPr>
              <w:jc w:val="right"/>
              <w:ind w:right="476"/>
              <w:spacing w:after="0" w:line="118" w:lineRule="exact"/>
              <w:rPr>
                <w:sz w:val="20"/>
                <w:szCs w:val="20"/>
                <w:color w:val="auto"/>
              </w:rPr>
            </w:pPr>
            <w:r>
              <w:rPr>
                <w:rFonts w:ascii="Times New Roman" w:cs="Times New Roman" w:eastAsia="Times New Roman" w:hAnsi="Times New Roman"/>
                <w:sz w:val="13"/>
                <w:szCs w:val="13"/>
                <w:b w:val="1"/>
                <w:bCs w:val="1"/>
                <w:color w:val="auto"/>
              </w:rPr>
              <w:t>March 24,</w:t>
            </w:r>
          </w:p>
        </w:tc>
        <w:tc>
          <w:tcPr>
            <w:tcW w:w="120" w:type="dxa"/>
            <w:vAlign w:val="bottom"/>
          </w:tcPr>
          <w:p>
            <w:pPr>
              <w:spacing w:after="0"/>
              <w:rPr>
                <w:sz w:val="10"/>
                <w:szCs w:val="10"/>
                <w:color w:val="auto"/>
              </w:rPr>
            </w:pPr>
          </w:p>
        </w:tc>
      </w:tr>
      <w:tr>
        <w:trPr>
          <w:trHeight w:val="173"/>
        </w:trPr>
        <w:tc>
          <w:tcPr>
            <w:tcW w:w="7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5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120" w:type="dxa"/>
            <w:vAlign w:val="bottom"/>
            <w:shd w:val="clear" w:color="auto" w:fill="CFF0FC"/>
          </w:tcPr>
          <w:p>
            <w:pPr>
              <w:spacing w:after="0"/>
              <w:rPr>
                <w:sz w:val="21"/>
                <w:szCs w:val="21"/>
                <w:color w:val="auto"/>
              </w:rPr>
            </w:pPr>
          </w:p>
        </w:tc>
      </w:tr>
      <w:tr>
        <w:trPr>
          <w:trHeight w:val="197"/>
        </w:trPr>
        <w:tc>
          <w:tcPr>
            <w:tcW w:w="73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weighted average number of shares</w:t>
            </w:r>
          </w:p>
        </w:tc>
        <w:tc>
          <w:tcPr>
            <w:tcW w:w="3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34,284,052</w:t>
            </w:r>
          </w:p>
        </w:tc>
        <w:tc>
          <w:tcPr>
            <w:tcW w:w="24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34,800,310</w:t>
            </w:r>
          </w:p>
        </w:tc>
        <w:tc>
          <w:tcPr>
            <w:tcW w:w="120" w:type="dxa"/>
            <w:vAlign w:val="bottom"/>
            <w:tcBorders>
              <w:top w:val="single" w:sz="8" w:color="CFF0FC"/>
            </w:tcBorders>
          </w:tcPr>
          <w:p>
            <w:pPr>
              <w:spacing w:after="0"/>
              <w:rPr>
                <w:sz w:val="17"/>
                <w:szCs w:val="17"/>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34,553,820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35,154,232</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-573405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-556895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first quarters ended March 23, 2025 and March 24, 2024 do not include the following because the effect of including these shares would be anti-dilutive or because the performance targets for these awards had not yet been met:</w:t>
      </w:r>
    </w:p>
    <w:p>
      <w:pPr>
        <w:spacing w:after="0" w:line="169" w:lineRule="exact"/>
        <w:rPr>
          <w:sz w:val="20"/>
          <w:szCs w:val="20"/>
          <w:color w:val="auto"/>
        </w:rPr>
      </w:pPr>
    </w:p>
    <w:tbl>
      <w:tblPr>
        <w:tblLayout w:type="fixed"/>
        <w:tblInd w:w="7300" w:type="dxa"/>
        <w:tblCellMar>
          <w:top w:w="0" w:type="dxa"/>
          <w:left w:w="0" w:type="dxa"/>
          <w:bottom w:w="0" w:type="dxa"/>
          <w:right w:w="0" w:type="dxa"/>
        </w:tblCellMar>
      </w:tblPr>
      <w:tr>
        <w:trPr>
          <w:trHeight w:val="173"/>
        </w:trPr>
        <w:tc>
          <w:tcPr>
            <w:tcW w:w="1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17"/>
        </w:trPr>
        <w:tc>
          <w:tcPr>
            <w:tcW w:w="1240" w:type="dxa"/>
            <w:vAlign w:val="bottom"/>
          </w:tcPr>
          <w:p>
            <w:pPr>
              <w:jc w:val="center"/>
              <w:ind w:left="491"/>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2600" w:type="dxa"/>
            <w:vAlign w:val="bottom"/>
          </w:tcPr>
          <w:p>
            <w:pPr>
              <w:jc w:val="center"/>
              <w:ind w:left="710"/>
              <w:spacing w:after="0" w:line="118" w:lineRule="exact"/>
              <w:rPr>
                <w:sz w:val="20"/>
                <w:szCs w:val="20"/>
                <w:color w:val="auto"/>
              </w:rPr>
            </w:pPr>
            <w:r>
              <w:rPr>
                <w:rFonts w:ascii="Times New Roman" w:cs="Times New Roman" w:eastAsia="Times New Roman" w:hAnsi="Times New Roman"/>
                <w:sz w:val="13"/>
                <w:szCs w:val="13"/>
                <w:b w:val="1"/>
                <w:bCs w:val="1"/>
                <w:color w:val="auto"/>
              </w:rPr>
              <w:t>March 24,</w:t>
            </w:r>
          </w:p>
        </w:tc>
      </w:tr>
      <w:tr>
        <w:trPr>
          <w:trHeight w:val="188"/>
        </w:trPr>
        <w:tc>
          <w:tcPr>
            <w:tcW w:w="12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0" w:type="dxa"/>
            <w:vAlign w:val="bottom"/>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Stockholders’ Deficit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first quarter of 2025.</w:t>
      </w:r>
    </w:p>
    <w:p>
      <w:pPr>
        <w:spacing w:after="0" w:line="200" w:lineRule="exact"/>
        <w:rPr>
          <w:sz w:val="20"/>
          <w:szCs w:val="20"/>
          <w:color w:val="auto"/>
        </w:rPr>
      </w:pPr>
    </w:p>
    <w:p>
      <w:pPr>
        <w:spacing w:after="0" w:line="3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7620</wp:posOffset>
            </wp:positionV>
            <wp:extent cx="14916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ind w:left="5160"/>
        <w:spacing w:after="0"/>
        <w:tabs>
          <w:tab w:leader="none" w:pos="640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1120" w:type="dxa"/>
        <w:tblCellMar>
          <w:top w:w="0" w:type="dxa"/>
          <w:left w:w="0" w:type="dxa"/>
          <w:bottom w:w="0" w:type="dxa"/>
          <w:right w:w="0" w:type="dxa"/>
        </w:tblCellMar>
      </w:tblPr>
      <w:tr>
        <w:trPr>
          <w:trHeight w:val="216"/>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91,269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87,419</w:t>
            </w:r>
          </w:p>
        </w:tc>
      </w:tr>
      <w:tr>
        <w:trPr>
          <w:trHeight w:val="234"/>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51,587</w:t>
            </w:r>
          </w:p>
        </w:tc>
      </w:tr>
      <w:tr>
        <w:trPr>
          <w:trHeight w:val="432"/>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41,957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tcPr>
          <w:p>
            <w:pPr>
              <w:spacing w:after="0"/>
              <w:rPr>
                <w:sz w:val="13"/>
                <w:szCs w:val="13"/>
                <w:color w:val="auto"/>
              </w:rPr>
            </w:pPr>
          </w:p>
        </w:tc>
        <w:tc>
          <w:tcPr>
            <w:tcW w:w="13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98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9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240" w:space="240"/>
            <w:col w:w="376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7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Balance at December 29, 2024</w:t>
            </w: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34,281,927</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343</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1,272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(3,956,474 )</w:t>
            </w:r>
          </w:p>
        </w:tc>
        <w:tc>
          <w:tcPr>
            <w:tcW w:w="460" w:type="dxa"/>
            <w:vAlign w:val="bottom"/>
            <w:shd w:val="clear" w:color="auto" w:fill="CFF0FC"/>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(7,432 )</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($1.74 per share)</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(59,800 )</w:t>
            </w:r>
          </w:p>
        </w:tc>
        <w:tc>
          <w:tcPr>
            <w:tcW w:w="4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(18,630 )</w:t>
            </w:r>
          </w:p>
        </w:tc>
        <w:tc>
          <w:tcPr>
            <w:tcW w:w="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(8,158 )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(115,280 )</w:t>
            </w:r>
          </w:p>
        </w:tc>
        <w:tc>
          <w:tcPr>
            <w:tcW w:w="3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(10,132 )</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(40,210 )</w:t>
            </w:r>
          </w:p>
        </w:tc>
        <w:tc>
          <w:tcPr>
            <w:tcW w:w="4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23,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34,230,813</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(3,906,833 )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(7,089 )</w:t>
            </w: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-170815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Subsequent to the end of the first quarter of 2025, on April 23, 2025, the Company’s Board of Directors declared a $1.74 per share quarterly dividend on its outstanding common stock for shareholders of record as of June 13, 2025 to be paid on June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first quarter of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580" w:type="dxa"/>
            <w:vAlign w:val="bottom"/>
            <w:gridSpan w:val="5"/>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840" w:type="dxa"/>
            <w:vAlign w:val="bottom"/>
          </w:tcPr>
          <w:p>
            <w:pPr>
              <w:spacing w:after="0"/>
              <w:rPr>
                <w:sz w:val="13"/>
                <w:szCs w:val="13"/>
                <w:color w:val="auto"/>
              </w:rPr>
            </w:pPr>
          </w:p>
        </w:tc>
        <w:tc>
          <w:tcPr>
            <w:tcW w:w="25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34,726,182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(4,069,648 )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(3,867 )</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($1.51 per share)</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(52,954 )</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(15,213 )</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(6,700 )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(56,372 )</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(17,021 )</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(8,099 )</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(1,125 )</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24,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34,801,757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(4,004,877 )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(4,992 )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8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225"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17"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The Company accounts for its investment in DPC Dash as a trading security and records it at fair value at the end of each reporting period, with gains and losses recorded in other income or expense in its condensed consolidated statements of income. As of March 23, 2025, the fair value of the Company’s investment in 8,101,019 DPC Dash ordinary shares is based on the active exchange quoted price for the equity security of HK$102.40 per share (HK: 1405). The Company recorded a positive adjustment to the carrying amount of its investment in DPC Dash of $24.0 million in the first quarter of 2025, with the gain recorded in other income in its condensed consolidated statements of income. The Company recorded a negative adjustment to the carrying amount of its investment in DPC Dash of $18.7 million in the first quarter of 2024 with the loss recorded in other expense in its condensed consolidated statements of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March 23, 2025 and December 29,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At March 23, 2025</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0"/>
                <w:szCs w:val="10"/>
                <w:color w:val="auto"/>
              </w:rPr>
            </w:pPr>
          </w:p>
        </w:tc>
        <w:tc>
          <w:tcPr>
            <w:tcW w:w="10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253,286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253,286</w:t>
            </w:r>
          </w:p>
        </w:tc>
        <w:tc>
          <w:tcPr>
            <w:tcW w:w="128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116,519</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22,387</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51,707</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106,726</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At December 29, 2024</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0"/>
                <w:szCs w:val="10"/>
                <w:color w:val="auto"/>
              </w:rPr>
            </w:pPr>
          </w:p>
        </w:tc>
        <w:tc>
          <w:tcPr>
            <w:tcW w:w="10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127,074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127,074</w:t>
            </w:r>
          </w:p>
        </w:tc>
        <w:tc>
          <w:tcPr>
            <w:tcW w:w="128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140,669</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2015, 2017, 2018, 2019 and 2021 notes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23, 2025</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142"/>
        </w:trPr>
        <w:tc>
          <w:tcPr>
            <w:tcW w:w="4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09"/>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739,032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739,032</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915,560</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400,674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399,869</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370,662</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599,400</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750,576</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861,635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850,938</w:t>
            </w:r>
          </w:p>
        </w:tc>
        <w:tc>
          <w:tcPr>
            <w:tcW w:w="100" w:type="dxa"/>
            <w:vAlign w:val="bottom"/>
            <w:shd w:val="clear" w:color="auto" w:fill="CFF0FC"/>
          </w:tcPr>
          <w:p>
            <w:pPr>
              <w:spacing w:after="0"/>
              <w:rPr>
                <w:sz w:val="18"/>
                <w:szCs w:val="18"/>
                <w:color w:val="auto"/>
              </w:rPr>
            </w:pPr>
          </w:p>
        </w:tc>
      </w:tr>
    </w:tbl>
    <w:p>
      <w:pPr>
        <w:spacing w:after="0" w:line="103" w:lineRule="exact"/>
        <w:rPr>
          <w:sz w:val="20"/>
          <w:szCs w:val="20"/>
          <w:color w:val="auto"/>
        </w:rPr>
      </w:pPr>
    </w:p>
    <w:p>
      <w:pPr>
        <w:ind w:left="5540" w:right="1580" w:hanging="5270"/>
        <w:spacing w:after="0" w:line="532" w:lineRule="auto"/>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March 23, 2025 or December 29, 2024.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6. Leverage Ratio and Debt Classification</w:t>
      </w:r>
    </w:p>
    <w:p>
      <w:pPr>
        <w:spacing w:after="0" w:line="11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accordance with the Company’s debt agreements, the payment of principal on the outstanding senior notes may be suspended if the Holdco Leverage Ratio is less than or equal to 5.0x total debt to Consolidated Adjusted EBITDA, each as defined in the indenture governing the securitized debt, and no catch-up provisions are applicable. As of the end of the first quarter of 2025 and the end of the fourth quarter of 2024, the Company had a Holdco Leverage Ratio of less than 5.0x, and accordingly, the outstanding principal amounts of the Company’s 2021 Notes, 2019 Notes, 2018 9.25-Year Notes and 2017 Ten-Year Notes (refer to Note 5, above) have been classified as long-term debt in the condensed consolidated balance sheet as of March 23, 2025 and December 29, 2024.</w:t>
      </w:r>
    </w:p>
    <w:p>
      <w:pPr>
        <w:spacing w:after="0" w:line="7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The anticipated repayment date for the 2018 7.5-Year Notes and the 2015 Ten-Year Notes (refer to Note 5, above) is October 2025 and accordingly, the outstanding principal amounts for these notes have been classified as current portion of long-term debt in the condensed consolidated balance sheet as of March 23, 2025 and December 29, 2024. The Company expects to refinance the 2018 7.5-Year Notes and the 2015 Ten-Year Notes prior to the anticipated repayment date. If the Company does not refinance the 2018 7.5-Year Notes and the 2015 Ten-Year Notes prior to the anticipated repayment date, additional interest of at least 5% per annum will accrue and the Company’s cash flows other than technology fees and a weekly management fee to cover certain general and administrative expenses would be directed to the repayment of the securitized debt.</w:t>
      </w:r>
    </w:p>
    <w:p>
      <w:pPr>
        <w:spacing w:after="0" w:line="147" w:lineRule="exact"/>
        <w:rPr>
          <w:sz w:val="20"/>
          <w:szCs w:val="20"/>
          <w:color w:val="auto"/>
        </w:rPr>
      </w:pPr>
    </w:p>
    <w:p>
      <w:pPr>
        <w:jc w:val="right"/>
        <w:ind w:left="300" w:right="9540" w:hanging="292"/>
        <w:spacing w:after="0" w:line="414" w:lineRule="auto"/>
        <w:tabs>
          <w:tab w:leader="none" w:pos="19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left="300" w:right="240" w:firstLine="282"/>
        <w:spacing w:after="0" w:line="261"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$5.0 million and $5.1 million were included in current other accrued liabilities as of March 23, 2025 and December 29, 2024, respectively. Deferred franchise fees and deferred development fees of $15.0 million and $15.8 million were included in long-term other accrued liabilities as of March 23, 2025 and December 29, 2024, respectively.</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first quarters of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17"/>
        </w:trPr>
        <w:tc>
          <w:tcPr>
            <w:tcW w:w="77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77"/>
              <w:spacing w:after="0" w:line="118" w:lineRule="exact"/>
              <w:rPr>
                <w:sz w:val="20"/>
                <w:szCs w:val="20"/>
                <w:color w:val="auto"/>
              </w:rPr>
            </w:pPr>
            <w:r>
              <w:rPr>
                <w:rFonts w:ascii="Times New Roman" w:cs="Times New Roman" w:eastAsia="Times New Roman" w:hAnsi="Times New Roman"/>
                <w:sz w:val="13"/>
                <w:szCs w:val="13"/>
                <w:b w:val="1"/>
                <w:bCs w:val="1"/>
                <w:color w:val="auto"/>
              </w:rPr>
              <w:t>March 24,</w:t>
            </w:r>
          </w:p>
        </w:tc>
        <w:tc>
          <w:tcPr>
            <w:tcW w:w="120" w:type="dxa"/>
            <w:vAlign w:val="bottom"/>
          </w:tcPr>
          <w:p>
            <w:pPr>
              <w:spacing w:after="0"/>
              <w:rPr>
                <w:sz w:val="10"/>
                <w:szCs w:val="10"/>
                <w:color w:val="auto"/>
              </w:rPr>
            </w:pP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(1,668 )</w:t>
            </w: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(1,364 )</w:t>
            </w: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31" w:lineRule="exact"/>
        <w:rPr>
          <w:sz w:val="20"/>
          <w:szCs w:val="20"/>
          <w:color w:val="auto"/>
        </w:rPr>
      </w:pPr>
    </w:p>
    <w:p>
      <w:pPr>
        <w:jc w:val="both"/>
        <w:ind w:left="300" w:right="100" w:firstLine="287"/>
        <w:spacing w:after="0" w:line="266" w:lineRule="auto"/>
        <w:rPr>
          <w:sz w:val="20"/>
          <w:szCs w:val="20"/>
          <w:color w:val="auto"/>
        </w:rPr>
      </w:pPr>
      <w:r>
        <w:rPr>
          <w:rFonts w:ascii="Times New Roman" w:cs="Times New Roman" w:eastAsia="Times New Roman" w:hAnsi="Times New Roman"/>
          <w:sz w:val="18"/>
          <w:szCs w:val="18"/>
          <w:color w:val="auto"/>
        </w:rPr>
        <w:t>As of March 23, 2025, advertising fund assets, restricted of $99.6 million consisted of $72.2 million of cash and cash equivalents, $16.9 million of accounts receivable and $10.5 million of prepaid expenses. As of March 23, 2025, advertising fund cash and cash equivalents included $2.2 million of cash contributed from U.S. Company-owned stores that had not yet been expended.</w:t>
      </w:r>
    </w:p>
    <w:p>
      <w:pPr>
        <w:spacing w:after="0" w:line="81" w:lineRule="exact"/>
        <w:rPr>
          <w:sz w:val="20"/>
          <w:szCs w:val="20"/>
          <w:color w:val="auto"/>
        </w:rPr>
      </w:pPr>
    </w:p>
    <w:p>
      <w:pPr>
        <w:ind w:left="300" w:right="300" w:firstLine="284"/>
        <w:spacing w:after="0" w:line="257" w:lineRule="auto"/>
        <w:rPr>
          <w:sz w:val="20"/>
          <w:szCs w:val="20"/>
          <w:color w:val="auto"/>
        </w:rPr>
      </w:pPr>
      <w:r>
        <w:rPr>
          <w:rFonts w:ascii="Times New Roman" w:cs="Times New Roman" w:eastAsia="Times New Roman" w:hAnsi="Times New Roman"/>
          <w:sz w:val="18"/>
          <w:szCs w:val="18"/>
          <w:color w:val="auto"/>
        </w:rPr>
        <w:t>As of December 29, 2024, advertising fund assets, restricted of $103.4 million consisted of $80.9 million of cash and cash equivalents, $14.3 million of accounts receivable and $8.2 million of prepaid expenses. As of December 29, 2024, advertising fund cash and cash equivalents included $1.8 million of cash contributed from U.S. Company-owned stores that had not yet been expended.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17"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2045. Rent expense totaled $21.8 million and $21.2 million in the first quarter of 2025 and the first quarter of 2024,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$2.0 million and $1.7 million in the first quarter of 2025 and the first quarter of 2024, respectively. Variable rent expense and rent expense for other short-term leases were immaterial in both the first quarter of 2025 and 2024.</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the first quarters of 2025 and 2024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560" w:type="dxa"/>
            <w:vAlign w:val="bottom"/>
          </w:tcPr>
          <w:p>
            <w:pPr>
              <w:spacing w:after="0"/>
              <w:rPr>
                <w:sz w:val="10"/>
                <w:szCs w:val="10"/>
                <w:color w:val="auto"/>
              </w:rPr>
            </w:pPr>
          </w:p>
        </w:tc>
        <w:tc>
          <w:tcPr>
            <w:tcW w:w="15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March 24,</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656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8"/>
                <w:szCs w:val="18"/>
                <w:color w:val="auto"/>
              </w:rPr>
            </w:pPr>
          </w:p>
        </w:tc>
      </w:tr>
      <w:tr>
        <w:trPr>
          <w:trHeight w:val="250"/>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4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18"/>
        </w:trPr>
        <w:tc>
          <w:tcPr>
            <w:tcW w:w="8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first quarters of 2025 and 2024 were as follows: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6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March 23,</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24,</w:t>
            </w:r>
          </w:p>
        </w:tc>
      </w:tr>
      <w:tr>
        <w:trPr>
          <w:trHeight w:val="185"/>
        </w:trPr>
        <w:tc>
          <w:tcPr>
            <w:tcW w:w="6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340" w:type="dxa"/>
            <w:vAlign w:val="bottom"/>
          </w:tcPr>
          <w:p>
            <w:pPr>
              <w:spacing w:after="0"/>
              <w:rPr>
                <w:sz w:val="18"/>
                <w:szCs w:val="18"/>
                <w:color w:val="auto"/>
              </w:rPr>
            </w:pPr>
          </w:p>
        </w:tc>
        <w:tc>
          <w:tcPr>
            <w:tcW w:w="900" w:type="dxa"/>
            <w:vAlign w:val="bottom"/>
          </w:tcPr>
          <w:p>
            <w:pPr>
              <w:jc w:val="right"/>
              <w:ind w:right="72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r>
      <w:tr>
        <w:trPr>
          <w:trHeight w:val="198"/>
        </w:trPr>
        <w:tc>
          <w:tcPr>
            <w:tcW w:w="65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00" w:type="dxa"/>
            <w:vAlign w:val="bottom"/>
            <w:shd w:val="clear" w:color="auto" w:fill="CFF0FC"/>
          </w:tcPr>
          <w:p>
            <w:pPr>
              <w:spacing w:after="0"/>
              <w:rPr>
                <w:sz w:val="18"/>
                <w:szCs w:val="18"/>
                <w:color w:val="auto"/>
              </w:rPr>
            </w:pPr>
          </w:p>
        </w:tc>
      </w:tr>
      <w:tr>
        <w:trPr>
          <w:trHeight w:val="234"/>
        </w:trPr>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-2256790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-2239645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-2256790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-2239645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As of March 23, 2025, the Company had additional leases for certain supply chain real estate and certain supply chain vehicles that had not yet commenced with estimated future minimum rental commitments of $166.4 million. These leases are expected to commence in 2025 and 2026 with lease terms of up to 20 years. These undiscounted amounts will be included in the Company’s condensed consolidated balance sheet at the respective commencement dates.</w:t>
      </w:r>
    </w:p>
    <w:p>
      <w:pPr>
        <w:spacing w:after="0" w:line="72" w:lineRule="exact"/>
        <w:rPr>
          <w:sz w:val="20"/>
          <w:szCs w:val="20"/>
          <w:color w:val="auto"/>
        </w:rPr>
      </w:pPr>
    </w:p>
    <w:p>
      <w:pPr>
        <w:jc w:val="both"/>
        <w:ind w:right="300" w:firstLine="255"/>
        <w:spacing w:after="0" w:line="266"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$11.5 million and $12.8 million as of March 23, 2025 and December 29, 2024, respectively. The Company does not believe these arrangements have or are likely to have a material effect on its results of operations, financial condition, revenues, expenses or liquidity.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Supplemental Disclosures of Cash Flow Information</w:t>
      </w:r>
    </w:p>
    <w:p>
      <w:pPr>
        <w:spacing w:after="0" w:line="131" w:lineRule="exact"/>
        <w:rPr>
          <w:sz w:val="20"/>
          <w:szCs w:val="20"/>
          <w:color w:val="auto"/>
        </w:rPr>
      </w:pPr>
    </w:p>
    <w:p>
      <w:pPr>
        <w:jc w:val="both"/>
        <w:ind w:right="560" w:firstLine="255"/>
        <w:spacing w:after="0" w:line="266"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$3.6 million at March 23, 2025 and $3.1 million at December 29, 2024. The Company also had $3.4 million and $3.0 million in non-cash financing activity related to accruals for excise taxes on share repurchases as of March 23, 2025 and December 29, 2024,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10. Company-owned Store Transactions</w:t>
      </w:r>
    </w:p>
    <w:p>
      <w:pPr>
        <w:spacing w:after="0" w:line="121" w:lineRule="exact"/>
        <w:rPr>
          <w:sz w:val="20"/>
          <w:szCs w:val="20"/>
          <w:color w:val="auto"/>
        </w:rPr>
      </w:pPr>
    </w:p>
    <w:p>
      <w:pPr>
        <w:jc w:val="both"/>
        <w:ind w:right="40" w:firstLine="255"/>
        <w:spacing w:after="0" w:line="265" w:lineRule="auto"/>
        <w:rPr>
          <w:sz w:val="20"/>
          <w:szCs w:val="20"/>
          <w:color w:val="auto"/>
        </w:rPr>
      </w:pPr>
      <w:r>
        <w:rPr>
          <w:rFonts w:ascii="Times New Roman" w:cs="Times New Roman" w:eastAsia="Times New Roman" w:hAnsi="Times New Roman"/>
          <w:sz w:val="18"/>
          <w:szCs w:val="18"/>
          <w:color w:val="auto"/>
        </w:rPr>
        <w:t>During the first quarter of 2025, the Company purchased two U.S. franchised stores from one of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former U.S. franchisees. The Company recorded $0.3 million of intangibles, $0.1 million of equipment and leasehold improvements and $0.5 million of goodwill, with a corresponding liability to the seller of $0.9 million.</w:t>
      </w:r>
    </w:p>
    <w:p>
      <w:pPr>
        <w:spacing w:after="0" w:line="82" w:lineRule="exact"/>
        <w:rPr>
          <w:sz w:val="20"/>
          <w:szCs w:val="20"/>
          <w:color w:val="auto"/>
        </w:rPr>
      </w:pPr>
    </w:p>
    <w:p>
      <w:pPr>
        <w:ind w:right="420" w:firstLine="255"/>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condensed consolidated statements of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New Accounting Pronouncements</w:t>
      </w:r>
    </w:p>
    <w:p>
      <w:pPr>
        <w:spacing w:after="0" w:line="117"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and adopted the following accounting standard.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119" w:lineRule="exact"/>
        <w:rPr>
          <w:sz w:val="20"/>
          <w:szCs w:val="20"/>
          <w:color w:val="auto"/>
        </w:rPr>
      </w:pPr>
    </w:p>
    <w:p>
      <w:pPr>
        <w:ind w:left="460" w:right="40" w:firstLine="25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which requires disclosure on an annual and interim basis, significant segment expenses that are regularly provided to the chief operating decision maker and included within the reported measure of segment profit or loss. In addition, the ASU requires disclosure of other segment expenses by reportable segment and a description of their composition to permit the reconciliation between segment revenue, significant segment expenses and the reported segment measure of profit or loss. The ASU also requires disclosure of the title and position of the chief operating decision maker.</w:t>
      </w:r>
    </w:p>
    <w:p>
      <w:pPr>
        <w:spacing w:after="0" w:line="75" w:lineRule="exact"/>
        <w:rPr>
          <w:sz w:val="20"/>
          <w:szCs w:val="20"/>
          <w:color w:val="auto"/>
        </w:rPr>
      </w:pPr>
    </w:p>
    <w:p>
      <w:pPr>
        <w:ind w:left="460" w:right="20" w:firstLine="254"/>
        <w:spacing w:after="0" w:line="282" w:lineRule="auto"/>
        <w:rPr>
          <w:sz w:val="20"/>
          <w:szCs w:val="20"/>
          <w:color w:val="auto"/>
        </w:rPr>
      </w:pPr>
      <w:r>
        <w:rPr>
          <w:rFonts w:ascii="Times New Roman" w:cs="Times New Roman" w:eastAsia="Times New Roman" w:hAnsi="Times New Roman"/>
          <w:sz w:val="18"/>
          <w:szCs w:val="18"/>
          <w:color w:val="auto"/>
        </w:rPr>
        <w:t>On December 29, 2024, the end of the 2024 fiscal year, the Company adopted ASU 2023-07. The relevant interim disclosures are included within Note 2, Segment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98"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issued by the FASB. The Company has not yet adopted the following accounting standards: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31" w:lineRule="exact"/>
        <w:rPr>
          <w:sz w:val="20"/>
          <w:szCs w:val="20"/>
          <w:color w:val="auto"/>
        </w:rPr>
      </w:pPr>
    </w:p>
    <w:p>
      <w:pPr>
        <w:ind w:left="520" w:firstLine="25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which requires disclosure on an annual basis, a tabular reconciliation, including both amount and percentage of specific categories of the effective tax rate reconciliation, including state and local income taxes (net of Federal taxes), foreign taxes, effects of changes in tax laws and regulations, effects of cross-border tax laws, tax credits, changes in valuation allowances, nontaxable and nondeductible items and changes in unrecognized tax benefits. Additional disclosures are required for certain items exceeding five percent of income from continuing operations multiplied by the statutory income tax rate. The standard also requires disclosure of income taxes paid between Federal, state and foreign jurisdictions, including further disaggregation of those payments exceeding five percent of the total income taxes paid.</w:t>
      </w:r>
    </w:p>
    <w:p>
      <w:pPr>
        <w:spacing w:after="0" w:line="77" w:lineRule="exact"/>
        <w:rPr>
          <w:sz w:val="20"/>
          <w:szCs w:val="20"/>
          <w:color w:val="auto"/>
        </w:rPr>
      </w:pPr>
    </w:p>
    <w:p>
      <w:pPr>
        <w:ind w:left="520" w:right="620" w:firstLine="254"/>
        <w:spacing w:after="0" w:line="282" w:lineRule="auto"/>
        <w:rPr>
          <w:sz w:val="20"/>
          <w:szCs w:val="20"/>
          <w:color w:val="auto"/>
        </w:rPr>
      </w:pPr>
      <w:r>
        <w:rPr>
          <w:rFonts w:ascii="Times New Roman" w:cs="Times New Roman" w:eastAsia="Times New Roman" w:hAnsi="Times New Roman"/>
          <w:sz w:val="18"/>
          <w:szCs w:val="18"/>
          <w:color w:val="auto"/>
        </w:rPr>
        <w:t>ASU 2023-09 is effective for fiscal years beginning after December 15, 2024, and early adoption is permitted. The Company is currently evaluating the impact of this accounting standard on its condensed consolidated financial statements.</w:t>
      </w:r>
    </w:p>
    <w:p>
      <w:pPr>
        <w:spacing w:after="0" w:line="119" w:lineRule="exact"/>
        <w:rPr>
          <w:sz w:val="20"/>
          <w:szCs w:val="20"/>
          <w:color w:val="auto"/>
        </w:rPr>
      </w:pPr>
    </w:p>
    <w:p>
      <w:pPr>
        <w:ind w:left="460" w:right="240"/>
        <w:spacing w:after="0" w:line="284" w:lineRule="auto"/>
        <w:rPr>
          <w:sz w:val="20"/>
          <w:szCs w:val="20"/>
          <w:color w:val="auto"/>
        </w:rPr>
      </w:pPr>
      <w:r>
        <w:rPr>
          <w:rFonts w:ascii="Times New Roman" w:cs="Times New Roman" w:eastAsia="Times New Roman" w:hAnsi="Times New Roman"/>
          <w:sz w:val="18"/>
          <w:szCs w:val="18"/>
          <w:i w:val="1"/>
          <w:iCs w:val="1"/>
          <w:color w:val="auto"/>
        </w:rPr>
        <w:t>ASU 2024-03, Disaggregation of Income Statement Expenses (Subtopic 220-40): Income Statement—Reporting Comprehensive Income—Expense Disaggregation Disclosures</w:t>
      </w:r>
    </w:p>
    <w:p>
      <w:pPr>
        <w:spacing w:after="0" w:line="64" w:lineRule="exact"/>
        <w:rPr>
          <w:sz w:val="20"/>
          <w:szCs w:val="20"/>
          <w:color w:val="auto"/>
        </w:rPr>
      </w:pPr>
    </w:p>
    <w:p>
      <w:pPr>
        <w:ind w:left="520" w:right="40" w:firstLine="25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Disaggregation of Income Statement Expenses (Subtopic 220-40):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w:t>
      </w:r>
      <w:r>
        <w:rPr>
          <w:rFonts w:ascii="Times New Roman" w:cs="Times New Roman" w:eastAsia="Times New Roman" w:hAnsi="Times New Roman"/>
          <w:sz w:val="18"/>
          <w:szCs w:val="18"/>
          <w:color w:val="auto"/>
        </w:rPr>
        <w:t>, which requires disclosure on an interim and annual basis, a tabular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disclosure of </w:t>
      </w:r>
      <w:r>
        <w:rPr>
          <w:rFonts w:ascii="Times New Roman" w:cs="Times New Roman" w:eastAsia="Times New Roman" w:hAnsi="Times New Roman"/>
          <w:sz w:val="19"/>
          <w:szCs w:val="19"/>
          <w:color w:val="auto"/>
        </w:rPr>
        <w:t>t</w:t>
      </w:r>
      <w:r>
        <w:rPr>
          <w:rFonts w:ascii="Times New Roman" w:cs="Times New Roman" w:eastAsia="Times New Roman" w:hAnsi="Times New Roman"/>
          <w:sz w:val="18"/>
          <w:szCs w:val="18"/>
          <w:color w:val="auto"/>
        </w:rPr>
        <w: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Include certain amounts that are already required to be disclosed under current generally accepted accounting principles (GAAP) in the same disclosure as the other disaggregation requirements. Disclosure of a qualitative description of the amounts remaining in relevant expense captions that are not separately disaggregated quantitatively. Disclosure of the total amount of selling expenses and, in annual reporting periods, an entity’s definition of selling expenses. The standard can be applied prospectively or retrospectively.</w:t>
      </w:r>
    </w:p>
    <w:p>
      <w:pPr>
        <w:spacing w:after="0" w:line="80" w:lineRule="exact"/>
        <w:rPr>
          <w:sz w:val="20"/>
          <w:szCs w:val="20"/>
          <w:color w:val="auto"/>
        </w:rPr>
      </w:pPr>
    </w:p>
    <w:p>
      <w:pPr>
        <w:ind w:left="520" w:right="60" w:firstLine="254"/>
        <w:spacing w:after="0" w:line="266" w:lineRule="auto"/>
        <w:rPr>
          <w:sz w:val="20"/>
          <w:szCs w:val="20"/>
          <w:color w:val="auto"/>
        </w:rPr>
      </w:pPr>
      <w:r>
        <w:rPr>
          <w:rFonts w:ascii="Times New Roman" w:cs="Times New Roman" w:eastAsia="Times New Roman" w:hAnsi="Times New Roman"/>
          <w:sz w:val="18"/>
          <w:szCs w:val="18"/>
          <w:color w:val="auto"/>
        </w:rPr>
        <w:t>ASU 2024-03 is effective for fiscal years beginning after December 15, 2026 and interim reporting periods within annual reporting periods beginning after December 15, 2027, and early adoption is permitted. The Company is currently evaluating the impact of this accounting standard on its condensed consolidated financial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tabular amounts in millions, except percentages and store data)</w:t>
      </w:r>
    </w:p>
    <w:p>
      <w:pPr>
        <w:spacing w:after="0" w:line="9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2025 and 2024 first quarters referenced herein represent the twelve-week periods ended March 23, 2025 and March 24, 2024, respectively. In this section, we discuss the results of our operations for the first quarter of 2025 as compared to the first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40" w:firstLine="281"/>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21,300 locations in over 90 markets around the world as of March 23, 2025,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94" w:lineRule="exact"/>
        <w:rPr>
          <w:sz w:val="20"/>
          <w:szCs w:val="20"/>
          <w:color w:val="auto"/>
        </w:rPr>
      </w:pPr>
    </w:p>
    <w:p>
      <w:pPr>
        <w:jc w:val="both"/>
        <w:ind w:right="80" w:firstLine="281"/>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March 23, 2025.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jc w:val="both"/>
        <w:ind w:right="200" w:firstLine="281"/>
        <w:spacing w:after="0" w:line="266"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We also have a global agreement with Uber Technologies, Inc. to allow customers to order Domino’s products through their marketplace. Our hand-tossed dough is made fresh and distributed to stores around the world by us and our franchisees.</w:t>
      </w:r>
    </w:p>
    <w:p>
      <w:pPr>
        <w:spacing w:after="0" w:line="81" w:lineRule="exact"/>
        <w:rPr>
          <w:sz w:val="20"/>
          <w:szCs w:val="20"/>
          <w:color w:val="auto"/>
        </w:rPr>
      </w:pPr>
    </w:p>
    <w:p>
      <w:pPr>
        <w:ind w:right="80" w:firstLine="281"/>
        <w:spacing w:after="0" w:line="249" w:lineRule="auto"/>
        <w:rPr>
          <w:sz w:val="20"/>
          <w:szCs w:val="20"/>
          <w:color w:val="auto"/>
        </w:rPr>
      </w:pPr>
      <w:r>
        <w:rPr>
          <w:rFonts w:ascii="Times New Roman" w:cs="Times New Roman" w:eastAsia="Times New Roman" w:hAnsi="Times New Roman"/>
          <w:sz w:val="17"/>
          <w:szCs w:val="17"/>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marks. We also generate revenues and earnings by selling food and, to a lesser extent,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98" w:lineRule="exact"/>
        <w:rPr>
          <w:sz w:val="20"/>
          <w:szCs w:val="20"/>
          <w:color w:val="auto"/>
        </w:rPr>
      </w:pPr>
    </w:p>
    <w:p>
      <w:pPr>
        <w:ind w:right="160" w:firstLine="281"/>
        <w:spacing w:after="0" w:line="256"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through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spacing w:after="0" w:line="93" w:lineRule="exact"/>
        <w:rPr>
          <w:sz w:val="20"/>
          <w:szCs w:val="20"/>
          <w:color w:val="auto"/>
        </w:rPr>
      </w:pPr>
    </w:p>
    <w:p>
      <w:pPr>
        <w:ind w:right="140" w:firstLine="281"/>
        <w:spacing w:after="0" w:line="266" w:lineRule="auto"/>
        <w:rPr>
          <w:sz w:val="20"/>
          <w:szCs w:val="20"/>
          <w:color w:val="auto"/>
        </w:rPr>
      </w:pPr>
      <w:r>
        <w:rPr>
          <w:rFonts w:ascii="Times New Roman" w:cs="Times New Roman" w:eastAsia="Times New Roman" w:hAnsi="Times New Roman"/>
          <w:sz w:val="18"/>
          <w:szCs w:val="18"/>
          <w:color w:val="auto"/>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spacing w:after="0" w:line="79" w:lineRule="exact"/>
        <w:rPr>
          <w:sz w:val="20"/>
          <w:szCs w:val="20"/>
          <w:color w:val="auto"/>
        </w:rPr>
      </w:pPr>
    </w:p>
    <w:p>
      <w:pPr>
        <w:ind w:left="26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showcase the breadth of our menu, while highlighting the deliciousness of our food through our innovative marketing promotions.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our customers.</w:t>
      </w:r>
    </w:p>
    <w:p>
      <w:pPr>
        <w:spacing w:after="0" w:line="131" w:lineRule="exact"/>
        <w:rPr>
          <w:sz w:val="20"/>
          <w:szCs w:val="20"/>
          <w:color w:val="auto"/>
        </w:rPr>
      </w:pPr>
    </w:p>
    <w:p>
      <w:pPr>
        <w:ind w:left="260"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 that is innovative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memorable.</w:t>
      </w:r>
    </w:p>
    <w:p>
      <w:pPr>
        <w:spacing w:after="0" w:line="64"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First Quarter of 2025 Highlights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discussed above, our Hungry for MORE strategy aims to generate MORE sales, MORE stores and MORE profits.</w:t>
      </w:r>
    </w:p>
    <w:p>
      <w:pPr>
        <w:spacing w:after="0" w:line="225" w:lineRule="exact"/>
        <w:rPr>
          <w:sz w:val="20"/>
          <w:szCs w:val="20"/>
          <w:color w:val="auto"/>
        </w:rPr>
      </w:pPr>
    </w:p>
    <w:p>
      <w:pPr>
        <w:ind w:left="760" w:right="20" w:hanging="378"/>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4.7% as compared to the first quarter of 2024. U.S. retail sales increased 1.3% and international retail sales, excluding foreign currency impact, increased 8.2% as compared to the first quarter of 2024. Same store sales declined 0.5% in our U.S. stores and increased 3.7%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net store decline of 8, including 17 net store openings in the U.S. and 25 net store closures internationally.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0.2%.</w:t>
      </w:r>
    </w:p>
    <w:p>
      <w:pPr>
        <w:spacing w:after="0" w:line="207"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Excluding the negative impact of foreign currency, Domino’s experienced global retail sales growth during the first quarter of 2025, driven by net store growth during the trailing four quarters in both our U.S. and international businesses, as well as same store sales growth in our international business.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229"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2024</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retail sales:</w:t>
            </w: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stores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International stores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-156845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229" w:lineRule="exact"/>
        <w:rPr>
          <w:sz w:val="20"/>
          <w:szCs w:val="20"/>
          <w:color w:val="auto"/>
        </w:rPr>
      </w:pPr>
    </w:p>
    <w:p>
      <w:pPr>
        <w:jc w:val="both"/>
        <w:ind w:right="300" w:firstLine="255"/>
        <w:spacing w:after="0" w:line="26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7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3"/>
                <w:szCs w:val="13"/>
                <w:color w:val="auto"/>
              </w:rPr>
            </w:pP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48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20" w:type="dxa"/>
            <w:vAlign w:val="bottom"/>
          </w:tcPr>
          <w:p>
            <w:pPr>
              <w:spacing w:after="0"/>
              <w:rPr>
                <w:sz w:val="15"/>
                <w:szCs w:val="15"/>
                <w:color w:val="auto"/>
              </w:rPr>
            </w:pPr>
          </w:p>
        </w:tc>
      </w:tr>
      <w:tr>
        <w:trPr>
          <w:trHeight w:val="21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4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+ 7.8%</w:t>
            </w:r>
          </w:p>
        </w:tc>
        <w:tc>
          <w:tcPr>
            <w:tcW w:w="220" w:type="dxa"/>
            <w:vAlign w:val="bottom"/>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268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+ 8.2%</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+ 6.8%</w:t>
            </w:r>
          </w:p>
        </w:tc>
        <w:tc>
          <w:tcPr>
            <w:tcW w:w="220" w:type="dxa"/>
            <w:vAlign w:val="bottom"/>
          </w:tcPr>
          <w:p>
            <w:pPr>
              <w:spacing w:after="0"/>
              <w:rPr>
                <w:sz w:val="18"/>
                <w:szCs w:val="18"/>
                <w:color w:val="auto"/>
              </w:rPr>
            </w:pPr>
          </w:p>
        </w:tc>
      </w:tr>
      <w:tr>
        <w:trPr>
          <w:trHeight w:val="21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(excluding foreign currency impact)</w:t>
            </w:r>
          </w:p>
        </w:tc>
        <w:tc>
          <w:tcPr>
            <w:tcW w:w="4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220" w:type="dxa"/>
            <w:vAlign w:val="bottom"/>
          </w:tcPr>
          <w:p>
            <w:pPr>
              <w:spacing w:after="0"/>
              <w:rPr>
                <w:sz w:val="18"/>
                <w:szCs w:val="18"/>
                <w:color w:val="auto"/>
              </w:rPr>
            </w:pPr>
          </w:p>
        </w:tc>
      </w:tr>
      <w:tr>
        <w:trPr>
          <w:trHeight w:val="445"/>
        </w:trPr>
        <w:tc>
          <w:tcPr>
            <w:tcW w:w="4800" w:type="dxa"/>
            <w:vAlign w:val="bottom"/>
          </w:tcPr>
          <w:p>
            <w:pPr>
              <w:spacing w:after="0"/>
              <w:rPr>
                <w:sz w:val="24"/>
                <w:szCs w:val="24"/>
                <w:color w:val="auto"/>
              </w:rPr>
            </w:pPr>
          </w:p>
        </w:tc>
        <w:tc>
          <w:tcPr>
            <w:tcW w:w="26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16</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 w:type="dxa"/>
            <w:vAlign w:val="bottom"/>
          </w:tcPr>
          <w:p>
            <w:pPr>
              <w:spacing w:after="0"/>
              <w:rPr>
                <w:sz w:val="13"/>
                <w:szCs w:val="13"/>
                <w:color w:val="auto"/>
              </w:rPr>
            </w:pPr>
          </w:p>
        </w:tc>
        <w:tc>
          <w:tcPr>
            <w:tcW w:w="16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7620" w:type="dxa"/>
            <w:vAlign w:val="bottom"/>
          </w:tcPr>
          <w:p>
            <w:pPr>
              <w:spacing w:after="0"/>
              <w:rPr>
                <w:sz w:val="15"/>
                <w:szCs w:val="15"/>
                <w:color w:val="auto"/>
              </w:rPr>
            </w:pPr>
          </w:p>
        </w:tc>
        <w:tc>
          <w:tcPr>
            <w:tcW w:w="18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of 2024</w:t>
            </w: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+ 8.5%</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stores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+ 5.5%</w:t>
            </w:r>
          </w:p>
        </w:tc>
      </w:tr>
      <w:tr>
        <w:trPr>
          <w:trHeight w:val="210"/>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+ 5.6%</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+ 0.9%</w:t>
            </w:r>
          </w:p>
        </w:tc>
      </w:tr>
    </w:tbl>
    <w:p>
      <w:pPr>
        <w:spacing w:after="0" w:line="85"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U.S. same store sales declined 0.5% in the first quarter of 2025, rolling over an increase in U.S. same store sales of 5.6% in the first quarter of 2024. The decline in U.S. same store sales was driven by lower customer transaction counts, partially offset by an increase in average ticket. International same store sales (excluding foreign currency impact) increased 3.7% in the first quarter of 2025, rolling over an increase in international same store sales (excluding foreign currency impact) of 0.9% in the first quarter of 2024. The increase in international same store sales was driven by higher customer transaction counts.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229"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gridSpan w:val="2"/>
            <w:vMerge w:val="continue"/>
          </w:tcPr>
          <w:p>
            <w:pPr>
              <w:spacing w:after="0"/>
              <w:rPr>
                <w:sz w:val="12"/>
                <w:szCs w:val="12"/>
                <w:color w:val="auto"/>
              </w:rPr>
            </w:pPr>
          </w:p>
        </w:tc>
        <w:tc>
          <w:tcPr>
            <w:tcW w:w="15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December 29, 2024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(228 )</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March 23, 2025</w:t>
            </w:r>
          </w:p>
        </w:tc>
        <w:tc>
          <w:tcPr>
            <w:tcW w:w="1060" w:type="dxa"/>
            <w:vAlign w:val="bottom"/>
            <w:tcBorders>
              <w:top w:val="single" w:sz="8" w:color="auto"/>
              <w:bottom w:val="single" w:sz="8" w:color="auto"/>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2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First quarter 2025 net store growth</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7"/>
                <w:szCs w:val="17"/>
                <w:color w:val="auto"/>
              </w:rPr>
            </w:pPr>
          </w:p>
        </w:tc>
        <w:tc>
          <w:tcPr>
            <w:tcW w:w="13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(25 )</w:t>
            </w:r>
          </w:p>
        </w:tc>
        <w:tc>
          <w:tcPr>
            <w:tcW w:w="16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Trailing four quarters net store growth</w:t>
            </w:r>
          </w:p>
        </w:tc>
        <w:tc>
          <w:tcPr>
            <w:tcW w:w="106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2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-1122045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-1104900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-1122045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-1104900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-1122045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-1104900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-1122045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-1104900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-796290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-779145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-796290</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-779145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-796290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-779145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-796290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-779145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3"/>
        </w:trPr>
        <w:tc>
          <w:tcPr>
            <w:tcW w:w="5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9"/>
        </w:trPr>
        <w:tc>
          <w:tcPr>
            <w:tcW w:w="5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U.S. Company-owned stores</w:t>
            </w: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U.S. franchise royalties and fees</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8"/>
        </w:trPr>
        <w:tc>
          <w:tcPr>
            <w:tcW w:w="5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Supply chain</w:t>
            </w: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669.9</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659.2</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International franchise royalties and fees</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8"/>
        </w:trPr>
        <w:tc>
          <w:tcPr>
            <w:tcW w:w="5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U.S. franchise advertising</w:t>
            </w: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1,112.1</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100.0 %</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1,084.6</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100.0 %</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U.S. Company-owned stores</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76.9</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8"/>
        </w:trPr>
        <w:tc>
          <w:tcPr>
            <w:tcW w:w="5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Supply chain</w:t>
            </w: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592.0</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586.3</w:t>
            </w: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668.9</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60.2 %</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662.8</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61.1 %</w:t>
            </w:r>
          </w:p>
        </w:tc>
      </w:tr>
      <w:tr>
        <w:trPr>
          <w:trHeight w:val="20"/>
        </w:trPr>
        <w:tc>
          <w:tcPr>
            <w:tcW w:w="55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42"/>
        </w:trPr>
        <w:tc>
          <w:tcPr>
            <w:tcW w:w="5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margin</w:t>
            </w: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443.1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39.8 %</w:t>
            </w: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421.9</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38.9 %</w:t>
            </w:r>
          </w:p>
        </w:tc>
      </w:tr>
      <w:tr>
        <w:trPr>
          <w:trHeight w:val="20"/>
        </w:trPr>
        <w:tc>
          <w:tcPr>
            <w:tcW w:w="5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General and administrative</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109.1</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9.8 %</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9.3 %</w:t>
            </w:r>
          </w:p>
        </w:tc>
      </w:tr>
      <w:tr>
        <w:trPr>
          <w:trHeight w:val="149"/>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franchise advertising</w:t>
            </w: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11.1 %</w:t>
            </w: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10.2 %</w:t>
            </w:r>
          </w:p>
        </w:tc>
      </w:tr>
      <w:tr>
        <w:trPr>
          <w:trHeight w:val="148"/>
        </w:trPr>
        <w:tc>
          <w:tcPr>
            <w:tcW w:w="5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Refranchising loss</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20"/>
        </w:trPr>
        <w:tc>
          <w:tcPr>
            <w:tcW w:w="55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42"/>
        </w:trPr>
        <w:tc>
          <w:tcPr>
            <w:tcW w:w="5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18.9 %</w:t>
            </w: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19.4 %</w:t>
            </w:r>
          </w:p>
        </w:tc>
      </w:tr>
      <w:tr>
        <w:trPr>
          <w:trHeight w:val="148"/>
        </w:trPr>
        <w:tc>
          <w:tcPr>
            <w:tcW w:w="5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2.2 %</w:t>
            </w:r>
          </w:p>
        </w:tc>
        <w:tc>
          <w:tcPr>
            <w:tcW w:w="4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(18.7 )</w:t>
            </w: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(1.7 )%</w:t>
            </w:r>
          </w:p>
        </w:tc>
      </w:tr>
      <w:tr>
        <w:trPr>
          <w:trHeight w:val="149"/>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4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(41.6 )</w:t>
            </w:r>
          </w:p>
        </w:tc>
        <w:tc>
          <w:tcPr>
            <w:tcW w:w="5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(3.8 )%</w:t>
            </w:r>
          </w:p>
        </w:tc>
        <w:tc>
          <w:tcPr>
            <w:tcW w:w="4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(42.1 )</w:t>
            </w:r>
          </w:p>
        </w:tc>
        <w:tc>
          <w:tcPr>
            <w:tcW w:w="5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(3.9 )%</w:t>
            </w:r>
          </w:p>
        </w:tc>
      </w:tr>
      <w:tr>
        <w:trPr>
          <w:trHeight w:val="20"/>
        </w:trPr>
        <w:tc>
          <w:tcPr>
            <w:tcW w:w="5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192.5</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17.3 %</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149.6</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13.8 %</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3.8 %</w:t>
            </w: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2.2 %</w:t>
            </w:r>
          </w:p>
        </w:tc>
      </w:tr>
      <w:tr>
        <w:trPr>
          <w:trHeight w:val="20"/>
        </w:trPr>
        <w:tc>
          <w:tcPr>
            <w:tcW w:w="5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149.7</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00" w:type="dxa"/>
            <w:vAlign w:val="bottom"/>
            <w:gridSpan w:val="3"/>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13.5 %   $</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125.8</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11.6 %</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-1010920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-1010920</wp:posOffset>
            </wp:positionV>
            <wp:extent cx="1289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-1010920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-1010920</wp:posOffset>
            </wp:positionV>
            <wp:extent cx="1289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-616585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-616585</wp:posOffset>
            </wp:positionV>
            <wp:extent cx="1289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-616585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-616585</wp:posOffset>
            </wp:positionV>
            <wp:extent cx="1289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1289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1289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-24765</wp:posOffset>
            </wp:positionV>
            <wp:extent cx="1289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128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3"/>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13.6 %</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13.9 %</w:t>
            </w: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60.3 %</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60.8 %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6.8 %</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11.1 %</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54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1200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and, to a lesser extent,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7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Consolidated revenues increased $27.4 million, or 2.5%, in the first quarter of 2025 as compared to the first quarter of 2024, primarily due to higher U.S. franchise advertising revenues, higher supply chain revenues and higher international franchise royalties and fees. U.S. franchise advertising revenues increased primarily as a result of a decrease in advertising incentives related to certain brand promotions and the increase in the advertising contribution rate. Supply chain revenues were higher as a result of an increase in our food basket pricing to stores of 4.8%, which was partially offset by the transition of our equipment and supplies business to a third-party supplier and a shift in the relative mix of products we sell. International franchise royalties and fees increased primarily as a result of same store sales growth and net store growth during the trailing four quarters, but were partially offset by the negative impact of foreign currency exchange rates on international franchise royalty revenues. These changes in revenues are described in more detail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gridSpan w:val="3"/>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4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41.2 %</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42.6 %</w:t>
            </w: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33.8 %</w:t>
            </w: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31.2 %</w:t>
            </w:r>
          </w:p>
        </w:tc>
      </w:tr>
      <w:tr>
        <w:trPr>
          <w:trHeight w:val="20"/>
        </w:trPr>
        <w:tc>
          <w:tcPr>
            <w:tcW w:w="54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U.S. stores revenues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Company-owned Stores</w:t>
      </w:r>
    </w:p>
    <w:p>
      <w:pPr>
        <w:spacing w:after="0" w:line="133"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Revenues from U.S. Company-owned store operations decreased $1.0 million, or 1.1%, in the first quarter of 2025 primarily due to lower same store sales.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U.S. Company-owned same store sales declined 2.9% in the first quarter of 2025 and increased 8.5% in the first quarter of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Royalties and Fees</w:t>
      </w:r>
    </w:p>
    <w:p>
      <w:pPr>
        <w:spacing w:after="0" w:line="133"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Revenues from U.S. franchise royalties and fees increased $0.5 million, or 0.3%, in the first quarter of 2025 primarily due to an increase in the average number of U.S. franchised stores open during the period resulting from net store growth.</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U.S. franchise same store sales declined 0.4% in the first quarter of 2025 and increased 5.5% in the first quarter of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Advertising</w:t>
      </w:r>
    </w:p>
    <w:p>
      <w:pPr>
        <w:spacing w:after="0" w:line="133" w:lineRule="exact"/>
        <w:rPr>
          <w:sz w:val="20"/>
          <w:szCs w:val="20"/>
          <w:color w:val="auto"/>
        </w:rPr>
      </w:pPr>
    </w:p>
    <w:p>
      <w:pPr>
        <w:ind w:right="320" w:firstLine="284"/>
        <w:spacing w:after="0" w:line="266" w:lineRule="auto"/>
        <w:rPr>
          <w:sz w:val="20"/>
          <w:szCs w:val="20"/>
          <w:color w:val="auto"/>
        </w:rPr>
      </w:pPr>
      <w:r>
        <w:rPr>
          <w:rFonts w:ascii="Times New Roman" w:cs="Times New Roman" w:eastAsia="Times New Roman" w:hAnsi="Times New Roman"/>
          <w:sz w:val="18"/>
          <w:szCs w:val="18"/>
          <w:color w:val="auto"/>
        </w:rPr>
        <w:t>Revenues from U.S. franchise advertising increased $13.7 million, or 12.4%, in the first quarter of 2025 primarily due to a decrease in advertising incentives related to certain brand promotions and the return to the standard 6.0% advertising contribution rate at the beginning of the second quarter of 2024 following the end of the temporary reduction to 5.75%.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5"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Supply chain revenues increased $10.7 million, or 1.6%, in the first quarter of 2025 primarily due to an increase in our food basket pricing to stores, partially offset by the transition of our equipment and supplies business to a third-party supplier and a shift in the relative mix of products we sell. Our food basket pricing to stores increased 4.8% in the first quarter of 2025, which resulted in an estimated $36 million increase in supply chain revenues.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 Royalties and Fee Revenues</w:t>
      </w:r>
    </w:p>
    <w:p>
      <w:pPr>
        <w:spacing w:after="0" w:line="121"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$3.6 million, or 5.0%, in the first quarter of 2025 primarily due to same store sales growth (excluding foreign currency impact) and net store growth during the trailing four quarters, but these increases were partially offset by the negative impact of changes in foreign currency exchange rates of approximately $3.2 million in the first quarter of 2025.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1"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International franchise same store sales increased 3.7% in the first quarter of 2025 and increased 0.9% in the first quarter of 2024, each excluding the impact of foreign currency exchange rates.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Gross Margin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60.2 %</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61.1 %</w:t>
            </w:r>
          </w:p>
        </w:tc>
      </w:tr>
      <w:tr>
        <w:trPr>
          <w:trHeight w:val="20"/>
        </w:trPr>
        <w:tc>
          <w:tcPr>
            <w:tcW w:w="5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39.8 %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38.9 %</w:t>
            </w: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20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right="260" w:firstLine="255"/>
        <w:spacing w:after="0" w:line="257"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and insurance expense. Consolidated gross margin (which we define as revenues less cost of sales) increased $21.2 million, or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5.0%, in the first quarter of 2025 due primarily to higher franchise advertising revenues (as discussed above), as well as gross margin dollar growth within supply chain,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81"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As a percentage of revenues, consolidated gross margin increased 0.9 percentage points to 39.8% in the first quarter of 2025 from 38.9% in the first quarter of 2024. U.S. Company-owned store gross margin decreased 1.5 percentage points in the first quarter of 2025, and supply chain gross margin increased 0.5 percentage points in the first quarter of 2025. Changes in the significant components of gross margin are described in more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Company-Owned Store Gross Margin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6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84.0 %</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82.5 %</w:t>
            </w:r>
          </w:p>
        </w:tc>
      </w:tr>
      <w:tr>
        <w:trPr>
          <w:trHeight w:val="20"/>
        </w:trPr>
        <w:tc>
          <w:tcPr>
            <w:tcW w:w="5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Store gross margin</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17.5 %</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$1.5 million, or 9.3%, in the first quarter of 2025. As a percentage of store revenues, U.S. Company-owned store gross margin decreased 1.5 percentage points in the first quarter of 2025. These changes in gross margin as a percentage of revenues are discussed in additional detail below.</w:t>
      </w:r>
    </w:p>
    <w:p>
      <w:pPr>
        <w:spacing w:after="0" w:line="68" w:lineRule="exact"/>
        <w:rPr>
          <w:sz w:val="20"/>
          <w:szCs w:val="20"/>
          <w:color w:val="auto"/>
        </w:rPr>
      </w:pPr>
    </w:p>
    <w:p>
      <w:pPr>
        <w:ind w:left="640" w:hanging="30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increased 0.9 percentage points to 29.7% in the first quarter of 2025, driven by the increase in the food basket pricing to stores.</w:t>
      </w:r>
    </w:p>
    <w:p>
      <w:pPr>
        <w:spacing w:after="0" w:line="117" w:lineRule="exact"/>
        <w:rPr>
          <w:rFonts w:ascii="Times New Roman" w:cs="Times New Roman" w:eastAsia="Times New Roman" w:hAnsi="Times New Roman"/>
          <w:sz w:val="18"/>
          <w:szCs w:val="18"/>
          <w:color w:val="auto"/>
        </w:rPr>
      </w:pPr>
    </w:p>
    <w:p>
      <w:pPr>
        <w:ind w:left="640" w:hanging="30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0.1 percentage points to 31.9% in the first quarter of 2025.</w:t>
      </w:r>
    </w:p>
    <w:p>
      <w:pPr>
        <w:spacing w:after="0" w:line="117" w:lineRule="exact"/>
        <w:rPr>
          <w:rFonts w:ascii="Times New Roman" w:cs="Times New Roman" w:eastAsia="Times New Roman" w:hAnsi="Times New Roman"/>
          <w:sz w:val="18"/>
          <w:szCs w:val="18"/>
          <w:color w:val="auto"/>
        </w:rPr>
      </w:pPr>
    </w:p>
    <w:p>
      <w:pPr>
        <w:ind w:left="640" w:hanging="30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leverage driven by lower order counts contributed to the remaining decrease in U.S. Company-owned store gross margin.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Gross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4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88.4 %</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88.9 %</w:t>
            </w:r>
          </w:p>
        </w:tc>
      </w:tr>
      <w:tr>
        <w:trPr>
          <w:trHeight w:val="20"/>
        </w:trPr>
        <w:tc>
          <w:tcPr>
            <w:tcW w:w="5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20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Supply chain gross margin increased $5.0 million, or 6.9%, in the first quarter of 2025. As a percentage of supply chain revenues, supply chain gross margin increased 0.5 percentage points in the first quarter of 2025. These changes in gross margin as a percentage of revenues are discussed in additional detail below.</w:t>
      </w:r>
    </w:p>
    <w:p>
      <w:pPr>
        <w:spacing w:after="0" w:line="68" w:lineRule="exact"/>
        <w:rPr>
          <w:sz w:val="20"/>
          <w:szCs w:val="20"/>
          <w:color w:val="auto"/>
        </w:rPr>
      </w:pPr>
    </w:p>
    <w:p>
      <w:pPr>
        <w:ind w:left="940" w:hanging="303"/>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0.9 percentage points to 70.4% in the first quarter of 2025, driven primarily by procurement productivity.</w:t>
      </w:r>
    </w:p>
    <w:p>
      <w:pPr>
        <w:spacing w:after="0" w:line="117"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0.2 percentage points to 9.2% in the first quarter of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$8.1 million, or 8.0%, in the first quarter of 2025, primarily related to approximately $5 million in severance expenses associated with an organizational realignment that took place in the first quarter of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Advertising Expenses</w:t>
      </w:r>
    </w:p>
    <w:p>
      <w:pPr>
        <w:spacing w:after="0" w:line="13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U.S. franchise advertising expenses increased $13.7 million, or 12.4%, in the first quarter of 2025, consistent with the increase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35"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During the first quarters of 2025 and 2024, we recorded a $24.0 million pre-tax unrealized gain and an $18.7 million pre-tax unrealized loss, respectively, on our investment in DPC Dash (refer to Note 5 of the condensed consolidated financial statements). The recorded amount of our investment is based on the active exchange quoted price for the equity security.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expense, net decreased $0.5 million, or 1.1%, in the first quarter of 2025, driven primarily by higher interest income on our cash equivalents.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weighted average borrowing rate was 3.8% in both the first quarter of 2025 and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Provision for income taxes increased $19.0 million, or 80.1%, in the first quarter of 2025 due to a higher effective tax rate, as well as higher income before provision for income taxes. The effective tax rate increased to 22.3% during the first quarter of 2025 as compared to 15.9% in the first quarter of 2024, driven primarily by a 4.6 percentage point unfavorable change in the impact of excess tax benefits from equity-based compensation, as well as other rate and discrete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121" w:lineRule="exact"/>
        <w:rPr>
          <w:sz w:val="20"/>
          <w:szCs w:val="20"/>
          <w:color w:val="auto"/>
        </w:rPr>
      </w:pPr>
    </w:p>
    <w:p>
      <w:pPr>
        <w:ind w:right="780" w:firstLine="255"/>
        <w:spacing w:after="0" w:line="312" w:lineRule="auto"/>
        <w:rPr>
          <w:sz w:val="20"/>
          <w:szCs w:val="20"/>
          <w:color w:val="auto"/>
        </w:rPr>
      </w:pPr>
      <w:r>
        <w:rPr>
          <w:rFonts w:ascii="Times New Roman" w:cs="Times New Roman" w:eastAsia="Times New Roman" w:hAnsi="Times New Roman"/>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7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FF0FC"/>
          </w:tcPr>
          <w:p>
            <w:pPr>
              <w:spacing w:after="0"/>
              <w:rPr>
                <w:sz w:val="18"/>
                <w:szCs w:val="18"/>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Stores</w:t>
      </w:r>
    </w:p>
    <w:p>
      <w:pPr>
        <w:spacing w:after="0" w:line="119"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U.S. stores Segment Income decreased $4.3 million, or 3.2%, in the first quarter of 2025, primarily due to a shift in the relative mix of labor cost associated with internally developed software, as well as the $1.5 million decrease in U.S. Company-owned store gross margin discussed above.</w:t>
      </w:r>
    </w:p>
    <w:p>
      <w:pPr>
        <w:spacing w:after="0" w:line="54"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Chain</w:t>
      </w:r>
    </w:p>
    <w:p>
      <w:pPr>
        <w:spacing w:after="0" w:line="119"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Supply chain Segment Income increased $8.2 million, or 12.8%, in the first quarter of 2025, primarily due to the $5.0 million increase in supply chain gross margin discussed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Franchise</w:t>
      </w:r>
    </w:p>
    <w:p>
      <w:pPr>
        <w:spacing w:after="0" w:line="119" w:lineRule="exact"/>
        <w:rPr>
          <w:sz w:val="20"/>
          <w:szCs w:val="20"/>
          <w:color w:val="auto"/>
        </w:rPr>
      </w:pPr>
    </w:p>
    <w:p>
      <w:pPr>
        <w:ind w:right="120" w:firstLine="255"/>
        <w:spacing w:after="0" w:line="257" w:lineRule="auto"/>
        <w:rPr>
          <w:sz w:val="20"/>
          <w:szCs w:val="20"/>
          <w:color w:val="auto"/>
        </w:rPr>
      </w:pPr>
      <w:r>
        <w:rPr>
          <w:rFonts w:ascii="Times New Roman" w:cs="Times New Roman" w:eastAsia="Times New Roman" w:hAnsi="Times New Roman"/>
          <w:sz w:val="18"/>
          <w:szCs w:val="18"/>
          <w:color w:val="auto"/>
        </w:rPr>
        <w:t>International franchise Segment Income increased $4.4 million, or 7.5%, in the first quarter of 2025, primarily due to higher international franchise royalties and fees revenues, as discussed above. International franchise revenues do not have a cost of sales component, so changes in these revenues have a disproportionate effect on international franchise Segment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281"/>
        <w:spacing w:after="0" w:line="255"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March 23, 2025, we had negative working capital totaling $880.4 million, primarily due to the current portion of long-term debt (see discussion below, as well as Note 6 to the condensed consolidated financial statements). Our working capital amount excludes restricted cash and cash equivalents of $197.4 million, advertising fund assets, restricted, of $99.6 million and advertising fund liabilities of $97.4 million. Working capital includes total unrestricted cash and cash equivalents of $304.3 million.</w:t>
      </w:r>
    </w:p>
    <w:p>
      <w:pPr>
        <w:spacing w:after="0" w:line="94" w:lineRule="exact"/>
        <w:rPr>
          <w:sz w:val="20"/>
          <w:szCs w:val="20"/>
          <w:color w:val="auto"/>
        </w:rPr>
      </w:pPr>
    </w:p>
    <w:p>
      <w:pPr>
        <w:ind w:firstLine="281"/>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variable funding notes. During the first quarter of 2025, we experienced an increase in both U.S. and international retail sales (excluding foreign currency impact). Additionally, both our U.S. and international businesses grew store counts during the trailing four quarters. These factors contributed to our continued ability to generate positive operating cash flows. In addition to our cash flows from operations, we have two variable funding note facilities. These facilities include our Series 2022-1 Variable Funding Senior Secured Notes, Class A-1 Notes (the “2022 Variable Funding Notes”), which allows for advances of up to $120.0 million, as well as our Series 2021-1 Variable Funding Senior Secured Notes, Class A-1 Notes (the “2021 Variable Funding Notes,” and, together with the 2022 Variable Funding Notes, the “2022 and 2021 Variable Funding Notes”), which allows for advances of up to $200.0 million and certain other credit instruments, including letters of credit. The letters of credit primarily relate to our casualty insurance programs. As of March 23, 2025, we had no outstanding borrowings and $263.6 million of available borrowing capacity under our 2022 and 2021 Variable Funding Notes, net of letters of credit issued of $56.4 million.</w:t>
      </w:r>
    </w:p>
    <w:p>
      <w:pPr>
        <w:spacing w:after="0" w:line="94" w:lineRule="exact"/>
        <w:rPr>
          <w:sz w:val="20"/>
          <w:szCs w:val="20"/>
          <w:color w:val="auto"/>
        </w:rPr>
      </w:pPr>
    </w:p>
    <w:p>
      <w:pPr>
        <w:ind w:right="100" w:firstLine="281"/>
        <w:spacing w:after="0" w:line="261"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spacing w:after="0" w:line="85" w:lineRule="exact"/>
        <w:rPr>
          <w:sz w:val="20"/>
          <w:szCs w:val="20"/>
          <w:color w:val="auto"/>
        </w:rPr>
      </w:pPr>
    </w:p>
    <w:p>
      <w:pPr>
        <w:ind w:firstLine="281"/>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2024 Form 10-K.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outstanding senior notes and to service, extend or refinance our 2022 and 2021 Variable Funding Notes will be subject to future economic conditions and to financial, business and other factors, many of which are beyond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of March 23, 2025, we had $146.9 million of restricted cash and cash equivalents held for future principal and interest payments and other working capital requirements of our asset-backed securitization structure, $50.3 million of restricted cash equivalents held in a three-month interest reserve as required by the indenture governing the securitized debt and $0.2 million of other restricted cash for a total of $197.4 million of restricted cash and cash equivalents. As of March 23, 2025, we also held $72.2 million of advertising fund restricted cash and cash equivalents which can only be used for activities that promote the Domino’s brand.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As of March 23, 2025, we had approximately $4.98 billion of long-term debt, of which $1.15 billion was classified as a current liability. As of March 23, 2025, our fixed rate notes from the recapitalizations we completed in 2021, 2019, 2018, 2017 and 2015 had original scheduled principal payments of $1.18 billion in the remainder of 2025, $39.3 million in 2026, $1.31 billion in 2027, $817.9 million in 2028, $631.0 million in 2029, $10.0 million in 2030 and $912.5 million in 2031. However, in accordance with our debt agreements, the payment of principal on our outstanding senior notes may be suspended if our Holdco Leverage Ratio is less than or equal to 5.0x total debt to Consolidated Adjusted EBITDA, each as defined in the indenture governing the securitized debt, and no catch-up provisions are applicable. As of the end of the first quarter of 2025 and the fourth quarter of 2024, we had a Holdco Leverage Ratio of less than 5.0x, and accordingly, the outstanding principal amounts of the Company’s 2021 Notes, 2019 Notes, 2018 9.25-Year Notes and 2017 Ten-Year Notes (refer to Note 6 to the condensed consolidated financial statements) have been classified as long-term debt in our condensed consolidated balance sheet as of March 23, 2025 and December 29, 2024.</w:t>
      </w:r>
    </w:p>
    <w:p>
      <w:pPr>
        <w:spacing w:after="0" w:line="94"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anticipated repayment date for the 2018 7.5-Year Notes and the 2015 Ten-Year Notes (refer to Note 6 to the condensed consolidated financial statements) is October 2025 and accordingly, the outstanding principal amounts for these notes have been classified as current portion of long-term debt in the condensed consolidated balance sheet as of March 23, 2025 and December 29, 2024. The Company expects to refinance the 2018 7.5-Year Notes and the 2015 Ten-Year Notes prior to the anticipated repayment date. If the Company does not refinance the 2018 7.5-Year Notes and the 2015 Ten-Year Notes prior to the anticipated repayment date, additional interest of at least 5% per annum will accrue and the Company’s cash flows other than technology fees and a weekly management fee to cover certain general and administrative expenses would be directed to the repayment of the securitized debt.</w:t>
      </w:r>
    </w:p>
    <w:p>
      <w:pPr>
        <w:spacing w:after="0" w:line="93"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In the event that certain covenants are not met, the notes may become due and payable on an accelerated schedule.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5"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2022 and 2021 Variable Funding Notes.</w:t>
      </w:r>
    </w:p>
    <w:p>
      <w:pPr>
        <w:spacing w:after="0" w:line="54"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repurchased and retired 115,280 shares of our common stock under our Board of Directors-approved share repurchase program for a total of approximately $50.0 million. As of March 23, 2025, we had a total remaining authorized amount for share repurchases of approximately $764.3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On February 19, 2025, our Board of Directors declared a $1.74 per share quarterly dividend on our outstanding common stock for shareholders of record as of March 14, 2025, which was paid on March 28, 2025. We had approximately $61.4 million accrued for common stock dividends at March 23, 2025. Subsequent to the end of the first quarter of 2025, on April 23, 2025, our Board of Directors declared a $1.74 per share quarterly dividend on our outstanding common stock for shareholders of record as of June 13, 2025, to be paid on June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2024</w:t>
            </w:r>
          </w:p>
        </w:tc>
      </w:tr>
      <w:tr>
        <w:trPr>
          <w:trHeight w:val="210"/>
        </w:trPr>
        <w:tc>
          <w:tcPr>
            <w:tcW w:w="6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6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60" w:type="dxa"/>
            <w:vAlign w:val="bottom"/>
            <w:gridSpan w:val="2"/>
          </w:tcPr>
          <w:p>
            <w:pPr>
              <w:jc w:val="right"/>
              <w:ind w:right="12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(16.0 )</w:t>
            </w: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(21.5 )</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(51.9 )</w:t>
            </w: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(34.8 )</w:t>
            </w: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r>
      <w:tr>
        <w:trPr>
          <w:trHeight w:val="209"/>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60" w:type="dxa"/>
            <w:vAlign w:val="bottom"/>
            <w:tcBorders>
              <w:top w:val="single" w:sz="8" w:color="CFF0FC"/>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2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top w:val="single" w:sz="8" w:color="CFF0FC"/>
            </w:tcBorders>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increased $55.6 million in the first quarter of 2025, as a result of the positive impact of changes in operating assets and liabilities and a positive change in restricted advertising fund assets and liabilities. The positive impact of changes in operating assets and liabilities of $50.8 million primarily related to the timing of payments on accounts payable and accrued liabilities in the first quarter of 2025 as compared to the first quarter of 2024. Additionally, the $22.8 million positive impact of changes in restricted advertising fund assets and liabilities in the first quarter of 2025 as compared to the first quarter of 2024 was a result of the timing and amount of advertising contributions and the timing and amount of payments for advertising activities. These increases were partially offset by lower net income, excluding non-cash adjustments. Net income increased $23.8 million; however, this increase was more than offset by non-cash adjustments of $41.8 million (primarily representing the changes in the unrealized gains and losses associated with the remeasurement of the Company’s investment in DPC Dash), resulting in an overall decrease to cash provided by operating activities in the first quarter of 2025 as compared to the first quarter of 2024 of $18.0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$16.0 million in the first quarter of 2025, which primarily consisted of $14.7 million of capital expenditures (driven primarily by investments in consumer and store technology, supply chain centers and corporate store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$51.9 million in the first quarter of 2025, which included the repurchase of approximately $50.0 million in common stock under our Board of Directors-approved share repurchase program, tax payments for the vesting of restricted stock of $8.2 million, repayments of finance lease obligations of $0.6 million and dividend payments of $0.6 million. These uses of cash were partially offset by proceeds from the exercise of stock options of $7.5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80" w:firstLine="255"/>
        <w:spacing w:after="0" w:line="255"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2024 Form 10-K. The Company considers its most significant accounting policies and estimates to be long-lived assets, casualty insurance reserves and income taxes. There have been no material changes to the Company’s critical accounting estimates since December 29,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2024 Form 10-K for the fiscal year ended December 29, 2024. Actual results may differ materially from those expressed or implied in the forward-looking statements as a result of various factors, including but not limited to: our substantial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additional risks our international operations subject us to, which may differ in each country in which we and our franchisees do business; our ability and that of our franchisees to successfully operate in the current and future credit environment; the impact of social media or a boycott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other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3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March 23, 2025, we are exposed to interest rate risk on borrowings under our variable funding notes. As of March 23, 2025, we had no outstanding borrowings under our 2022 and 2021 Variable Funding Notes.</w:t>
      </w:r>
    </w:p>
    <w:p>
      <w:pPr>
        <w:spacing w:after="0" w:line="85"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8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 As of March 23, 2025, we had approximately $1.14 billion of debt classified as current associated with our 2018 7.5-Year Notes and 2015 Ten-Year Notes for which the anticipated repayment date is October 2025. We expect to refinance the 2018 7.5-Year Notes and 2015 Ten-Year Notes prior to the anticipated repayment date, and we expect, based upon current benchmark rates, to refinance those notes at higher interest rates.</w:t>
      </w:r>
    </w:p>
    <w:p>
      <w:pPr>
        <w:spacing w:after="0" w:line="89"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We are exposed to market risks from changes in food and commodity prices. During the normal course of business, we purchase cheese and certain other food products that are affected by changes in commodity prices and, as a result, we are subject to volatility in our product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5"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6.8% of our total revenues in the first quarter of 2025 and approximately 6.6% of our total revenues in the first quarter of 2024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$7.4 million in the first quarter of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(the “Exchange Act”)) as of the end of the period covered by this report. Based on that evaluation, Mr. Weiner and Mr. Reddy concluded that the Company’s disclosure controls and procedures were effective.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quarterly period ended March 23, 2025, there were no changes in the Company’s internal control over financial reporting as defined in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13a-15(f) and 15d-15(f) that have materially affected or are reasonably likely to materially affect the Company’s internal control over financial reporting.</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40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 (2)</w:t>
            </w:r>
          </w:p>
        </w:tc>
        <w:tc>
          <w:tcPr>
            <w:tcW w:w="0" w:type="dxa"/>
            <w:vAlign w:val="bottom"/>
          </w:tcPr>
          <w:p>
            <w:pPr>
              <w:spacing w:after="0"/>
              <w:rPr>
                <w:sz w:val="1"/>
                <w:szCs w:val="1"/>
                <w:color w:val="auto"/>
              </w:rPr>
            </w:pPr>
          </w:p>
        </w:tc>
      </w:tr>
      <w:tr>
        <w:trPr>
          <w:trHeight w:val="173"/>
        </w:trPr>
        <w:tc>
          <w:tcPr>
            <w:tcW w:w="2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1"/>
        </w:trPr>
        <w:tc>
          <w:tcPr>
            <w:tcW w:w="2600" w:type="dxa"/>
            <w:vAlign w:val="bottom"/>
            <w:tcBorders>
              <w:top w:val="single" w:sz="8" w:color="auto"/>
            </w:tcBorders>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Period #1 (December 30, 2024</w:t>
            </w:r>
          </w:p>
        </w:tc>
        <w:tc>
          <w:tcPr>
            <w:tcW w:w="120" w:type="dxa"/>
            <w:vAlign w:val="bottom"/>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80" w:type="dxa"/>
            <w:vAlign w:val="bottom"/>
            <w:tcBorders>
              <w:top w:val="single" w:sz="8" w:color="auto"/>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January 26, 2025)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432.85</w:t>
            </w:r>
          </w:p>
        </w:tc>
        <w:tc>
          <w:tcPr>
            <w:tcW w:w="400" w:type="dxa"/>
            <w:vAlign w:val="bottom"/>
            <w:shd w:val="clear" w:color="auto" w:fill="CFF0FC"/>
          </w:tcPr>
          <w:p>
            <w:pPr>
              <w:spacing w:after="0"/>
              <w:rPr>
                <w:sz w:val="20"/>
                <w:szCs w:val="20"/>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814,337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Period #2 (January 27, 2025</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February 23, 2025)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461.65</w:t>
            </w:r>
          </w:p>
        </w:tc>
        <w:tc>
          <w:tcPr>
            <w:tcW w:w="4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Period #3 (February 24, 2025</w:t>
            </w:r>
          </w:p>
        </w:tc>
        <w:tc>
          <w:tcPr>
            <w:tcW w:w="120" w:type="dxa"/>
            <w:vAlign w:val="bottom"/>
            <w:vMerge w:val="restart"/>
            <w:shd w:val="clear" w:color="auto" w:fill="CFF0FC"/>
          </w:tcPr>
          <w:p>
            <w:pPr>
              <w:spacing w:after="0"/>
              <w:rPr>
                <w:sz w:val="17"/>
                <w:szCs w:val="17"/>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118,117</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435.25</w:t>
            </w:r>
          </w:p>
        </w:tc>
        <w:tc>
          <w:tcPr>
            <w:tcW w:w="400" w:type="dxa"/>
            <w:vAlign w:val="bottom"/>
            <w:vMerge w:val="restart"/>
            <w:shd w:val="clear" w:color="auto" w:fill="CFF0FC"/>
          </w:tcPr>
          <w:p>
            <w:pPr>
              <w:spacing w:after="0"/>
              <w:rPr>
                <w:sz w:val="17"/>
                <w:szCs w:val="17"/>
                <w:color w:val="auto"/>
              </w:rPr>
            </w:pPr>
          </w:p>
        </w:tc>
        <w:tc>
          <w:tcPr>
            <w:tcW w:w="2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March 23, 2025)</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50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vMerge w:val="continue"/>
            <w:shd w:val="clear" w:color="auto" w:fill="CFF0FC"/>
          </w:tcPr>
          <w:p>
            <w:pPr>
              <w:spacing w:after="0"/>
              <w:rPr>
                <w:sz w:val="19"/>
                <w:szCs w:val="19"/>
                <w:color w:val="auto"/>
              </w:rPr>
            </w:pPr>
          </w:p>
        </w:tc>
        <w:tc>
          <w:tcPr>
            <w:tcW w:w="208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120,706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435.58</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115,280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-170815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4" w:lineRule="exact"/>
        <w:rPr>
          <w:sz w:val="20"/>
          <w:szCs w:val="20"/>
          <w:color w:val="auto"/>
        </w:rPr>
      </w:pPr>
    </w:p>
    <w:p>
      <w:pPr>
        <w:ind w:left="480" w:hanging="459"/>
        <w:spacing w:after="0"/>
        <w:tabs>
          <w:tab w:leader="none" w:pos="4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5,426 shares in the first quarter of 2025 were purchased as part of the Company’s employee stock payroll deduction plan at an average price of $474.94.</w:t>
      </w:r>
    </w:p>
    <w:p>
      <w:pPr>
        <w:spacing w:after="0" w:line="151" w:lineRule="exact"/>
        <w:rPr>
          <w:rFonts w:ascii="Times New Roman" w:cs="Times New Roman" w:eastAsia="Times New Roman" w:hAnsi="Times New Roman"/>
          <w:sz w:val="15"/>
          <w:szCs w:val="15"/>
          <w:color w:val="auto"/>
        </w:rPr>
      </w:pPr>
    </w:p>
    <w:p>
      <w:pPr>
        <w:ind w:left="480" w:right="20" w:hanging="459"/>
        <w:spacing w:after="0" w:line="243" w:lineRule="auto"/>
        <w:tabs>
          <w:tab w:leader="none" w:pos="4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21, 2024, the Company’s Board of Directors authorized an additional share repurchase program to repurchase up to $1.0 billion of the Company’s common stock, in addition to the $141.3 million that was previously remaining for a total authorization of $1.14 billion for future share repurchases as of that date. As of March 23, 2025, $764.3 million remained available for future purchases of the Company’s common stock under this share repurchase program.</w:t>
      </w:r>
    </w:p>
    <w:p>
      <w:pPr>
        <w:spacing w:after="0" w:line="124" w:lineRule="exact"/>
        <w:rPr>
          <w:rFonts w:ascii="Times New Roman" w:cs="Times New Roman" w:eastAsia="Times New Roman" w:hAnsi="Times New Roman"/>
          <w:sz w:val="15"/>
          <w:szCs w:val="15"/>
          <w:color w:val="auto"/>
        </w:rPr>
      </w:pPr>
    </w:p>
    <w:p>
      <w:pPr>
        <w:ind w:left="480" w:right="6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Our directors and officers (as defined in Section 16 of the Exchange Act (“Section 16”)) may from time to time enter into plans for the purchase or sale of Domino’s stock that are intended to satisfy the affirmative defense conditions of Rule 10b5-1(c) under the Exchange Act.</w:t>
      </w:r>
    </w:p>
    <w:p>
      <w:pPr>
        <w:spacing w:after="0" w:line="54"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During the first quarter ended March 23, 2025, the following Section 16 officer adopted a “Rule 10b5-1 trading arrangement” (as defined in Item 408 under Regulation S-K of the Exchange Act):</w:t>
      </w:r>
    </w:p>
    <w:p>
      <w:pPr>
        <w:spacing w:after="0" w:line="67" w:lineRule="exact"/>
        <w:rPr>
          <w:sz w:val="20"/>
          <w:szCs w:val="20"/>
          <w:color w:val="auto"/>
        </w:rPr>
      </w:pPr>
    </w:p>
    <w:p>
      <w:pPr>
        <w:ind w:left="1020" w:right="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J. Weiner, our Chief Executive Officer and Director, adopted a new Rule 10b5-1 trading arrangement on March 13, 2025. The plan’s maximum duration is until July 31, 2026, and first trades will not occur until June 11, 2025 at the earliest. The trading plan, which is subject to certain conditions, is intended to permit Mr. Weiner to exercise and sell from time to time a tranche of 10,850 stock options set to expire on July 20, 2026.</w:t>
      </w:r>
    </w:p>
    <w:p>
      <w:pPr>
        <w:spacing w:after="0" w:line="72" w:lineRule="exact"/>
        <w:rPr>
          <w:sz w:val="20"/>
          <w:szCs w:val="20"/>
          <w:color w:val="auto"/>
        </w:rPr>
      </w:pPr>
    </w:p>
    <w:p>
      <w:pPr>
        <w:ind w:firstLine="300"/>
        <w:spacing w:after="0" w:line="282" w:lineRule="auto"/>
        <w:rPr>
          <w:sz w:val="20"/>
          <w:szCs w:val="20"/>
          <w:color w:val="auto"/>
        </w:rPr>
      </w:pPr>
      <w:r>
        <w:rPr>
          <w:rFonts w:ascii="Times New Roman" w:cs="Times New Roman" w:eastAsia="Times New Roman" w:hAnsi="Times New Roman"/>
          <w:sz w:val="18"/>
          <w:szCs w:val="18"/>
          <w:color w:val="auto"/>
        </w:rPr>
        <w:t>The Rule 10b5-1 trading arrangement described above was adopted and precleared in accordance with Domino’s Insider Trading Policy and actual sale transactions made pursuant to such trading arrangement will be disclosed publicly in future Section 16 filings with the SEC.</w:t>
      </w:r>
    </w:p>
    <w:p>
      <w:pPr>
        <w:spacing w:after="0" w:line="54"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No other directors or officers adopted, modified and/or terminated a “Rule 10b5-1 trading arrangement” or a “non-Rule 10b5-1 trading arrangement,” as defined in Item 408 under Regulation S-K of the Exchange Act, during the last fiscal quarter.</w:t>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gridSpan w:val="9"/>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5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Form of Restricted Stock Unit Award Agreement (cliff vesting with acceleration events) under the Amended Domino’s Pizza, Inc. 2004</w:t>
            </w:r>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Equity Incentive Plan.</w:t>
            </w:r>
          </w:p>
        </w:tc>
        <w:tc>
          <w:tcPr>
            <w:tcW w:w="20" w:type="dxa"/>
            <w:vAlign w:val="bottom"/>
            <w:tcBorders>
              <w:bottom w:val="single" w:sz="8" w:color="0000EE"/>
            </w:tcBorders>
          </w:tcPr>
          <w:p>
            <w:pPr>
              <w:spacing w:after="0"/>
              <w:rPr>
                <w:sz w:val="17"/>
                <w:szCs w:val="17"/>
                <w:color w:val="auto"/>
              </w:rPr>
            </w:pPr>
          </w:p>
        </w:tc>
        <w:tc>
          <w:tcPr>
            <w:tcW w:w="8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relating to Domino’s Pizza, Inc.</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 relating to Domino’s Pizza, Inc.</w:t>
            </w:r>
          </w:p>
        </w:tc>
        <w:tc>
          <w:tcPr>
            <w:tcW w:w="20" w:type="dxa"/>
            <w:vAlign w:val="bottom"/>
            <w:tcBorders>
              <w:top w:val="single" w:sz="8" w:color="0000FF"/>
              <w:bottom w:val="single" w:sz="8" w:color="0000EE"/>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1350, Chapter 63 of Title 18, United States Code, as adopted pursuant to Section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 relating to Domino’s Pizza, Inc.</w:t>
            </w:r>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1350, Chapter 63 of Title 18, United States Code, as adopted pursuant to Section</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 relating to Domino’s Pizza, Inc.</w:t>
            </w:r>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51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DOMINO’S PIZZA, INC.</w:t>
            </w:r>
          </w:p>
        </w:tc>
      </w:tr>
      <w:tr>
        <w:trPr>
          <w:trHeight w:val="234"/>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April 28, 2025</w:t>
            </w:r>
          </w:p>
        </w:tc>
        <w:tc>
          <w:tcPr>
            <w:tcW w:w="2220" w:type="dxa"/>
            <w:vAlign w:val="bottom"/>
          </w:tcPr>
          <w:p>
            <w:pPr>
              <w:spacing w:after="0"/>
              <w:rPr>
                <w:sz w:val="24"/>
                <w:szCs w:val="24"/>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Sandeep Reddy</w:t>
            </w:r>
          </w:p>
        </w:tc>
      </w:tr>
      <w:tr>
        <w:trPr>
          <w:trHeight w:val="191"/>
        </w:trPr>
        <w:tc>
          <w:tcPr>
            <w:tcW w:w="3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Sandeep Reddy</w:t>
            </w:r>
          </w:p>
        </w:tc>
        <w:tc>
          <w:tcPr>
            <w:tcW w:w="16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60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8060" w:type="dxa"/>
            <w:vAlign w:val="bottom"/>
            <w:tcBorders>
              <w:top w:val="single" w:sz="8" w:color="00000A"/>
              <w:left w:val="single" w:sz="8" w:color="00000A"/>
              <w:bottom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20" w:type="dxa"/>
            <w:vAlign w:val="bottom"/>
            <w:tcBorders>
              <w:top w:val="single" w:sz="8" w:color="00000A"/>
              <w:bottom w:val="single" w:sz="8" w:color="00000A"/>
            </w:tcBorders>
          </w:tcPr>
          <w:p>
            <w:pPr>
              <w:spacing w:after="0"/>
              <w:rPr>
                <w:sz w:val="24"/>
                <w:szCs w:val="24"/>
                <w:color w:val="auto"/>
              </w:rPr>
            </w:pPr>
          </w:p>
        </w:tc>
        <w:tc>
          <w:tcPr>
            <w:tcW w:w="3160" w:type="dxa"/>
            <w:vAlign w:val="bottom"/>
            <w:tcBorders>
              <w:top w:val="single" w:sz="8" w:color="00000A"/>
              <w:bottom w:val="single" w:sz="8" w:color="00000A"/>
              <w:right w:val="single" w:sz="8" w:color="00000A"/>
            </w:tcBorders>
          </w:tcPr>
          <w:p>
            <w:pPr>
              <w:ind w:left="140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3"/>
        </w:trPr>
        <w:tc>
          <w:tcPr>
            <w:tcW w:w="8060" w:type="dxa"/>
            <w:vAlign w:val="bottom"/>
            <w:tcBorders>
              <w:left w:val="single" w:sz="8" w:color="00000A"/>
              <w:bottom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RSUs subject to Award:</w:t>
            </w:r>
          </w:p>
        </w:tc>
        <w:tc>
          <w:tcPr>
            <w:tcW w:w="20" w:type="dxa"/>
            <w:vAlign w:val="bottom"/>
            <w:tcBorders>
              <w:bottom w:val="single" w:sz="8" w:color="00000A"/>
            </w:tcBorders>
          </w:tcPr>
          <w:p>
            <w:pPr>
              <w:spacing w:after="0"/>
              <w:rPr>
                <w:sz w:val="23"/>
                <w:szCs w:val="23"/>
                <w:color w:val="auto"/>
              </w:rPr>
            </w:pPr>
          </w:p>
        </w:tc>
        <w:tc>
          <w:tcPr>
            <w:tcW w:w="3160" w:type="dxa"/>
            <w:vAlign w:val="bottom"/>
            <w:tcBorders>
              <w:bottom w:val="single" w:sz="8" w:color="00000A"/>
              <w:right w:val="single" w:sz="8" w:color="00000A"/>
            </w:tcBorders>
          </w:tcPr>
          <w:p>
            <w:pPr>
              <w:ind w:left="140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89"/>
        </w:trPr>
        <w:tc>
          <w:tcPr>
            <w:tcW w:w="8060" w:type="dxa"/>
            <w:vAlign w:val="bottom"/>
            <w:tcBorders>
              <w:left w:val="single" w:sz="8" w:color="00000A"/>
              <w:bottom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20" w:type="dxa"/>
            <w:vAlign w:val="bottom"/>
            <w:tcBorders>
              <w:bottom w:val="single" w:sz="8" w:color="00000A"/>
            </w:tcBorders>
          </w:tcPr>
          <w:p>
            <w:pPr>
              <w:spacing w:after="0"/>
              <w:rPr>
                <w:sz w:val="24"/>
                <w:szCs w:val="24"/>
                <w:color w:val="auto"/>
              </w:rPr>
            </w:pPr>
          </w:p>
        </w:tc>
        <w:tc>
          <w:tcPr>
            <w:tcW w:w="3160" w:type="dxa"/>
            <w:vAlign w:val="bottom"/>
            <w:tcBorders>
              <w:bottom w:val="single" w:sz="8" w:color="00000A"/>
              <w:right w:val="single" w:sz="8" w:color="00000A"/>
            </w:tcBorders>
          </w:tcPr>
          <w:p>
            <w:pPr>
              <w:ind w:left="140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453"/>
        </w:trPr>
        <w:tc>
          <w:tcPr>
            <w:tcW w:w="3180" w:type="dxa"/>
            <w:vAlign w:val="bottom"/>
          </w:tcPr>
          <w:p>
            <w:pPr>
              <w:spacing w:after="0"/>
              <w:rPr>
                <w:sz w:val="24"/>
                <w:szCs w:val="24"/>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DOMINO’S PIZZA, INC.</w:t>
            </w:r>
          </w:p>
        </w:tc>
        <w:tc>
          <w:tcPr>
            <w:tcW w:w="3160" w:type="dxa"/>
            <w:vAlign w:val="bottom"/>
          </w:tcPr>
          <w:p>
            <w:pPr>
              <w:spacing w:after="0"/>
              <w:rPr>
                <w:sz w:val="24"/>
                <w:szCs w:val="24"/>
                <w:color w:val="auto"/>
              </w:rPr>
            </w:pPr>
          </w:p>
        </w:tc>
      </w:tr>
      <w:tr>
        <w:trPr>
          <w:trHeight w:val="247"/>
        </w:trPr>
        <w:tc>
          <w:tcPr>
            <w:tcW w:w="3180" w:type="dxa"/>
            <w:vAlign w:val="bottom"/>
          </w:tcPr>
          <w:p>
            <w:pPr>
              <w:spacing w:after="0"/>
              <w:rPr>
                <w:sz w:val="21"/>
                <w:szCs w:val="21"/>
                <w:color w:val="auto"/>
              </w:rPr>
            </w:pPr>
          </w:p>
        </w:tc>
        <w:tc>
          <w:tcPr>
            <w:tcW w:w="4900" w:type="dxa"/>
            <w:vAlign w:val="bottom"/>
            <w:gridSpan w:val="2"/>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8"/>
              </w:rPr>
              <w:t>2004 EQUITY INCENTIVE PLAN</w:t>
            </w:r>
          </w:p>
        </w:tc>
        <w:tc>
          <w:tcPr>
            <w:tcW w:w="3160" w:type="dxa"/>
            <w:vAlign w:val="bottom"/>
          </w:tcPr>
          <w:p>
            <w:pPr>
              <w:spacing w:after="0"/>
              <w:rPr>
                <w:sz w:val="21"/>
                <w:szCs w:val="21"/>
                <w:color w:val="auto"/>
              </w:rPr>
            </w:pPr>
          </w:p>
        </w:tc>
      </w:tr>
      <w:tr>
        <w:trPr>
          <w:trHeight w:val="230"/>
        </w:trPr>
        <w:tc>
          <w:tcPr>
            <w:tcW w:w="3180" w:type="dxa"/>
            <w:vAlign w:val="bottom"/>
          </w:tcPr>
          <w:p>
            <w:pPr>
              <w:spacing w:after="0"/>
              <w:rPr>
                <w:sz w:val="19"/>
                <w:szCs w:val="19"/>
                <w:color w:val="auto"/>
              </w:rPr>
            </w:pPr>
          </w:p>
        </w:tc>
        <w:tc>
          <w:tcPr>
            <w:tcW w:w="490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22"/>
                <w:szCs w:val="22"/>
                <w:color w:val="auto"/>
                <w:w w:val="98"/>
              </w:rPr>
              <w:t>RESTRICTED STOCK UNIT AWARD AGREEMENT</w:t>
            </w:r>
          </w:p>
        </w:tc>
        <w:tc>
          <w:tcPr>
            <w:tcW w:w="3160" w:type="dxa"/>
            <w:vAlign w:val="bottom"/>
          </w:tcPr>
          <w:p>
            <w:pPr>
              <w:spacing w:after="0"/>
              <w:rPr>
                <w:sz w:val="19"/>
                <w:szCs w:val="19"/>
                <w:color w:val="auto"/>
              </w:rPr>
            </w:pPr>
          </w:p>
        </w:tc>
      </w:tr>
    </w:tbl>
    <w:p>
      <w:pPr>
        <w:spacing w:after="0" w:line="243"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This agreement (including any exhibits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by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and subject to the terms and conditions of the Domino’s Pizza, Inc. 2004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Except as otherwise defined herein, all capitalized terms used herein have the same meaning as in the Plan.</w:t>
      </w:r>
    </w:p>
    <w:p>
      <w:pPr>
        <w:spacing w:after="0" w:line="204" w:lineRule="exact"/>
        <w:rPr>
          <w:sz w:val="20"/>
          <w:szCs w:val="20"/>
          <w:color w:val="auto"/>
        </w:rPr>
      </w:pPr>
    </w:p>
    <w:p>
      <w:pPr>
        <w:ind w:firstLine="8"/>
        <w:spacing w:after="0" w:line="238" w:lineRule="auto"/>
        <w:tabs>
          <w:tab w:leader="none" w:pos="50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203"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xml:space="preserve">. The RSUs shall vest as provided for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0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 Settlement of Award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500" w:right="60" w:hanging="743"/>
        <w:spacing w:after="0" w:line="251" w:lineRule="auto"/>
        <w:tabs>
          <w:tab w:leader="none" w:pos="150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The Company shall, as soon as practicable and in all events no later than thirty (30) days following the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168" w:lineRule="exact"/>
        <w:rPr>
          <w:rFonts w:ascii="Times New Roman" w:cs="Times New Roman" w:eastAsia="Times New Roman" w:hAnsi="Times New Roman"/>
          <w:sz w:val="21"/>
          <w:szCs w:val="21"/>
          <w:color w:val="auto"/>
        </w:rPr>
      </w:pPr>
    </w:p>
    <w:p>
      <w:pPr>
        <w:ind w:left="1500" w:right="80" w:hanging="743"/>
        <w:spacing w:after="0" w:line="244" w:lineRule="auto"/>
        <w:tabs>
          <w:tab w:leader="none" w:pos="15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73" w:lineRule="exact"/>
        <w:rPr>
          <w:rFonts w:ascii="Times New Roman" w:cs="Times New Roman" w:eastAsia="Times New Roman" w:hAnsi="Times New Roman"/>
          <w:sz w:val="22"/>
          <w:szCs w:val="22"/>
          <w:color w:val="auto"/>
        </w:rPr>
      </w:pPr>
    </w:p>
    <w:p>
      <w:pPr>
        <w:ind w:left="2260" w:right="200" w:hanging="755"/>
        <w:spacing w:after="0" w:line="244" w:lineRule="auto"/>
        <w:tabs>
          <w:tab w:leader="none" w:pos="2260"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event of a Covered Transaction (as defined in the Plan) or an Acceleration Event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Settlement Date for the RSUs shall be the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1" w:name="page32"/>
    <w:bookmarkEnd w:id="31"/>
    <w:p>
      <w:pPr>
        <w:ind w:left="2260" w:right="740" w:hanging="755"/>
        <w:spacing w:after="0" w:line="258" w:lineRule="auto"/>
        <w:tabs>
          <w:tab w:leader="none" w:pos="22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Acceleration Event, the Settlement Date for any RSUs that become vested in connection therewith shall be the date of such Acceleration Event.</w:t>
      </w:r>
    </w:p>
    <w:p>
      <w:pPr>
        <w:spacing w:after="0" w:line="158" w:lineRule="exact"/>
        <w:rPr>
          <w:rFonts w:ascii="Times New Roman" w:cs="Times New Roman" w:eastAsia="Times New Roman" w:hAnsi="Times New Roman"/>
          <w:sz w:val="22"/>
          <w:szCs w:val="22"/>
          <w:color w:val="auto"/>
        </w:rPr>
      </w:pPr>
    </w:p>
    <w:p>
      <w:pPr>
        <w:ind w:left="2260" w:hanging="755"/>
        <w:spacing w:after="0" w:line="248" w:lineRule="auto"/>
        <w:tabs>
          <w:tab w:leader="none" w:pos="226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(the “</w:t>
      </w:r>
      <w:r>
        <w:rPr>
          <w:rFonts w:ascii="Times New Roman" w:cs="Times New Roman" w:eastAsia="Times New Roman" w:hAnsi="Times New Roman"/>
          <w:sz w:val="21"/>
          <w:szCs w:val="21"/>
          <w:u w:val="single" w:color="auto"/>
          <w:color w:val="auto"/>
        </w:rPr>
        <w:t>409A Award Portion</w:t>
      </w:r>
      <w:r>
        <w:rPr>
          <w:rFonts w:ascii="Times New Roman" w:cs="Times New Roman" w:eastAsia="Times New Roman" w:hAnsi="Times New Roman"/>
          <w:sz w:val="21"/>
          <w:szCs w:val="21"/>
          <w:color w:val="auto"/>
        </w:rPr>
        <w:t xml:space="preserve">”) shall be the Scheduled Vesting Date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applicable to the 409A Award Portion.</w:t>
      </w:r>
    </w:p>
    <w:p>
      <w:pPr>
        <w:spacing w:after="0" w:line="170" w:lineRule="exact"/>
        <w:rPr>
          <w:rFonts w:ascii="Times New Roman" w:cs="Times New Roman" w:eastAsia="Times New Roman" w:hAnsi="Times New Roman"/>
          <w:sz w:val="21"/>
          <w:szCs w:val="21"/>
          <w:color w:val="auto"/>
        </w:rPr>
      </w:pPr>
    </w:p>
    <w:p>
      <w:pPr>
        <w:ind w:left="2260" w:right="100" w:hanging="755"/>
        <w:spacing w:after="0" w:line="235" w:lineRule="auto"/>
        <w:tabs>
          <w:tab w:leader="none" w:pos="22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 (a) the date that is six months and one day following the Participant’s separation from service and (b) the Participant’s death.</w:t>
      </w:r>
    </w:p>
    <w:p>
      <w:pPr>
        <w:spacing w:after="0" w:line="17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Recovery of Compensation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The Administrator may cancel, rescind, withhold or otherwise limit or restrict this Award at any time if the Participant is not in compliance with all applicable provisions of this Agreement and the Plan. As a condition to the Participant’s receipt of this Award, and his or her right to receive and retain any amounts paid or delivered thereunder, the Participant expressly acknowledges and agrees to and reaffirms all continuing obligations and duties the Participant has under a Restrictive Covenant Agreement (as defined below) and any other obligations and duties which the Participant has to or in respect of the Company or any of its Affiliates. In the event the Participant breaches a Restrictive Covenant Agreement at any time during the Participant’s employment or service with the Company or within the time period set forth in the Restrictive Covenant Agreement following the termination of his or her employment or service, then without limiting any other remedies available to the Company or its Affiliates (including, without limitation, remedies involving injunctive relief), the Participant shall immediately forfeit any remaining unvested portion of the Award and the Participant shall be required to return to the Company all shares of Stock previously issued in respect of the Award to the extent the Participant continues to own such shares of Stock or, if the Participant no longer owns such shares of Stock, the Participant shall be required to repay to the Company the pre-tax cash value of such shares of Stock, calculated based on the fair market value of such shares of Stock on the date such shares of Stock were issued to the Participant in respect of the Award. As used herein,</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2" w:name="page33"/>
    <w:bookmarkEnd w:id="32"/>
    <w:p>
      <w:pPr>
        <w:spacing w:after="0" w:line="234" w:lineRule="auto"/>
        <w:rPr>
          <w:sz w:val="20"/>
          <w:szCs w:val="20"/>
          <w:color w:val="auto"/>
        </w:rPr>
      </w:pPr>
      <w:r>
        <w:rPr>
          <w:rFonts w:ascii="Times New Roman" w:cs="Times New Roman" w:eastAsia="Times New Roman" w:hAnsi="Times New Roman"/>
          <w:sz w:val="22"/>
          <w:szCs w:val="22"/>
          <w:color w:val="auto"/>
        </w:rPr>
        <w:t>“Restrictive Covenant Agreement” means any agreement between the Participant and the Company or its Affiliates (including, without limitation, any agreement relating to employment and post-employment competition) subjecting the Participant to confidentiality, non-disparagement, non-solicitation, non-hire, non-competition and/or other restrictive covenants in favor of the Company or its Affiliates. For the avoidance of doubt, this Agreement and the Plan do not supersede any Restrictive Covenant Agreement or employment or other individual agreement between the Participant and the Company or its Affiliates. By accepting this Award, the Participant further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20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210"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210" w:lineRule="exact"/>
        <w:rPr>
          <w:sz w:val="20"/>
          <w:szCs w:val="20"/>
          <w:color w:val="auto"/>
        </w:rPr>
      </w:pPr>
    </w:p>
    <w:p>
      <w:pPr>
        <w:ind w:right="300" w:firstLine="8"/>
        <w:spacing w:after="0" w:line="258" w:lineRule="auto"/>
        <w:tabs>
          <w:tab w:leader="none" w:pos="50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pay to the Company, or make provision satisfactory to the Company for payment of, any taxes required by law to be withheld in connection with the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3" w:name="page34"/>
    <w:bookmarkEnd w:id="33"/>
    <w:p>
      <w:pPr>
        <w:ind w:firstLine="509"/>
        <w:spacing w:after="0" w:line="246" w:lineRule="auto"/>
        <w:rPr>
          <w:sz w:val="20"/>
          <w:szCs w:val="20"/>
          <w:color w:val="auto"/>
        </w:rPr>
      </w:pPr>
      <w:r>
        <w:rPr>
          <w:rFonts w:ascii="Times New Roman" w:cs="Times New Roman" w:eastAsia="Times New Roman" w:hAnsi="Times New Roman"/>
          <w:sz w:val="21"/>
          <w:szCs w:val="21"/>
          <w:color w:val="auto"/>
        </w:rPr>
        <w:t>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19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Award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Award may not be transferred except as expressly permitted under Section 6(a)(4) of the Plan.</w:t>
      </w:r>
    </w:p>
    <w:p>
      <w:pPr>
        <w:spacing w:after="0" w:line="233"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1"/>
          <w:szCs w:val="21"/>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98"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20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spacing w:after="0" w:line="258" w:lineRule="auto"/>
        <w:rPr>
          <w:sz w:val="20"/>
          <w:szCs w:val="20"/>
          <w:color w:val="auto"/>
        </w:rPr>
      </w:pPr>
      <w:r>
        <w:rPr>
          <w:rFonts w:ascii="Times New Roman" w:cs="Times New Roman" w:eastAsia="Times New Roman" w:hAnsi="Times New Roman"/>
          <w:sz w:val="22"/>
          <w:szCs w:val="22"/>
          <w:color w:val="auto"/>
        </w:rPr>
        <w:t>Company will be binding against the Company and will create a legally binding agreement when this Agreement is countersigned by the Participant.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21"/>
          <w:szCs w:val="21"/>
          <w:color w:val="auto"/>
        </w:rPr>
        <w:t>IN WITNESS WHEREOF, the Company has caused this Agreement to be executed by its duly authorized officer.</w:t>
      </w: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Russell J. Weiner</w:t>
      </w: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08" w:right="9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00" w:hanging="378"/>
        <w:spacing w:after="0" w:line="239" w:lineRule="auto"/>
        <w:tabs>
          <w:tab w:leader="none" w:pos="7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60" w:hanging="372"/>
        <w:spacing w:after="0" w:line="239" w:lineRule="auto"/>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28, 2025</w:t>
            </w:r>
          </w:p>
        </w:tc>
        <w:tc>
          <w:tcPr>
            <w:tcW w:w="2280" w:type="dxa"/>
            <w:vAlign w:val="bottom"/>
          </w:tcPr>
          <w:p>
            <w:pPr>
              <w:spacing w:after="0"/>
              <w:rPr>
                <w:sz w:val="21"/>
                <w:szCs w:val="21"/>
                <w:color w:val="auto"/>
              </w:rPr>
            </w:pP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00"/>
        </w:trPr>
        <w:tc>
          <w:tcPr>
            <w:tcW w:w="1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7"/>
                <w:szCs w:val="17"/>
                <w:color w:val="auto"/>
              </w:rPr>
            </w:pPr>
          </w:p>
        </w:tc>
        <w:tc>
          <w:tcPr>
            <w:tcW w:w="704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1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1445"/>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00" w:hanging="378"/>
        <w:spacing w:after="0" w:line="239" w:lineRule="auto"/>
        <w:tabs>
          <w:tab w:leader="none" w:pos="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60" w:hanging="372"/>
        <w:spacing w:after="0" w:line="239" w:lineRule="auto"/>
        <w:tabs>
          <w:tab w:leader="none" w:pos="3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28, 2025</w:t>
            </w:r>
          </w:p>
        </w:tc>
        <w:tc>
          <w:tcPr>
            <w:tcW w:w="2280" w:type="dxa"/>
            <w:vAlign w:val="bottom"/>
          </w:tcPr>
          <w:p>
            <w:pPr>
              <w:spacing w:after="0"/>
              <w:rPr>
                <w:sz w:val="21"/>
                <w:szCs w:val="21"/>
                <w:color w:val="auto"/>
              </w:rPr>
            </w:pP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00"/>
        </w:trPr>
        <w:tc>
          <w:tcPr>
            <w:tcW w:w="1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7"/>
                <w:szCs w:val="17"/>
                <w:color w:val="auto"/>
              </w:rPr>
            </w:pPr>
          </w:p>
        </w:tc>
        <w:tc>
          <w:tcPr>
            <w:tcW w:w="704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Sandeep Reddy</w:t>
            </w:r>
          </w:p>
        </w:tc>
      </w:tr>
      <w:tr>
        <w:trPr>
          <w:trHeight w:val="258"/>
        </w:trPr>
        <w:tc>
          <w:tcPr>
            <w:tcW w:w="1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16"/>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March 23, 2025,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20" w:hanging="378"/>
        <w:spacing w:after="0" w:line="258" w:lineRule="auto"/>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80" w:hanging="378"/>
        <w:spacing w:after="0" w:line="258" w:lineRule="auto"/>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10795</wp:posOffset>
            </wp:positionV>
            <wp:extent cx="33515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Russell J. Weiner</w:t>
      </w:r>
    </w:p>
    <w:p>
      <w:pPr>
        <w:ind w:left="30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28,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March 23, 2025,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20" w:hanging="378"/>
        <w:spacing w:after="0" w:line="258" w:lineRule="auto"/>
        <w:tabs>
          <w:tab w:leader="none" w:pos="7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80" w:hanging="378"/>
        <w:spacing w:after="0" w:line="258" w:lineRule="auto"/>
        <w:tabs>
          <w:tab w:leader="none" w:pos="7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10795</wp:posOffset>
            </wp:positionV>
            <wp:extent cx="33515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Sandeep Reddy</w:t>
      </w:r>
    </w:p>
    <w:p>
      <w:pPr>
        <w:ind w:left="30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28,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7"/>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04"/>
    </w:lvl>
  </w:abstractNum>
  <w:abstractNum w:abstractNumId="11">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7C83E458"/>
    <w:multiLevelType w:val="hybridMultilevel"/>
    <w:lvl w:ilvl="0">
      <w:lvlJc w:val="left"/>
      <w:lvlText w:val="%1"/>
      <w:numFmt w:val="decimal"/>
      <w:start w:val="1"/>
    </w:lvl>
    <w:lvl w:ilvl="1">
      <w:lvlJc w:val="left"/>
      <w:lvlText w:val="(%2)"/>
      <w:numFmt w:val="lowerRoman"/>
      <w:start w:val="2"/>
    </w:lvl>
  </w:abstractNum>
  <w:abstractNum w:abstractNumId="13">
    <w:nsid w:val="257130A3"/>
    <w:multiLevelType w:val="hybridMultilevel"/>
    <w:lvl w:ilvl="0">
      <w:lvlJc w:val="left"/>
      <w:lvlText w:val="%1."/>
      <w:numFmt w:val="decimal"/>
      <w:start w:val="4"/>
    </w:lvl>
    <w:lvl w:ilvl="1">
      <w:lvlJc w:val="left"/>
      <w:lvlText w:val="%2"/>
      <w:numFmt w:val="lowerRoman"/>
      <w:start w:val="1"/>
    </w:lvl>
  </w:abstractNum>
  <w:abstractNum w:abstractNumId="14">
    <w:nsid w:val="62BBD95A"/>
    <w:multiLevelType w:val="hybridMultilevel"/>
    <w:lvl w:ilvl="0">
      <w:lvlJc w:val="left"/>
      <w:lvlText w:val="%1."/>
      <w:numFmt w:val="decimal"/>
      <w:start w:val="5"/>
    </w:lvl>
  </w:abstractNum>
  <w:abstractNum w:abstractNumId="15">
    <w:nsid w:val="436C6125"/>
    <w:multiLevelType w:val="hybridMultilevel"/>
    <w:lvl w:ilvl="0">
      <w:lvlJc w:val="left"/>
      <w:lvlText w:val="%1."/>
      <w:numFmt w:val="decimal"/>
      <w:start w:val="6"/>
    </w:lvl>
  </w:abstractNum>
  <w:abstractNum w:abstractNumId="16">
    <w:nsid w:val="628C895D"/>
    <w:multiLevelType w:val="hybridMultilevel"/>
    <w:lvl w:ilvl="0">
      <w:lvlJc w:val="left"/>
      <w:lvlText w:val="%1."/>
      <w:numFmt w:val="decimal"/>
      <w:start w:val="7"/>
    </w:lvl>
  </w:abstractNum>
  <w:abstractNum w:abstractNumId="17">
    <w:nsid w:val="333AB105"/>
    <w:multiLevelType w:val="hybridMultilevel"/>
    <w:lvl w:ilvl="0">
      <w:lvlJc w:val="left"/>
      <w:lvlText w:val="%1."/>
      <w:numFmt w:val="decimal"/>
      <w:start w:val="8"/>
    </w:lvl>
  </w:abstractNum>
  <w:abstractNum w:abstractNumId="18">
    <w:nsid w:val="721DA317"/>
    <w:multiLevelType w:val="hybridMultilevel"/>
    <w:lvl w:ilvl="0">
      <w:lvlJc w:val="left"/>
      <w:lvlText w:val="%1."/>
      <w:numFmt w:val="decimal"/>
      <w:start w:val="9"/>
    </w:lvl>
  </w:abstractNum>
  <w:abstractNum w:abstractNumId="19">
    <w:nsid w:val="2443A858"/>
    <w:multiLevelType w:val="hybridMultilevel"/>
    <w:lvl w:ilvl="0">
      <w:lvlJc w:val="left"/>
      <w:lvlText w:val="%1."/>
      <w:numFmt w:val="decimal"/>
      <w:start w:val="10"/>
    </w:lvl>
  </w:abstractNum>
  <w:abstractNum w:abstractNumId="20">
    <w:nsid w:val="2D1D5AE9"/>
    <w:multiLevelType w:val="hybridMultilevel"/>
    <w:lvl w:ilvl="0">
      <w:lvlJc w:val="left"/>
      <w:lvlText w:val="%1."/>
      <w:numFmt w:val="decimal"/>
      <w:start w:val="1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2025-04-28T05:25:46Z</dcterms:created>
  <dcterms:modified xsi:type="dcterms:W3CDTF">2025-04-28T05:25:46Z</dcterms:modified>
</cp:coreProperties>
</file>