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6" w:lineRule="exact"/>
        <w:rPr>
          <w:sz w:val="24"/>
          <w:szCs w:val="24"/>
          <w:color w:val="auto"/>
        </w:rPr>
      </w:pPr>
    </w:p>
    <w:p>
      <w:pPr>
        <w:ind w:left="3680" w:right="1600" w:hanging="3672"/>
        <w:spacing w:after="0" w:line="412" w:lineRule="auto"/>
        <w:tabs>
          <w:tab w:leader="none" w:pos="4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7, 2025</w:t>
      </w:r>
    </w:p>
    <w:p>
      <w:pPr>
        <w:spacing w:after="0" w:line="288"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44"/>
        </w:trPr>
        <w:tc>
          <w:tcPr>
            <w:tcW w:w="33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93980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6"/>
          <w:szCs w:val="36"/>
          <w:b w:val="1"/>
          <w:bCs w:val="1"/>
          <w:color w:val="auto"/>
        </w:rPr>
        <w:t>Domino’s Pizza, Inc.</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2" w:lineRule="exact"/>
        <w:rPr>
          <w:sz w:val="24"/>
          <w:szCs w:val="24"/>
          <w:color w:val="auto"/>
        </w:rPr>
      </w:pPr>
    </w:p>
    <w:tbl>
      <w:tblPr>
        <w:tblLayout w:type="fixed"/>
        <w:tblInd w:w="1520" w:type="dxa"/>
        <w:tblCellMar>
          <w:top w:w="0" w:type="dxa"/>
          <w:left w:w="0" w:type="dxa"/>
          <w:bottom w:w="0" w:type="dxa"/>
          <w:right w:w="0" w:type="dxa"/>
        </w:tblCellMar>
      </w:tblPr>
      <w:tr>
        <w:trPr>
          <w:trHeight w:val="205"/>
        </w:trPr>
        <w:tc>
          <w:tcPr>
            <w:tcW w:w="2980" w:type="dxa"/>
            <w:vAlign w:val="bottom"/>
          </w:tcPr>
          <w:p>
            <w:pPr>
              <w:jc w:val="center"/>
              <w:ind w:right="419"/>
              <w:spacing w:after="0" w:line="205"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spacing w:after="0"/>
              <w:rPr>
                <w:sz w:val="17"/>
                <w:szCs w:val="17"/>
                <w:color w:val="auto"/>
              </w:rPr>
            </w:pPr>
          </w:p>
        </w:tc>
        <w:tc>
          <w:tcPr>
            <w:tcW w:w="2300" w:type="dxa"/>
            <w:vAlign w:val="bottom"/>
          </w:tcPr>
          <w:p>
            <w:pPr>
              <w:jc w:val="right"/>
              <w:ind w:right="44"/>
              <w:spacing w:after="0" w:line="205" w:lineRule="exact"/>
              <w:rPr>
                <w:sz w:val="20"/>
                <w:szCs w:val="20"/>
                <w:color w:val="auto"/>
              </w:rPr>
            </w:pPr>
            <w:r>
              <w:rPr>
                <w:rFonts w:ascii="Times New Roman" w:cs="Times New Roman" w:eastAsia="Times New Roman" w:hAnsi="Times New Roman"/>
                <w:sz w:val="18"/>
                <w:szCs w:val="18"/>
                <w:b w:val="1"/>
                <w:bCs w:val="1"/>
                <w:color w:val="auto"/>
              </w:rPr>
              <w:t>38-2511577</w:t>
            </w:r>
          </w:p>
        </w:tc>
      </w:tr>
      <w:tr>
        <w:trPr>
          <w:trHeight w:val="149"/>
        </w:trPr>
        <w:tc>
          <w:tcPr>
            <w:tcW w:w="2980" w:type="dxa"/>
            <w:vAlign w:val="bottom"/>
          </w:tcPr>
          <w:p>
            <w:pPr>
              <w:jc w:val="center"/>
              <w:ind w:right="4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2300" w:type="dxa"/>
            <w:vAlign w:val="bottom"/>
          </w:tcPr>
          <w:p>
            <w:pPr>
              <w:jc w:val="center"/>
              <w:ind w:left="110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64"/>
        </w:trPr>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4"/>
                <w:szCs w:val="14"/>
                <w:color w:val="auto"/>
              </w:rPr>
            </w:pPr>
          </w:p>
        </w:tc>
        <w:tc>
          <w:tcPr>
            <w:tcW w:w="2300" w:type="dxa"/>
            <w:vAlign w:val="bottom"/>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2980" w:type="dxa"/>
            <w:vAlign w:val="bottom"/>
          </w:tcPr>
          <w:p>
            <w:pPr>
              <w:jc w:val="center"/>
              <w:ind w:right="419"/>
              <w:spacing w:after="0"/>
              <w:rPr>
                <w:sz w:val="20"/>
                <w:szCs w:val="20"/>
                <w:color w:val="auto"/>
              </w:rPr>
            </w:pPr>
            <w:r>
              <w:rPr>
                <w:rFonts w:ascii="Times New Roman" w:cs="Times New Roman" w:eastAsia="Times New Roman" w:hAnsi="Times New Roman"/>
                <w:sz w:val="18"/>
                <w:szCs w:val="18"/>
                <w:b w:val="1"/>
                <w:bCs w:val="1"/>
                <w:color w:val="auto"/>
                <w:w w:val="99"/>
              </w:rPr>
              <w:t>30 Frank Lloyd Wright Drive</w:t>
            </w:r>
          </w:p>
        </w:tc>
        <w:tc>
          <w:tcPr>
            <w:tcW w:w="22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27"/>
        </w:trPr>
        <w:tc>
          <w:tcPr>
            <w:tcW w:w="2980" w:type="dxa"/>
            <w:vAlign w:val="bottom"/>
          </w:tcPr>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Ann Arbor, Michigan</w:t>
            </w:r>
          </w:p>
        </w:tc>
        <w:tc>
          <w:tcPr>
            <w:tcW w:w="4540" w:type="dxa"/>
            <w:vAlign w:val="bottom"/>
            <w:gridSpan w:val="2"/>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48105</w:t>
            </w:r>
          </w:p>
        </w:tc>
      </w:tr>
      <w:tr>
        <w:trPr>
          <w:trHeight w:val="190"/>
        </w:trPr>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300" w:type="dxa"/>
            <w:vAlign w:val="bottom"/>
          </w:tcPr>
          <w:p>
            <w:pPr>
              <w:jc w:val="center"/>
              <w:ind w:left="112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(734) 930-3030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04"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20" w:type="dxa"/>
            <w:vAlign w:val="bottom"/>
          </w:tcPr>
          <w:p>
            <w:pPr>
              <w:spacing w:after="0"/>
              <w:rPr>
                <w:sz w:val="18"/>
                <w:szCs w:val="18"/>
                <w:color w:val="auto"/>
              </w:rPr>
            </w:pPr>
          </w:p>
        </w:tc>
        <w:tc>
          <w:tcPr>
            <w:tcW w:w="24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345"/>
        </w:trPr>
        <w:tc>
          <w:tcPr>
            <w:tcW w:w="43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Domino’s Pizza, Inc. Common Stock, $0.01 par value</w:t>
            </w:r>
          </w:p>
        </w:tc>
        <w:tc>
          <w:tcPr>
            <w:tcW w:w="400" w:type="dxa"/>
            <w:vAlign w:val="bottom"/>
          </w:tcPr>
          <w:p>
            <w:pPr>
              <w:spacing w:after="0"/>
              <w:rPr>
                <w:sz w:val="24"/>
                <w:szCs w:val="24"/>
                <w:color w:val="auto"/>
              </w:rPr>
            </w:pPr>
          </w:p>
        </w:tc>
        <w:tc>
          <w:tcPr>
            <w:tcW w:w="20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DPZ</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90" w:lineRule="exact"/>
        <w:rPr>
          <w:sz w:val="24"/>
          <w:szCs w:val="24"/>
          <w:color w:val="auto"/>
        </w:rPr>
      </w:pPr>
    </w:p>
    <w:p>
      <w:pPr>
        <w:ind w:right="28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8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57" w:lineRule="exact"/>
        <w:rPr>
          <w:sz w:val="24"/>
          <w:szCs w:val="24"/>
          <w:color w:val="auto"/>
        </w:rPr>
      </w:pPr>
    </w:p>
    <w:p>
      <w:pPr>
        <w:ind w:right="220" w:firstLine="25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260" w:right="152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7, 2025, Domino’s Pizza, Inc. had 33,786,218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97" w:right="35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7020" w:type="dxa"/>
            <w:vAlign w:val="bottom"/>
            <w:gridSpan w:val="10"/>
            <w:vMerge w:val="restart"/>
          </w:tcPr>
          <w:p>
            <w:pPr>
              <w:spacing w:after="0"/>
              <w:rPr>
                <w:sz w:val="15"/>
                <w:szCs w:val="15"/>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74"/>
        </w:trPr>
        <w:tc>
          <w:tcPr>
            <w:tcW w:w="1040" w:type="dxa"/>
            <w:vAlign w:val="bottom"/>
            <w:vMerge w:val="continue"/>
          </w:tcPr>
          <w:p>
            <w:pPr>
              <w:spacing w:after="0"/>
              <w:rPr>
                <w:sz w:val="14"/>
                <w:szCs w:val="14"/>
                <w:color w:val="auto"/>
              </w:rPr>
            </w:pPr>
          </w:p>
        </w:tc>
        <w:tc>
          <w:tcPr>
            <w:tcW w:w="2400" w:type="dxa"/>
            <w:vAlign w:val="bottom"/>
            <w:tcBorders>
              <w:bottom w:val="single" w:sz="8" w:color="0000EE"/>
            </w:tcBorders>
            <w:gridSpan w:val="14"/>
            <w:vMerge w:val="continue"/>
          </w:tcPr>
          <w:p>
            <w:pPr>
              <w:spacing w:after="0"/>
              <w:rPr>
                <w:sz w:val="14"/>
                <w:szCs w:val="14"/>
                <w:color w:val="auto"/>
              </w:rPr>
            </w:pPr>
          </w:p>
        </w:tc>
        <w:tc>
          <w:tcPr>
            <w:tcW w:w="7020" w:type="dxa"/>
            <w:vAlign w:val="bottom"/>
            <w:gridSpan w:val="10"/>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920" w:type="dxa"/>
            <w:vAlign w:val="bottom"/>
            <w:gridSpan w:val="17"/>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4"/>
                <w:szCs w:val="24"/>
                <w:color w:val="auto"/>
              </w:rPr>
            </w:pPr>
          </w:p>
        </w:tc>
        <w:tc>
          <w:tcPr>
            <w:tcW w:w="75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 – As of September 7, 2025 and December 29, 2024</w:t>
            </w:r>
          </w:p>
        </w:tc>
        <w:tc>
          <w:tcPr>
            <w:tcW w:w="184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4"/>
                <w:szCs w:val="24"/>
                <w:color w:val="auto"/>
              </w:rPr>
            </w:pPr>
          </w:p>
        </w:tc>
        <w:tc>
          <w:tcPr>
            <w:tcW w:w="88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(Unaudited) – Fiscal quarters and three fiscal quarters ended September 7,</w:t>
            </w:r>
          </w:p>
        </w:tc>
        <w:tc>
          <w:tcPr>
            <w:tcW w:w="58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2025 and September 8, 2024</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0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 – Fiscal quarters and three fiscal quarters ended</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September 7, 2025 and September 8, 2024</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85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 Three fiscal quarters ended September 7, 2025 and</w:t>
            </w:r>
          </w:p>
        </w:tc>
        <w:tc>
          <w:tcPr>
            <w:tcW w:w="92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September 8, 2024</w:t>
            </w:r>
          </w:p>
        </w:tc>
        <w:tc>
          <w:tcPr>
            <w:tcW w:w="786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4"/>
                <w:szCs w:val="24"/>
                <w:color w:val="auto"/>
              </w:rPr>
            </w:pPr>
          </w:p>
        </w:tc>
        <w:tc>
          <w:tcPr>
            <w:tcW w:w="9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EE"/>
            </w:tcBorders>
            <w:gridSpan w:val="2"/>
          </w:tcPr>
          <w:p>
            <w:pPr>
              <w:spacing w:after="0"/>
              <w:rPr>
                <w:sz w:val="24"/>
                <w:szCs w:val="24"/>
                <w:color w:val="auto"/>
              </w:rPr>
            </w:pPr>
          </w:p>
        </w:tc>
        <w:tc>
          <w:tcPr>
            <w:tcW w:w="296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64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0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EE"/>
            </w:tcBorders>
            <w:gridSpan w:val="2"/>
          </w:tcPr>
          <w:p>
            <w:pPr>
              <w:spacing w:after="0"/>
              <w:rPr>
                <w:sz w:val="24"/>
                <w:szCs w:val="24"/>
                <w:color w:val="auto"/>
              </w:rPr>
            </w:pPr>
          </w:p>
        </w:tc>
        <w:tc>
          <w:tcPr>
            <w:tcW w:w="8100" w:type="dxa"/>
            <w:vAlign w:val="bottom"/>
            <w:gridSpan w:val="18"/>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EE"/>
            </w:tcBorders>
            <w:gridSpan w:val="3"/>
          </w:tcPr>
          <w:p>
            <w:pPr>
              <w:spacing w:after="0"/>
              <w:rPr>
                <w:sz w:val="24"/>
                <w:szCs w:val="24"/>
                <w:color w:val="auto"/>
              </w:rPr>
            </w:pPr>
          </w:p>
        </w:tc>
        <w:tc>
          <w:tcPr>
            <w:tcW w:w="508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6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EE"/>
            </w:tcBorders>
            <w:gridSpan w:val="2"/>
          </w:tcPr>
          <w:p>
            <w:pPr>
              <w:spacing w:after="0"/>
              <w:rPr>
                <w:sz w:val="24"/>
                <w:szCs w:val="24"/>
                <w:color w:val="auto"/>
              </w:rPr>
            </w:pPr>
          </w:p>
        </w:tc>
        <w:tc>
          <w:tcPr>
            <w:tcW w:w="8120" w:type="dxa"/>
            <w:vAlign w:val="bottom"/>
            <w:gridSpan w:val="19"/>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18"/>
        </w:trPr>
        <w:tc>
          <w:tcPr>
            <w:tcW w:w="1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9"/>
              </w:rPr>
              <w:t>SIGNATURES</w:t>
            </w:r>
          </w:p>
        </w:tc>
        <w:tc>
          <w:tcPr>
            <w:tcW w:w="9280" w:type="dxa"/>
            <w:vAlign w:val="bottom"/>
            <w:gridSpan w:val="2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668"/>
        </w:trPr>
        <w:tc>
          <w:tcPr>
            <w:tcW w:w="1040" w:type="dxa"/>
            <w:vAlign w:val="bottom"/>
          </w:tcPr>
          <w:p>
            <w:pPr>
              <w:spacing w:after="0"/>
              <w:rPr>
                <w:sz w:val="24"/>
                <w:szCs w:val="24"/>
                <w:color w:val="auto"/>
              </w:rPr>
            </w:pPr>
          </w:p>
        </w:tc>
        <w:tc>
          <w:tcPr>
            <w:tcW w:w="4900" w:type="dxa"/>
            <w:vAlign w:val="bottom"/>
            <w:gridSpan w:val="18"/>
          </w:tcPr>
          <w:p>
            <w:pPr>
              <w:ind w:left="454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5"/>
                <w:szCs w:val="15"/>
                <w:color w:val="auto"/>
              </w:rPr>
            </w:pPr>
          </w:p>
        </w:tc>
        <w:tc>
          <w:tcPr>
            <w:tcW w:w="17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7, 2025</w:t>
            </w:r>
          </w:p>
        </w:tc>
        <w:tc>
          <w:tcPr>
            <w:tcW w:w="220" w:type="dxa"/>
            <w:vAlign w:val="bottom"/>
          </w:tcPr>
          <w:p>
            <w:pPr>
              <w:spacing w:after="0"/>
              <w:rPr>
                <w:sz w:val="15"/>
                <w:szCs w:val="15"/>
                <w:color w:val="auto"/>
              </w:rPr>
            </w:pPr>
          </w:p>
        </w:tc>
        <w:tc>
          <w:tcPr>
            <w:tcW w:w="17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139,728</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186,126</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202,501</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195,370</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277,175</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309,104</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71,155</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70,919</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41,349</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40,363</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fund assets, restricted</w:t>
            </w:r>
          </w:p>
        </w:tc>
        <w:tc>
          <w:tcPr>
            <w:tcW w:w="1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135,826</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103,396</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867,734</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905,278</w:t>
            </w:r>
          </w:p>
        </w:tc>
      </w:tr>
      <w:tr>
        <w:trPr>
          <w:trHeight w:val="210"/>
        </w:trPr>
        <w:tc>
          <w:tcPr>
            <w:tcW w:w="7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Land and buildings</w:t>
            </w: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104,657</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104,793</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Leasehold and other improvements</w:t>
            </w:r>
          </w:p>
        </w:tc>
        <w:tc>
          <w:tcPr>
            <w:tcW w:w="1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191,543</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191,718</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Equipment</w:t>
            </w: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411,128</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390,542</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15,760</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22,717</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723,088</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709,770</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(432,435)</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(408,591)</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290,653</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301,179</w:t>
            </w:r>
          </w:p>
        </w:tc>
      </w:tr>
      <w:tr>
        <w:trPr>
          <w:trHeight w:val="210"/>
        </w:trPr>
        <w:tc>
          <w:tcPr>
            <w:tcW w:w="7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223,540</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210,302</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10,764</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11,578</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Capitalized software, net</w:t>
            </w: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159,238</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155,025</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DPC Dash</w:t>
            </w:r>
          </w:p>
        </w:tc>
        <w:tc>
          <w:tcPr>
            <w:tcW w:w="1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43,650</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82,699</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14,178</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23,432</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50,520</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47,520</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501,890</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530,556</w:t>
            </w:r>
          </w:p>
        </w:tc>
      </w:tr>
      <w:tr>
        <w:trPr>
          <w:trHeight w:val="20"/>
        </w:trPr>
        <w:tc>
          <w:tcPr>
            <w:tcW w:w="7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1,660,277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1,737,013</w:t>
            </w:r>
          </w:p>
        </w:tc>
      </w:tr>
      <w:tr>
        <w:trPr>
          <w:trHeight w:val="20"/>
        </w:trPr>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deficit</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5,521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1,149,679</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113,071</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85,898</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45,163</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39,920</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 reserves</w:t>
            </w:r>
          </w:p>
        </w:tc>
        <w:tc>
          <w:tcPr>
            <w:tcW w:w="1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24,824</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25,658</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61,183</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2,246</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fund liabilities</w:t>
            </w:r>
          </w:p>
        </w:tc>
        <w:tc>
          <w:tcPr>
            <w:tcW w:w="1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132,705</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101,567</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156,686</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207,494</w:t>
            </w:r>
          </w:p>
        </w:tc>
      </w:tr>
      <w:tr>
        <w:trPr>
          <w:trHeight w:val="20"/>
        </w:trPr>
        <w:tc>
          <w:tcPr>
            <w:tcW w:w="7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539,153</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1,612,462</w:t>
            </w: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4,810,274</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3,825,659</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190,757</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181,983</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 reserves</w:t>
            </w:r>
          </w:p>
        </w:tc>
        <w:tc>
          <w:tcPr>
            <w:tcW w:w="1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34,757</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33,229</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47,295</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45,971</w:t>
            </w:r>
          </w:p>
        </w:tc>
      </w:tr>
      <w:tr>
        <w:trPr>
          <w:trHeight w:val="20"/>
        </w:trPr>
        <w:tc>
          <w:tcPr>
            <w:tcW w:w="7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5,083,083</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4,086,842</w:t>
            </w: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8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619</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1,272</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deficit</w:t>
            </w:r>
          </w:p>
        </w:tc>
        <w:tc>
          <w:tcPr>
            <w:tcW w:w="1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(3,957,671)</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(3,956,474)</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(5,245)</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(7,432)</w:t>
            </w:r>
          </w:p>
        </w:tc>
      </w:tr>
      <w:tr>
        <w:trPr>
          <w:trHeight w:val="20"/>
        </w:trPr>
        <w:tc>
          <w:tcPr>
            <w:tcW w:w="7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(3,961,959)</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(3,962,291)</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1,660,277</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1,737,013</w:t>
            </w:r>
          </w:p>
        </w:tc>
      </w:tr>
      <w:tr>
        <w:trPr>
          <w:trHeight w:val="20"/>
        </w:trPr>
        <w:tc>
          <w:tcPr>
            <w:tcW w:w="7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-5640070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-5640070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-4516755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-4516755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-3402330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-1996440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-1156335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-316865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20" w:type="dxa"/>
            <w:vAlign w:val="bottom"/>
          </w:tcPr>
          <w:p>
            <w:pPr>
              <w:spacing w:after="0"/>
              <w:rPr>
                <w:sz w:val="15"/>
                <w:szCs w:val="15"/>
                <w:color w:val="auto"/>
              </w:rPr>
            </w:pPr>
          </w:p>
        </w:tc>
        <w:tc>
          <w:tcPr>
            <w:tcW w:w="252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17"/>
        </w:trPr>
        <w:tc>
          <w:tcPr>
            <w:tcW w:w="4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7,</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7,</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100" w:type="dxa"/>
            <w:vAlign w:val="bottom"/>
          </w:tcPr>
          <w:p>
            <w:pPr>
              <w:spacing w:after="0"/>
              <w:rPr>
                <w:sz w:val="10"/>
                <w:szCs w:val="10"/>
                <w:color w:val="auto"/>
              </w:rPr>
            </w:pPr>
          </w:p>
        </w:tc>
      </w:tr>
      <w:tr>
        <w:trPr>
          <w:trHeight w:val="173"/>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1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Company-owned stores</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82,749</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266,803</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274,086</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157,155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144,074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464,416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442,168</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Supply chain</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2,053,945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1,969,772</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78,549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74,633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231,272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220,295</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120,925</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356,181</w:t>
            </w:r>
          </w:p>
        </w:tc>
        <w:tc>
          <w:tcPr>
            <w:tcW w:w="100" w:type="dxa"/>
            <w:vAlign w:val="bottom"/>
          </w:tcPr>
          <w:p>
            <w:pPr>
              <w:spacing w:after="0"/>
              <w:rPr>
                <w:sz w:val="18"/>
                <w:szCs w:val="18"/>
                <w:color w:val="auto"/>
              </w:rPr>
            </w:pPr>
          </w:p>
        </w:tc>
      </w:tr>
      <w:tr>
        <w:trPr>
          <w:trHeight w:val="209"/>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1,147,054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1,080,119</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3,404,254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3,262,502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Company-owned stores</w:t>
            </w: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74,205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224,242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226,722</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Supply chain</w:t>
            </w:r>
          </w:p>
        </w:tc>
        <w:tc>
          <w:tcPr>
            <w:tcW w:w="1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582,167</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1,815,993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1,753,132</w:t>
            </w:r>
          </w:p>
        </w:tc>
        <w:tc>
          <w:tcPr>
            <w:tcW w:w="100" w:type="dxa"/>
            <w:vAlign w:val="bottom"/>
          </w:tcPr>
          <w:p>
            <w:pPr>
              <w:spacing w:after="0"/>
              <w:rPr>
                <w:sz w:val="18"/>
                <w:szCs w:val="18"/>
                <w:color w:val="auto"/>
              </w:rPr>
            </w:pPr>
          </w:p>
        </w:tc>
      </w:tr>
      <w:tr>
        <w:trPr>
          <w:trHeight w:val="209"/>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13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687,152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656,372</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2,040,235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1,979,854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1,364,019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1,282,648</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105,092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103,991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321,777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320,962</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U.S. franchise advertising</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356,181</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Refranchising (gain) loss</w:t>
            </w: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(3,883)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spacing w:after="0"/>
              <w:rPr>
                <w:sz w:val="18"/>
                <w:szCs w:val="18"/>
                <w:color w:val="auto"/>
              </w:rPr>
            </w:pPr>
          </w:p>
        </w:tc>
      </w:tr>
      <w:tr>
        <w:trPr>
          <w:trHeight w:val="210"/>
        </w:trPr>
        <w:tc>
          <w:tcPr>
            <w:tcW w:w="4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3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223,168</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198,831</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658,307</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605,347</w:t>
            </w:r>
          </w:p>
        </w:tc>
        <w:tc>
          <w:tcPr>
            <w:tcW w:w="100" w:type="dxa"/>
            <w:vAlign w:val="bottom"/>
            <w:tcBorders>
              <w:top w:val="single" w:sz="8" w:color="CFF0FC"/>
            </w:tcBorders>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(3,017)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(45,012)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(44,726)</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(135,245)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(135,293)</w:t>
            </w:r>
          </w:p>
        </w:tc>
      </w:tr>
      <w:tr>
        <w:trPr>
          <w:trHeight w:val="210"/>
        </w:trPr>
        <w:tc>
          <w:tcPr>
            <w:tcW w:w="4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3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179,199</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184,616</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539,932</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501,222</w:t>
            </w:r>
          </w:p>
        </w:tc>
        <w:tc>
          <w:tcPr>
            <w:tcW w:w="100" w:type="dxa"/>
            <w:vAlign w:val="bottom"/>
            <w:tcBorders>
              <w:top w:val="single" w:sz="8" w:color="CFF0FC"/>
            </w:tcBorders>
          </w:tcPr>
          <w:p>
            <w:pPr>
              <w:spacing w:after="0"/>
              <w:rPr>
                <w:sz w:val="18"/>
                <w:szCs w:val="18"/>
                <w:color w:val="auto"/>
              </w:rPr>
            </w:pPr>
          </w:p>
        </w:tc>
      </w:tr>
      <w:tr>
        <w:trPr>
          <w:trHeight w:val="216"/>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37,692</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119,871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139,319</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146,924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420,061</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414,726</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1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 basic</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 - diluted</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-2545715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-2545715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-2545715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-2545715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-1979930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-1979930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-1979930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-1979930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-1422400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-1422400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-1422400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-865505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-865505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-865505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-582295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-582295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-582295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40" w:type="dxa"/>
            <w:vAlign w:val="bottom"/>
            <w:gridSpan w:val="5"/>
          </w:tcPr>
          <w:p>
            <w:pPr>
              <w:jc w:val="right"/>
              <w:ind w:right="998"/>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6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17"/>
        </w:trPr>
        <w:tc>
          <w:tcPr>
            <w:tcW w:w="38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7,</w:t>
            </w: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318"/>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7,</w:t>
            </w:r>
          </w:p>
        </w:tc>
        <w:tc>
          <w:tcPr>
            <w:tcW w:w="3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318"/>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120" w:type="dxa"/>
            <w:vAlign w:val="bottom"/>
          </w:tcPr>
          <w:p>
            <w:pPr>
              <w:spacing w:after="0"/>
              <w:rPr>
                <w:sz w:val="10"/>
                <w:szCs w:val="10"/>
                <w:color w:val="auto"/>
              </w:rPr>
            </w:pPr>
          </w:p>
        </w:tc>
      </w:tr>
      <w:tr>
        <w:trPr>
          <w:trHeight w:val="173"/>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139,319</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146,924</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420,061</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414,726</w:t>
            </w:r>
          </w:p>
        </w:tc>
        <w:tc>
          <w:tcPr>
            <w:tcW w:w="12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(1,010)</w:t>
            </w:r>
          </w:p>
        </w:tc>
      </w:tr>
      <w:tr>
        <w:trPr>
          <w:trHeight w:val="20"/>
        </w:trPr>
        <w:tc>
          <w:tcPr>
            <w:tcW w:w="3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147,522</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422,248</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413,716</w:t>
            </w:r>
          </w:p>
        </w:tc>
        <w:tc>
          <w:tcPr>
            <w:tcW w:w="120" w:type="dxa"/>
            <w:vAlign w:val="bottom"/>
            <w:shd w:val="clear" w:color="auto" w:fill="CFF0FC"/>
          </w:tcPr>
          <w:p>
            <w:pPr>
              <w:spacing w:after="0"/>
              <w:rPr>
                <w:sz w:val="19"/>
                <w:szCs w:val="19"/>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6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0" w:type="dxa"/>
            <w:vAlign w:val="bottom"/>
          </w:tcPr>
          <w:p>
            <w:pPr>
              <w:spacing w:after="0"/>
              <w:rPr>
                <w:sz w:val="1"/>
                <w:szCs w:val="1"/>
                <w:color w:val="auto"/>
              </w:rPr>
            </w:pPr>
          </w:p>
        </w:tc>
      </w:tr>
      <w:tr>
        <w:trPr>
          <w:trHeight w:val="117"/>
        </w:trPr>
        <w:tc>
          <w:tcPr>
            <w:tcW w:w="78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7,</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271"/>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420,061</w:t>
            </w:r>
          </w:p>
        </w:tc>
        <w:tc>
          <w:tcPr>
            <w:tcW w:w="1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Refranchising (gain) loss</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(3,883)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Provision (benefit) for deferred income taxes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(7,524)</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31,681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Excess tax benefits from equity-based compensation</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(21,609)</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(Benefit) provision for losses on accounts and notes receivable</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Unrealized and realized gain on investments, net</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(18,871)</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(18,968)</w:t>
            </w: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Changes in advertising fund assets and liabilities, restricted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552,256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446,879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(56,667)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(70,801)</w:t>
            </w: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 of investments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(6,063)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(71,895)</w:t>
            </w:r>
          </w:p>
        </w:tc>
        <w:tc>
          <w:tcPr>
            <w:tcW w:w="0" w:type="dxa"/>
            <w:vAlign w:val="bottom"/>
          </w:tcPr>
          <w:p>
            <w:pPr>
              <w:spacing w:after="0"/>
              <w:rPr>
                <w:sz w:val="1"/>
                <w:szCs w:val="1"/>
                <w:color w:val="auto"/>
              </w:rPr>
            </w:pPr>
          </w:p>
        </w:tc>
      </w:tr>
      <w:tr>
        <w:trPr>
          <w:trHeight w:val="210"/>
        </w:trPr>
        <w:tc>
          <w:tcPr>
            <w:tcW w:w="7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long-term debt and finance lease obligations</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(1,147,773)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(15,947)</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(277,698)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(214,999)</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(10,862)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(10,706)</w:t>
            </w: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of common stock dividends and equivalents</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(106,015)</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paid for financing costs</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(15,287)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(558,241)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0"/>
        </w:trPr>
        <w:tc>
          <w:tcPr>
            <w:tcW w:w="78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and cash equivalents, beginning of period</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195,370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22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80,928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of period</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220" w:type="dxa"/>
            <w:vAlign w:val="bottom"/>
            <w:shd w:val="clear" w:color="auto" w:fill="CFF0FC"/>
          </w:tcPr>
          <w:p>
            <w:pPr>
              <w:spacing w:after="0"/>
              <w:rPr>
                <w:sz w:val="16"/>
                <w:szCs w:val="16"/>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462,424</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403,133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6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cash equivalents included in advertising fund assets, restricted, beginning of period</w:t>
            </w:r>
          </w:p>
        </w:tc>
        <w:tc>
          <w:tcPr>
            <w:tcW w:w="2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139,728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cash equivalents, end of period</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220" w:type="dxa"/>
            <w:vAlign w:val="bottom"/>
            <w:shd w:val="clear" w:color="auto" w:fill="CFF0FC"/>
          </w:tcPr>
          <w:p>
            <w:pPr>
              <w:spacing w:after="0"/>
              <w:rPr>
                <w:sz w:val="17"/>
                <w:szCs w:val="17"/>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109,634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end of period</w:t>
            </w: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451,863</w:t>
            </w:r>
          </w:p>
        </w:tc>
        <w:tc>
          <w:tcPr>
            <w:tcW w:w="180" w:type="dxa"/>
            <w:vAlign w:val="bottom"/>
          </w:tcPr>
          <w:p>
            <w:pPr>
              <w:spacing w:after="0"/>
              <w:rPr>
                <w:sz w:val="16"/>
                <w:szCs w:val="16"/>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464,530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8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cash equivalents included in advertising fund assets, restricted, end of period</w:t>
            </w:r>
          </w:p>
        </w:tc>
        <w:tc>
          <w:tcPr>
            <w:tcW w:w="2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-4328160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-4328160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-3488055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-2091055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-984885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-967740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-281940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tabular amounts in thousands, except share and per share amounts)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7,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Basis of Presentation</w:t>
      </w:r>
    </w:p>
    <w:p>
      <w:pPr>
        <w:spacing w:after="0" w:line="117"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Additionally, the condensed consolidated balance sheet at December 29, 2024 has been derived from the audited consolidated financial statements at that date but does not include all of the information and footnotes required by accounting principles generally accepted in the United States for complete financial statements. Certain captions have been conformed to the current period presentation. For further information, refer to the consolidated financial statements and footnotes for the fiscal year ended December 29, 2024 included in the Company’s 2024 Annual Report on Form 10-K, filed with the Securities and Exchange Commission on February 24, 2025 (the “2024 Form 10-K”).</w:t>
      </w:r>
    </w:p>
    <w:p>
      <w:pPr>
        <w:spacing w:after="0" w:line="84" w:lineRule="exact"/>
        <w:rPr>
          <w:sz w:val="20"/>
          <w:szCs w:val="20"/>
          <w:color w:val="auto"/>
        </w:rPr>
      </w:pPr>
    </w:p>
    <w:p>
      <w:pPr>
        <w:ind w:right="180" w:firstLine="255"/>
        <w:spacing w:after="0" w:line="258" w:lineRule="auto"/>
        <w:rPr>
          <w:sz w:val="20"/>
          <w:szCs w:val="20"/>
          <w:color w:val="auto"/>
        </w:rPr>
      </w:pPr>
      <w:r>
        <w:rPr>
          <w:rFonts w:ascii="Times New Roman" w:cs="Times New Roman" w:eastAsia="Times New Roman" w:hAnsi="Times New Roman"/>
          <w:sz w:val="18"/>
          <w:szCs w:val="18"/>
          <w:color w:val="auto"/>
        </w:rPr>
        <w:t>The 2025 and 2024 third quarters referenced herein represent the twelve-week periods ended September 7, 2025 and September 8, 2024, respectively. The 2025 and 2024 three fiscal quarters referenced herein represent the thirty-six-week periods ended September 7, 2025 and September 8, 2024, respectively. In the opinion of management, all adjustments, consisting of normal recurring items, considered necessary for a fair statement have been included. Operating results for the third quarter and three fiscal quarters ended September 7, 2025 are not necessarily indicative of the results that may be expected for the fiscal year ending December 28,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Segment Information</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has three reportable segments: (i) U.S. stores; (ii) supply chain; and (iii) international franchise.</w:t>
      </w:r>
    </w:p>
    <w:p>
      <w:pPr>
        <w:spacing w:after="0" w:line="131"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The Company’s operations are organized by management on the combined basis of line of business and geography. The U.S. stores segment includes operations with respect to all franchised and Company-owned stores throughout the U.S. The supply chain segment primarily includes the distribution of food and, to a lesser extent, other products, from the Company’s supply chain center operations in the U.S. and Canada. The international franchise segment includes operations related to the Company’s franchising business in foreign markets. The Company’s chief operating decision maker is its Chief Executive Officer, and he evaluates the performance of the Company’s segments and allocates resources to them based on revenues and earnings before interest, taxes, depreciation, amortization and other, referred to as Segment Income. The Company uses Segment Income to determine future business objectives and targets and for long-range planning for the reportable segments, as well as to evaluate their operating performance.</w:t>
      </w:r>
    </w:p>
    <w:p>
      <w:pPr>
        <w:spacing w:after="0" w:line="94"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The tables below summarize the financial information, including revenues, significant segment expenses, Segment Income and capital expenditures, concerning the Company’s reportable segments for the third quarter and three fiscal quarters ended September 7, 2025 and September 8, 2024. Intersegment revenues are comprised of sales of food and, to a lesser extent, other products, from the supply chain segment to the Company-owned stores in the U.S. stores segment. Intersegment sales prices are market based.</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The Company adopted </w:t>
      </w:r>
      <w:r>
        <w:rPr>
          <w:rFonts w:ascii="Times New Roman" w:cs="Times New Roman" w:eastAsia="Times New Roman" w:hAnsi="Times New Roman"/>
          <w:sz w:val="18"/>
          <w:szCs w:val="18"/>
          <w:i w:val="1"/>
          <w:iCs w:val="1"/>
          <w:color w:val="auto"/>
        </w:rPr>
        <w:t>Accounting Standards Update (“ASU”) 2023-07, Segment Reporting (Topic 280): Improvements to Reportable Segment</w:t>
      </w:r>
    </w:p>
    <w:p>
      <w:pPr>
        <w:spacing w:after="0" w:line="36"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Disclosures (“ASU 2023-07”) </w:t>
      </w:r>
      <w:r>
        <w:rPr>
          <w:rFonts w:ascii="Times New Roman" w:cs="Times New Roman" w:eastAsia="Times New Roman" w:hAnsi="Times New Roman"/>
          <w:sz w:val="18"/>
          <w:szCs w:val="18"/>
          <w:color w:val="auto"/>
        </w:rPr>
        <w:t>in the fourth quarter of 2024. The Company has included the relevant interim disclosures retrospectively for all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in the condensed consolidated financial statements.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Fiscal Quarter Ended September 7, 2025</w:t>
            </w: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ind w:right="37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Supply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Chain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Company-owned stores</w:t>
            </w:r>
          </w:p>
        </w:tc>
        <w:tc>
          <w:tcPr>
            <w:tcW w:w="1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82,749</w:t>
            </w:r>
          </w:p>
        </w:tc>
        <w:tc>
          <w:tcPr>
            <w:tcW w:w="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Supply chain</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722,597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722,597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Supply chain - intersegment revenues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(25,638)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(25,638)</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78,549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131,642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1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371,546</w:t>
            </w:r>
          </w:p>
        </w:tc>
        <w:tc>
          <w:tcPr>
            <w:tcW w:w="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696,959</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78,549</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1,147,054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 - food</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 - labor</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61,887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Cost of sales - other </w:t>
            </w:r>
            <w:r>
              <w:rPr>
                <w:rFonts w:ascii="Times New Roman" w:cs="Times New Roman" w:eastAsia="Times New Roman" w:hAnsi="Times New Roman"/>
                <w:sz w:val="24"/>
                <w:szCs w:val="24"/>
                <w:color w:val="auto"/>
                <w:vertAlign w:val="superscript"/>
              </w:rPr>
              <w:t>(1)</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131,642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(2)</w:t>
            </w: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36,858</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136,309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70,165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67,297</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273,771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Segment capital expenditures </w:t>
            </w:r>
            <w:r>
              <w:rPr>
                <w:rFonts w:ascii="Times New Roman" w:cs="Times New Roman" w:eastAsia="Times New Roman" w:hAnsi="Times New Roman"/>
                <w:sz w:val="22"/>
                <w:szCs w:val="22"/>
                <w:b w:val="1"/>
                <w:bCs w:val="1"/>
                <w:color w:val="auto"/>
                <w:vertAlign w:val="superscript"/>
              </w:rPr>
              <w:t>(3)</w:t>
            </w:r>
          </w:p>
        </w:tc>
        <w:tc>
          <w:tcPr>
            <w:tcW w:w="156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2,629</w:t>
            </w:r>
          </w:p>
        </w:tc>
        <w:tc>
          <w:tcPr>
            <w:tcW w:w="220" w:type="dxa"/>
            <w:vAlign w:val="bottom"/>
          </w:tcPr>
          <w:p>
            <w:pPr>
              <w:spacing w:after="0"/>
              <w:rPr>
                <w:sz w:val="17"/>
                <w:szCs w:val="17"/>
                <w:color w:val="auto"/>
              </w:rPr>
            </w:pP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8,248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139</w:t>
            </w:r>
          </w:p>
        </w:tc>
        <w:tc>
          <w:tcPr>
            <w:tcW w:w="4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11,016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-959485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-942340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-959485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-942340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-959485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-942340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-959485</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-942340</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Fiscal Quarters Ended September 7, 2025</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Supply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240" w:type="dxa"/>
            <w:vAlign w:val="bottom"/>
          </w:tcPr>
          <w:p>
            <w:pPr>
              <w:spacing w:after="0"/>
              <w:rPr>
                <w:sz w:val="10"/>
                <w:szCs w:val="10"/>
                <w:color w:val="auto"/>
              </w:rPr>
            </w:pPr>
          </w:p>
        </w:tc>
        <w:tc>
          <w:tcPr>
            <w:tcW w:w="92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Chain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Company-owned stores</w:t>
            </w:r>
          </w:p>
        </w:tc>
        <w:tc>
          <w:tcPr>
            <w:tcW w:w="1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266,803</w:t>
            </w:r>
          </w:p>
        </w:tc>
        <w:tc>
          <w:tcPr>
            <w:tcW w:w="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Supply chain</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2,135,164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2,135,164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Supply chain - intersegment revenues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(81,219)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(81,219)</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231,272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387,818</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1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1,119,037</w:t>
            </w:r>
          </w:p>
        </w:tc>
        <w:tc>
          <w:tcPr>
            <w:tcW w:w="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2,053,945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231,272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3,404,254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 - food</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1,454,349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1,533,452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 - labor</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82,353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183,793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Cost of sales - other </w:t>
            </w:r>
            <w:r>
              <w:rPr>
                <w:rFonts w:ascii="Times New Roman" w:cs="Times New Roman" w:eastAsia="Times New Roman" w:hAnsi="Times New Roman"/>
                <w:sz w:val="24"/>
                <w:szCs w:val="24"/>
                <w:color w:val="auto"/>
                <w:vertAlign w:val="superscript"/>
              </w:rPr>
              <w:t>(1)</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387,818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(2)</w:t>
            </w: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112,830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15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402,112</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217,193</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196,640</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815,945</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Segment capital expenditures </w:t>
            </w:r>
            <w:r>
              <w:rPr>
                <w:rFonts w:ascii="Times New Roman" w:cs="Times New Roman" w:eastAsia="Times New Roman" w:hAnsi="Times New Roman"/>
                <w:sz w:val="22"/>
                <w:szCs w:val="22"/>
                <w:b w:val="1"/>
                <w:bCs w:val="1"/>
                <w:color w:val="auto"/>
                <w:vertAlign w:val="superscript"/>
              </w:rPr>
              <w:t>(3)</w:t>
            </w:r>
          </w:p>
        </w:tc>
        <w:tc>
          <w:tcPr>
            <w:tcW w:w="15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5,588</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22,834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139</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28,561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Fiscal Quarter Ended September 8, 2024</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Supply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240" w:type="dxa"/>
            <w:vAlign w:val="bottom"/>
          </w:tcPr>
          <w:p>
            <w:pPr>
              <w:spacing w:after="0"/>
              <w:rPr>
                <w:sz w:val="10"/>
                <w:szCs w:val="10"/>
                <w:color w:val="auto"/>
              </w:rPr>
            </w:pPr>
          </w:p>
        </w:tc>
        <w:tc>
          <w:tcPr>
            <w:tcW w:w="92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Chain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Company-owned stores</w:t>
            </w:r>
          </w:p>
        </w:tc>
        <w:tc>
          <w:tcPr>
            <w:tcW w:w="1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89,173</w:t>
            </w:r>
          </w:p>
        </w:tc>
        <w:tc>
          <w:tcPr>
            <w:tcW w:w="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Supply chain</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679,664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679,664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Supply chain - intersegment revenues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(28,350)</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74,633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120,925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1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354,172</w:t>
            </w:r>
          </w:p>
        </w:tc>
        <w:tc>
          <w:tcPr>
            <w:tcW w:w="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651,314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74,633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1,080,119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 - food</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 - labor</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60,124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Cost of sales - other </w:t>
            </w:r>
            <w:r>
              <w:rPr>
                <w:rFonts w:ascii="Times New Roman" w:cs="Times New Roman" w:eastAsia="Times New Roman" w:hAnsi="Times New Roman"/>
                <w:sz w:val="24"/>
                <w:szCs w:val="24"/>
                <w:color w:val="auto"/>
                <w:vertAlign w:val="superscript"/>
              </w:rPr>
              <w:t>(1)</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120,925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(2)</w:t>
            </w: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15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128,577</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61,173</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62,367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252,117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80" w:type="dxa"/>
            <w:vAlign w:val="bottom"/>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Segment capital expenditures </w:t>
            </w:r>
            <w:r>
              <w:rPr>
                <w:rFonts w:ascii="Times New Roman" w:cs="Times New Roman" w:eastAsia="Times New Roman" w:hAnsi="Times New Roman"/>
                <w:sz w:val="22"/>
                <w:szCs w:val="22"/>
                <w:b w:val="1"/>
                <w:bCs w:val="1"/>
                <w:color w:val="auto"/>
                <w:vertAlign w:val="superscript"/>
              </w:rPr>
              <w:t>(3)</w:t>
            </w:r>
          </w:p>
        </w:tc>
        <w:tc>
          <w:tcPr>
            <w:tcW w:w="178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4,256</w:t>
            </w:r>
          </w:p>
        </w:tc>
        <w:tc>
          <w:tcPr>
            <w:tcW w:w="44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8,116</w:t>
            </w:r>
          </w:p>
        </w:tc>
        <w:tc>
          <w:tcPr>
            <w:tcW w:w="140" w:type="dxa"/>
            <w:vAlign w:val="bottom"/>
          </w:tcPr>
          <w:p>
            <w:pPr>
              <w:spacing w:after="0"/>
              <w:rPr>
                <w:sz w:val="17"/>
                <w:szCs w:val="17"/>
                <w:color w:val="auto"/>
              </w:rPr>
            </w:pPr>
          </w:p>
        </w:tc>
        <w:tc>
          <w:tcPr>
            <w:tcW w:w="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12,372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-3419475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-3402330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-3419475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-3402330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-3419475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-3402330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-3419475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-3402330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-959485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-942340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-959485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-942340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-959485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-942340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-959485</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-942340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Fiscal Quarters Ended September 8, 2024</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ind w:right="37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Supply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240" w:type="dxa"/>
            <w:vAlign w:val="bottom"/>
          </w:tcPr>
          <w:p>
            <w:pPr>
              <w:spacing w:after="0"/>
              <w:rPr>
                <w:sz w:val="10"/>
                <w:szCs w:val="10"/>
                <w:color w:val="auto"/>
              </w:rPr>
            </w:pPr>
          </w:p>
        </w:tc>
        <w:tc>
          <w:tcPr>
            <w:tcW w:w="92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Chain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Company-owned stores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274,086</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442,168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Supply chain</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2,053,055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Supply chain - intersegment revenues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(83,283)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(83,283)</w:t>
            </w: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220,295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356,181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1,072,435</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1,969,772</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220,295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3,262,502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 - food</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1,403,699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1,482,567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 - labor</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85,912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184,042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Cost of sales - other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356,181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356,181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103,912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39,499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394,167</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190,736</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180,796</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765,699</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40" w:type="dxa"/>
            <w:vAlign w:val="bottom"/>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Segment capital expenditures </w:t>
            </w:r>
            <w:r>
              <w:rPr>
                <w:rFonts w:ascii="Times New Roman" w:cs="Times New Roman" w:eastAsia="Times New Roman" w:hAnsi="Times New Roman"/>
                <w:sz w:val="22"/>
                <w:szCs w:val="22"/>
                <w:b w:val="1"/>
                <w:bCs w:val="1"/>
                <w:color w:val="auto"/>
                <w:vertAlign w:val="superscript"/>
              </w:rPr>
              <w:t>(3)</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9,068</w:t>
            </w:r>
          </w:p>
        </w:tc>
        <w:tc>
          <w:tcPr>
            <w:tcW w:w="44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20,533</w:t>
            </w:r>
          </w:p>
        </w:tc>
        <w:tc>
          <w:tcPr>
            <w:tcW w:w="140" w:type="dxa"/>
            <w:vAlign w:val="bottom"/>
          </w:tcPr>
          <w:p>
            <w:pPr>
              <w:spacing w:after="0"/>
              <w:rPr>
                <w:sz w:val="17"/>
                <w:szCs w:val="17"/>
                <w:color w:val="auto"/>
              </w:rPr>
            </w:pPr>
          </w:p>
        </w:tc>
        <w:tc>
          <w:tcPr>
            <w:tcW w:w="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33</w:t>
            </w:r>
          </w:p>
        </w:tc>
        <w:tc>
          <w:tcPr>
            <w:tcW w:w="240" w:type="dxa"/>
            <w:vAlign w:val="bottom"/>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29,634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-187960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9" w:lineRule="exact"/>
        <w:rPr>
          <w:sz w:val="20"/>
          <w:szCs w:val="20"/>
          <w:color w:val="auto"/>
        </w:rPr>
      </w:pPr>
    </w:p>
    <w:p>
      <w:pPr>
        <w:ind w:left="460" w:right="80" w:hanging="452"/>
        <w:spacing w:after="0" w:line="243" w:lineRule="auto"/>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sales - other, includes delivery, occupancy costs (including rent, telephone and utilities) and insurance expense. Depreciation and amortization is not included in the measurement of Segment Income.</w:t>
      </w:r>
    </w:p>
    <w:p>
      <w:pPr>
        <w:ind w:left="460" w:right="100" w:hanging="452"/>
        <w:spacing w:after="0" w:line="228" w:lineRule="auto"/>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administrative expense consists primarily of labor cost (including variable performance-based compensation expense), computer expenses, professional fees, travel and entertainment, rent, insurance and other. Depreciation and amortization, non-cash equity-based compensation expense, gains and losses from the sale/disposal of assets and refranchising gains and losses are not included in the measurement of Segment Income.</w:t>
      </w:r>
    </w:p>
    <w:p>
      <w:pPr>
        <w:ind w:left="460" w:right="40" w:hanging="452"/>
        <w:spacing w:after="0" w:line="233" w:lineRule="auto"/>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also had $11.0 million and $11.5 million of other capital expenditures not attributable to the reportable segments primarily representing capitalized software in the third quarters of 2025 and 2024, respectively. The Company had $29.8 million and $40.1 million of other capital expenditures not attributable to the reportable segments primarily representing capitalized software in the three fiscal quarters of 2025 and 2024, respectively.</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reconciles total Segment Income to income before provision for income taxes: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17"/>
        </w:trPr>
        <w:tc>
          <w:tcPr>
            <w:tcW w:w="58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7,</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7,</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120" w:type="dxa"/>
            <w:vAlign w:val="bottom"/>
          </w:tcPr>
          <w:p>
            <w:pPr>
              <w:spacing w:after="0"/>
              <w:rPr>
                <w:sz w:val="10"/>
                <w:szCs w:val="10"/>
                <w:color w:val="auto"/>
              </w:rPr>
            </w:pPr>
          </w:p>
        </w:tc>
      </w:tr>
      <w:tr>
        <w:trPr>
          <w:trHeight w:val="173"/>
        </w:trPr>
        <w:tc>
          <w:tcPr>
            <w:tcW w:w="5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273,771</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252,117</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815,945</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765,699</w:t>
            </w: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 other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(67,178)</w:t>
            </w:r>
          </w:p>
        </w:tc>
      </w:tr>
      <w:tr>
        <w:trPr>
          <w:trHeight w:val="216"/>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(20,415)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(20,756)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(61,128)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(60,974)</w:t>
            </w: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(31,541)</w:t>
            </w:r>
          </w:p>
        </w:tc>
      </w:tr>
      <w:tr>
        <w:trPr>
          <w:trHeight w:val="216"/>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Refranchising gain (loss)</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223,168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198,831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658,307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605,347</w:t>
            </w: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20" w:type="dxa"/>
            <w:vAlign w:val="bottom"/>
          </w:tcPr>
          <w:p>
            <w:pPr>
              <w:spacing w:after="0"/>
              <w:rPr>
                <w:sz w:val="18"/>
                <w:szCs w:val="18"/>
                <w:color w:val="auto"/>
              </w:rPr>
            </w:pPr>
          </w:p>
        </w:tc>
      </w:tr>
      <w:tr>
        <w:trPr>
          <w:trHeight w:val="216"/>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(44,726)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(135,245)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(135,293)</w:t>
            </w:r>
          </w:p>
        </w:tc>
      </w:tr>
      <w:tr>
        <w:trPr>
          <w:trHeight w:val="20"/>
        </w:trPr>
        <w:tc>
          <w:tcPr>
            <w:tcW w:w="5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539,932</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501,222</w:t>
            </w:r>
          </w:p>
        </w:tc>
        <w:tc>
          <w:tcPr>
            <w:tcW w:w="120" w:type="dxa"/>
            <w:vAlign w:val="bottom"/>
            <w:shd w:val="clear" w:color="auto" w:fill="CFF0FC"/>
          </w:tcPr>
          <w:p>
            <w:pPr>
              <w:spacing w:after="0"/>
              <w:rPr>
                <w:sz w:val="19"/>
                <w:szCs w:val="19"/>
                <w:color w:val="auto"/>
              </w:rPr>
            </w:pP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9" w:lineRule="exact"/>
        <w:rPr>
          <w:sz w:val="20"/>
          <w:szCs w:val="20"/>
          <w:color w:val="auto"/>
        </w:rPr>
      </w:pPr>
    </w:p>
    <w:p>
      <w:pPr>
        <w:ind w:left="460" w:right="440" w:hanging="452"/>
        <w:spacing w:after="0" w:line="261" w:lineRule="auto"/>
        <w:tabs>
          <w:tab w:leader="none" w:pos="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administrative costs that have not been allocated to a reportable segment including labor, computer expenses, professional fees, travel and entertainment, rent, insurance and other corporate administrative costs.</w:t>
      </w:r>
    </w:p>
    <w:p>
      <w:pPr>
        <w:spacing w:after="0" w:line="167"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is not regularly provided financial information related to the assets of the reportable segments, and he does not evaluate their performance or allocate resources to them based on assets. Therefore, total assets by reportable segment are not included in the Company’s segment disclosures.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3. Earnings Per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17"/>
        </w:trPr>
        <w:tc>
          <w:tcPr>
            <w:tcW w:w="5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September 7,</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237"/>
              <w:spacing w:after="0" w:line="118" w:lineRule="exact"/>
              <w:rPr>
                <w:sz w:val="20"/>
                <w:szCs w:val="20"/>
                <w:color w:val="auto"/>
              </w:rPr>
            </w:pPr>
            <w:r>
              <w:rPr>
                <w:rFonts w:ascii="Times New Roman" w:cs="Times New Roman" w:eastAsia="Times New Roman" w:hAnsi="Times New Roman"/>
                <w:sz w:val="13"/>
                <w:szCs w:val="13"/>
                <w:b w:val="1"/>
                <w:bCs w:val="1"/>
                <w:color w:val="auto"/>
              </w:rPr>
              <w:t>September 7,</w:t>
            </w: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236"/>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120" w:type="dxa"/>
            <w:vAlign w:val="bottom"/>
          </w:tcPr>
          <w:p>
            <w:pPr>
              <w:spacing w:after="0"/>
              <w:rPr>
                <w:sz w:val="10"/>
                <w:szCs w:val="10"/>
                <w:color w:val="auto"/>
              </w:rPr>
            </w:pPr>
          </w:p>
        </w:tc>
      </w:tr>
      <w:tr>
        <w:trPr>
          <w:trHeight w:val="173"/>
        </w:trPr>
        <w:tc>
          <w:tcPr>
            <w:tcW w:w="5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5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 - basic and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139,319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146,924</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420,061</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414,726</w:t>
            </w:r>
          </w:p>
        </w:tc>
        <w:tc>
          <w:tcPr>
            <w:tcW w:w="120" w:type="dxa"/>
            <w:vAlign w:val="bottom"/>
            <w:shd w:val="clear" w:color="auto" w:fill="CFF0FC"/>
          </w:tcPr>
          <w:p>
            <w:pPr>
              <w:spacing w:after="0"/>
              <w:rPr>
                <w:sz w:val="21"/>
                <w:szCs w:val="21"/>
                <w:color w:val="auto"/>
              </w:rPr>
            </w:pPr>
          </w:p>
        </w:tc>
      </w:tr>
      <w:tr>
        <w:trPr>
          <w:trHeight w:val="197"/>
        </w:trPr>
        <w:tc>
          <w:tcPr>
            <w:tcW w:w="52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Basic weighted average number of shares</w:t>
            </w: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33,919,706</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34,801,086</w:t>
            </w: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34,122,385</w:t>
            </w:r>
          </w:p>
        </w:tc>
        <w:tc>
          <w:tcPr>
            <w:tcW w:w="2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34,835,394</w:t>
            </w:r>
          </w:p>
        </w:tc>
        <w:tc>
          <w:tcPr>
            <w:tcW w:w="120" w:type="dxa"/>
            <w:vAlign w:val="bottom"/>
            <w:tcBorders>
              <w:top w:val="single" w:sz="8" w:color="CFF0FC"/>
            </w:tcBorders>
          </w:tcPr>
          <w:p>
            <w:pPr>
              <w:spacing w:after="0"/>
              <w:rPr>
                <w:sz w:val="17"/>
                <w:szCs w:val="17"/>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number of shares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34,146,418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35,039,408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34,366,396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35,145,732</w:t>
            </w: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-573405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-556895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-573405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-556895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-573405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-556895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-573405</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-556895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right="60" w:firstLine="255"/>
        <w:spacing w:after="0" w:line="266" w:lineRule="auto"/>
        <w:rPr>
          <w:sz w:val="20"/>
          <w:szCs w:val="20"/>
          <w:color w:val="auto"/>
        </w:rPr>
      </w:pPr>
      <w:r>
        <w:rPr>
          <w:rFonts w:ascii="Times New Roman" w:cs="Times New Roman" w:eastAsia="Times New Roman" w:hAnsi="Times New Roman"/>
          <w:sz w:val="18"/>
          <w:szCs w:val="18"/>
          <w:color w:val="auto"/>
        </w:rPr>
        <w:t>The denominators used in calculating diluted earnings per share for common stock for the third quarters and three fiscal quarters each ended September 7, 2025 and September 8, 2024 do not include the following because the effect of including these shares would be anti-dilutive or because the performance targets for these awards had not yet been met: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680" w:type="dxa"/>
            <w:vAlign w:val="bottom"/>
            <w:gridSpan w:val="3"/>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20" w:type="dxa"/>
            <w:vAlign w:val="bottom"/>
          </w:tcPr>
          <w:p>
            <w:pPr>
              <w:spacing w:after="0"/>
              <w:rPr>
                <w:sz w:val="15"/>
                <w:szCs w:val="15"/>
                <w:color w:val="auto"/>
              </w:rPr>
            </w:pPr>
          </w:p>
        </w:tc>
        <w:tc>
          <w:tcPr>
            <w:tcW w:w="318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17"/>
        </w:trPr>
        <w:tc>
          <w:tcPr>
            <w:tcW w:w="5160" w:type="dxa"/>
            <w:vAlign w:val="bottom"/>
          </w:tcPr>
          <w:p>
            <w:pPr>
              <w:spacing w:after="0"/>
              <w:rPr>
                <w:sz w:val="10"/>
                <w:szCs w:val="10"/>
                <w:color w:val="auto"/>
              </w:rPr>
            </w:pPr>
          </w:p>
        </w:tc>
        <w:tc>
          <w:tcPr>
            <w:tcW w:w="1240" w:type="dxa"/>
            <w:vAlign w:val="bottom"/>
            <w:tcBorders>
              <w:top w:val="single" w:sz="8" w:color="auto"/>
            </w:tcBorders>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7,</w:t>
            </w:r>
          </w:p>
        </w:tc>
        <w:tc>
          <w:tcPr>
            <w:tcW w:w="2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220" w:type="dxa"/>
            <w:vAlign w:val="bottom"/>
          </w:tcPr>
          <w:p>
            <w:pPr>
              <w:spacing w:after="0"/>
              <w:rPr>
                <w:sz w:val="10"/>
                <w:szCs w:val="10"/>
                <w:color w:val="auto"/>
              </w:rPr>
            </w:pPr>
          </w:p>
        </w:tc>
        <w:tc>
          <w:tcPr>
            <w:tcW w:w="1400" w:type="dxa"/>
            <w:vAlign w:val="bottom"/>
            <w:tcBorders>
              <w:top w:val="single" w:sz="8" w:color="auto"/>
            </w:tcBorders>
          </w:tcPr>
          <w:p>
            <w:pPr>
              <w:jc w:val="right"/>
              <w:ind w:right="231"/>
              <w:spacing w:after="0" w:line="118" w:lineRule="exact"/>
              <w:rPr>
                <w:sz w:val="20"/>
                <w:szCs w:val="20"/>
                <w:color w:val="auto"/>
              </w:rPr>
            </w:pPr>
            <w:r>
              <w:rPr>
                <w:rFonts w:ascii="Times New Roman" w:cs="Times New Roman" w:eastAsia="Times New Roman" w:hAnsi="Times New Roman"/>
                <w:sz w:val="13"/>
                <w:szCs w:val="13"/>
                <w:b w:val="1"/>
                <w:bCs w:val="1"/>
                <w:color w:val="auto"/>
              </w:rPr>
              <w:t>September 7,</w:t>
            </w:r>
          </w:p>
        </w:tc>
        <w:tc>
          <w:tcPr>
            <w:tcW w:w="2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right"/>
              <w:ind w:right="273"/>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100" w:type="dxa"/>
            <w:vAlign w:val="bottom"/>
          </w:tcPr>
          <w:p>
            <w:pPr>
              <w:spacing w:after="0"/>
              <w:rPr>
                <w:sz w:val="10"/>
                <w:szCs w:val="10"/>
                <w:color w:val="auto"/>
              </w:rPr>
            </w:pPr>
          </w:p>
        </w:tc>
      </w:tr>
      <w:tr>
        <w:trPr>
          <w:trHeight w:val="173"/>
        </w:trPr>
        <w:tc>
          <w:tcPr>
            <w:tcW w:w="5160" w:type="dxa"/>
            <w:vAlign w:val="bottom"/>
          </w:tcPr>
          <w:p>
            <w:pPr>
              <w:spacing w:after="0"/>
              <w:rPr>
                <w:sz w:val="15"/>
                <w:szCs w:val="15"/>
                <w:color w:val="auto"/>
              </w:rPr>
            </w:pPr>
          </w:p>
        </w:tc>
        <w:tc>
          <w:tcPr>
            <w:tcW w:w="12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40" w:type="dxa"/>
            <w:vAlign w:val="bottom"/>
            <w:gridSpan w:val="2"/>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20" w:type="dxa"/>
            <w:vAlign w:val="bottom"/>
            <w:gridSpan w:val="2"/>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gridSpan w:val="2"/>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shares underlying stock-based awards</w:t>
            </w: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85,428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44,342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89,147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46,290</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condition not met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49,742</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41,957</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49,742</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Stockholders’ Deficit</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the changes in stockholders’ deficit for the third quarter and three fiscal quarters of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6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0"/>
        </w:trPr>
        <w:tc>
          <w:tcPr>
            <w:tcW w:w="4760" w:type="dxa"/>
            <w:vAlign w:val="bottom"/>
          </w:tcPr>
          <w:p>
            <w:pPr>
              <w:spacing w:after="0"/>
              <w:rPr>
                <w:sz w:val="13"/>
                <w:szCs w:val="13"/>
                <w:color w:val="auto"/>
              </w:rPr>
            </w:pPr>
          </w:p>
        </w:tc>
        <w:tc>
          <w:tcPr>
            <w:tcW w:w="1660" w:type="dxa"/>
            <w:vAlign w:val="bottom"/>
            <w:tcBorders>
              <w:bottom w:val="single" w:sz="8" w:color="auto"/>
            </w:tcBorders>
            <w:gridSpan w:val="4"/>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3"/>
                <w:szCs w:val="13"/>
                <w:color w:val="auto"/>
              </w:rPr>
            </w:pPr>
          </w:p>
        </w:tc>
        <w:tc>
          <w:tcPr>
            <w:tcW w:w="108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2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15, 2025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33,937,222</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(3,971,182)</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(4,627)</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7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($1.74 per share)</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(59,184)</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(5,287)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(2,390)</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(165,778)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(8,722)</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(66,624)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7,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33,785,145</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(3,957,671)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760" w:type="dxa"/>
            <w:vAlign w:val="bottom"/>
          </w:tcPr>
          <w:p>
            <w:pPr>
              <w:spacing w:after="0"/>
              <w:rPr>
                <w:sz w:val="24"/>
                <w:szCs w:val="24"/>
                <w:color w:val="auto"/>
              </w:rPr>
            </w:pP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-1019810</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-1019810</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-1019810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-1019810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6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0"/>
        </w:trPr>
        <w:tc>
          <w:tcPr>
            <w:tcW w:w="4760" w:type="dxa"/>
            <w:vAlign w:val="bottom"/>
          </w:tcPr>
          <w:p>
            <w:pPr>
              <w:spacing w:after="0"/>
              <w:rPr>
                <w:sz w:val="13"/>
                <w:szCs w:val="13"/>
                <w:color w:val="auto"/>
              </w:rPr>
            </w:pPr>
          </w:p>
        </w:tc>
        <w:tc>
          <w:tcPr>
            <w:tcW w:w="1660" w:type="dxa"/>
            <w:vAlign w:val="bottom"/>
            <w:tcBorders>
              <w:bottom w:val="single" w:sz="8" w:color="auto"/>
            </w:tcBorders>
            <w:gridSpan w:val="4"/>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3"/>
                <w:szCs w:val="13"/>
                <w:color w:val="auto"/>
              </w:rPr>
            </w:pPr>
          </w:p>
        </w:tc>
        <w:tc>
          <w:tcPr>
            <w:tcW w:w="108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2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29,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34,281,927</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(3,956,474)</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(7,432)</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7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($5.22 per share)</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(178,441)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(24,590)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(10,862)</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(596,754)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(34,354)</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(242,817)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48,894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7,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33,785,145</w:t>
            </w:r>
          </w:p>
        </w:tc>
        <w:tc>
          <w:tcPr>
            <w:tcW w:w="16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6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(3,957,671</w:t>
            </w: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-156845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-156845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-156845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-156845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-10795</wp:posOffset>
            </wp:positionV>
            <wp:extent cx="40462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046220" cy="8890"/>
                    </a:xfrm>
                    <a:prstGeom prst="rect">
                      <a:avLst/>
                    </a:prstGeom>
                    <a:noFill/>
                  </pic:spPr>
                </pic:pic>
              </a:graphicData>
            </a:graphic>
          </wp:anchor>
        </w:drawing>
      </w:r>
    </w:p>
    <w:p>
      <w:pPr>
        <w:jc w:val="both"/>
        <w:ind w:right="40" w:firstLine="255"/>
        <w:spacing w:after="0" w:line="282" w:lineRule="auto"/>
        <w:rPr>
          <w:sz w:val="20"/>
          <w:szCs w:val="20"/>
          <w:color w:val="auto"/>
        </w:rPr>
      </w:pPr>
      <w:r>
        <w:rPr>
          <w:rFonts w:ascii="Times New Roman" w:cs="Times New Roman" w:eastAsia="Times New Roman" w:hAnsi="Times New Roman"/>
          <w:sz w:val="18"/>
          <w:szCs w:val="18"/>
          <w:color w:val="auto"/>
        </w:rPr>
        <w:t>Subsequent to the end of the third quarter of 2025, on October 7, 2025, the Company’s Board of Directors declared a $1.74 per share quarterly dividend on its outstanding common stock for shareholders of record as of December 15, 2025 to be paid on December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-305435</wp:posOffset>
            </wp:positionV>
            <wp:extent cx="40462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the changes in stockholders’ deficit for the third quarter and three fiscal quarters of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2580" w:type="dxa"/>
            <w:vAlign w:val="bottom"/>
            <w:gridSpan w:val="5"/>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0"/>
        </w:trPr>
        <w:tc>
          <w:tcPr>
            <w:tcW w:w="4860" w:type="dxa"/>
            <w:vAlign w:val="bottom"/>
          </w:tcPr>
          <w:p>
            <w:pPr>
              <w:spacing w:after="0"/>
              <w:rPr>
                <w:sz w:val="13"/>
                <w:szCs w:val="13"/>
                <w:color w:val="auto"/>
              </w:rPr>
            </w:pPr>
          </w:p>
        </w:tc>
        <w:tc>
          <w:tcPr>
            <w:tcW w:w="258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11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16,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34,956,623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30,008</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(3,916,008)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(5,475)</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146,924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($1.51 per share)</w:t>
            </w: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(52,502)</w:t>
            </w:r>
          </w:p>
        </w:tc>
        <w:tc>
          <w:tcPr>
            <w:tcW w:w="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(3,029)</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(443,302)</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(39,572)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(152,230)</w:t>
            </w: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8,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34,530,370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(3,973,816)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2580" w:type="dxa"/>
            <w:vAlign w:val="bottom"/>
            <w:gridSpan w:val="5"/>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0"/>
        </w:trPr>
        <w:tc>
          <w:tcPr>
            <w:tcW w:w="4860" w:type="dxa"/>
            <w:vAlign w:val="bottom"/>
          </w:tcPr>
          <w:p>
            <w:pPr>
              <w:spacing w:after="0"/>
              <w:rPr>
                <w:sz w:val="13"/>
                <w:szCs w:val="13"/>
                <w:color w:val="auto"/>
              </w:rPr>
            </w:pPr>
          </w:p>
        </w:tc>
        <w:tc>
          <w:tcPr>
            <w:tcW w:w="258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11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34,726,182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(4,069,648)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(3,867)</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414,726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($4.53 per share)</w:t>
            </w: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(158,565)</w:t>
            </w:r>
          </w:p>
        </w:tc>
        <w:tc>
          <w:tcPr>
            <w:tcW w:w="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(23,417)</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(10,705)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(499,674)</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(56,593)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(160,329)</w:t>
            </w: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262,144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8,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34,530,370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(3,973,816)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60" w:type="dxa"/>
            <w:vAlign w:val="bottom"/>
          </w:tcPr>
          <w:p>
            <w:pPr>
              <w:spacing w:after="0"/>
              <w:rPr>
                <w:sz w:val="24"/>
                <w:szCs w:val="24"/>
                <w:color w:val="auto"/>
              </w:rPr>
            </w:pPr>
          </w:p>
        </w:tc>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-3034030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-3034030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-3034030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-3034030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-942340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-942340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-942340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-942340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5. Fair Value Measurements</w:t>
      </w:r>
    </w:p>
    <w:p>
      <w:pPr>
        <w:spacing w:after="0" w:line="185"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Fair Value of Cash Equivalents and Marketable Securities</w:t>
      </w:r>
    </w:p>
    <w:p>
      <w:pPr>
        <w:spacing w:after="0" w:line="225"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The fair values of the Company’s cash equivalents and investments in marketable securities are based on quoted prices in active markets for identical assets.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Fair Value of Investments</w:t>
      </w:r>
    </w:p>
    <w:p>
      <w:pPr>
        <w:spacing w:after="0" w:line="117" w:lineRule="exact"/>
        <w:rPr>
          <w:sz w:val="20"/>
          <w:szCs w:val="20"/>
          <w:color w:val="auto"/>
        </w:rPr>
      </w:pPr>
    </w:p>
    <w:p>
      <w:pPr>
        <w:ind w:right="120" w:firstLine="254"/>
        <w:spacing w:after="0" w:line="256" w:lineRule="auto"/>
        <w:rPr>
          <w:sz w:val="20"/>
          <w:szCs w:val="20"/>
          <w:color w:val="auto"/>
        </w:rPr>
      </w:pPr>
      <w:r>
        <w:rPr>
          <w:rFonts w:ascii="Times New Roman" w:cs="Times New Roman" w:eastAsia="Times New Roman" w:hAnsi="Times New Roman"/>
          <w:sz w:val="18"/>
          <w:szCs w:val="18"/>
          <w:color w:val="auto"/>
        </w:rPr>
        <w:t>The Company holds a non-controlling interest in DPC Dash Ltd (“DPC Dash”), the Company’s master franchisee in China that owns and operates Domino’s Pizza stores in that market. The Company accounts for its investment in DPC Dash as a trading security and records it at fair value at the end of each reporting period, with gains and losses recorded in other income or expense in its condensed consolidated statements of income. As of September 7, 2025, the fair value of the Company’s investment in DPC Dash ordinary shares is based on the active exchange quoted price for the equity security of HK$87.25 per share (HK: 1405). The Company owned 3,901,019 and 8,101,019 ordinary shares as of September 7, 2025 and December 29, 2024, respectively. The Company sold 4,200,000 ordinary shares of its investment in DPC Dash in the second quarter of 2025 for net proceeds of $44.1 million.</w:t>
      </w:r>
    </w:p>
    <w:p>
      <w:pPr>
        <w:spacing w:after="0" w:line="93"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The Company recorded a total net negative adjustment of $3.0 million in the third quarter of 2025 and a total net positive adjustment of $5.0 million in the three fiscal quarters of 2025 to the carrying amount of its investment in DPC Dash, with the net realized and unrealized losses and gains recorded in other (expense) income in the Company’s condensed consolidated statements of income. The Company recorded positive adjustments of $26.2 million and $18.9 million in the third quarter of 2024 and three fiscal quarters of 2024, respectively, to the carrying amount of its investment in DPC Dash, with the unrealized gains recorded in other (expense) income in the Company’s condensed consolidated statements of income.</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the carrying amounts and fair values of certain assets at September 7, 2025 and December 29, 2024:</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At September 7, 2025</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4"/>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Pr>
          <w:p>
            <w:pPr>
              <w:spacing w:after="0"/>
              <w:rPr>
                <w:sz w:val="10"/>
                <w:szCs w:val="10"/>
                <w:color w:val="auto"/>
              </w:rPr>
            </w:pPr>
          </w:p>
        </w:tc>
        <w:tc>
          <w:tcPr>
            <w:tcW w:w="1040" w:type="dxa"/>
            <w:vAlign w:val="bottom"/>
          </w:tcPr>
          <w:p>
            <w:pPr>
              <w:jc w:val="center"/>
              <w:ind w:left="251"/>
              <w:spacing w:after="0" w:line="11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jc w:val="center"/>
              <w:ind w:right="216"/>
              <w:spacing w:after="0" w:line="11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95,531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95,531</w:t>
            </w:r>
          </w:p>
        </w:tc>
        <w:tc>
          <w:tcPr>
            <w:tcW w:w="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132,211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23,658</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 DPC Dash</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43,650</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At December 29, 2024</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4"/>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Pr>
          <w:p>
            <w:pPr>
              <w:spacing w:after="0"/>
              <w:rPr>
                <w:sz w:val="10"/>
                <w:szCs w:val="10"/>
                <w:color w:val="auto"/>
              </w:rPr>
            </w:pPr>
          </w:p>
        </w:tc>
        <w:tc>
          <w:tcPr>
            <w:tcW w:w="1040" w:type="dxa"/>
            <w:vAlign w:val="bottom"/>
          </w:tcPr>
          <w:p>
            <w:pPr>
              <w:jc w:val="center"/>
              <w:ind w:left="251"/>
              <w:spacing w:after="0" w:line="11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jc w:val="center"/>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127,074</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127,074</w:t>
            </w:r>
          </w:p>
        </w:tc>
        <w:tc>
          <w:tcPr>
            <w:tcW w:w="1260" w:type="dxa"/>
            <w:vAlign w:val="bottom"/>
            <w:gridSpan w:val="2"/>
            <w:shd w:val="clear" w:color="auto" w:fill="CFF0FC"/>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140,669</w:t>
            </w: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140,669</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20,638</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20,638</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70,350</w:t>
            </w: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70,350</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 DPC Dash</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82,699</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82,699</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center"/>
              <w:ind w:right="115"/>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left="260"/>
        <w:spacing w:after="0"/>
        <w:rPr>
          <w:sz w:val="20"/>
          <w:szCs w:val="20"/>
          <w:color w:val="auto"/>
        </w:rPr>
      </w:pPr>
      <w:r>
        <w:rPr>
          <w:rFonts w:ascii="Times New Roman" w:cs="Times New Roman" w:eastAsia="Times New Roman" w:hAnsi="Times New Roman"/>
          <w:sz w:val="18"/>
          <w:szCs w:val="18"/>
          <w:u w:val="single" w:color="auto"/>
          <w:color w:val="auto"/>
        </w:rPr>
        <w:t>Fair Value of Debt</w:t>
      </w:r>
    </w:p>
    <w:p>
      <w:pPr>
        <w:spacing w:after="0" w:line="131"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The estimated fair values of the Company’s fixed rate notes are classified as Level 2 measurements, as the Company estimates the fair value amount by using available market information. The Company obtained quotes from two separate brokerage firms that are knowledgeable about the Company’s fixed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noteholders could realize in a current market exchange. The use of different assumptions and/or estimation methodologies may have a material effect on the estimated fair values stated below.</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Management estimated the approximate fair values of the Company’s fixed rate notes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6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September 7, 2025</w:t>
            </w:r>
          </w:p>
        </w:tc>
        <w:tc>
          <w:tcPr>
            <w:tcW w:w="29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142"/>
        </w:trPr>
        <w:tc>
          <w:tcPr>
            <w:tcW w:w="4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r>
      <w:tr>
        <w:trPr>
          <w:trHeight w:val="209"/>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2015 Ten-Year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742,000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739,032</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932,480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915,560</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402,688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399,869</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9.25-Year Notes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370,662</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648,000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625,320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648,000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599,400</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826,625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750,576</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972,500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895,673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972,500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850,938</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Five-Year Notes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Seven-Year Notes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507,000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did not have any outstanding borrowings under its variable funding notes at September 7, 2025 or December 29,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Refinancing</w:t>
      </w:r>
    </w:p>
    <w:p>
      <w:pPr>
        <w:spacing w:after="0" w:line="11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On September 5, 2025 (the “closing date”), the Company completed a refinancing transaction (the “2025 Refinancing”) in which certain of the Company’s subsidiaries issued new notes pursuant to an asset-backed securitization. The notes consist of $500.0 million Series 2025-1 4.930% Fixed Rate Senior Secured Notes, Class A-2-I with an anticipated repayment date of July 2030 (the “2025 Five-Year Notes”) and $500.0 million Series 2025-1 5.217% Fixed Rate Senior Secured Notes, Class A-2-II with an anticipated repayment date of July 2032 (the “2025 Seven-Year Notes,” and collectively with the 2025 Five-Year Notes, the “2025 Notes”) in an offering exempt from registration under the Securities Act of 1933, as amended. Gross proceeds from the issuance of the 2025 Notes were $1.00 billion.</w:t>
      </w:r>
    </w:p>
    <w:p>
      <w:pPr>
        <w:spacing w:after="0" w:line="79"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The proceeds from the issuance of the 2025 Notes, as well as $160.0 million of the Company’s unrestricted cash and cash equivalents, were used to (i) repay the remaining $742.0 million in outstanding principal under the Company’s 2015 Ten-Year Notes (refer to Note 5, above) and the remaining $402.7 million in outstanding principal under the Company’s 2018 7.5-Year Notes (refer to Note 5, above), (ii) prefund a portion of the interest payable on the 2025 Notes and (iii) pay transaction fees and expenses. In connection with the 2025 Refinancing, the Company capitalized $15.4 million of debt issuance costs, which are being amortized into interest expense over the five and seven-year expected terms of the 2025 Notes.</w:t>
      </w:r>
    </w:p>
    <w:p>
      <w:pPr>
        <w:spacing w:after="0" w:line="75"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The legal final maturity date of the 2025 Notes is July 2055, but it is anticipated that, unless earlier prepaid to the extent permitted under the related debt agreements, the 2025 Five-Year Notes will be repaid on or prior to the anticipated repayment date occurring in July 2030, and the 2025 Seven-Year Notes will be repaid on or prior to the anticipated repayment date occurring in July 2032. If the Company has not repaid or refinanced the 2025 Notes prior to the applicable anticipated repayment dates, additional interest of at least 5% per annum will accrue, and the Company’s cash flows other than a weekly management fee to cover certain operating expenses would be directed to the repayment of the securitized debt.</w:t>
      </w:r>
    </w:p>
    <w:p>
      <w:pPr>
        <w:spacing w:after="0" w:line="75"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As of September 7, 2025, the 2025 Notes had original scheduled principal payments of $10.0 million in each of 2026 through 2029, $485.0 million in 2030, $5.0 million in 2031 and $470.0 million in 2032. In accordance with the Company’s debt agreements, the payment of principal on the 2025 Notes may be suspended if either the Holdco Leverage Ratio or Senior Leverage Ratio is less than or equal to 5.5x total debt to either Consolidated Adjusted EBITDA or Securitized Net Cash Flow, each as defined in the indenture governing the securitized debt, and no catch-up provisions are applicable. In accordance with the Company’s debt agreements, the payment of principal on the 2021 Notes, 2019 Notes, 2018 9.25-Year Notes and 2017 Ten-Year Notes (refer to Note 5, above) may be suspended if the Holdco Leverage Ratio is less than or equal to 5.0x total debt to Consolidated Adjusted EBITDA, each as defined in the indenture governing the securitized debt, and no catch-up provisions are applicable. As of the end of the third quarter of 2025 and the end of the fourth quarter of 2024, the Company satisfied the non-amortization tests for each respective series of notes, and accordingly, the outstanding principal amounts of the notes have been classified as long-term debt in the condensed consolidated balance sheet as of September 7, 2025 and December 29, 2024.</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ind w:firstLine="255"/>
        <w:spacing w:after="0" w:line="256" w:lineRule="auto"/>
        <w:rPr>
          <w:sz w:val="20"/>
          <w:szCs w:val="20"/>
          <w:color w:val="auto"/>
        </w:rPr>
      </w:pPr>
      <w:r>
        <w:rPr>
          <w:rFonts w:ascii="Times New Roman" w:cs="Times New Roman" w:eastAsia="Times New Roman" w:hAnsi="Times New Roman"/>
          <w:sz w:val="18"/>
          <w:szCs w:val="18"/>
          <w:color w:val="auto"/>
        </w:rPr>
        <w:t>Concurrent with the 2025 Refinancing, certain of the Company’s subsidiaries also issued a new variable funding note facility which allows for advances of up to $320.0 million of Series 2025-1 Variable Funding Senior Secured Notes, Class A-1 and certain other credit instruments, including letters of credit (the “2025 Variable Funding Notes”). The 2025 Variable Funding Notes were undrawn on the closing date. As of September 7, 2025, the Company had no outstanding borrowings and $263.6 million of available borrowing capacity under its 2025 Variable Funding Notes, net of letters of credit issued of $56.4 million. In connection with the issuance of the 2025 Variable Funding Notes, the Company’s previous $200.0 million Series 2021-1 and $120.0 million Series 2022-1 variable funding note facilities were canceled.</w:t>
      </w:r>
    </w:p>
    <w:p>
      <w:pPr>
        <w:spacing w:after="0" w:line="79"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Interest on the 2025 Variable Funding Notes is payable at a rate equal to the Secured Overnight Financing Rate (“Term SOFR”) plus 150 basis points. The unused portion of the 2025 Variable Funding Notes is subject to a commitment fee of 50 basis points. It is anticipated that any amounts outstanding under the 2025 Variable Funding Notes will be repaid in full on or prior to July 2030, subject to two additional one-year extensions at the option of the Company, subject to certain conditions. Following the anticipated repayment date (and any extensions thereof), additional interest will accrue on the 2025 Variable Funding Notes equal to 5% per annum.</w:t>
      </w:r>
    </w:p>
    <w:p>
      <w:pPr>
        <w:spacing w:after="0" w:line="143" w:lineRule="exact"/>
        <w:rPr>
          <w:sz w:val="20"/>
          <w:szCs w:val="20"/>
          <w:color w:val="auto"/>
        </w:rPr>
      </w:pPr>
    </w:p>
    <w:p>
      <w:pPr>
        <w:jc w:val="right"/>
        <w:ind w:left="300" w:right="9540" w:hanging="292"/>
        <w:spacing w:after="0" w:line="414" w:lineRule="auto"/>
        <w:tabs>
          <w:tab w:leader="none" w:pos="19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Revenue Disclosures </w:t>
      </w:r>
      <w:r>
        <w:rPr>
          <w:rFonts w:ascii="Times New Roman" w:cs="Times New Roman" w:eastAsia="Times New Roman" w:hAnsi="Times New Roman"/>
          <w:sz w:val="17"/>
          <w:szCs w:val="17"/>
          <w:u w:val="single" w:color="auto"/>
          <w:color w:val="auto"/>
        </w:rPr>
        <w:t>Contract Liabilities</w:t>
      </w:r>
    </w:p>
    <w:p>
      <w:pPr>
        <w:spacing w:after="0" w:line="1" w:lineRule="exact"/>
        <w:rPr>
          <w:sz w:val="20"/>
          <w:szCs w:val="20"/>
          <w:color w:val="auto"/>
        </w:rPr>
      </w:pPr>
    </w:p>
    <w:p>
      <w:pPr>
        <w:ind w:left="300" w:right="220" w:firstLine="282"/>
        <w:spacing w:after="0" w:line="261" w:lineRule="auto"/>
        <w:rPr>
          <w:sz w:val="20"/>
          <w:szCs w:val="20"/>
          <w:color w:val="auto"/>
        </w:rPr>
      </w:pPr>
      <w:r>
        <w:rPr>
          <w:rFonts w:ascii="Times New Roman" w:cs="Times New Roman" w:eastAsia="Times New Roman" w:hAnsi="Times New Roman"/>
          <w:sz w:val="18"/>
          <w:szCs w:val="18"/>
          <w:color w:val="auto"/>
        </w:rPr>
        <w:t>Contract liabilities primarily consist of deferred franchise fees and deferred development fees. Deferred franchise fees and deferred development fees of $5.0 million and $5.1 million were included in current other accrued liabilities as of September 7, 2025 and December 29, 2024, respectively. Deferred franchise fees and deferred development fees of $14.9 million and $15.8 million were included in long-term other accrued liabilities as of September 7, 2025 and December 29, 2024, respectively.</w:t>
      </w:r>
    </w:p>
    <w:p>
      <w:pPr>
        <w:spacing w:after="0" w:line="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Changes in deferred franchise fees and deferred development fees for the three fiscal quarters of 2025 and 2024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17"/>
        </w:trPr>
        <w:tc>
          <w:tcPr>
            <w:tcW w:w="77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7,</w:t>
            </w: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277"/>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120" w:type="dxa"/>
            <w:vAlign w:val="bottom"/>
          </w:tcPr>
          <w:p>
            <w:pPr>
              <w:spacing w:after="0"/>
              <w:rPr>
                <w:sz w:val="10"/>
                <w:szCs w:val="10"/>
                <w:color w:val="auto"/>
              </w:rPr>
            </w:pPr>
          </w:p>
        </w:tc>
      </w:tr>
      <w:tr>
        <w:trPr>
          <w:trHeight w:val="173"/>
        </w:trPr>
        <w:tc>
          <w:tcPr>
            <w:tcW w:w="7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franchise fees and deferred development fees, beginning of period</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25,195</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2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(4,316)</w:t>
            </w:r>
          </w:p>
        </w:tc>
        <w:tc>
          <w:tcPr>
            <w:tcW w:w="2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(4,292)</w:t>
            </w:r>
          </w:p>
        </w:tc>
      </w:tr>
      <w:tr>
        <w:trPr>
          <w:trHeight w:val="21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deferrals due to cash received and other</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franchise fees and deferred development fees, end of period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19,927</w:t>
            </w:r>
          </w:p>
        </w:tc>
        <w:tc>
          <w:tcPr>
            <w:tcW w:w="3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23,184</w:t>
            </w:r>
          </w:p>
        </w:tc>
      </w:tr>
      <w:tr>
        <w:trPr>
          <w:trHeight w:val="20"/>
        </w:trPr>
        <w:tc>
          <w:tcPr>
            <w:tcW w:w="7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Advertising Fund Assets</w:t>
      </w:r>
    </w:p>
    <w:p>
      <w:pPr>
        <w:spacing w:after="0" w:line="131" w:lineRule="exact"/>
        <w:rPr>
          <w:sz w:val="20"/>
          <w:szCs w:val="20"/>
          <w:color w:val="auto"/>
        </w:rPr>
      </w:pPr>
    </w:p>
    <w:p>
      <w:pPr>
        <w:ind w:left="300" w:right="360" w:firstLine="287"/>
        <w:spacing w:after="0" w:line="266" w:lineRule="auto"/>
        <w:rPr>
          <w:sz w:val="20"/>
          <w:szCs w:val="20"/>
          <w:color w:val="auto"/>
        </w:rPr>
      </w:pPr>
      <w:r>
        <w:rPr>
          <w:rFonts w:ascii="Times New Roman" w:cs="Times New Roman" w:eastAsia="Times New Roman" w:hAnsi="Times New Roman"/>
          <w:sz w:val="18"/>
          <w:szCs w:val="18"/>
          <w:color w:val="auto"/>
        </w:rPr>
        <w:t>As of September 7, 2025, advertising fund assets, restricted of $135.8 million consisted of $109.6 million of cash and cash equivalents, $17.9 million of accounts receivable and $8.3 million of prepaid expenses. As of September 7, 2025, advertising fund cash and cash equivalents included $3.1 million of cash contributed from U.S. Company-owned stores that had not yet been expended.</w:t>
      </w:r>
    </w:p>
    <w:p>
      <w:pPr>
        <w:spacing w:after="0" w:line="81" w:lineRule="exact"/>
        <w:rPr>
          <w:sz w:val="20"/>
          <w:szCs w:val="20"/>
          <w:color w:val="auto"/>
        </w:rPr>
      </w:pPr>
    </w:p>
    <w:p>
      <w:pPr>
        <w:ind w:left="300" w:right="300" w:firstLine="284"/>
        <w:spacing w:after="0" w:line="266" w:lineRule="auto"/>
        <w:rPr>
          <w:sz w:val="20"/>
          <w:szCs w:val="20"/>
          <w:color w:val="auto"/>
        </w:rPr>
      </w:pPr>
      <w:r>
        <w:rPr>
          <w:rFonts w:ascii="Times New Roman" w:cs="Times New Roman" w:eastAsia="Times New Roman" w:hAnsi="Times New Roman"/>
          <w:sz w:val="18"/>
          <w:szCs w:val="18"/>
          <w:color w:val="auto"/>
        </w:rPr>
        <w:t>As of December 29, 2024, advertising fund assets, restricted of $103.4 million consisted of $80.9 million of cash and cash equivalents, $14.3 million of accounts receivable and $8.2 million of prepaid expenses. As of December 29, 2024, advertising fund cash and cash equivalents included $1.8 million of cash contributed from U.S. Company-owned stores that had not yet been expended.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8. Leases</w:t>
      </w:r>
    </w:p>
    <w:p>
      <w:pPr>
        <w:spacing w:after="0" w:line="117"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The Company leases certain retail store and supply chain center locations, vehicles, equipment and its corporate headquarters with expiration dates through 2045. Rent expense totaled $21.8 million and $65.9 million in the third quarter and three fiscal quarters of 2025, respectively. Rent expense totaled $21.0 million and $63.2 million in the third quarter and three fiscal quarters of 2024,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$1.4 million and $5.0 million in the third quarter and three fiscal quarters of 2025, respectively. Rent expense for certain short-term supply chain center tractor and trailer rentals was $1.5 million and $5.4 million in the third quarter and three fiscal quarters of 2024, respectively. Variable rent expense and rent expense for other short-term leases were immaterial in both the third quarter and three fiscal quarters of 2025 and 2024.</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operating and finance lease cost for the third quarters and three fiscal quarters of 2025 and 2024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4"/>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17"/>
        </w:trPr>
        <w:tc>
          <w:tcPr>
            <w:tcW w:w="46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258"/>
              <w:spacing w:after="0" w:line="118" w:lineRule="exact"/>
              <w:rPr>
                <w:sz w:val="20"/>
                <w:szCs w:val="20"/>
                <w:color w:val="auto"/>
              </w:rPr>
            </w:pPr>
            <w:r>
              <w:rPr>
                <w:rFonts w:ascii="Times New Roman" w:cs="Times New Roman" w:eastAsia="Times New Roman" w:hAnsi="Times New Roman"/>
                <w:sz w:val="13"/>
                <w:szCs w:val="13"/>
                <w:b w:val="1"/>
                <w:bCs w:val="1"/>
                <w:color w:val="auto"/>
              </w:rPr>
              <w:t>September 7,</w:t>
            </w: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237"/>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58"/>
              <w:spacing w:after="0" w:line="118" w:lineRule="exact"/>
              <w:rPr>
                <w:sz w:val="20"/>
                <w:szCs w:val="20"/>
                <w:color w:val="auto"/>
              </w:rPr>
            </w:pPr>
            <w:r>
              <w:rPr>
                <w:rFonts w:ascii="Times New Roman" w:cs="Times New Roman" w:eastAsia="Times New Roman" w:hAnsi="Times New Roman"/>
                <w:sz w:val="13"/>
                <w:szCs w:val="13"/>
                <w:b w:val="1"/>
                <w:bCs w:val="1"/>
                <w:color w:val="auto"/>
              </w:rPr>
              <w:t>September 7,</w:t>
            </w: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57"/>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100" w:type="dxa"/>
            <w:vAlign w:val="bottom"/>
          </w:tcPr>
          <w:p>
            <w:pPr>
              <w:spacing w:after="0"/>
              <w:rPr>
                <w:sz w:val="10"/>
                <w:szCs w:val="10"/>
                <w:color w:val="auto"/>
              </w:rPr>
            </w:pPr>
          </w:p>
        </w:tc>
      </w:tr>
      <w:tr>
        <w:trPr>
          <w:trHeight w:val="173"/>
        </w:trPr>
        <w:tc>
          <w:tcPr>
            <w:tcW w:w="4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36,213</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34,260</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Pr>
          <w:p>
            <w:pPr>
              <w:spacing w:after="0"/>
              <w:rPr>
                <w:sz w:val="18"/>
                <w:szCs w:val="18"/>
                <w:color w:val="auto"/>
              </w:rPr>
            </w:pPr>
          </w:p>
        </w:tc>
      </w:tr>
      <w:tr>
        <w:trPr>
          <w:trHeight w:val="22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00" w:type="dxa"/>
            <w:vAlign w:val="bottom"/>
            <w:shd w:val="clear" w:color="auto" w:fill="CFF0FC"/>
          </w:tcPr>
          <w:p>
            <w:pPr>
              <w:spacing w:after="0"/>
              <w:rPr>
                <w:sz w:val="19"/>
                <w:szCs w:val="19"/>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-25400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-8255</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three fiscal quarters of 2025 and 2024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100" w:type="dxa"/>
            <w:vAlign w:val="bottom"/>
          </w:tcPr>
          <w:p>
            <w:pPr>
              <w:spacing w:after="0"/>
              <w:rPr>
                <w:sz w:val="15"/>
                <w:szCs w:val="15"/>
                <w:color w:val="auto"/>
              </w:rPr>
            </w:pPr>
          </w:p>
        </w:tc>
      </w:tr>
      <w:tr>
        <w:trPr>
          <w:trHeight w:val="227"/>
        </w:trPr>
        <w:tc>
          <w:tcPr>
            <w:tcW w:w="7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September 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8,</w:t>
            </w:r>
          </w:p>
        </w:tc>
      </w:tr>
      <w:tr>
        <w:trPr>
          <w:trHeight w:val="185"/>
        </w:trPr>
        <w:tc>
          <w:tcPr>
            <w:tcW w:w="7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35,123</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33,693</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Pr>
          <w:p>
            <w:pPr>
              <w:spacing w:after="0"/>
              <w:rPr>
                <w:sz w:val="18"/>
                <w:szCs w:val="18"/>
                <w:color w:val="auto"/>
              </w:rPr>
            </w:pPr>
          </w:p>
        </w:tc>
      </w:tr>
      <w:tr>
        <w:trPr>
          <w:trHeight w:val="198"/>
        </w:trPr>
        <w:tc>
          <w:tcPr>
            <w:tcW w:w="7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obligation from sale leaseback:</w:t>
            </w:r>
          </w:p>
        </w:tc>
        <w:tc>
          <w:tcPr>
            <w:tcW w:w="2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sale leaseback</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cash flows from sale leaseback</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46,300</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40,800</w:t>
            </w:r>
          </w:p>
        </w:tc>
        <w:tc>
          <w:tcPr>
            <w:tcW w:w="100" w:type="dxa"/>
            <w:vAlign w:val="bottom"/>
            <w:shd w:val="clear" w:color="auto" w:fill="CFF0FC"/>
          </w:tcPr>
          <w:p>
            <w:pPr>
              <w:spacing w:after="0"/>
              <w:rPr>
                <w:sz w:val="18"/>
                <w:szCs w:val="18"/>
                <w:color w:val="auto"/>
              </w:rPr>
            </w:pPr>
          </w:p>
        </w:tc>
      </w:tr>
      <w:tr>
        <w:trPr>
          <w:trHeight w:val="234"/>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20"/>
                <w:szCs w:val="20"/>
                <w:color w:val="auto"/>
              </w:rPr>
            </w:pPr>
          </w:p>
        </w:tc>
      </w:tr>
    </w:tbl>
    <w:p>
      <w:pPr>
        <w:spacing w:after="0" w:line="139"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As of September 7, 2025, the Company had additional leases for certain supply chain real estate and certain supply chain vehicles that had not yet commenced with estimated future minimum rental commitments of $161.9 million. These leases are expected to commence in 2025 and 2026 with lease terms of up to 20 years. These undiscounted amounts will be included in the Company’s condensed consolidated balance sheet at the respective commencement dates.</w:t>
      </w:r>
    </w:p>
    <w:p>
      <w:pPr>
        <w:spacing w:after="0" w:line="72"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Company has guaranteed lease payments related to certain franchisees’ lease arrangements. The maximum amount of potential future payments under these guarantees was $14.1 million and $12.8 million as of September 7, 2025 and December 29, 2024, respectively. The Company does not believe these arrangements have had or are likely to have a material effect on its results of operations, financial condition, revenues, expenses or liquidity.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Supplemental Disclosures of Cash Flow Information</w:t>
      </w:r>
    </w:p>
    <w:p>
      <w:pPr>
        <w:spacing w:after="0" w:line="131"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8"/>
          <w:szCs w:val="18"/>
          <w:color w:val="auto"/>
        </w:rPr>
        <w:t>The Company had non-cash investing activities related to accruals for capital expenditures of $4.8 million at September 7, 2025 and $3.1 million at December 29, 2024. The Company had $2.5 million in non-cash financing activity related to accruals for excise taxes on share repurchases as of September 7, 2025. The Company had $3.0 million in non-cash financing activity related to accruals for excise taxes on share repurchases as of December 29, 2024, which was paid in the second quarter of 2025.</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10. Company-owned Store Transactions</w:t>
      </w:r>
    </w:p>
    <w:p>
      <w:pPr>
        <w:spacing w:after="0" w:line="131"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the Company refranchised 36 U.S. Company-owned stores in Maryland for proceeds of $8.5 million. The pre-tax refranchising gain associated with the sale of the related assets and liabilities, including a $1.4 million reduction in goodwill, was $3.9 million and was recorded in refranchising (gain) loss in the Company’s condensed consolidated statements of income.</w:t>
      </w:r>
    </w:p>
    <w:p>
      <w:pPr>
        <w:spacing w:after="0" w:line="59" w:lineRule="exact"/>
        <w:rPr>
          <w:sz w:val="20"/>
          <w:szCs w:val="20"/>
          <w:color w:val="auto"/>
        </w:rPr>
      </w:pPr>
    </w:p>
    <w:p>
      <w:pPr>
        <w:jc w:val="both"/>
        <w:ind w:right="540" w:firstLine="255"/>
        <w:spacing w:after="0" w:line="265" w:lineRule="auto"/>
        <w:rPr>
          <w:sz w:val="20"/>
          <w:szCs w:val="20"/>
          <w:color w:val="auto"/>
        </w:rPr>
      </w:pPr>
      <w:r>
        <w:rPr>
          <w:rFonts w:ascii="Times New Roman" w:cs="Times New Roman" w:eastAsia="Times New Roman" w:hAnsi="Times New Roman"/>
          <w:sz w:val="18"/>
          <w:szCs w:val="18"/>
          <w:color w:val="auto"/>
        </w:rPr>
        <w:t>During the first quarter of 2025, the Company purchased two U.S. franchised stores from one of the 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former U.S. franchisees for $0.9 million, which was paid in the second quarter of 2025. The Company recorded $0.3 million of intangibles, $0.1 million of equipment and leasehold improvements and $0.5 million of goodwill.</w:t>
      </w:r>
    </w:p>
    <w:p>
      <w:pPr>
        <w:spacing w:after="0" w:line="68"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During each of the first and second quarters of 2024, the Company refranchised one U.S. Company-owned store for proceeds of less than $0.1 million each. The pre-tax refranchising losses associated with the sale of the related assets and liabilities, including goodwill, were approximately $0.1 million each and were recorded in refranchising (gain) loss in the Company’s condensed consolidated statements of income.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New Accounting Pronouncements</w:t>
      </w:r>
    </w:p>
    <w:p>
      <w:pPr>
        <w:spacing w:after="0" w:line="117" w:lineRule="exact"/>
        <w:rPr>
          <w:sz w:val="20"/>
          <w:szCs w:val="20"/>
          <w:color w:val="auto"/>
        </w:rPr>
      </w:pPr>
    </w:p>
    <w:p>
      <w:pPr>
        <w:ind w:right="660" w:firstLine="255"/>
        <w:spacing w:after="0" w:line="282" w:lineRule="auto"/>
        <w:rPr>
          <w:sz w:val="20"/>
          <w:szCs w:val="20"/>
          <w:color w:val="auto"/>
        </w:rPr>
      </w:pPr>
      <w:r>
        <w:rPr>
          <w:rFonts w:ascii="Times New Roman" w:cs="Times New Roman" w:eastAsia="Times New Roman" w:hAnsi="Times New Roman"/>
          <w:sz w:val="18"/>
          <w:szCs w:val="18"/>
          <w:color w:val="auto"/>
        </w:rPr>
        <w:t>The Company has considered all new accounting standards issued by the Financial Accounting Standards Board (the “FASB”) and adopted the following accounting standard.</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Recently Adopted Accounting Standards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ASU 2023-07, Segment Reporting (Topic 280): Improvements to Reportable Segment Disclosures (“ASU 2023-07”)</w:t>
      </w:r>
    </w:p>
    <w:p>
      <w:pPr>
        <w:spacing w:after="0" w:line="119" w:lineRule="exact"/>
        <w:rPr>
          <w:sz w:val="20"/>
          <w:szCs w:val="20"/>
          <w:color w:val="auto"/>
        </w:rPr>
      </w:pPr>
    </w:p>
    <w:p>
      <w:pPr>
        <w:ind w:left="460" w:right="20" w:firstLine="254"/>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which requires disclosure on an annual and interim basis, of significant segment expenses that are regularly provided to the chief operating decision maker and included within the reported measure of segment profit or loss. In addition, the ASU requires disclosure of other segment expenses by reportable segment and a description of their composition to permit the reconciliation between segment revenue, significant segment expenses and the reported segment measure of profit or loss. The ASU also requires disclosure of the title and position of the chief operating decision maker.</w:t>
      </w:r>
    </w:p>
    <w:p>
      <w:pPr>
        <w:spacing w:after="0" w:line="75" w:lineRule="exact"/>
        <w:rPr>
          <w:sz w:val="20"/>
          <w:szCs w:val="20"/>
          <w:color w:val="auto"/>
        </w:rPr>
      </w:pPr>
    </w:p>
    <w:p>
      <w:pPr>
        <w:ind w:left="460" w:right="20" w:firstLine="254"/>
        <w:spacing w:after="0" w:line="282" w:lineRule="auto"/>
        <w:rPr>
          <w:sz w:val="20"/>
          <w:szCs w:val="20"/>
          <w:color w:val="auto"/>
        </w:rPr>
      </w:pPr>
      <w:r>
        <w:rPr>
          <w:rFonts w:ascii="Times New Roman" w:cs="Times New Roman" w:eastAsia="Times New Roman" w:hAnsi="Times New Roman"/>
          <w:sz w:val="18"/>
          <w:szCs w:val="18"/>
          <w:color w:val="auto"/>
        </w:rPr>
        <w:t>On December 29, 2024, the end of the 2024 fiscal year, the Company adopted ASU 2023-07. The relevant interim disclosures are included within Note 2, Segment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Accounting Standards Not Yet Adopted</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has considered all new accounting standards issued by the FASB. The Company has not yet adopted the following accounting standards:</w:t>
      </w:r>
    </w:p>
    <w:p>
      <w:pPr>
        <w:spacing w:after="0" w:line="1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w:t>
      </w:r>
    </w:p>
    <w:p>
      <w:pPr>
        <w:spacing w:after="0" w:line="131" w:lineRule="exact"/>
        <w:rPr>
          <w:sz w:val="20"/>
          <w:szCs w:val="20"/>
          <w:color w:val="auto"/>
        </w:rPr>
      </w:pPr>
    </w:p>
    <w:p>
      <w:pPr>
        <w:ind w:left="460" w:firstLine="25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Income Taxes (Topic 740): Improvements to Income Tax Disclosures (“ASU 2023-09”)</w:t>
      </w:r>
      <w:r>
        <w:rPr>
          <w:rFonts w:ascii="Times New Roman" w:cs="Times New Roman" w:eastAsia="Times New Roman" w:hAnsi="Times New Roman"/>
          <w:sz w:val="18"/>
          <w:szCs w:val="18"/>
          <w:color w:val="auto"/>
        </w:rPr>
        <w:t>, which requires disclosure on an annual basis, a tabular reconciliation, including both amount and percentage of specific categories of the effective tax rate reconciliation, including state and local income taxes (net of Federal taxes), foreign taxes, effects of changes in tax laws and regulations, effects of cross-border tax laws, tax credits, changes in valuation allowances, nontaxable and nondeductible items and changes in unrecognized tax benefits. Additional disclosures are required for certain items exceeding five percent of income from continuing operations multiplied by the statutory income tax rate. The standard also requires disclosure of income taxes paid between Federal, state and foreign jurisdictions, including further disaggregation of those payments exceeding five percent of the total income taxes paid.</w:t>
      </w:r>
    </w:p>
    <w:p>
      <w:pPr>
        <w:spacing w:after="0" w:line="77" w:lineRule="exact"/>
        <w:rPr>
          <w:sz w:val="20"/>
          <w:szCs w:val="20"/>
          <w:color w:val="auto"/>
        </w:rPr>
      </w:pPr>
    </w:p>
    <w:p>
      <w:pPr>
        <w:ind w:left="520" w:right="620" w:firstLine="254"/>
        <w:spacing w:after="0" w:line="282" w:lineRule="auto"/>
        <w:rPr>
          <w:sz w:val="20"/>
          <w:szCs w:val="20"/>
          <w:color w:val="auto"/>
        </w:rPr>
      </w:pPr>
      <w:r>
        <w:rPr>
          <w:rFonts w:ascii="Times New Roman" w:cs="Times New Roman" w:eastAsia="Times New Roman" w:hAnsi="Times New Roman"/>
          <w:sz w:val="18"/>
          <w:szCs w:val="18"/>
          <w:color w:val="auto"/>
        </w:rPr>
        <w:t>ASU 2023-09 is effective for fiscal years beginning after December 15, 2024, and early adoption is permitted. The Company is currently evaluating the impact of this accounting standard on the disclosures to its consolidated financial statements.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ASU 2024-03, Disaggregation of Income Statement Expenses (Subtopic 220-40): Income Statement—Reporting Comprehensive Income—Expense Disaggregation Disclosures</w:t>
      </w:r>
    </w:p>
    <w:p>
      <w:pPr>
        <w:spacing w:after="0" w:line="64"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2024-03, Disaggregation of Income Statement Expenses (Subtopic 220-40): 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Income—Expense Disaggregation Disclosures (“ASU 2024-03”)</w:t>
      </w:r>
      <w:r>
        <w:rPr>
          <w:rFonts w:ascii="Times New Roman" w:cs="Times New Roman" w:eastAsia="Times New Roman" w:hAnsi="Times New Roman"/>
          <w:sz w:val="18"/>
          <w:szCs w:val="18"/>
          <w:color w:val="auto"/>
        </w:rPr>
        <w:t>, which requires disclosure in the notes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on an annual and interim basis, of the amounts of purchases of inventory, employee compensation, depreciation and intangible asset amortization for all expense captions presented on the face of the consolidated statements of income. The standard also requires a qualitative description of the amounts remaining in those expense captions that are not separately disaggregated. The standard also requires disclosure of the composition and amount of selling expenses.</w:t>
      </w:r>
    </w:p>
    <w:p>
      <w:pPr>
        <w:spacing w:after="0" w:line="90" w:lineRule="exact"/>
        <w:rPr>
          <w:sz w:val="20"/>
          <w:szCs w:val="20"/>
          <w:color w:val="auto"/>
        </w:rPr>
      </w:pPr>
    </w:p>
    <w:p>
      <w:pPr>
        <w:ind w:right="180" w:firstLine="254"/>
        <w:spacing w:after="0" w:line="266" w:lineRule="auto"/>
        <w:rPr>
          <w:sz w:val="20"/>
          <w:szCs w:val="20"/>
          <w:color w:val="auto"/>
        </w:rPr>
      </w:pPr>
      <w:r>
        <w:rPr>
          <w:rFonts w:ascii="Times New Roman" w:cs="Times New Roman" w:eastAsia="Times New Roman" w:hAnsi="Times New Roman"/>
          <w:sz w:val="18"/>
          <w:szCs w:val="18"/>
          <w:color w:val="auto"/>
        </w:rPr>
        <w:t>ASU 2024-03 is effective for annual reporting fiscal years beginning after December 15, 2026 and interim periods within fiscal years beginning after December 15, 2027, and early adoption is permitted. The standard may be adopted either prospectively or retrospectively. The Company is currently evaluating the impact of this accounting standard on the disclosures to its consolidated financial statements.</w:t>
      </w:r>
    </w:p>
    <w:p>
      <w:pPr>
        <w:spacing w:after="0" w:line="79"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ASU 2025-06, Intangibles—Goodwill and Other—Internal-Use Software (Subtopic 350-40): Targeted Improvements to the Accounting for Internal-Use Software</w:t>
      </w:r>
    </w:p>
    <w:p>
      <w:pPr>
        <w:spacing w:after="0" w:line="64" w:lineRule="exact"/>
        <w:rPr>
          <w:sz w:val="20"/>
          <w:szCs w:val="20"/>
          <w:color w:val="auto"/>
        </w:rPr>
      </w:pPr>
    </w:p>
    <w:p>
      <w:pPr>
        <w:ind w:right="120" w:firstLine="25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w:t>
      </w:r>
      <w:r>
        <w:rPr>
          <w:rFonts w:ascii="Times New Roman" w:cs="Times New Roman" w:eastAsia="Times New Roman" w:hAnsi="Times New Roman"/>
          <w:sz w:val="18"/>
          <w:szCs w:val="18"/>
          <w:i w:val="1"/>
          <w:iCs w:val="1"/>
          <w:color w:val="auto"/>
        </w:rPr>
        <w:t>ASU 2025-06, 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 (“ASU 2025-06”)</w:t>
      </w:r>
      <w:r>
        <w:rPr>
          <w:rFonts w:ascii="Times New Roman" w:cs="Times New Roman" w:eastAsia="Times New Roman" w:hAnsi="Times New Roman"/>
          <w:sz w:val="18"/>
          <w:szCs w:val="18"/>
          <w:color w:val="auto"/>
        </w:rPr>
        <w:t>, to modernize the accounting guidance for the costs to develop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for internal use. The standard applies to costs incurred to develop or obtain software for internal use. ASU 2025-06 amends the existing standard that refers to various stages of a software development project to align better with current software development methods, such as agile programming.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w:t>
      </w:r>
    </w:p>
    <w:p>
      <w:pPr>
        <w:spacing w:after="0" w:line="90" w:lineRule="exact"/>
        <w:rPr>
          <w:sz w:val="20"/>
          <w:szCs w:val="20"/>
          <w:color w:val="auto"/>
        </w:rPr>
      </w:pPr>
    </w:p>
    <w:p>
      <w:pPr>
        <w:jc w:val="both"/>
        <w:ind w:right="100" w:firstLine="254"/>
        <w:spacing w:after="0" w:line="257" w:lineRule="auto"/>
        <w:rPr>
          <w:sz w:val="20"/>
          <w:szCs w:val="20"/>
          <w:color w:val="auto"/>
        </w:rPr>
      </w:pPr>
      <w:r>
        <w:rPr>
          <w:rFonts w:ascii="Times New Roman" w:cs="Times New Roman" w:eastAsia="Times New Roman" w:hAnsi="Times New Roman"/>
          <w:sz w:val="18"/>
          <w:szCs w:val="18"/>
          <w:color w:val="auto"/>
        </w:rPr>
        <w:t>ASU 2025-06 guidance is effective for annual periods beginning after December 15, 2027. The guidance can be applied on a prospective basis, a modified basis for in-process projects or on a retrospective basis. The Company is currently evaluating the impact of this accounting standard on its consolidated financial statements.</w:t>
      </w:r>
    </w:p>
    <w:p>
      <w:pPr>
        <w:spacing w:after="0" w:line="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473075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80" w:top="9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tabular amounts in millions, except percentages and store data)</w:t>
      </w:r>
    </w:p>
    <w:p>
      <w:pPr>
        <w:spacing w:after="0" w:line="99"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The 2025 and 2024 third quarters referenced herein represent the twelve-week periods ended September 7, 2025 and September 8, 2024, respectively. The 2025 and 2024 three fiscal quarters referenced herein represent the thirty-six-week periods ended September 7, 2025 and September 8, 2024, respectively. In this section, we discuss the results of our operations for the third quarter and three fiscal quarters of 2025 as compared to the third quarter and three fiscal quarters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ind w:right="20" w:firstLine="281"/>
        <w:spacing w:after="0" w:line="255" w:lineRule="auto"/>
        <w:rPr>
          <w:sz w:val="20"/>
          <w:szCs w:val="20"/>
          <w:color w:val="auto"/>
        </w:rPr>
      </w:pPr>
      <w:r>
        <w:rPr>
          <w:rFonts w:ascii="Times New Roman" w:cs="Times New Roman" w:eastAsia="Times New Roman" w:hAnsi="Times New Roman"/>
          <w:sz w:val="18"/>
          <w:szCs w:val="18"/>
          <w:color w:val="auto"/>
        </w:rPr>
        <w:t>Domino’s is the largest pizza company in the world, with more than 21,700 locations in over 90 markets around the world as of September 7, 2025, and operates two distinct service models within its stores with a significant business in both delivery and carryout. We are a highly recognized global brand, and we focus on value while serving neighborhoods locally through our large worldwide network of franchise owners and U.S. Company-owned stores through both the delivery and carryout service models. We have been selling quality, affordable food to our customers since 1960. We became “Domino’s Pizza” in 1965 and opened our first franchised store in 1967. Over more than 60 years, we have built Domino’s into one of the most widely-recognized consumer brands in the world. We believe our commitment to value, convenience, quality and new products continues to keep consumers engaged with the brand.</w:t>
      </w:r>
    </w:p>
    <w:p>
      <w:pPr>
        <w:spacing w:after="0" w:line="94" w:lineRule="exact"/>
        <w:rPr>
          <w:sz w:val="20"/>
          <w:szCs w:val="20"/>
          <w:color w:val="auto"/>
        </w:rPr>
      </w:pPr>
    </w:p>
    <w:p>
      <w:pPr>
        <w:ind w:right="40" w:firstLine="281"/>
        <w:spacing w:after="0" w:line="266" w:lineRule="auto"/>
        <w:rPr>
          <w:sz w:val="20"/>
          <w:szCs w:val="20"/>
          <w:color w:val="auto"/>
        </w:rPr>
      </w:pPr>
      <w:r>
        <w:rPr>
          <w:rFonts w:ascii="Times New Roman" w:cs="Times New Roman" w:eastAsia="Times New Roman" w:hAnsi="Times New Roman"/>
          <w:sz w:val="18"/>
          <w:szCs w:val="18"/>
          <w:color w:val="auto"/>
        </w:rPr>
        <w:t>We are primarily a franchisor, with approximately 99% of Domino’s global stores owned and operated by our independent franchisees as of September 7, 2025. Franchising enables an individual to be a business owner and maintain control over all employment-related matters and pricing decisions, while also benefiting from the strength of the Domino’s global brand and operating system with limited capital investment by us.</w:t>
      </w:r>
    </w:p>
    <w:p>
      <w:pPr>
        <w:spacing w:after="0" w:line="81" w:lineRule="exact"/>
        <w:rPr>
          <w:sz w:val="20"/>
          <w:szCs w:val="20"/>
          <w:color w:val="auto"/>
        </w:rPr>
      </w:pPr>
    </w:p>
    <w:p>
      <w:pPr>
        <w:ind w:right="240" w:firstLine="281"/>
        <w:spacing w:after="0" w:line="261" w:lineRule="auto"/>
        <w:rPr>
          <w:sz w:val="20"/>
          <w:szCs w:val="20"/>
          <w:color w:val="auto"/>
        </w:rPr>
      </w:pPr>
      <w:r>
        <w:rPr>
          <w:rFonts w:ascii="Times New Roman" w:cs="Times New Roman" w:eastAsia="Times New Roman" w:hAnsi="Times New Roman"/>
          <w:sz w:val="18"/>
          <w:szCs w:val="18"/>
          <w:color w:val="auto"/>
        </w:rPr>
        <w:t>Domino’s business model is straightforward: Domino’s stores handcraft and serve quality food at a competitive price, with easy ordering access and efficient service, enhanced by our technological innovations. We also have agreements with Uber Technologies, Inc. and DoorDash, Inc. to allow customers to order Domino’s products through their marketplaces. Our hand-tossed dough is made fresh and distributed to stores around the world by us and our franchisees.</w:t>
      </w:r>
    </w:p>
    <w:p>
      <w:pPr>
        <w:spacing w:after="0" w:line="85" w:lineRule="exact"/>
        <w:rPr>
          <w:sz w:val="20"/>
          <w:szCs w:val="20"/>
          <w:color w:val="auto"/>
        </w:rPr>
      </w:pPr>
    </w:p>
    <w:p>
      <w:pPr>
        <w:ind w:right="80" w:firstLine="281"/>
        <w:spacing w:after="0" w:line="249" w:lineRule="auto"/>
        <w:rPr>
          <w:sz w:val="20"/>
          <w:szCs w:val="20"/>
          <w:color w:val="auto"/>
        </w:rPr>
      </w:pPr>
      <w:r>
        <w:rPr>
          <w:rFonts w:ascii="Times New Roman" w:cs="Times New Roman" w:eastAsia="Times New Roman" w:hAnsi="Times New Roman"/>
          <w:sz w:val="17"/>
          <w:szCs w:val="17"/>
          <w:color w:val="auto"/>
        </w:rPr>
        <w:t>Domino’s generates revenues and earnings by charging royalties and fees to our franchisees. Royalties are ongoing percent-of-sales fees for use of the Domino’s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brand marks. We also generate revenues and earnings by selling food and, to a lesser extent, other products to franchisees through our supply chain operations primarily in the U.S. and Canada and by operating a number of Company-owned stores in the U.S. Franchisees profit by selling pizza and other complementary items to their local customers. In our international markets, we generally grant geographical rights to the Domino’s Pizza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brand to master franchisees. These master franchisees are charged with developing their geographical area, and they may profit by sub-franchising and selling food and, to a lesser extent, other products to those sub-franchisees, as well as by running pizza stores. We believe that everyone in the system can benefit from the franchise model, including the end consumer, who can purchase Domino’s menu items for themselves and their family conveniently and economically.</w:t>
      </w:r>
    </w:p>
    <w:p>
      <w:pPr>
        <w:spacing w:after="0" w:line="98" w:lineRule="exact"/>
        <w:rPr>
          <w:sz w:val="20"/>
          <w:szCs w:val="20"/>
          <w:color w:val="auto"/>
        </w:rPr>
      </w:pPr>
    </w:p>
    <w:p>
      <w:pPr>
        <w:ind w:right="160" w:firstLine="281"/>
        <w:spacing w:after="0" w:line="256" w:lineRule="auto"/>
        <w:rPr>
          <w:sz w:val="20"/>
          <w:szCs w:val="20"/>
          <w:color w:val="auto"/>
        </w:rPr>
      </w:pPr>
      <w:r>
        <w:rPr>
          <w:rFonts w:ascii="Times New Roman" w:cs="Times New Roman" w:eastAsia="Times New Roman" w:hAnsi="Times New Roman"/>
          <w:sz w:val="18"/>
          <w:szCs w:val="18"/>
          <w:color w:val="auto"/>
        </w:rPr>
        <w:t>Domino’s business model can yield strong returns for our franchise owners and our Company-owned stores. It can also yield significant cash flows to us, through a consistent franchise royalty payment and supply chain revenue stream, through an asset-light model. We have historically returned cash to shareholders through dividend payments and share repurchases. Domino’s financial results are driven largely by retail sales at our franchised and Company-owned stores. Changes in retail sales are primarily driven by same store sales growth and net store growth. We actively monitor both of these metrics, as they directly impact our revenues and profits, and we strive to consistently increase both metrics. Retail sales drive royalty payments from franchisees, as well as Company-owned store and supply chain revenues.</w:t>
      </w:r>
    </w:p>
    <w:p>
      <w:pPr>
        <w:spacing w:after="0" w:line="93" w:lineRule="exact"/>
        <w:rPr>
          <w:sz w:val="20"/>
          <w:szCs w:val="20"/>
          <w:color w:val="auto"/>
        </w:rPr>
      </w:pPr>
    </w:p>
    <w:p>
      <w:pPr>
        <w:ind w:right="140" w:firstLine="281"/>
        <w:spacing w:after="0" w:line="266" w:lineRule="auto"/>
        <w:rPr>
          <w:sz w:val="20"/>
          <w:szCs w:val="20"/>
          <w:color w:val="auto"/>
        </w:rPr>
      </w:pPr>
      <w:r>
        <w:rPr>
          <w:rFonts w:ascii="Times New Roman" w:cs="Times New Roman" w:eastAsia="Times New Roman" w:hAnsi="Times New Roman"/>
          <w:sz w:val="18"/>
          <w:szCs w:val="18"/>
          <w:color w:val="auto"/>
        </w:rPr>
        <w:t>At Domino’s, we believe we have a proven business model for success that has historically driven strong returns for our shareholders. Our Hungry for MORE strategy aims to generate MORE sales, MORE stores and MORE profits. The strategic imperatives of our Hungry for MORE strategy are as follows:</w:t>
      </w:r>
    </w:p>
    <w:p>
      <w:pPr>
        <w:spacing w:after="0" w:line="79" w:lineRule="exact"/>
        <w:rPr>
          <w:sz w:val="20"/>
          <w:szCs w:val="20"/>
          <w:color w:val="auto"/>
        </w:rPr>
      </w:pPr>
    </w:p>
    <w:p>
      <w:pPr>
        <w:ind w:left="260"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Most Delicious Food: </w:t>
      </w:r>
      <w:r>
        <w:rPr>
          <w:rFonts w:ascii="Times New Roman" w:cs="Times New Roman" w:eastAsia="Times New Roman" w:hAnsi="Times New Roman"/>
          <w:sz w:val="18"/>
          <w:szCs w:val="18"/>
          <w:color w:val="auto"/>
        </w:rPr>
        <w:t>We believe we have the best pizza in the industry, and our menu has even more mouthwatering options beyond pizza.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showcase the breadth of our menu, while highlighting the deliciousness of our food through our innovative marketing promotions.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Operational Excellence: </w:t>
      </w:r>
      <w:r>
        <w:rPr>
          <w:rFonts w:ascii="Times New Roman" w:cs="Times New Roman" w:eastAsia="Times New Roman" w:hAnsi="Times New Roman"/>
          <w:sz w:val="18"/>
          <w:szCs w:val="18"/>
          <w:color w:val="auto"/>
        </w:rPr>
        <w:t>We are relentless in our focus on convenience, consistency and efficiency for our customers.</w:t>
      </w:r>
    </w:p>
    <w:p>
      <w:pPr>
        <w:spacing w:after="0" w:line="131" w:lineRule="exact"/>
        <w:rPr>
          <w:sz w:val="20"/>
          <w:szCs w:val="20"/>
          <w:color w:val="auto"/>
        </w:rPr>
      </w:pPr>
    </w:p>
    <w:p>
      <w:pPr>
        <w:ind w:left="260" w:right="7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Renowned Value: </w:t>
      </w:r>
      <w:r>
        <w:rPr>
          <w:rFonts w:ascii="Times New Roman" w:cs="Times New Roman" w:eastAsia="Times New Roman" w:hAnsi="Times New Roman"/>
          <w:sz w:val="18"/>
          <w:szCs w:val="18"/>
          <w:color w:val="auto"/>
        </w:rPr>
        <w:t>We are committed to continuing to offer competitive pricing and personalized value for our customers that is innovative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memorable.</w:t>
      </w:r>
    </w:p>
    <w:p>
      <w:pPr>
        <w:spacing w:after="0" w:line="64" w:lineRule="exact"/>
        <w:rPr>
          <w:sz w:val="20"/>
          <w:szCs w:val="20"/>
          <w:color w:val="auto"/>
        </w:rPr>
      </w:pPr>
    </w:p>
    <w:p>
      <w:pPr>
        <w:ind w:left="2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Enhanced by Best-in-Class Franchisees: </w:t>
      </w:r>
      <w:r>
        <w:rPr>
          <w:rFonts w:ascii="Times New Roman" w:cs="Times New Roman" w:eastAsia="Times New Roman" w:hAnsi="Times New Roman"/>
          <w:sz w:val="18"/>
          <w:szCs w:val="18"/>
          <w:color w:val="auto"/>
        </w:rPr>
        <w:t>Our franchisees play a vital role in driving results and excitement across the more than 90 markets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w:t>
      </w: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Third Quarter of 2025 Highlights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discussed above, our Hungry for MORE strategy aims to generate MORE sales, MORE stores and MORE profits.</w:t>
      </w:r>
    </w:p>
    <w:p>
      <w:pPr>
        <w:spacing w:after="0" w:line="131" w:lineRule="exact"/>
        <w:rPr>
          <w:sz w:val="20"/>
          <w:szCs w:val="20"/>
          <w:color w:val="auto"/>
        </w:rPr>
      </w:pPr>
    </w:p>
    <w:p>
      <w:pPr>
        <w:ind w:left="760" w:right="20" w:hanging="378"/>
        <w:spacing w:after="0" w:line="255"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retail sales, excluding foreign currency impact (which includes total retail sales at Company-owned and franchised stores worldwide), increased 6.3% as compared to the third quarter of 2024. U.S. retail sales increased 7.0% and international retail sales, excluding foreign currency impact, increased 5.7% as compared to the third quarter of 2024. Same store sales increased 5.2% in our U.S. stores and increased 1.7% in our international stores (excluding foreign currency impact).</w:t>
      </w:r>
    </w:p>
    <w:p>
      <w:pPr>
        <w:spacing w:after="0" w:line="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net store growth of 214, including 29 net store openings in the U.S. and 185 net store openings internationally.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increased 12.2%.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Fiscal Quarters of 2025 Highlights</w:t>
      </w:r>
    </w:p>
    <w:p>
      <w:pPr>
        <w:spacing w:after="0" w:line="135" w:lineRule="exact"/>
        <w:rPr>
          <w:sz w:val="20"/>
          <w:szCs w:val="20"/>
          <w:color w:val="auto"/>
        </w:rPr>
      </w:pPr>
    </w:p>
    <w:p>
      <w:pPr>
        <w:ind w:left="760" w:right="120" w:hanging="378"/>
        <w:spacing w:after="0" w:line="255"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retail sales, excluding foreign currency impact (which includes total retail sales at Company-owned and franchised stores worldwide), increased 5.5% as compared to the three fiscal quarters of 2024. U.S. retail sales increased 4.5% and international retail sales, excluding foreign currency impact, increased 6.6% as compared to the three fiscal quarters of 2024. Same store sales increased 2.7% in our U.S. stores and increased 2.5% in our international stores (excluding foreign currency impact).</w:t>
      </w:r>
    </w:p>
    <w:p>
      <w:pPr>
        <w:spacing w:after="0" w:line="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net store growth of 384, including 76 net store openings in the U.S. and 308 net store openings internationally.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increased 8.7%.</w:t>
      </w:r>
    </w:p>
    <w:p>
      <w:pPr>
        <w:spacing w:after="0" w:line="112"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Excluding the positive and negative impacts of foreign currency during the third quarter and three fiscal quarters of 2025, respectively, Domino’s experienced global retail sales growth, driven by same store sales growth, as well as net store growth during the trailing four quarters in both our U.S. and international businesses. Overall, we believe our global retail sales growth, excluding foreign currency impact, marketing initiatives, operations and emphasis on technology have combined to strengthen our brand. These financial and statistical measures are described in additional detail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Statistical Measures</w:t>
      </w:r>
    </w:p>
    <w:p>
      <w:pPr>
        <w:spacing w:after="0" w:line="135"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tables below outline certain statistical measures we utilize to analyze our performance. This historical data is not necessarily indicative of results to be expected for any future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Retail Sales</w:t>
      </w:r>
    </w:p>
    <w:p>
      <w:pPr>
        <w:spacing w:after="0" w:line="135"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Global retail sales is a commonly used statistical measure in the quick-service restaurant industry that is important to understanding performance. Global retail sales refers to total worldwide retail sales at Company-owned and franchised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and we believe they are indicative of the financial health of our franchisee base. In addition, supply chain revenues are directly impacted by changes in franchise retail sales in the U.S. and Canada. As a result, sales by Domino’s franchisees have a direct effect on our profitability. Retail sales for franchised stores are reported to us by our franchisees and are not included in our revenues. The amounts below are presented in millions of U.S. dollars.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0" w:type="dxa"/>
            <w:vAlign w:val="bottom"/>
          </w:tcPr>
          <w:p>
            <w:pPr>
              <w:spacing w:after="0"/>
              <w:rPr>
                <w:sz w:val="1"/>
                <w:szCs w:val="1"/>
                <w:color w:val="auto"/>
              </w:rPr>
            </w:pPr>
          </w:p>
        </w:tc>
      </w:tr>
      <w:tr>
        <w:trPr>
          <w:trHeight w:val="21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Global retail sales:</w:t>
            </w:r>
          </w:p>
        </w:tc>
        <w:tc>
          <w:tcPr>
            <w:tcW w:w="24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stores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 stores</w:t>
            </w:r>
          </w:p>
        </w:tc>
        <w:tc>
          <w:tcPr>
            <w:tcW w:w="24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2,375.8</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6,933.5</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6,581.9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13,830.3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520" w:type="dxa"/>
            <w:vAlign w:val="bottom"/>
          </w:tcPr>
          <w:p>
            <w:pPr>
              <w:spacing w:after="0"/>
              <w:rPr>
                <w:sz w:val="24"/>
                <w:szCs w:val="24"/>
                <w:color w:val="auto"/>
              </w:rPr>
            </w:pPr>
          </w:p>
        </w:tc>
        <w:tc>
          <w:tcPr>
            <w:tcW w:w="2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-916940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-916940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-916940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-916940</wp:posOffset>
            </wp:positionV>
            <wp:extent cx="77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Global Retail Sales Growth, Excluding Foreign Currency Impact</w:t>
      </w:r>
    </w:p>
    <w:p>
      <w:pPr>
        <w:spacing w:after="0" w:line="135" w:lineRule="exact"/>
        <w:rPr>
          <w:sz w:val="20"/>
          <w:szCs w:val="20"/>
          <w:color w:val="auto"/>
        </w:rPr>
      </w:pPr>
    </w:p>
    <w:p>
      <w:pPr>
        <w:jc w:val="both"/>
        <w:ind w:right="300" w:firstLine="255"/>
        <w:spacing w:after="0" w:line="261" w:lineRule="auto"/>
        <w:rPr>
          <w:sz w:val="20"/>
          <w:szCs w:val="20"/>
          <w:color w:val="auto"/>
        </w:rPr>
      </w:pPr>
      <w:r>
        <w:rPr>
          <w:rFonts w:ascii="Times New Roman" w:cs="Times New Roman" w:eastAsia="Times New Roman" w:hAnsi="Times New Roman"/>
          <w:sz w:val="18"/>
          <w:szCs w:val="18"/>
          <w:color w:val="auto"/>
        </w:rPr>
        <w:t>Global retail sales growth, excluding foreign currency impact is a commonly used statistical measure in the quick-service restaurant industry that is important to understanding performance. Global retail sales growth, excluding foreign currency impact is calculated as the change of international local currency global retail sales against the comparable period of the prior year. Changes in global retail sales growth, excluding foreign currency impact are primarily driven by same store sales growth and net store growth.</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32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 w:type="dxa"/>
            <w:vAlign w:val="bottom"/>
          </w:tcPr>
          <w:p>
            <w:pPr>
              <w:spacing w:after="0"/>
              <w:rPr>
                <w:sz w:val="13"/>
                <w:szCs w:val="13"/>
                <w:color w:val="auto"/>
              </w:rPr>
            </w:pPr>
          </w:p>
        </w:tc>
        <w:tc>
          <w:tcPr>
            <w:tcW w:w="116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1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1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3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10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stores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+ 6.6%</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+ 5.7%</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+ 5.1%</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+ 6.6%</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+ 6.5%</w:t>
            </w: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(excluding foreign currency impact)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 Store Sales Growth</w:t>
      </w:r>
    </w:p>
    <w:p>
      <w:pPr>
        <w:spacing w:after="0" w:line="135"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Same store sales growth is a commonly used statistical measure in the quick-service restaurant industry that is important to understanding performance. Same store sales growth is calculated for a given period by including only sales from stores that also had sales in the comparable weeks of both periods. International same store sales growth is calculated similarly to U.S. same store sales growth. Changes in international same store sales are reported on a constant dollar basis, which reflects changes in international local currency sales. Same store sales growth for transferred stores is reflected in their current classification.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3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 w:type="dxa"/>
            <w:vAlign w:val="bottom"/>
          </w:tcPr>
          <w:p>
            <w:pPr>
              <w:spacing w:after="0"/>
              <w:rPr>
                <w:sz w:val="13"/>
                <w:szCs w:val="13"/>
                <w:color w:val="auto"/>
              </w:rPr>
            </w:pPr>
          </w:p>
        </w:tc>
        <w:tc>
          <w:tcPr>
            <w:tcW w:w="118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1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3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Company-owned stores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+ 5.4%</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U.S. franchise stores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+ 5.3%</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+ 3.0%</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+ 4.4%</w:t>
            </w: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stores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+ 4.5%</w:t>
            </w: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+ 0.8%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U.S. same store sales increased 5.2% in the third quarter of 2025, rolling over an increase in U.S. same store sales of 3.0% in the third quarter of 2024. U.S. same store sales increased 2.7% in the three fiscal quarters of 2025, rolling over an increase in U.S. same store sales of 4.5% in the three fiscal quarters of 2024. The increase in U.S. same store sales in the third quarter of 2025 was primarily due to higher customer transaction counts, driven in part by our “Best Deal Ever” promotion. To a lesser extent, the increase in U.S. same store sales in the third quarter of 2025 was also driven by an increase in average ticket. The increase in U.S. same store sales in the three fiscal quarters of 2025 was due to both higher average ticket and higher customer transaction counts, each driven in part by the launch of our Parmesan Stuffed Crust. Multiple windows of our “Best Deal Ever” promotion also drove higher customer transaction counts in the three fiscal quarters of 2025.</w:t>
      </w:r>
    </w:p>
    <w:p>
      <w:pPr>
        <w:spacing w:after="0" w:line="94"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International same store sales (excluding foreign currency impact) increased 1.7% in the third quarter of 2025, rolling over an increase in international same store sales (excluding foreign currency impact) of 0.8% in the third quarter of 2024. International same store sales (excluding foreign currency impact) increased 2.5% in the three fiscal quarters of 2025, rolling over an increase in international same store sales (excluding foreign currency impact) of 1.1% in the three fiscal quarters of 2024. The increases in international same store sales in both the third quarter and three fiscal quarters of 2025 were driven by higher customer transaction counts.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Growth Activity</w:t>
      </w:r>
    </w:p>
    <w:p>
      <w:pPr>
        <w:spacing w:after="0" w:line="135" w:lineRule="exact"/>
        <w:rPr>
          <w:sz w:val="20"/>
          <w:szCs w:val="20"/>
          <w:color w:val="auto"/>
        </w:rPr>
      </w:pPr>
    </w:p>
    <w:p>
      <w:pPr>
        <w:ind w:right="280" w:firstLine="255"/>
        <w:spacing w:after="0" w:line="266" w:lineRule="auto"/>
        <w:rPr>
          <w:sz w:val="20"/>
          <w:szCs w:val="20"/>
          <w:color w:val="auto"/>
        </w:rPr>
      </w:pPr>
      <w:r>
        <w:rPr>
          <w:rFonts w:ascii="Times New Roman" w:cs="Times New Roman" w:eastAsia="Times New Roman" w:hAnsi="Times New Roman"/>
          <w:sz w:val="18"/>
          <w:szCs w:val="18"/>
          <w:color w:val="auto"/>
        </w:rPr>
        <w:t>Net store growth is a commonly used statistical measure in the quick-service restaurant industry that is important to understanding performance. Net store growth is calculated by netting gross store openings with gross store closures during the period. Transfers between Company-owned stores and franchised stores are excluded from the calculation of net store growth.</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9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U.S.</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9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9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1260" w:type="dxa"/>
            <w:vAlign w:val="bottom"/>
            <w:gridSpan w:val="2"/>
            <w:vMerge w:val="continue"/>
          </w:tcPr>
          <w:p>
            <w:pPr>
              <w:spacing w:after="0"/>
              <w:rPr>
                <w:sz w:val="12"/>
                <w:szCs w:val="12"/>
                <w:color w:val="auto"/>
              </w:rPr>
            </w:pPr>
          </w:p>
        </w:tc>
        <w:tc>
          <w:tcPr>
            <w:tcW w:w="13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96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0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Store count at June 15, 2025</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258</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Closings</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Store count at September 7, 2025</w:t>
            </w:r>
          </w:p>
        </w:tc>
        <w:tc>
          <w:tcPr>
            <w:tcW w:w="9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260</w:t>
            </w:r>
          </w:p>
        </w:tc>
        <w:tc>
          <w:tcPr>
            <w:tcW w:w="2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2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14,660</w:t>
            </w: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Third quarter 2025 net store growth</w:t>
            </w:r>
          </w:p>
        </w:tc>
        <w:tc>
          <w:tcPr>
            <w:tcW w:w="96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185</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Trailing four quarters net store growth</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2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588</w:t>
            </w:r>
          </w:p>
        </w:tc>
        <w:tc>
          <w:tcPr>
            <w:tcW w:w="20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20</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-959485</wp:posOffset>
            </wp:positionV>
            <wp:extent cx="768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-942340</wp:posOffset>
            </wp:positionV>
            <wp:extent cx="768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-959485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-942340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-959485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-942340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-959485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-942340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color w:val="auto"/>
        </w:rPr>
        <w:t>Income Statement Data</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60" w:type="dxa"/>
            <w:vAlign w:val="bottom"/>
          </w:tcPr>
          <w:p>
            <w:pPr>
              <w:spacing w:after="0"/>
              <w:rPr>
                <w:sz w:val="13"/>
                <w:szCs w:val="13"/>
                <w:color w:val="auto"/>
              </w:rPr>
            </w:pPr>
          </w:p>
        </w:tc>
        <w:tc>
          <w:tcPr>
            <w:tcW w:w="1080" w:type="dxa"/>
            <w:vAlign w:val="bottom"/>
            <w:gridSpan w:val="3"/>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120" w:type="dxa"/>
            <w:vAlign w:val="bottom"/>
          </w:tcPr>
          <w:p>
            <w:pPr>
              <w:spacing w:after="0"/>
              <w:rPr>
                <w:sz w:val="13"/>
                <w:szCs w:val="13"/>
                <w:color w:val="auto"/>
              </w:rPr>
            </w:pPr>
          </w:p>
        </w:tc>
        <w:tc>
          <w:tcPr>
            <w:tcW w:w="17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 Company-owned stores</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U.S. franchise royalties and fees</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157.2</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144.1</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464.4</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442.2</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Supply chain</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697.0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651.3</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1,969.8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International franchise royalties and fees</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74.6</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231.3</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220.3</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 franchise advertising</w:t>
            </w: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131.6</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120.9</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387.8</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356.2</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1,147.1</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1,080.1</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w w:val="97"/>
              </w:rPr>
              <w:t>100.0%</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3,404.3</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3,262.5</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U.S. Company-owned stores</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69.3</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74.2</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224.2</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226.7</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Supply chain</w:t>
            </w: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617.9</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582.2</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1,816.0</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1,753.1</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687.2</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59.9%</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656.4</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60.8%</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2,040.2</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59.9%</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1,979.9</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Gross margin</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459.9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40.1%</w:t>
            </w:r>
          </w:p>
        </w:tc>
        <w:tc>
          <w:tcPr>
            <w:tcW w:w="1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423.7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1,364.0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40.1%</w:t>
            </w: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1,282.6</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105.1</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104.0</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321.8</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321.0</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 franchise advertising</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120.9</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356.2</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Refranchising (gain) loss</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6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223.2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19.5%</w:t>
            </w:r>
          </w:p>
        </w:tc>
        <w:tc>
          <w:tcPr>
            <w:tcW w:w="1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198.8</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658.3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605.3</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(expense) income</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0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(41.0)</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(40.4)</w:t>
            </w:r>
          </w:p>
        </w:tc>
        <w:tc>
          <w:tcPr>
            <w:tcW w:w="3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(123.4)</w:t>
            </w:r>
          </w:p>
        </w:tc>
        <w:tc>
          <w:tcPr>
            <w:tcW w:w="2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(123.0)</w:t>
            </w:r>
          </w:p>
        </w:tc>
        <w:tc>
          <w:tcPr>
            <w:tcW w:w="2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before provision for income taxes</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179.2</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15.6%</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184.6</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17.1%</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539.9</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15.9%</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501.2</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86.5</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139.3</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12.1%</w:t>
            </w: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146.9</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13.6%</w:t>
            </w:r>
          </w:p>
        </w:tc>
        <w:tc>
          <w:tcPr>
            <w:tcW w:w="1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420.1</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414.7</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-1002030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-1002030</wp:posOffset>
            </wp:positionV>
            <wp:extent cx="1200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-1002030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-1002030</wp:posOffset>
            </wp:positionV>
            <wp:extent cx="1200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-1002030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-1002030</wp:posOffset>
            </wp:positionV>
            <wp:extent cx="1200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-1002030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-1002030</wp:posOffset>
            </wp:positionV>
            <wp:extent cx="1200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-616585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-616585</wp:posOffset>
            </wp:positionV>
            <wp:extent cx="1200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-616585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-616585</wp:posOffset>
            </wp:positionV>
            <wp:extent cx="1200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-616585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-616585</wp:posOffset>
            </wp:positionV>
            <wp:extent cx="1200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-616585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-616585</wp:posOffset>
            </wp:positionV>
            <wp:extent cx="1200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-25400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-25400</wp:posOffset>
            </wp:positionV>
            <wp:extent cx="1200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1200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-25400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1200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1200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12001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1200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12001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200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 w:type="dxa"/>
            <w:vAlign w:val="bottom"/>
          </w:tcPr>
          <w:p>
            <w:pPr>
              <w:spacing w:after="0"/>
              <w:rPr>
                <w:sz w:val="13"/>
                <w:szCs w:val="13"/>
                <w:color w:val="auto"/>
              </w:rPr>
            </w:pPr>
          </w:p>
        </w:tc>
        <w:tc>
          <w:tcPr>
            <w:tcW w:w="18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 w:type="dxa"/>
            <w:vAlign w:val="bottom"/>
          </w:tcPr>
          <w:p>
            <w:pPr>
              <w:spacing w:after="0"/>
              <w:rPr>
                <w:sz w:val="13"/>
                <w:szCs w:val="13"/>
                <w:color w:val="auto"/>
              </w:rPr>
            </w:pPr>
          </w:p>
        </w:tc>
        <w:tc>
          <w:tcPr>
            <w:tcW w:w="17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r>
      <w:tr>
        <w:trPr>
          <w:trHeight w:val="173"/>
        </w:trPr>
        <w:tc>
          <w:tcPr>
            <w:tcW w:w="3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Company-owned stores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Supply chain</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franchise advertising</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36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1,147.1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-170815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-170815</wp:posOffset>
            </wp:positionV>
            <wp:extent cx="1111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-170815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1111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1117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-170815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Revenues primarily consist of retail sales from our Company-owned stores, royalties and fees and advertising contributions from our U.S. franchised stores, royalties and fees from our international franchised stores and sales of food and, to a lesser extent, other products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pacing w:after="0" w:line="75"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Consolidated revenues increased $66.9 million, or 6.2%, in the third quarter of 2025 as compared to the third quarter of 2024, and consolidated revenues increased $141.8 million, or 4.3%, in the three fiscal quarters of 2025 as compared to the three fiscal quarters of 2024, primarily due to higher supply chain revenues and higher U.S. franchise royalties and fees and advertising revenues. The increase in supply chain revenues was primarily attributable to higher order volumes and an increase in our food basket pricing to stores, but these increases were partially offset by a shift in the relative mix of products we sell and the transition of our equipment and supplies business to a third-party supplier. The increases in U.S. franchise royalties and fees and advertising revenues were driven primarily by same store sales growth and net store growth during the trailing four quarters. U.S. franchise advertising revenues also increased as a result of a decrease in advertising incentives related to certain brand promotions and the increase in the advertising contribution rate in the three fiscal quarters of 2025. These changes in revenues are described in more detail below.</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Stores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00" w:type="dxa"/>
            <w:vAlign w:val="bottom"/>
          </w:tcPr>
          <w:p>
            <w:pPr>
              <w:spacing w:after="0"/>
              <w:rPr>
                <w:sz w:val="13"/>
                <w:szCs w:val="13"/>
                <w:color w:val="auto"/>
              </w:rPr>
            </w:pPr>
          </w:p>
        </w:tc>
        <w:tc>
          <w:tcPr>
            <w:tcW w:w="172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 w:type="dxa"/>
            <w:vAlign w:val="bottom"/>
          </w:tcPr>
          <w:p>
            <w:pPr>
              <w:spacing w:after="0"/>
              <w:rPr>
                <w:sz w:val="13"/>
                <w:szCs w:val="13"/>
                <w:color w:val="auto"/>
              </w:rPr>
            </w:pPr>
          </w:p>
        </w:tc>
        <w:tc>
          <w:tcPr>
            <w:tcW w:w="17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r>
      <w:tr>
        <w:trPr>
          <w:trHeight w:val="173"/>
        </w:trPr>
        <w:tc>
          <w:tcPr>
            <w:tcW w:w="3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Company-owned stores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franchise advertising</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33.2%</w:t>
            </w:r>
          </w:p>
        </w:tc>
      </w:tr>
      <w:tr>
        <w:trPr>
          <w:trHeight w:val="20"/>
        </w:trPr>
        <w:tc>
          <w:tcPr>
            <w:tcW w:w="36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U.S. stores revenues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-170815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-170815</wp:posOffset>
            </wp:positionV>
            <wp:extent cx="1111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-170815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1111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11176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-170815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Company-owned Stores</w:t>
      </w:r>
    </w:p>
    <w:p>
      <w:pPr>
        <w:spacing w:after="0" w:line="133" w:lineRule="exact"/>
        <w:rPr>
          <w:sz w:val="20"/>
          <w:szCs w:val="20"/>
          <w:color w:val="auto"/>
        </w:rPr>
      </w:pPr>
    </w:p>
    <w:p>
      <w:pPr>
        <w:ind w:right="400" w:firstLine="255"/>
        <w:spacing w:after="0" w:line="266" w:lineRule="auto"/>
        <w:rPr>
          <w:sz w:val="20"/>
          <w:szCs w:val="20"/>
          <w:color w:val="auto"/>
        </w:rPr>
      </w:pPr>
      <w:r>
        <w:rPr>
          <w:rFonts w:ascii="Times New Roman" w:cs="Times New Roman" w:eastAsia="Times New Roman" w:hAnsi="Times New Roman"/>
          <w:sz w:val="18"/>
          <w:szCs w:val="18"/>
          <w:color w:val="auto"/>
        </w:rPr>
        <w:t>Revenues from U.S. Company-owned store operations decreased $6.5 million, or 7.2%, in the third quarter of 2025, and decreased $7.3 million, or 2.7%, in the three fiscal quarters of 2025, each primarily driven by the refranchising of 36 stores in the Maryland market in May of 2025, but these decreases were partially offset by higher same store sales.</w:t>
      </w:r>
    </w:p>
    <w:p>
      <w:pPr>
        <w:spacing w:after="0" w:line="81" w:lineRule="exact"/>
        <w:rPr>
          <w:sz w:val="20"/>
          <w:szCs w:val="20"/>
          <w:color w:val="auto"/>
        </w:rPr>
      </w:pPr>
    </w:p>
    <w:p>
      <w:pPr>
        <w:ind w:right="380" w:firstLine="255"/>
        <w:spacing w:after="0" w:line="282" w:lineRule="auto"/>
        <w:rPr>
          <w:sz w:val="20"/>
          <w:szCs w:val="20"/>
          <w:color w:val="auto"/>
        </w:rPr>
      </w:pPr>
      <w:r>
        <w:rPr>
          <w:rFonts w:ascii="Times New Roman" w:cs="Times New Roman" w:eastAsia="Times New Roman" w:hAnsi="Times New Roman"/>
          <w:sz w:val="18"/>
          <w:szCs w:val="18"/>
          <w:color w:val="auto"/>
        </w:rPr>
        <w:t>U.S. Company-owned same store sales increased 3.4% in the third quarter of 2025 and increased 3.1% in the third quarter of 2024. U.S. Company-owned same store sales increased 1.0% in the three fiscal quarters of 2025 and increased 5.4% in the three fiscal quarters of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Franchise Royalties and Fees</w:t>
      </w:r>
    </w:p>
    <w:p>
      <w:pPr>
        <w:spacing w:after="0" w:line="133"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Revenues from U.S. franchise royalties and fees increased $13.1 million, or 9.1%, in the third quarter of 2025, and increased $22.2 million, or 5.0%, in the three fiscal quarters of 2025, primarily due to higher same store sales and an increase in the average number of U.S. franchised stores open during the period resulting from net store growth.</w:t>
      </w:r>
    </w:p>
    <w:p>
      <w:pPr>
        <w:spacing w:after="0" w:line="81"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U.S. franchise same store sales increased 5.3% in the third quarter of 2025 and increased 3.0% in the third quarter of 2024. U.S. franchise same store sales increased 2.7% in the three fiscal quarters of 2025 and increased 4.4% in the three fiscal quarters of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Franchise Advertising</w:t>
      </w:r>
    </w:p>
    <w:p>
      <w:pPr>
        <w:spacing w:after="0" w:line="133" w:lineRule="exact"/>
        <w:rPr>
          <w:sz w:val="20"/>
          <w:szCs w:val="20"/>
          <w:color w:val="auto"/>
        </w:rPr>
      </w:pPr>
    </w:p>
    <w:p>
      <w:pPr>
        <w:ind w:right="60" w:firstLine="284"/>
        <w:spacing w:after="0" w:line="256" w:lineRule="auto"/>
        <w:rPr>
          <w:sz w:val="20"/>
          <w:szCs w:val="20"/>
          <w:color w:val="auto"/>
        </w:rPr>
      </w:pPr>
      <w:r>
        <w:rPr>
          <w:rFonts w:ascii="Times New Roman" w:cs="Times New Roman" w:eastAsia="Times New Roman" w:hAnsi="Times New Roman"/>
          <w:sz w:val="18"/>
          <w:szCs w:val="18"/>
          <w:color w:val="auto"/>
        </w:rPr>
        <w:t>Revenues from U.S. franchise advertising increased $10.7 million, or 8.9%, in the third quarter of 2025 primarily as a result of higher same stores sales and an increase in the average number of U.S. franchised stores open during the period resulting from net store growth. Revenues from U.S. franchise advertising increased $31.6 million, or 8.9%, in the three fiscal quarters of 2025 primarily due to higher same store sales, a decrease in advertising incentives related to certain brand promotions, an increase in the average number of U.S. franchised stores open during the period resulting from net store growth, as well as the return to the standard 6.0% advertising contribution rate at the beginning of the second quarter of 2024 following the end of the temporary reduction to 5.75%.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w:t>
      </w:r>
    </w:p>
    <w:p>
      <w:pPr>
        <w:spacing w:after="0" w:line="135"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Supply chain revenues increased $45.6 million, or 7.0%, in the third quarter of 2025, and increased $84.2 million, or 4.3%, in the three fiscal quarters of 2025, each due to higher order volumes and an increase in our food basket pricing to stores. These increases were partially offset by a shift in the relative mix of products we sell and the transition of our equipment and supplies business to a third-party supplier. Our food basket pricing to stores increased 3.3% in the third quarter of 2025 and increased 4.3% in the three fiscal quarters of 2025, which resulted in an estimated $33 million increase in supply chain revenues in the third quarter of 2025, and an estimated $115 million increase in the three fiscal quarters of 2025. The food basket pricing change, a statistical measure utilized by management, is calculated as the percentage change of the food basket (including both food and cardboard products) purchased by an average U.S. store (based on average weekly unit sales) from our U.S. supply chain centers against the comparable period of the prior year. We believe this measure is important to understanding Company performance because as our food basket prices fluctuate, our revenues, cost of sales and gross margin percentages in our supply chain segment also fluctuate.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International Franchise Royalties and Fee Revenues</w:t>
      </w:r>
    </w:p>
    <w:p>
      <w:pPr>
        <w:spacing w:after="0" w:line="121" w:lineRule="exact"/>
        <w:rPr>
          <w:sz w:val="20"/>
          <w:szCs w:val="20"/>
          <w:color w:val="auto"/>
        </w:rPr>
      </w:pPr>
    </w:p>
    <w:p>
      <w:pPr>
        <w:ind w:right="40" w:firstLine="255"/>
        <w:spacing w:after="0" w:line="272" w:lineRule="auto"/>
        <w:rPr>
          <w:sz w:val="20"/>
          <w:szCs w:val="20"/>
          <w:color w:val="auto"/>
        </w:rPr>
      </w:pPr>
      <w:r>
        <w:rPr>
          <w:rFonts w:ascii="Times New Roman" w:cs="Times New Roman" w:eastAsia="Times New Roman" w:hAnsi="Times New Roman"/>
          <w:sz w:val="17"/>
          <w:szCs w:val="17"/>
          <w:color w:val="auto"/>
        </w:rPr>
        <w:t>Revenues from international franchise royalties and fees increased $3.9 million, or 5.2%, in the third quarter of 2025, and increased $11.0 million, or 5.0%, in the three fiscal quarters of 2025, primarily due to an increase in the average number of international franchised stores open during the period resulting from net store growth, as well as same store sales growth (excluding foreign currency impact). Changes in foreign currency exchange rates had an impact on international franchise royalty revenues of approximately positive $0.8 million in the third quarter of 2025 and negative $2.6 million in the three fiscal quarters of 2025. The impact of changes in foreign currency exchange rates on international franchise royalty revenues, a statistical measure utilized by management, is calculated as the difference in international franchise royalty revenues resulting from translating current year local currency results to U.S. dollars at current year exchange rates as compared to prior year exchange rates. We believe this measure is important to understanding Company performance given the significant variability in international franchise royalty revenues that can be driven by changes in foreign currency exchange rates.</w:t>
      </w:r>
    </w:p>
    <w:p>
      <w:pPr>
        <w:spacing w:after="0" w:line="64" w:lineRule="exact"/>
        <w:rPr>
          <w:sz w:val="20"/>
          <w:szCs w:val="20"/>
          <w:color w:val="auto"/>
        </w:rPr>
      </w:pPr>
    </w:p>
    <w:p>
      <w:pPr>
        <w:jc w:val="both"/>
        <w:ind w:right="140" w:firstLine="255"/>
        <w:spacing w:after="0" w:line="266" w:lineRule="auto"/>
        <w:rPr>
          <w:sz w:val="20"/>
          <w:szCs w:val="20"/>
          <w:color w:val="auto"/>
        </w:rPr>
      </w:pPr>
      <w:r>
        <w:rPr>
          <w:rFonts w:ascii="Times New Roman" w:cs="Times New Roman" w:eastAsia="Times New Roman" w:hAnsi="Times New Roman"/>
          <w:sz w:val="18"/>
          <w:szCs w:val="18"/>
          <w:color w:val="auto"/>
        </w:rPr>
        <w:t>International franchise same store sales increased 1.7% in the third quarter of 2025 and increased 0.8% in the third quarter of 2024, each excluding the impact of foreign currency exchange rates. International franchise same store sales increased 2.5% in the three fiscal quarters of 2025 and increased 1.1% in the three fiscal quarters of 2024, each excluding the impact of foreign currency exchange rates.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 Gross Margin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 w:type="dxa"/>
            <w:vAlign w:val="bottom"/>
          </w:tcPr>
          <w:p>
            <w:pPr>
              <w:spacing w:after="0"/>
              <w:rPr>
                <w:sz w:val="13"/>
                <w:szCs w:val="13"/>
                <w:color w:val="auto"/>
              </w:rPr>
            </w:pPr>
          </w:p>
        </w:tc>
        <w:tc>
          <w:tcPr>
            <w:tcW w:w="18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8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80" w:type="dxa"/>
            <w:vAlign w:val="bottom"/>
          </w:tcPr>
          <w:p>
            <w:pPr>
              <w:spacing w:after="0"/>
              <w:rPr>
                <w:sz w:val="13"/>
                <w:szCs w:val="13"/>
                <w:color w:val="auto"/>
              </w:rPr>
            </w:pPr>
          </w:p>
        </w:tc>
        <w:tc>
          <w:tcPr>
            <w:tcW w:w="19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r>
      <w:tr>
        <w:trPr>
          <w:trHeight w:val="173"/>
        </w:trPr>
        <w:tc>
          <w:tcPr>
            <w:tcW w:w="3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Borders>
              <w:bottom w:val="single" w:sz="8" w:color="auto"/>
            </w:tcBorders>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Borders>
              <w:bottom w:val="single" w:sz="8" w:color="auto"/>
            </w:tcBorders>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1,147.1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$ 3,404.3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$ 3,262.5</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r>
      <w:tr>
        <w:trPr>
          <w:trHeight w:val="20"/>
        </w:trPr>
        <w:tc>
          <w:tcPr>
            <w:tcW w:w="3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3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r>
              <w:rPr>
                <w:rFonts w:ascii="Times New Roman" w:cs="Times New Roman" w:eastAsia="Times New Roman" w:hAnsi="Times New Roman"/>
                <w:sz w:val="18"/>
                <w:szCs w:val="18"/>
                <w:u w:val="single" w:color="auto"/>
                <w:color w:val="auto"/>
              </w:rPr>
              <w:t>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r>
              <w:rPr>
                <w:rFonts w:ascii="Times New Roman" w:cs="Times New Roman" w:eastAsia="Times New Roman" w:hAnsi="Times New Roman"/>
                <w:sz w:val="18"/>
                <w:szCs w:val="18"/>
                <w:u w:val="single" w:color="auto"/>
                <w:color w:val="auto"/>
              </w:rPr>
              <w:t>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$ 1,364.0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40.1%</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$ 1,282.6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-25400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-25400</wp:posOffset>
            </wp:positionV>
            <wp:extent cx="1111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1111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-25400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1111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1111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1117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1117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260" w:firstLine="255"/>
        <w:spacing w:after="0" w:line="257" w:lineRule="auto"/>
        <w:rPr>
          <w:sz w:val="20"/>
          <w:szCs w:val="20"/>
          <w:color w:val="auto"/>
        </w:rPr>
      </w:pPr>
      <w:r>
        <w:rPr>
          <w:rFonts w:ascii="Times New Roman" w:cs="Times New Roman" w:eastAsia="Times New Roman" w:hAnsi="Times New Roman"/>
          <w:sz w:val="18"/>
          <w:szCs w:val="18"/>
          <w:color w:val="auto"/>
        </w:rPr>
        <w:t>Consolidated cost of sales consists of U.S. Company-owned store and supply chain costs incurred to generate related revenues. Components of consolidated cost of sales primarily include food and labor costs, as well as other costs including delivery, occupancy costs (including rent, telephone, utilities and depreciation) and insurance expense. Consolidated gross margin (which we define as revenues less cost of sales) increased $36.2 million, or</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8.5%, in the third quarter of 2025, and increased $81.4 million, or 6.3%, in the three fiscal quarters of 2025, due primarily to higher global franchise royalty revenues as discussed above, as well as gross margin dollar growth within supply chain, discussed below. Franchise revenues do not have a cost of sales component, so changes in these revenues have a disproportionate effect on gross margin. Additionally, as food basket prices fluctuate, revenues, cost of sales and gross margin percentages in our supply chain segment also fluctuate, and further, cost of sales, gross margins and gross margin percentages for our U.S. Company-owned stores also fluctuate.</w:t>
      </w:r>
    </w:p>
    <w:p>
      <w:pPr>
        <w:spacing w:after="0" w:line="79"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Consolidated gross margin, as a percentage of revenues, increased 0.9 percentage points to 40.1% in the third quarter of 2025 from 39.2% in the third quarter of 2024. Consolidated gross margin, as a percentage of revenues, increased 0.8 percentage points to 40.1% in the three fiscal quarters of 2025 from 39.3% in the three fiscal quarters of 2024. U.S. Company-owned store gross margin decreased 0.5 and 1.3 percentage points in the third quarter and three fiscal quarters of 2025, respectively. Supply chain gross margin increased 0.7 and 0.6 percentage points in the third quarter and three fiscal quarters of 2025, respectively. Changes in the significant components of gross margin are described in more detail below.</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Company-Owned Store Gross Margin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00" w:type="dxa"/>
            <w:vAlign w:val="bottom"/>
          </w:tcPr>
          <w:p>
            <w:pPr>
              <w:spacing w:after="0"/>
              <w:rPr>
                <w:sz w:val="13"/>
                <w:szCs w:val="13"/>
                <w:color w:val="auto"/>
              </w:rPr>
            </w:pPr>
          </w:p>
        </w:tc>
        <w:tc>
          <w:tcPr>
            <w:tcW w:w="170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 w:type="dxa"/>
            <w:vAlign w:val="bottom"/>
          </w:tcPr>
          <w:p>
            <w:pPr>
              <w:spacing w:after="0"/>
              <w:rPr>
                <w:sz w:val="13"/>
                <w:szCs w:val="13"/>
                <w:color w:val="auto"/>
              </w:rPr>
            </w:pPr>
          </w:p>
        </w:tc>
        <w:tc>
          <w:tcPr>
            <w:tcW w:w="18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100" w:type="dxa"/>
            <w:vAlign w:val="bottom"/>
          </w:tcPr>
          <w:p>
            <w:pPr>
              <w:spacing w:after="0"/>
              <w:rPr>
                <w:sz w:val="13"/>
                <w:szCs w:val="13"/>
                <w:color w:val="auto"/>
              </w:rPr>
            </w:pPr>
          </w:p>
        </w:tc>
        <w:tc>
          <w:tcPr>
            <w:tcW w:w="17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r>
      <w:tr>
        <w:trPr>
          <w:trHeight w:val="173"/>
        </w:trPr>
        <w:tc>
          <w:tcPr>
            <w:tcW w:w="3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w:t>
            </w:r>
          </w:p>
        </w:tc>
      </w:tr>
      <w:tr>
        <w:trPr>
          <w:trHeight w:val="20"/>
        </w:trPr>
        <w:tc>
          <w:tcPr>
            <w:tcW w:w="3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Store gross margin</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18"/>
                <w:szCs w:val="18"/>
                <w:u w:val="single" w:color="auto"/>
                <w:color w:val="auto"/>
              </w:rPr>
              <w:t>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8"/>
                <w:szCs w:val="18"/>
                <w:u w:val="single" w:color="auto"/>
                <w:color w:val="auto"/>
              </w:rPr>
              <w:t>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r>
              <w:rPr>
                <w:rFonts w:ascii="Times New Roman" w:cs="Times New Roman" w:eastAsia="Times New Roman" w:hAnsi="Times New Roman"/>
                <w:sz w:val="18"/>
                <w:szCs w:val="18"/>
                <w:u w:val="single" w:color="auto"/>
                <w:color w:val="auto"/>
              </w:rPr>
              <w:t>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-25400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-25400</wp:posOffset>
            </wp:positionV>
            <wp:extent cx="1111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-7620</wp:posOffset>
            </wp:positionV>
            <wp:extent cx="1111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-25400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-25400</wp:posOffset>
            </wp:positionV>
            <wp:extent cx="1111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1111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1111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1111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U.S. Company-owned store gross margin (which does not include certain store-level costs such as royalties and advertising) decreased $1.5 million, or 9.9%, in the third quarter of 2025, and decreased $4.8 million, or 10.1%, in the three fiscal quarters of 2025. As a percentage of store revenues, U.S. Company-owned store gross margin decreased 0.5 percentage points in the third quarter of 2025, and decreased 1.3 percentage points in the three fiscal quarters of 2025. These changes in gross margin as a percentage of revenues are discussed in additional detail below.</w:t>
      </w:r>
    </w:p>
    <w:p>
      <w:pPr>
        <w:spacing w:after="0" w:line="72" w:lineRule="exact"/>
        <w:rPr>
          <w:sz w:val="20"/>
          <w:szCs w:val="20"/>
          <w:color w:val="auto"/>
        </w:rPr>
      </w:pPr>
    </w:p>
    <w:p>
      <w:pPr>
        <w:ind w:left="640" w:right="240" w:hanging="303"/>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costs increased 0.7 percentage points to 29.7% in the third quarter of 2025 and increased 0.8 percentage points to 29.6% in the three fiscal quarters of 2025, each driven by the increase in the food basket pricing to stores.</w:t>
      </w:r>
    </w:p>
    <w:p>
      <w:pPr>
        <w:spacing w:after="0" w:line="53" w:lineRule="exact"/>
        <w:rPr>
          <w:rFonts w:ascii="Times New Roman" w:cs="Times New Roman" w:eastAsia="Times New Roman" w:hAnsi="Times New Roman"/>
          <w:sz w:val="18"/>
          <w:szCs w:val="18"/>
          <w:color w:val="auto"/>
        </w:rPr>
      </w:pPr>
    </w:p>
    <w:p>
      <w:pPr>
        <w:ind w:left="640" w:right="140" w:hanging="303"/>
        <w:spacing w:after="0" w:line="266"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decreased 0.2 percentage points to 30.9% in the third quarter of 2025 and decreased 0.4 percentage points to 30.9% in the three fiscal quarters of 2025, each due to sales leverage, but were partially offset by higher wage rates. Store level productivity also contributed to the improvement in labor costs in the three fiscal quarters of 2025.</w:t>
      </w:r>
    </w:p>
    <w:p>
      <w:pPr>
        <w:spacing w:after="0" w:line="67" w:lineRule="exact"/>
        <w:rPr>
          <w:rFonts w:ascii="Times New Roman" w:cs="Times New Roman" w:eastAsia="Times New Roman" w:hAnsi="Times New Roman"/>
          <w:sz w:val="18"/>
          <w:szCs w:val="18"/>
          <w:color w:val="auto"/>
        </w:rPr>
      </w:pPr>
    </w:p>
    <w:p>
      <w:pPr>
        <w:ind w:left="640" w:right="120" w:hanging="303"/>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insurance costs contributed to the remaining decrease in U.S. Company-owned store gross margin as a percentage of revenues in the three fiscal quarters of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 Gross Margin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00" w:type="dxa"/>
            <w:vAlign w:val="bottom"/>
          </w:tcPr>
          <w:p>
            <w:pPr>
              <w:spacing w:after="0"/>
              <w:rPr>
                <w:sz w:val="13"/>
                <w:szCs w:val="13"/>
                <w:color w:val="auto"/>
              </w:rPr>
            </w:pPr>
          </w:p>
        </w:tc>
        <w:tc>
          <w:tcPr>
            <w:tcW w:w="172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 w:type="dxa"/>
            <w:vAlign w:val="bottom"/>
          </w:tcPr>
          <w:p>
            <w:pPr>
              <w:spacing w:after="0"/>
              <w:rPr>
                <w:sz w:val="13"/>
                <w:szCs w:val="13"/>
                <w:color w:val="auto"/>
              </w:rPr>
            </w:pPr>
          </w:p>
        </w:tc>
        <w:tc>
          <w:tcPr>
            <w:tcW w:w="17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r>
      <w:tr>
        <w:trPr>
          <w:trHeight w:val="173"/>
        </w:trPr>
        <w:tc>
          <w:tcPr>
            <w:tcW w:w="3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88.7%</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89.0%</w:t>
            </w:r>
          </w:p>
        </w:tc>
      </w:tr>
      <w:tr>
        <w:trPr>
          <w:trHeight w:val="20"/>
        </w:trPr>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3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Supply chain gross margin</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r>
              <w:rPr>
                <w:rFonts w:ascii="Times New Roman" w:cs="Times New Roman" w:eastAsia="Times New Roman" w:hAnsi="Times New Roman"/>
                <w:sz w:val="18"/>
                <w:szCs w:val="18"/>
                <w:u w:val="single" w:color="auto"/>
                <w:color w:val="auto"/>
              </w:rPr>
              <w:t>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r>
              <w:rPr>
                <w:rFonts w:ascii="Times New Roman" w:cs="Times New Roman" w:eastAsia="Times New Roman" w:hAnsi="Times New Roman"/>
                <w:sz w:val="18"/>
                <w:szCs w:val="18"/>
                <w:u w:val="single" w:color="auto"/>
                <w:color w:val="auto"/>
              </w:rPr>
              <w:t>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r>
              <w:rPr>
                <w:rFonts w:ascii="Times New Roman" w:cs="Times New Roman" w:eastAsia="Times New Roman" w:hAnsi="Times New Roman"/>
                <w:sz w:val="18"/>
                <w:szCs w:val="18"/>
                <w:u w:val="single" w:color="auto"/>
                <w:color w:val="auto"/>
              </w:rPr>
              <w:t>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r>
              <w:rPr>
                <w:rFonts w:ascii="Times New Roman" w:cs="Times New Roman" w:eastAsia="Times New Roman" w:hAnsi="Times New Roman"/>
                <w:sz w:val="18"/>
                <w:szCs w:val="18"/>
                <w:u w:val="single" w:color="auto"/>
                <w:color w:val="auto"/>
              </w:rPr>
              <w:t>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-24765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1111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1111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1111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1111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1117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1117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Supply chain gross margin increased $10.0 million, or 14.3%, in the third quarter of 2025, and increased $21.4 million, or 9.8%, in the three fiscal quarters of 2025. As a percentage of supply chain revenues, supply chain gross margin increased 0.7 percentage points in the third quarter of 2025, and increased 0.6 percentage points in the three fiscal quarters of 2025. These changes in gross margin as a percentage of revenues are discussed in additional detail below.</w:t>
      </w:r>
    </w:p>
    <w:p>
      <w:pPr>
        <w:spacing w:after="0" w:line="72" w:lineRule="exact"/>
        <w:rPr>
          <w:sz w:val="20"/>
          <w:szCs w:val="20"/>
          <w:color w:val="auto"/>
        </w:rPr>
      </w:pPr>
    </w:p>
    <w:p>
      <w:pPr>
        <w:ind w:left="940" w:right="320" w:hanging="303"/>
        <w:spacing w:after="0" w:line="312" w:lineRule="auto"/>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Food costs decreased 0.3 percentage points to 71.1% in the third quarter of 2025 and decreased 0.5 percentage points to 70.8% in the three fiscal quarters of 2025, each driven primarily by procurement productivity, partially offset by the increase in the cost of our food basket.</w:t>
      </w:r>
    </w:p>
    <w:p>
      <w:pPr>
        <w:spacing w:after="0" w:line="31" w:lineRule="exact"/>
        <w:rPr>
          <w:rFonts w:ascii="Times New Roman" w:cs="Times New Roman" w:eastAsia="Times New Roman" w:hAnsi="Times New Roman"/>
          <w:sz w:val="17"/>
          <w:szCs w:val="17"/>
          <w:color w:val="auto"/>
        </w:rPr>
      </w:pPr>
    </w:p>
    <w:p>
      <w:pPr>
        <w:ind w:left="940" w:right="20" w:hanging="303"/>
        <w:spacing w:after="0" w:line="282"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decreased 0.3 percentage points to 8.9% in the third quarter of 2025 and decreased 0.4 percentage points to 8.9% in the three fiscal quarters of 2025, primarily due to higher sales leverage and labor efficiency.</w:t>
      </w:r>
    </w:p>
    <w:p>
      <w:pPr>
        <w:spacing w:after="0" w:line="53" w:lineRule="exact"/>
        <w:rPr>
          <w:rFonts w:ascii="Times New Roman" w:cs="Times New Roman" w:eastAsia="Times New Roman" w:hAnsi="Times New Roman"/>
          <w:sz w:val="18"/>
          <w:szCs w:val="18"/>
          <w:color w:val="auto"/>
        </w:rPr>
      </w:pPr>
    </w:p>
    <w:p>
      <w:pPr>
        <w:ind w:left="940" w:right="20" w:hanging="303"/>
        <w:spacing w:after="0" w:line="282"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insurance costs partially offset these improvements in supply chain gross margin as a percentage of revenues in the three fiscal quarters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$1.1 million, or 1.1%, in the third quarter of 2025. General and administrative expenses increased $0.8 million, or 0.3%, in the three fiscal quarters of 2025, primarily due to approximately $5 million in severance expenses associated with an organizational realignment that took place in the first quarter of 2025, offset by expenses related to our Worldwide Rally in the second quarter of 2024, which takes place every two years and did not reoccur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Franchise Advertising Expenses</w:t>
      </w:r>
    </w:p>
    <w:p>
      <w:pPr>
        <w:spacing w:after="0" w:line="135"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U.S. franchise advertising expenses increased $10.7 million, or 8.9%, in the third quarter of 2025, and increased $31.6 million, or 8.9%, in the three fiscal quarters of 2025, consistent with the increase in U.S. franchise advertising revenues, as discussed above.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Refranchising (Gain) Loss</w:t>
      </w:r>
    </w:p>
    <w:p>
      <w:pPr>
        <w:spacing w:after="0" w:line="135" w:lineRule="exact"/>
        <w:rPr>
          <w:sz w:val="20"/>
          <w:szCs w:val="20"/>
          <w:color w:val="auto"/>
        </w:rPr>
      </w:pPr>
    </w:p>
    <w:p>
      <w:pPr>
        <w:ind w:right="340" w:firstLine="255"/>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we refranchised 36 U.S. Company-owned stores in Maryland for net proceeds of $8.5 million. The pre-tax refranchising gain associated with the sale of the related assets and liabilities, including a $1.4 million reduction in goodwill, was $3.9 million and was recorded in refranchising (gain) loss in our condensed consolidated statements of income.</w:t>
      </w:r>
    </w:p>
    <w:p>
      <w:pPr>
        <w:spacing w:after="0" w:line="81" w:lineRule="exact"/>
        <w:rPr>
          <w:sz w:val="20"/>
          <w:szCs w:val="20"/>
          <w:color w:val="auto"/>
        </w:rPr>
      </w:pPr>
    </w:p>
    <w:p>
      <w:pPr>
        <w:jc w:val="both"/>
        <w:ind w:right="120" w:firstLine="255"/>
        <w:spacing w:after="0" w:line="266" w:lineRule="auto"/>
        <w:rPr>
          <w:sz w:val="20"/>
          <w:szCs w:val="20"/>
          <w:color w:val="auto"/>
        </w:rPr>
      </w:pPr>
      <w:r>
        <w:rPr>
          <w:rFonts w:ascii="Times New Roman" w:cs="Times New Roman" w:eastAsia="Times New Roman" w:hAnsi="Times New Roman"/>
          <w:sz w:val="18"/>
          <w:szCs w:val="18"/>
          <w:color w:val="auto"/>
        </w:rPr>
        <w:t>During each of the first and second quarters of 2024, we refranchised one U.S. Company-owned store for proceeds of less than $0.1 million each. The pre-tax refranchising loss associated with the sale of the related assets and liabilities, including goodwill, were approximately $0.1 million each and were recorded in refranchising (gain) loss in our condensed consolidated statements of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3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During the third quarter and three fiscal quarters of 2025, we recorded a total net $3.0 million pre-tax unrealized loss and a total net $5.0 million pre-tax realized and unrealized gain, respectively, on our investment in DPC Dash (refer to Note 5 of the condensed consolidated financial statements). During the third quarter and three fiscal quarters of 2024, we recorded a $26.2 million and an $18.9 million pre-tax unrealized gain, respectively, on our investment in DPC Dash. The recorded amount of our investment is based on the active exchange quoted price for the equity 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Interest expense, net increased $0.6 million, or 1.4%, in the third quarter of 2025, and increased $0.4 million, or 0.3%, in the three fiscal quarters of 2025.</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weighted average borrowing rate was 3.8% in each of the third quarters and three fiscal quarters of 2025 and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660" w:firstLine="255"/>
        <w:spacing w:after="0" w:line="282" w:lineRule="auto"/>
        <w:rPr>
          <w:sz w:val="20"/>
          <w:szCs w:val="20"/>
          <w:color w:val="auto"/>
        </w:rPr>
      </w:pPr>
      <w:r>
        <w:rPr>
          <w:rFonts w:ascii="Times New Roman" w:cs="Times New Roman" w:eastAsia="Times New Roman" w:hAnsi="Times New Roman"/>
          <w:sz w:val="18"/>
          <w:szCs w:val="18"/>
          <w:color w:val="auto"/>
        </w:rPr>
        <w:t>Provision for income taxes increased $2.2 million, or 5.8%, in the third quarter of 2025 due to a higher effective tax rate. The effective tax rate increased to 22.3% during the third quarter of 2025 as compared to 20.4% in the third quarter of 2024.</w:t>
      </w:r>
    </w:p>
    <w:p>
      <w:pPr>
        <w:spacing w:after="0" w:line="54"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8"/>
          <w:szCs w:val="18"/>
          <w:color w:val="auto"/>
        </w:rPr>
        <w:t>Provision for income taxes increased $33.4 million, or 38.6%, in the three fiscal quarters of 2025 due to a higher effective tax rate, as well as higher income before provision for income taxes. The effective tax rate increased to 22.2% during the three fiscal quarters of 2025 as compared to 17.3% in the three fiscal quarters of 2024, driven primarily by a 3.8 percentage point unfavorable change in the impact of excess tax benefits from equity-based compensation.</w:t>
      </w:r>
    </w:p>
    <w:p>
      <w:pPr>
        <w:spacing w:after="0" w:line="72" w:lineRule="exact"/>
        <w:rPr>
          <w:sz w:val="20"/>
          <w:szCs w:val="20"/>
          <w:color w:val="auto"/>
        </w:rPr>
      </w:pPr>
    </w:p>
    <w:p>
      <w:pPr>
        <w:jc w:val="both"/>
        <w:ind w:right="320" w:firstLine="255"/>
        <w:spacing w:after="0" w:line="266" w:lineRule="auto"/>
        <w:rPr>
          <w:sz w:val="20"/>
          <w:szCs w:val="20"/>
          <w:color w:val="auto"/>
        </w:rPr>
      </w:pPr>
      <w:r>
        <w:rPr>
          <w:rFonts w:ascii="Times New Roman" w:cs="Times New Roman" w:eastAsia="Times New Roman" w:hAnsi="Times New Roman"/>
          <w:sz w:val="18"/>
          <w:szCs w:val="18"/>
          <w:color w:val="auto"/>
        </w:rPr>
        <w:t>We applied the relevant provisions of the One Big Beautiful Bill Act in the third quarter of 2025 following its enactment on July 4, 2025, including provisions related to bonus depreciation, research and development and foreign derived intangible income and it did not have a material impact on our condensed consolidated financial statements.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121" w:lineRule="exact"/>
        <w:rPr>
          <w:sz w:val="20"/>
          <w:szCs w:val="20"/>
          <w:color w:val="auto"/>
        </w:rPr>
      </w:pPr>
    </w:p>
    <w:p>
      <w:pPr>
        <w:ind w:right="780" w:firstLine="255"/>
        <w:spacing w:after="0" w:line="312" w:lineRule="auto"/>
        <w:rPr>
          <w:sz w:val="20"/>
          <w:szCs w:val="20"/>
          <w:color w:val="auto"/>
        </w:rPr>
      </w:pPr>
      <w:r>
        <w:rPr>
          <w:rFonts w:ascii="Times New Roman" w:cs="Times New Roman" w:eastAsia="Times New Roman" w:hAnsi="Times New Roman"/>
          <w:sz w:val="17"/>
          <w:szCs w:val="17"/>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stores</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Supply chain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franchise</w:t>
            </w:r>
          </w:p>
        </w:tc>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Stores</w:t>
      </w:r>
    </w:p>
    <w:p>
      <w:pPr>
        <w:spacing w:after="0" w:line="11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U.S. stores Segment Income increased $7.7 million, or 6.0%, in the third quarter of 2025, primarily due to higher U.S. franchise royalties and fees revenues, as discussed above. This increase was partially offset by the $1.5 million decrease in U.S. Company-owned store gross margin, as discussed above. U.S. stores Segment Income increased $7.9 million, or 2.0%, in the three fiscal quarters of 2025, primarily due to higher U.S. franchise royalties and fees revenues, but this increase was partially offset by the $4.8 million decrease in U.S. Company-owned store gross margin, as discussed above, as well as a shift in the relative mix of labor cost associated with internally developed software.</w:t>
      </w:r>
    </w:p>
    <w:p>
      <w:pPr>
        <w:spacing w:after="0" w:line="75"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U.S. franchise revenues do not have a cost of sales component, so changes in these revenues have a disproportionate effect on U.S. stores Segment Income. U.S. franchise advertising costs are accrued and expensed when the related U.S. franchise advertising revenues are recognized and had no impact on U.S. stores Segment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Supply Chain</w:t>
      </w:r>
    </w:p>
    <w:p>
      <w:pPr>
        <w:spacing w:after="0" w:line="119"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Supply chain Segment Income increased $9.0 million, or 14.7%, in the third quarter of 2025, primarily due to the $10.0 million increase in supply chain gross margin discussed above. Supply chain Segment Income increased $26.5 million, or 13.9%, in the three fiscal quarters of 2025, primarily due to the $21.4 million increase in supply chain gross margin discussed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International Franchise</w:t>
      </w:r>
    </w:p>
    <w:p>
      <w:pPr>
        <w:spacing w:after="0" w:line="119"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International franchise Segment Income increased $4.9 million, or 7.9%, in the third quarter of 2025, and increased $15.8 million, or 8.7%, in the three fiscal quarters of 2025 primarily due to higher international franchise royalties and fees revenues, as discussed above. In addition, lower general and administrative expenses also contributed to the increase in international franchise Segment Income in the three fiscal quarters of 2025. The decrease in general and administrative expenses primarily related to our Worldwide Rally in the second quarter of 2024, which did not reoccur in 2025 as discussed above. International franchise revenues do not have a cost of sales component, so changes in these revenues have a disproportionate effect on international franchise Segment Income.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00" w:firstLine="281"/>
        <w:spacing w:after="0" w:line="256" w:lineRule="auto"/>
        <w:rPr>
          <w:sz w:val="20"/>
          <w:szCs w:val="20"/>
          <w:color w:val="auto"/>
        </w:rPr>
      </w:pPr>
      <w:r>
        <w:rPr>
          <w:rFonts w:ascii="Times New Roman" w:cs="Times New Roman" w:eastAsia="Times New Roman" w:hAnsi="Times New Roman"/>
          <w:sz w:val="18"/>
          <w:szCs w:val="18"/>
          <w:color w:val="auto"/>
        </w:rPr>
        <w:t>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As of September 7, 2025, we had working capital of $123.0 million, excluding restricted cash and cash equivalents of $202.5 million, advertising fund assets, restricted, of $135.8 million and advertising fund liabilities of $132.7 million. Working capital includes total unrestricted cash and cash equivalents of $139.7 million.</w:t>
      </w:r>
    </w:p>
    <w:p>
      <w:pPr>
        <w:spacing w:after="0" w:line="93" w:lineRule="exact"/>
        <w:rPr>
          <w:sz w:val="20"/>
          <w:szCs w:val="20"/>
          <w:color w:val="auto"/>
        </w:rPr>
      </w:pPr>
    </w:p>
    <w:p>
      <w:pPr>
        <w:ind w:right="100" w:firstLine="281"/>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cash flows from operations and availability of borrowings under our variable funding notes. During the third quarter and three fiscal quarters of 2025, we experienced an increase in both U.S. and international retail sales (excluding foreign currency impact). Additionally, both our U.S. and international businesses grew store counts during the third quarter and three fiscal quarters of 2025. These factors contributed to our continued ability to generate positive operating cash flows. In addition to our cash flows from operations, we have a variable funding note facility. Our Series 2025-1 Variable Funding Senior Secured Notes, Class A-1 Notes (the “2025 Variable Funding Notes”), allows for advances of up to $320.0 million and issuance of certain other credit instruments, including letters of credit. The letters of credit primarily relate to our casualty insurance programs. As of September 7, 2025, we had no outstanding borrowings and $263.6 million of available borrowing capacity under our 2025 Variable Funding Notes, net of letters of credit issued of $56.4 million.</w:t>
      </w:r>
    </w:p>
    <w:p>
      <w:pPr>
        <w:spacing w:after="0" w:line="97" w:lineRule="exact"/>
        <w:rPr>
          <w:sz w:val="20"/>
          <w:szCs w:val="20"/>
          <w:color w:val="auto"/>
        </w:rPr>
      </w:pPr>
    </w:p>
    <w:p>
      <w:pPr>
        <w:ind w:right="140" w:firstLine="281"/>
        <w:spacing w:after="0" w:line="261" w:lineRule="auto"/>
        <w:rPr>
          <w:sz w:val="20"/>
          <w:szCs w:val="20"/>
          <w:color w:val="auto"/>
        </w:rPr>
      </w:pPr>
      <w:r>
        <w:rPr>
          <w:rFonts w:ascii="Times New Roman" w:cs="Times New Roman" w:eastAsia="Times New Roman" w:hAnsi="Times New Roman"/>
          <w:sz w:val="18"/>
          <w:szCs w:val="18"/>
          <w:color w:val="auto"/>
        </w:rPr>
        <w:t>We expect to continue to use our unrestricted cash and cash equivalents, cash flows from operations, any excess cash from our refinancing and recapitalization transactions and available borrowings under our 2025 Variable Funding Notes to, among other things, fund working capital requirements, invest in our core business and other strategic opportunities, repay outstanding borrowings under our securitized debt, pay dividends and repurchase and retire shares of our common stock.</w:t>
      </w:r>
    </w:p>
    <w:p>
      <w:pPr>
        <w:spacing w:after="0" w:line="85" w:lineRule="exact"/>
        <w:rPr>
          <w:sz w:val="20"/>
          <w:szCs w:val="20"/>
          <w:color w:val="auto"/>
        </w:rPr>
      </w:pPr>
    </w:p>
    <w:p>
      <w:pPr>
        <w:ind w:firstLine="281"/>
        <w:spacing w:after="0" w:line="256" w:lineRule="auto"/>
        <w:rPr>
          <w:sz w:val="20"/>
          <w:szCs w:val="20"/>
          <w:color w:val="auto"/>
        </w:rPr>
      </w:pPr>
      <w:r>
        <w:rPr>
          <w:rFonts w:ascii="Times New Roman" w:cs="Times New Roman" w:eastAsia="Times New Roman" w:hAnsi="Times New Roman"/>
          <w:sz w:val="18"/>
          <w:szCs w:val="18"/>
          <w:color w:val="auto"/>
        </w:rPr>
        <w:t>Our ability to continue to fund these items and continue to service our debt could be adversely affected by the occurrence of any of the events described under “Risk Factors” in our 2024 Form 10-K. There can be no assurance that our business will generate sufficient cash flows from operations or that future borrowings will be available under our 2025 Variable Funding Notes or otherwise to enable us to service our indebtedness, or to make anticipated capital expenditures. Our future operating performance and our ability to service, extend or refinance our outstanding senior notes and to service, extend or refinance our 2025 Variable Funding Notes will be subject to future economic conditions and to financial, business and other factors, many of which are beyond our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As of September 7, 2025, we had $151.9 million of restricted cash and cash equivalents held for future principal and interest payments and other working capital requirements of our asset-backed securitization structure, $50.4 million of restricted cash equivalents held in a three-month interest reserve as required by the indenture governing the securitized debt and $0.2 million of other restricted cash for a total of $202.5 million of restricted cash and cash equivalents. As of September 7, 2025, we also held $109.6 million of advertising fund restricted cash and cash equivalents which can only be used for activities that promote the Domino’s brand.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As of September 7, 2025, we had approximately $4.82 billion of long-term debt. As of September 7, 2025, our fixed rate notes had original scheduled principal payments of $9.8 million in the remainder of 2025, $49.3 million in 2026, $1.34 billion in 2027, $834.3 million in 2028, $646.1 million in 2029, $495.0 million in 2030, $925.0 million in 2031 and $470.0 million in 2032. However, in accordance with our debt agreements, the payment of principal on the 2025 Five-Year Notes and 2025 Seven-Year Notes (refer to Note 5 to the condensed consolidated financial statements) may be suspended if either the Holdco Leverage Ratio or Senior Leverage Ratio is less than or equal to 5.5x total debt to either Consolidated Adjusted EBITDA or Securitized Net Cash Flow, each as defined in the indenture governing the securitized debt, and no catch-up provisions are applicable. Further, in accordance with our debt agreements, the payment of principal on the 2021 Notes, 2019 Notes, 2018 9.25-Year Notes and 2017 Ten-Year Notes (refer to Note 5 to the condensed consolidated financial statements) may be suspended if the Holdco Leverage Ratio is less than or equal to 5.0x total debt to Consolidated Adjusted EBITDA, each as defined in the indenture governing the securitized debt, and no catch-up provisions are applicable. As of the end of the third quarter of 2025 and the end of the fourth quarter of 2024, we satisfied the non-amortization tests for each respective series of notes, and accordingly, the outstanding principal amounts of the notes have been classified as long-term debt in the condensed consolidated balance sheet as of September 7, 2025 and December 29, 2024.</w:t>
      </w:r>
    </w:p>
    <w:p>
      <w:pPr>
        <w:spacing w:after="0" w:line="95" w:lineRule="exact"/>
        <w:rPr>
          <w:sz w:val="20"/>
          <w:szCs w:val="20"/>
          <w:color w:val="auto"/>
        </w:rPr>
      </w:pPr>
    </w:p>
    <w:p>
      <w:pPr>
        <w:ind w:right="240" w:firstLine="255"/>
        <w:spacing w:after="0" w:line="266" w:lineRule="auto"/>
        <w:rPr>
          <w:sz w:val="20"/>
          <w:szCs w:val="20"/>
          <w:color w:val="auto"/>
        </w:rPr>
      </w:pPr>
      <w:r>
        <w:rPr>
          <w:rFonts w:ascii="Times New Roman" w:cs="Times New Roman" w:eastAsia="Times New Roman" w:hAnsi="Times New Roman"/>
          <w:sz w:val="18"/>
          <w:szCs w:val="18"/>
          <w:color w:val="auto"/>
        </w:rPr>
        <w:t>The notes are subject to certain financial and non-financial covenants, including a debt service coverage ratio calculation. The covenant requires a minimum coverage ratio of 1.75x total debt service to Securitized Net Cash Flow, each as defined in the indenture governing the securitized debt. In the event that certain covenants are not met, the notes may become due and payable on an accelerated schedule.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35"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Our share repurchase programs have historically been funded by excess operating cash flows, excess proceeds from our refinancing and recapitalization transactions and borrowings under our variable funding note facilities.</w:t>
      </w:r>
    </w:p>
    <w:p>
      <w:pPr>
        <w:spacing w:after="0" w:line="54"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During the third quarter of 2025, we repurchased and retired 165,778 shares of our common stock under our Board of Directors-approved share repurchase program for a total of $74.7 million. During the three fiscal quarters of 2025, we repurchased and retired 596,754 shares of our common stock under our Board of Directors-approved share repurchase program for a total of approximately $274.7 million. As of September 7, 2025, we had a total remaining authorized amount for share repurchases of approximately $539.7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35"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On July 15, 2025, our Board of Directors declared a $1.74 per share quarterly dividend on our outstanding common stock for shareholders of record as of September 15, 2025, which was paid on September 30, 2025. We had approximately $61.2 million accrued for common stock dividends at September 7, 2025. Subsequent to the end of the third quarter of 2025, on October 7, 2025, our Board of Directors declared a $1.74 per share quarterly dividend on our outstanding common stock for shareholders of record as of December 15, 2025, to be paid on December 26, 2025.</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illustrates the main components of our cash flows: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180" w:type="dxa"/>
            <w:vAlign w:val="bottom"/>
          </w:tcPr>
          <w:p>
            <w:pPr>
              <w:spacing w:after="0"/>
              <w:rPr>
                <w:sz w:val="13"/>
                <w:szCs w:val="13"/>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r>
      <w:tr>
        <w:trPr>
          <w:trHeight w:val="173"/>
        </w:trPr>
        <w:tc>
          <w:tcPr>
            <w:tcW w:w="6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180" w:type="dxa"/>
            <w:vAlign w:val="bottom"/>
          </w:tcPr>
          <w:p>
            <w:pPr>
              <w:spacing w:after="0"/>
              <w:rPr>
                <w:sz w:val="15"/>
                <w:szCs w:val="15"/>
                <w:color w:val="auto"/>
              </w:rPr>
            </w:pPr>
          </w:p>
        </w:tc>
        <w:tc>
          <w:tcPr>
            <w:tcW w:w="18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of 2024</w:t>
            </w:r>
          </w:p>
        </w:tc>
      </w:tr>
      <w:tr>
        <w:trPr>
          <w:trHeight w:val="209"/>
        </w:trPr>
        <w:tc>
          <w:tcPr>
            <w:tcW w:w="69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1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446.9</w:t>
            </w: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(558.2)</w:t>
            </w:r>
          </w:p>
        </w:tc>
        <w:tc>
          <w:tcPr>
            <w:tcW w:w="18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(313.0)</w:t>
            </w: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69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r>
      <w:tr>
        <w:trPr>
          <w:trHeight w:val="20"/>
        </w:trPr>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33"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Cash provided by operating activities increased $105.4 million in the three fiscal quarters of 2025, as a result of the positive impact of changes in operating assets and liabilities, higher net income excluding non-cash operating activities and a positive change in restricted advertising fund assets and liabilities. The positive impact of changes in operating assets and liabilities of $48.1 million primarily related to the timing of payments on accounts payable and accounts receivable in the three fiscal quarters of 2025 as compared to the three fiscal quarters of 2024. The increase in net cash provided by operating activities was also a result of higher net income, excluding non-cash operating activities. Net income increased $5.3 million and non-cash adjustments increased $26.9 million (primarily representing changes in deferred income taxes and the changes in the total net realized and unrealized gains associated with the remeasurement of the Company’s investment in DPC Dash), resulting in an overall increase to cash provided by operating activities in the three fiscal quarters of 2025 as compared to the three fiscal quarters of 2024 of $32.2 million. Finally, the $25.1 million positive impact of changes in restricted advertising fund assets and liabilities in the three fiscal quarters of 2025 as compared to the three fiscal quarters of 2024 was a result of the timing and amount of advertising activities.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700" w:firstLine="254"/>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was $6.1 million in the three fiscal quarters of 2025, which primarily consisted of $56.7 million of capital expenditures (driven primarily by investments in consumer and store technology, supply chain centers and corporate store operations). This use of cash was partially offset by the net proceeds from the sale of 4,200,000 ordinary shares of our investment in DPC Dash for $44.1 million and net proceeds of $8.5 million for the refranchising of 36 U.S. Company-owned stores in the Maryland market, each in the second quarter of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Cash used in financing activities was $558.2 million in the three fiscal quarters of 2025. In connection with our refinancing transaction completed on September 5, 2025, we issued of $1.00 billion of new notes including $500.0 million 2025 Five-Year Notes and $500.0 million 2025 Seven-Year Notes. We used the proceeds from the issuance of the 2025 Notes, as well as $160.0 million of our unrestricted cash and cash equivalents, to repay the remaining $742.0 million in outstanding principal under our 2015 Ten-Year Notes and the remaining $402.7 million in outstanding principal under our 2018 7.5-Year Notes and to pay $15.3 million in capitalized financing costs. During the three fiscal quarters of 2025, we repurchased and retired $274.7 million in common stock under our Board of Directors-approved share repurchase program, and we also made $3.0 million in excise tax payments related to our share repurchase programs. We also made dividend payments to our shareholders of $119.5 million. We made tax payments for the vesting of restricted stock of $10.9 million. These uses of cash were partially offset by proceeds from the exercise of stock options of $12.9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80" w:firstLine="255"/>
        <w:spacing w:after="0" w:line="255" w:lineRule="auto"/>
        <w:rPr>
          <w:sz w:val="20"/>
          <w:szCs w:val="20"/>
          <w:color w:val="auto"/>
        </w:rPr>
      </w:pPr>
      <w:r>
        <w:rPr>
          <w:rFonts w:ascii="Times New Roman" w:cs="Times New Roman" w:eastAsia="Times New Roman" w:hAnsi="Times New Roman"/>
          <w:sz w:val="18"/>
          <w:szCs w:val="18"/>
          <w:color w:val="auto"/>
        </w:rPr>
        <w:t>For a description of the Company’s critical accounting estimates, refer to “Part II—Item 7—Management’s Discussion and Analysis of Financial Condition and Results of Operations” in the 2024 Form 10-K. The Company considers its most significant accounting policies and estimates to be long-lived assets, casualty insurance reserves and income taxes. There have been no material changes to the Company’s critical accounting estimates since December 29,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3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filing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store growth and the growth of our U.S. and international business in general, our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in our filings with the Securities and Exchange Commission, including under the section headed “Risk Factors” in our 2024 Form 10-K for the fiscal year ended December 29, 2024. Actual results may differ materially from those expressed or implied in the forward-looking statements as a result of various factors, including but not limited to: our substantial indebtedness as a result of our recapitalization transactions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the strength of our brand, including our ability to compete in the U.S. and internationally in our intensely competitive industry, including the food service and food delivery markets; our ability to successfully implement our growth strategy, including through our participation in the third-party order aggregation marketplace; labor shortages or changes in operating expenses resulting from increases in prices of food (particularly cheese), fuel and other commodity costs, labor, utilities, insurance, employee benefits and other operating costs or negative economic conditions; the effectiveness of our advertising, operations and promotional initiatives; shortages, interruptions or disruptions in the supply or delivery of fresh food products and store equipment; additional risks our international operations subject us to, which may differ in each country in which we and our franchisees do business; our ability and that of our franchisees to successfully operate in the current and future credit environment; the impact of social media or a boycott on our business, brand and reputation; the impact of new or improved technologies and alternative methods of delivery on consumer behavior; new product, digital ordering and concept developments by us, and other food-industry competitors;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changes in the level of consumer spending given general economic conditions, including interest rates, energy prices and consumer confidence or negative economic conditions in general; our ability and that of our franchisees to open new restaurants and keep existing restaurants in operation and maintain demand for new stores;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and regulations, including changes in laws and regulations regarding information privacy, payment methods, advertising and consumer protection and social media; adverse legal judgments or settlements; food-borne illness or contamination of products or food tampering or other events that may impact our reputation; data breaches, power loss, technological failures, user error or other cyber risks threatening us or our franchisees; the impact that environmental, social and governance matters may have on our business and reputation; the effect of war, terrorism, catastrophic events, other geopolitical or reputational considerations or climate change; our ability to pay dividends and repurchase shares; changes in consumer tastes, spending and traffic patterns and demographic trends;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35"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We do not engage in speculative transactions, nor do we hold or issue financial instruments for trading purposes. In connection with the refinancings and recapitalizations of our business, we have issued fixed rate notes and entered into variable funding notes, and, at September 7, 2025, we are exposed to interest rate risk on borrowings under our variable funding notes. As of September 7, 2025, we had no outstanding borrowings under our 2025 Variable Funding Notes.</w:t>
      </w:r>
    </w:p>
    <w:p>
      <w:pPr>
        <w:spacing w:after="0" w:line="85"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Our 2025 Variable Funding Notes bear interest at fluctuating interest rates based on the Secured Overnight Financing Rate (“Term SOFR”). Accordingly, a rising interest rate environment could result in higher interest expense due on borrowings under our 2025 Variable Funding Notes, in which event we may have difficulties making interest payments and funding our other fixed costs, and our available cash flow for general corporate requirements may be adversely affected.</w:t>
      </w:r>
    </w:p>
    <w:p>
      <w:pPr>
        <w:spacing w:after="0" w:line="85"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Our fixed-rate debt exposes the Company to changes in market interest rates reflected in the fair value of the debt and to the risk that the Company may need to refinance maturing debt with new debt at a higher rate.</w:t>
      </w:r>
    </w:p>
    <w:p>
      <w:pPr>
        <w:spacing w:after="0" w:line="67"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We are exposed to market risks from changes in food and commodity prices. During the normal course of business, we purchase cheese and certain other food products that are affected by changes in commodity prices and, as a result, we are subject to volatility in our product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35"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We have exposure to various foreign currency exchange rate fluctuations for revenues generated by our operations outside the U.S., which can adversely impact our net income and cash flows. Approximately 6.8% of our total revenues in both the third quarter and three fiscal quarters of 2025, approximately 6.9% of our total revenues in the third quarter of 2024 and approximately 6.8% of our total revenues in the three fiscal quarters of 2024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We estimate that a hypothetical 10% adverse change in the foreign currency rates for our international markets would have resulted in a negative impact on royalty revenues of approximately $20.4 million in the three fiscal quarters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3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Company’s Chief Executive Officer, Russell J. Weiner, and Executive Vice President and Chief Financial Officer, Sandeep Reddy, performed an evaluation of the effectiveness of the Company’s disclosure controls and procedures (as that term is defined in Rules 13a-15(e) and 15d-15(e) under the Securities Exchange Act of 1934, as amended (the “Exchange Act”)) as of the end of the period covered by this report. Based on that evaluation, Mr. Weiner and Mr. Reddy concluded that the Company’s disclosure controls and procedures were effective.</w:t>
      </w:r>
    </w:p>
    <w:p>
      <w:pPr>
        <w:spacing w:after="0" w:line="85" w:lineRule="exact"/>
        <w:rPr>
          <w:sz w:val="20"/>
          <w:szCs w:val="20"/>
          <w:color w:val="auto"/>
        </w:rPr>
      </w:pPr>
    </w:p>
    <w:p>
      <w:pPr>
        <w:ind w:right="260" w:firstLine="255"/>
        <w:spacing w:after="0" w:line="257" w:lineRule="auto"/>
        <w:rPr>
          <w:sz w:val="20"/>
          <w:szCs w:val="20"/>
          <w:color w:val="auto"/>
        </w:rPr>
      </w:pPr>
      <w:r>
        <w:rPr>
          <w:rFonts w:ascii="Times New Roman" w:cs="Times New Roman" w:eastAsia="Times New Roman" w:hAnsi="Times New Roman"/>
          <w:sz w:val="18"/>
          <w:szCs w:val="18"/>
          <w:color w:val="auto"/>
        </w:rPr>
        <w:t>During the quarterly period ended September 7, 2025, there were no changes in the Company’s internal control over financial reporting as defined in Rules 13a-15(f) and 15d-15(f) that have materially affected or are reasonably likely to materially affect the Company’s internal control over financial reporting.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 In addition, we may occasionally be party to large claims, including class action suits.</w:t>
      </w:r>
    </w:p>
    <w:p>
      <w:pPr>
        <w:spacing w:after="0" w:line="8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Litigation is subject to many uncertainties, and the outcome of individual litigated matters is unpredictable. These matters referenced above could be decided unfavorably to us and could require us to pay damages or make other expenditures in amounts or a range of amounts that cannot be estimated with accuracy. However, we do not believe these matters, individually or in the aggregate, will have a material adverse effect on the business or financial condition of the Company, and we expect that the established accruals adequately provide for the estimated resolution of such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have been no material changes with respect to those risk factors previously disclosed in Item 1A “Risk Factors” in Part I of our 2024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 Purchases of Equity Securities by the Issuer and Affiliated Purchasers.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36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Program (2)</w:t>
            </w:r>
          </w:p>
        </w:tc>
        <w:tc>
          <w:tcPr>
            <w:tcW w:w="0" w:type="dxa"/>
            <w:vAlign w:val="bottom"/>
          </w:tcPr>
          <w:p>
            <w:pPr>
              <w:spacing w:after="0"/>
              <w:rPr>
                <w:sz w:val="1"/>
                <w:szCs w:val="1"/>
                <w:color w:val="auto"/>
              </w:rPr>
            </w:pPr>
          </w:p>
        </w:tc>
      </w:tr>
      <w:tr>
        <w:trPr>
          <w:trHeight w:val="173"/>
        </w:trPr>
        <w:tc>
          <w:tcPr>
            <w:tcW w:w="2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 (2)</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91"/>
        </w:trPr>
        <w:tc>
          <w:tcPr>
            <w:tcW w:w="238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Period #7 (June 16, 2025</w:t>
            </w:r>
          </w:p>
        </w:tc>
        <w:tc>
          <w:tcPr>
            <w:tcW w:w="120" w:type="dxa"/>
            <w:vAlign w:val="bottom"/>
            <w:shd w:val="clear" w:color="auto" w:fill="CFF0FC"/>
          </w:tcPr>
          <w:p>
            <w:pPr>
              <w:spacing w:after="0"/>
              <w:rPr>
                <w:sz w:val="16"/>
                <w:szCs w:val="16"/>
                <w:color w:val="auto"/>
              </w:rPr>
            </w:pPr>
          </w:p>
        </w:tc>
        <w:tc>
          <w:tcPr>
            <w:tcW w:w="1660" w:type="dxa"/>
            <w:vAlign w:val="bottom"/>
            <w:tcBorders>
              <w:top w:val="single" w:sz="8" w:color="auto"/>
            </w:tcBorders>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520" w:type="dxa"/>
            <w:vAlign w:val="bottom"/>
            <w:tcBorders>
              <w:top w:val="single" w:sz="8" w:color="auto"/>
            </w:tcBorders>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100" w:type="dxa"/>
            <w:vAlign w:val="bottom"/>
            <w:tcBorders>
              <w:top w:val="single" w:sz="8" w:color="auto"/>
            </w:tcBorders>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7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July 13, 2025)</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454.44</w:t>
            </w:r>
          </w:p>
        </w:tc>
        <w:tc>
          <w:tcPr>
            <w:tcW w:w="360" w:type="dxa"/>
            <w:vAlign w:val="bottom"/>
            <w:shd w:val="clear" w:color="auto" w:fill="CFF0FC"/>
          </w:tcPr>
          <w:p>
            <w:pPr>
              <w:spacing w:after="0"/>
              <w:rPr>
                <w:sz w:val="20"/>
                <w:szCs w:val="20"/>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614,338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Period #8 (July 14, 2025</w:t>
            </w: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August 10, 2025)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464.70</w:t>
            </w:r>
          </w:p>
        </w:tc>
        <w:tc>
          <w:tcPr>
            <w:tcW w:w="36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Period #9 (August 11, 2025</w:t>
            </w:r>
          </w:p>
        </w:tc>
        <w:tc>
          <w:tcPr>
            <w:tcW w:w="120" w:type="dxa"/>
            <w:vAlign w:val="bottom"/>
            <w:vMerge w:val="restart"/>
            <w:shd w:val="clear" w:color="auto" w:fill="CFF0FC"/>
          </w:tcPr>
          <w:p>
            <w:pPr>
              <w:spacing w:after="0"/>
              <w:rPr>
                <w:sz w:val="17"/>
                <w:szCs w:val="17"/>
                <w:color w:val="auto"/>
              </w:rPr>
            </w:pPr>
          </w:p>
        </w:tc>
        <w:tc>
          <w:tcPr>
            <w:tcW w:w="1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167,061</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450.47</w:t>
            </w:r>
          </w:p>
        </w:tc>
        <w:tc>
          <w:tcPr>
            <w:tcW w:w="360" w:type="dxa"/>
            <w:vAlign w:val="bottom"/>
            <w:vMerge w:val="restart"/>
            <w:shd w:val="clear" w:color="auto" w:fill="CFF0FC"/>
          </w:tcPr>
          <w:p>
            <w:pPr>
              <w:spacing w:after="0"/>
              <w:rPr>
                <w:sz w:val="17"/>
                <w:szCs w:val="17"/>
                <w:color w:val="auto"/>
              </w:rPr>
            </w:pPr>
          </w:p>
        </w:tc>
        <w:tc>
          <w:tcPr>
            <w:tcW w:w="2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165,778</w:t>
            </w: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539,681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September 7, 2025)</w:t>
            </w: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660" w:type="dxa"/>
            <w:vAlign w:val="bottom"/>
            <w:tcBorders>
              <w:bottom w:val="single" w:sz="8" w:color="auto"/>
            </w:tcBorders>
            <w:vMerge w:val="continue"/>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vMerge w:val="continue"/>
            <w:shd w:val="clear" w:color="auto" w:fill="CFF0FC"/>
          </w:tcPr>
          <w:p>
            <w:pPr>
              <w:spacing w:after="0"/>
              <w:rPr>
                <w:sz w:val="19"/>
                <w:szCs w:val="19"/>
                <w:color w:val="auto"/>
              </w:rPr>
            </w:pPr>
          </w:p>
        </w:tc>
        <w:tc>
          <w:tcPr>
            <w:tcW w:w="360" w:type="dxa"/>
            <w:vAlign w:val="bottom"/>
            <w:tcBorders>
              <w:bottom w:val="single" w:sz="8" w:color="CFF0FC"/>
            </w:tcBorders>
            <w:vMerge w:val="continue"/>
            <w:shd w:val="clear" w:color="auto" w:fill="CFF0FC"/>
          </w:tcPr>
          <w:p>
            <w:pPr>
              <w:spacing w:after="0"/>
              <w:rPr>
                <w:sz w:val="19"/>
                <w:szCs w:val="19"/>
                <w:color w:val="auto"/>
              </w:rPr>
            </w:pPr>
          </w:p>
        </w:tc>
        <w:tc>
          <w:tcPr>
            <w:tcW w:w="2100" w:type="dxa"/>
            <w:vAlign w:val="bottom"/>
            <w:tcBorders>
              <w:bottom w:val="single" w:sz="8" w:color="auto"/>
            </w:tcBorders>
            <w:vMerge w:val="continue"/>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170,030</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450.64</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165,778</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-170815</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-170815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4"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4,252 shares in the third quarter of 2025 were purchased as part of the Company’s employee stock payroll deduction plan at an average price of $462.46.</w:t>
      </w:r>
    </w:p>
    <w:p>
      <w:pPr>
        <w:spacing w:after="0" w:line="151" w:lineRule="exact"/>
        <w:rPr>
          <w:rFonts w:ascii="Times New Roman" w:cs="Times New Roman" w:eastAsia="Times New Roman" w:hAnsi="Times New Roman"/>
          <w:sz w:val="15"/>
          <w:szCs w:val="15"/>
          <w:color w:val="auto"/>
        </w:rPr>
      </w:pPr>
    </w:p>
    <w:p>
      <w:pPr>
        <w:ind w:left="460" w:right="40" w:hanging="452"/>
        <w:spacing w:after="0" w:line="243" w:lineRule="auto"/>
        <w:tabs>
          <w:tab w:leader="none" w:pos="4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February 21, 2024, the Company’s Board of Directors authorized an additional share repurchase program to repurchase up to $1.0 billion of the Company’s common stock, in addition to the $141.3 million that was previously remaining for a total authorization of $1.14 billion for future share repurchases as of that date. As of September 7, 2025, $539.7 million remained available for future purchases of the Company’s common stock under this share repurchase program.</w:t>
      </w:r>
    </w:p>
    <w:p>
      <w:pPr>
        <w:spacing w:after="0" w:line="83" w:lineRule="exact"/>
        <w:rPr>
          <w:rFonts w:ascii="Times New Roman" w:cs="Times New Roman" w:eastAsia="Times New Roman" w:hAnsi="Times New Roman"/>
          <w:sz w:val="15"/>
          <w:szCs w:val="15"/>
          <w:color w:val="auto"/>
        </w:rPr>
      </w:pPr>
    </w:p>
    <w:p>
      <w:pPr>
        <w:ind w:left="460" w:right="8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Our directors and officers (as defined in Section 16 of the Exchange Act (“Section 16”)) may from time to time enter into plans for the purchase or sale of Domino’s stock that are intended to satisfy the affirmative defense conditions of Rule 10b5-1(c) under the Exchange Act.</w:t>
      </w:r>
    </w:p>
    <w:p>
      <w:pPr>
        <w:spacing w:after="0" w:line="54"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During the fiscal quarter ended September 7, 2025, the following Section 16 officers adopted a “Rule 10b5-1 trading arrangement” (as defined in Item 408 under Regulation S-K of the Exchange Act):</w:t>
      </w:r>
    </w:p>
    <w:p>
      <w:pPr>
        <w:spacing w:after="0" w:line="67" w:lineRule="exact"/>
        <w:rPr>
          <w:sz w:val="20"/>
          <w:szCs w:val="20"/>
          <w:color w:val="auto"/>
        </w:rPr>
      </w:pPr>
    </w:p>
    <w:p>
      <w:pPr>
        <w:ind w:left="1020" w:hanging="503"/>
        <w:spacing w:after="0" w:line="25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Cynthia A. Headen, our Executive Vice President, Chief Supply Chain Officer, adopted a new Rule 10b5-1 trading arrangement on August 18, 2025. The plan’s maximum duration is until August 28, 2026, and first trades will not occur until November 17, 2025 at the earliest. The trading plan, which is subject to certain conditions, is intended to permit Ms. Headen to (i) sell from time to time an aggregate of up to 3,525 shares of our common stock, the actual amount of which may be less based on tax withholdings and performance and vesting conditions of performance-based stock units and restricted stock units, and (ii) exercise and sell from time to time two tranches of an aggregate of 7,453 stock options.</w:t>
      </w:r>
    </w:p>
    <w:p>
      <w:pPr>
        <w:spacing w:after="0" w:line="79"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Jessica L. Parrish, our Vice President, Chief Accounting Officer and Treasurer, adopted a new Rule 10b5-1 trading arrangement on August 27, 2025. The plan’s maximum duration is until August 21, 2026, and first trades will not occur until November 26, 2025 at the earliest. The trading plan, which is subject to certain conditions, is intended to permit Ms. Parrish to sell from time to time an aggregate of up to 1,845 shares of our common stock, the actual amount of which may be less based on tax withholdings and performance and vesting conditions of performance-based stock units and restricted stock units.</w:t>
      </w:r>
    </w:p>
    <w:p>
      <w:pPr>
        <w:spacing w:after="0" w:line="183"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The Rule 10b5-1 trading arrangements described above were adopted and precleared in accordance with Domino’s Insider Trading Policy and actual sale transactions made pursuant to such trading arrangements will be disclosed publicly in future Section 16 filings with the SEC.</w:t>
      </w:r>
    </w:p>
    <w:p>
      <w:pPr>
        <w:spacing w:after="0" w:line="54"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No other directors or officers adopted, modified and/or terminated a “Rule 10b5-1 trading arrangement” or a “non-Rule 10b5-1 trading arrangement,” as defined in Item 408 under Regulation S-K of the Exchange Act, during the last fiscal quarter.</w:t>
      </w: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420" w:type="dxa"/>
            <w:vAlign w:val="bottom"/>
            <w:gridSpan w:val="13"/>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6420" w:type="dxa"/>
            <w:vAlign w:val="bottom"/>
            <w:tcBorders>
              <w:bottom w:val="single" w:sz="8" w:color="auto"/>
            </w:tcBorders>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4"/>
                <w:szCs w:val="14"/>
                <w:color w:val="auto"/>
              </w:rPr>
            </w:pPr>
          </w:p>
        </w:tc>
        <w:tc>
          <w:tcPr>
            <w:tcW w:w="10200" w:type="dxa"/>
            <w:vAlign w:val="bottom"/>
            <w:gridSpan w:val="16"/>
          </w:tcPr>
          <w:p>
            <w:pPr>
              <w:spacing w:after="0" w:line="169" w:lineRule="exact"/>
              <w:rPr>
                <w:rFonts w:ascii="Times New Roman" w:cs="Times New Roman" w:eastAsia="Times New Roman" w:hAnsi="Times New Roman"/>
                <w:sz w:val="18"/>
                <w:szCs w:val="18"/>
                <w:color w:val="0000FF"/>
                <w:w w:val="99"/>
              </w:rPr>
            </w:pPr>
            <w:hyperlink r:id="rId308">
              <w:r>
                <w:rPr>
                  <w:rFonts w:ascii="Times New Roman" w:cs="Times New Roman" w:eastAsia="Times New Roman" w:hAnsi="Times New Roman"/>
                  <w:sz w:val="18"/>
                  <w:szCs w:val="18"/>
                  <w:color w:val="0000FF"/>
                  <w:w w:val="99"/>
                </w:rPr>
                <w:t>Ninth Supplement to the Amended and Restated Base Indenture, dated as of September 5, 2025, by and among Domino’s Pizza Master Issuer</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LLC, Domino’s SPV Canadian Holding Company Inc., Domino’s Pizza Distribution LLC, Domino’s Progressive Foods Distribution LLC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and Domino’s IP Holder LLC, each as Co-Issuer, and Citibank, N.A., as Trustee and Securities Intermediary (Incorporated by reference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Exhibit 4.1 to the registrant’s Current Report on Form 8-K filed on September 8, 2025 (the “September 2025 8-K”)).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Series 2025-1 Supplement to the Amended and Restated Base Indenture, dated September 5, 2025, among Domino’s Pizza Master Issuer</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LLC, Domino’s SPV Canadian Holding Company Inc., Domino’s Pizza Distribution LLC, Domino’s Progressive Foods Distribution LLC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and Domino’s IP Holder LLC, each as Co-Issuer of Series 2025-1 4.930% Fixed Rate Senior Secured Notes, Class A-2-I and Series 2025-1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217%</w:t>
              </w:r>
              <w:r>
                <w:rPr>
                  <w:rFonts w:ascii="Times New Roman" w:cs="Times New Roman" w:eastAsia="Times New Roman" w:hAnsi="Times New Roman"/>
                  <w:sz w:val="18"/>
                  <w:szCs w:val="18"/>
                  <w:color w:val="0000FF"/>
                </w:rPr>
                <w:t xml:space="preserve"> Fixed Rate Senior Secured Notes, Class A-2-II, and Citibank, N.A., as Trustee and Securities Intermediary (Incorporated by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reference to Exhibit 4.2 to the September 2025 8-K).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Purchase Agreement, dated August 12, 2025, among Domino’s Pizza Master Issuer LLC, Domino’s SPV Canadian Holding Company Inc.,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Domino’s Pizza Distribution LLC, Domino’s Progressive Foods Distribution LLC and Domino’s IP Holder LLC, each as Co-Issuer,</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Domino’s SPV Guarantor LLC, Domino’s Pizza Franchising LLC, Domino’s Pizza International Franchising Inc., Domino’s Pizza Canadian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Distribution ULC, Domino’s RE LLC and Domino’s EQ LLC, each as Guarantor, Domino’s Pizza LLC, as manager, Domino’s Pizza, Inc.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and Domino’s, Inc., as parent companies, and Barclays Capital Inc. and Guggenheim Securities, LLC, as initial purchasers (Incorporated by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reference to Exhibit 99.1 to the registrant’s Current Report on Form 8-K filed on August 13, 2025)</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24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Class A-1 Note Purchase Agreement, dated September 5, 2025, among Domino’s Pizza Master Issuer LLC, Domino’s SPV Canadian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Holding Company Inc., Domino’s Pizza Distribution LLC, Domino’s Progressive Foods Distribution LLC and Domino’s IP Holder LLC,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each as Co-Issuer, Domino’s SPV Guarantor LLC, Domino’s Pizza Franchising LLC, Domino’s Pizza International Franchising Inc.,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Domino’s Pizza Canadian Distribution ULC, Domino’s RE LLC, Domino’s EQ LLC and Domino’s Pizza International Franchising of</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w w:val="99"/>
              </w:rPr>
            </w:pPr>
            <w:hyperlink r:id="rId311">
              <w:r>
                <w:rPr>
                  <w:rFonts w:ascii="Times New Roman" w:cs="Times New Roman" w:eastAsia="Times New Roman" w:hAnsi="Times New Roman"/>
                  <w:sz w:val="18"/>
                  <w:szCs w:val="18"/>
                  <w:color w:val="0000FF"/>
                  <w:w w:val="99"/>
                </w:rPr>
                <w:t>Michigan LLC, each as Guarantor, Domino’s Pizza LLC, as manager, certain conduit investors, financial institutions and funding agents, and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Coöperatieve Rabobank U.A., New York Branch, as provider of letters of credit, as swingline lender and as administrative agent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(Incorporated by reference to Exhibit 10.1 to the September 2025 8-K).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Omnibus Amendment and Reaffirmation Agreement, dated as of September 5, 2025, among Domino’s Pizza Master Issuer LLC, certain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2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w w:val="99"/>
              </w:rPr>
            </w:pPr>
            <w:hyperlink r:id="rId312">
              <w:r>
                <w:rPr>
                  <w:rFonts w:ascii="Times New Roman" w:cs="Times New Roman" w:eastAsia="Times New Roman" w:hAnsi="Times New Roman"/>
                  <w:sz w:val="18"/>
                  <w:szCs w:val="18"/>
                  <w:color w:val="0000FF"/>
                  <w:w w:val="99"/>
                </w:rPr>
                <w:t>subsidiaries of Domino’s Pizza Master Issuer LLC party thereto, Domino’s SPV Guarantor LLC, Domino’s Pizza LLC, as manager and in its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2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individual capacity, Domino’s Pizza NS Co., Progressive Food Solutions LLC, Domino’s Pizza, Inc., Barclays Capital Inc., as Initial</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2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Purchaser Representative, Midland Loan Services, a division of PNC Bank, National Association, as Servicer and Control Party, FTI</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2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Consulting, Inc., a Maryland corporation, as Back-Up Manager, and Citibank, N.A., as Trustee (Incorporated by reference to Exhibit 10.2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2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the September 2025 8-K).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Form of Amendment No. 6 to Amended and Restated Management Agreement, dated as of September 5, 2025, among Domino’s Pizza</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82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Master Issuer LLC, certain subsidiaries of Domino’s Pizza Master Issuer LLC party thereto, Domino’s SPV Guarantor LLC, Domino’s Pizza</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82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LLC, as manager and in its individual capacity, Domino’s Pizza NS Co., and Citibank, N.A., as Trustee (Incorporated by reference to Exhibit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82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the September 2025 8-K).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Form of Amendment No. 3 to Parent Company Support Agreement dated September 5, 2025 made by Domino’s Pizza, Inc. in favor of</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20" w:type="dxa"/>
            <w:vAlign w:val="bottom"/>
            <w:tcBorders>
              <w:right w:val="single" w:sz="8" w:color="0000FF"/>
            </w:tcBorders>
            <w:gridSpan w:val="5"/>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Citibank, N.A., as Trustee (Incorporated by reference to Exhibit 10.4 to the September 2025 8-K).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20" w:type="dxa"/>
            <w:vAlign w:val="bottom"/>
            <w:tcBorders>
              <w:right w:val="single" w:sz="8" w:color="0000FF"/>
            </w:tcBorders>
            <w:gridSpan w:val="5"/>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20" w:type="dxa"/>
            <w:vAlign w:val="bottom"/>
            <w:tcBorders>
              <w:right w:val="single" w:sz="8" w:color="0000FF"/>
            </w:tcBorders>
            <w:gridSpan w:val="5"/>
            <w:shd w:val="clear" w:color="auto" w:fill="0000FF"/>
          </w:tcPr>
          <w:p>
            <w:pPr>
              <w:spacing w:after="0" w:line="20" w:lineRule="exact"/>
              <w:rPr>
                <w:sz w:val="1"/>
                <w:szCs w:val="1"/>
                <w:color w:val="auto"/>
              </w:rPr>
            </w:pPr>
          </w:p>
        </w:tc>
        <w:tc>
          <w:tcPr>
            <w:tcW w:w="43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20" w:type="dxa"/>
            <w:vAlign w:val="bottom"/>
            <w:tcBorders>
              <w:right w:val="single" w:sz="8" w:color="0000FF"/>
            </w:tcBorders>
            <w:gridSpan w:val="5"/>
            <w:shd w:val="clear" w:color="auto" w:fill="0000FF"/>
          </w:tcPr>
          <w:p>
            <w:pPr>
              <w:spacing w:after="0" w:line="20" w:lineRule="exact"/>
              <w:rPr>
                <w:sz w:val="1"/>
                <w:szCs w:val="1"/>
                <w:color w:val="auto"/>
              </w:rPr>
            </w:pPr>
          </w:p>
        </w:tc>
        <w:tc>
          <w:tcPr>
            <w:tcW w:w="43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1350, Chapter 63 of Title 18, United States Code, as adopted pursuant to Section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20" w:type="dxa"/>
            <w:vAlign w:val="bottom"/>
            <w:tcBorders>
              <w:right w:val="single" w:sz="8" w:color="0000FF"/>
            </w:tcBorders>
            <w:gridSpan w:val="5"/>
            <w:shd w:val="clear" w:color="auto" w:fill="0000FF"/>
          </w:tcPr>
          <w:p>
            <w:pPr>
              <w:spacing w:after="0" w:line="20" w:lineRule="exact"/>
              <w:rPr>
                <w:sz w:val="1"/>
                <w:szCs w:val="1"/>
                <w:color w:val="auto"/>
              </w:rPr>
            </w:pPr>
          </w:p>
        </w:tc>
        <w:tc>
          <w:tcPr>
            <w:tcW w:w="4920" w:type="dxa"/>
            <w:vAlign w:val="bottom"/>
            <w:gridSpan w:val="10"/>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20" w:type="dxa"/>
            <w:vAlign w:val="bottom"/>
            <w:tcBorders>
              <w:right w:val="single" w:sz="8" w:color="0000EE"/>
            </w:tcBorders>
            <w:gridSpan w:val="5"/>
            <w:shd w:val="clear" w:color="auto" w:fill="0000FF"/>
          </w:tcPr>
          <w:p>
            <w:pPr>
              <w:spacing w:after="0" w:line="20" w:lineRule="exact"/>
              <w:rPr>
                <w:sz w:val="1"/>
                <w:szCs w:val="1"/>
                <w:color w:val="auto"/>
              </w:rPr>
            </w:pPr>
          </w:p>
        </w:tc>
        <w:tc>
          <w:tcPr>
            <w:tcW w:w="492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1350, Chapter 63 of Title 18, United States Code, as adopted pursuant to Section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140" w:type="dxa"/>
            <w:vAlign w:val="bottom"/>
            <w:gridSpan w:val="1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20" w:type="dxa"/>
            <w:vAlign w:val="bottom"/>
            <w:tcBorders>
              <w:right w:val="single" w:sz="8" w:color="0000EE"/>
            </w:tcBorders>
            <w:gridSpan w:val="5"/>
            <w:shd w:val="clear" w:color="auto" w:fill="0000FF"/>
          </w:tcPr>
          <w:p>
            <w:pPr>
              <w:spacing w:after="0" w:line="20" w:lineRule="exact"/>
              <w:rPr>
                <w:sz w:val="1"/>
                <w:szCs w:val="1"/>
                <w:color w:val="auto"/>
              </w:rPr>
            </w:pPr>
          </w:p>
        </w:tc>
        <w:tc>
          <w:tcPr>
            <w:tcW w:w="49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8"/>
                <w:szCs w:val="18"/>
                <w:color w:val="auto"/>
              </w:rPr>
            </w:pP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8"/>
                <w:szCs w:val="18"/>
                <w:color w:val="auto"/>
              </w:rPr>
            </w:pP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8"/>
                <w:szCs w:val="18"/>
                <w:color w:val="auto"/>
              </w:rPr>
            </w:pP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0"/>
                <w:szCs w:val="20"/>
                <w:color w:val="auto"/>
              </w:rPr>
            </w:pP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5540" w:right="3680" w:hanging="5532"/>
        <w:spacing w:after="0" w:line="511" w:lineRule="auto"/>
        <w:tabs>
          <w:tab w:leader="none" w:pos="10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0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DOMINO’S PIZZA, INC.</w:t>
            </w:r>
          </w:p>
        </w:tc>
      </w:tr>
      <w:tr>
        <w:trPr>
          <w:trHeight w:val="234"/>
        </w:trPr>
        <w:tc>
          <w:tcPr>
            <w:tcW w:w="37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46"/>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Date: October 14, 2025</w:t>
            </w:r>
          </w:p>
        </w:tc>
        <w:tc>
          <w:tcPr>
            <w:tcW w:w="21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Sandeep Reddy</w:t>
            </w:r>
          </w:p>
        </w:tc>
      </w:tr>
      <w:tr>
        <w:trPr>
          <w:trHeight w:val="191"/>
        </w:trPr>
        <w:tc>
          <w:tcPr>
            <w:tcW w:w="37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Sandeep Reddy</w:t>
            </w:r>
          </w:p>
        </w:tc>
        <w:tc>
          <w:tcPr>
            <w:tcW w:w="16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37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700" w:type="dxa"/>
            <w:vAlign w:val="bottom"/>
          </w:tcPr>
          <w:p>
            <w:pPr>
              <w:spacing w:after="0"/>
              <w:rPr>
                <w:sz w:val="24"/>
                <w:szCs w:val="24"/>
                <w:color w:val="auto"/>
              </w:rPr>
            </w:pPr>
          </w:p>
        </w:tc>
        <w:tc>
          <w:tcPr>
            <w:tcW w:w="2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63"/>
        </w:trPr>
        <w:tc>
          <w:tcPr>
            <w:tcW w:w="37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 OF DOMINO’S PIZZA,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Russell J. Weiner, certify that:</w:t>
      </w:r>
    </w:p>
    <w:p>
      <w:pPr>
        <w:spacing w:after="0" w:line="229"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21"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right="180" w:hanging="372"/>
        <w:spacing w:after="0" w:line="252" w:lineRule="auto"/>
        <w:tabs>
          <w:tab w:leader="none" w:pos="3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52" w:lineRule="auto"/>
        <w:tabs>
          <w:tab w:leader="none" w:pos="3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60" w:hanging="378"/>
        <w:spacing w:after="0" w:line="239"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ind w:left="760" w:right="100" w:hanging="378"/>
        <w:spacing w:after="0" w:line="239"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760" w:right="200" w:hanging="378"/>
        <w:spacing w:after="0" w:line="239"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80" w:right="60" w:hanging="372"/>
        <w:spacing w:after="0" w:line="239"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right="60" w:hanging="378"/>
        <w:spacing w:after="0" w:line="252" w:lineRule="auto"/>
        <w:tabs>
          <w:tab w:leader="none" w:pos="760"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46"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October 14, 2025</w:t>
            </w:r>
          </w:p>
        </w:tc>
        <w:tc>
          <w:tcPr>
            <w:tcW w:w="9320" w:type="dxa"/>
            <w:vAlign w:val="bottom"/>
            <w:gridSpan w:val="2"/>
          </w:tcPr>
          <w:p>
            <w:pPr>
              <w:ind w:left="2280"/>
              <w:spacing w:after="0"/>
              <w:rPr>
                <w:sz w:val="20"/>
                <w:szCs w:val="20"/>
                <w:color w:val="auto"/>
              </w:rPr>
            </w:pPr>
            <w:r>
              <w:rPr>
                <w:rFonts w:ascii="Times New Roman" w:cs="Times New Roman" w:eastAsia="Times New Roman" w:hAnsi="Times New Roman"/>
                <w:sz w:val="20"/>
                <w:szCs w:val="20"/>
                <w:color w:val="auto"/>
              </w:rPr>
              <w:t>/s/ Russell J. Weiner</w:t>
            </w:r>
          </w:p>
        </w:tc>
      </w:tr>
      <w:tr>
        <w:trPr>
          <w:trHeight w:val="200"/>
        </w:trPr>
        <w:tc>
          <w:tcPr>
            <w:tcW w:w="19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Date</w:t>
            </w:r>
          </w:p>
        </w:tc>
        <w:tc>
          <w:tcPr>
            <w:tcW w:w="2280" w:type="dxa"/>
            <w:vAlign w:val="bottom"/>
          </w:tcPr>
          <w:p>
            <w:pPr>
              <w:spacing w:after="0"/>
              <w:rPr>
                <w:sz w:val="17"/>
                <w:szCs w:val="17"/>
                <w:color w:val="auto"/>
              </w:rPr>
            </w:pPr>
          </w:p>
        </w:tc>
        <w:tc>
          <w:tcPr>
            <w:tcW w:w="704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Russell J. Weiner</w:t>
            </w:r>
          </w:p>
        </w:tc>
      </w:tr>
      <w:tr>
        <w:trPr>
          <w:trHeight w:val="258"/>
        </w:trPr>
        <w:tc>
          <w:tcPr>
            <w:tcW w:w="1920" w:type="dxa"/>
            <w:vAlign w:val="bottom"/>
          </w:tcPr>
          <w:p>
            <w:pPr>
              <w:spacing w:after="0"/>
              <w:rPr>
                <w:sz w:val="22"/>
                <w:szCs w:val="22"/>
                <w:color w:val="auto"/>
              </w:rPr>
            </w:pPr>
          </w:p>
        </w:tc>
        <w:tc>
          <w:tcPr>
            <w:tcW w:w="9320" w:type="dxa"/>
            <w:vAlign w:val="bottom"/>
            <w:gridSpan w:val="2"/>
          </w:tcPr>
          <w:p>
            <w:pPr>
              <w:ind w:left="228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1445"/>
        </w:trPr>
        <w:tc>
          <w:tcPr>
            <w:tcW w:w="19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 OF DOMINO’S PIZZA,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Sandeep Reddy, certify that:</w:t>
      </w:r>
    </w:p>
    <w:p>
      <w:pPr>
        <w:spacing w:after="0" w:line="229"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21"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right="180" w:hanging="372"/>
        <w:spacing w:after="0" w:line="252" w:lineRule="auto"/>
        <w:tabs>
          <w:tab w:leader="none" w:pos="38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52" w:lineRule="auto"/>
        <w:tabs>
          <w:tab w:leader="none" w:pos="38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60" w:hanging="378"/>
        <w:spacing w:after="0" w:line="239"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ind w:left="760" w:right="100" w:hanging="378"/>
        <w:spacing w:after="0" w:line="239"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760" w:right="200" w:hanging="378"/>
        <w:spacing w:after="0" w:line="239"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80" w:right="60" w:hanging="372"/>
        <w:spacing w:after="0" w:line="23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right="60" w:hanging="378"/>
        <w:spacing w:after="0" w:line="252" w:lineRule="auto"/>
        <w:tabs>
          <w:tab w:leader="none" w:pos="760"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46"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October 14, 2025</w:t>
            </w:r>
          </w:p>
        </w:tc>
        <w:tc>
          <w:tcPr>
            <w:tcW w:w="9320" w:type="dxa"/>
            <w:vAlign w:val="bottom"/>
            <w:gridSpan w:val="2"/>
          </w:tcPr>
          <w:p>
            <w:pPr>
              <w:ind w:left="2280"/>
              <w:spacing w:after="0"/>
              <w:rPr>
                <w:sz w:val="20"/>
                <w:szCs w:val="20"/>
                <w:color w:val="auto"/>
              </w:rPr>
            </w:pPr>
            <w:r>
              <w:rPr>
                <w:rFonts w:ascii="Times New Roman" w:cs="Times New Roman" w:eastAsia="Times New Roman" w:hAnsi="Times New Roman"/>
                <w:sz w:val="20"/>
                <w:szCs w:val="20"/>
                <w:color w:val="auto"/>
              </w:rPr>
              <w:t>/s/ Sandeep Reddy</w:t>
            </w:r>
          </w:p>
        </w:tc>
      </w:tr>
      <w:tr>
        <w:trPr>
          <w:trHeight w:val="200"/>
        </w:trPr>
        <w:tc>
          <w:tcPr>
            <w:tcW w:w="19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Date</w:t>
            </w:r>
          </w:p>
        </w:tc>
        <w:tc>
          <w:tcPr>
            <w:tcW w:w="2280" w:type="dxa"/>
            <w:vAlign w:val="bottom"/>
          </w:tcPr>
          <w:p>
            <w:pPr>
              <w:spacing w:after="0"/>
              <w:rPr>
                <w:sz w:val="17"/>
                <w:szCs w:val="17"/>
                <w:color w:val="auto"/>
              </w:rPr>
            </w:pPr>
          </w:p>
        </w:tc>
        <w:tc>
          <w:tcPr>
            <w:tcW w:w="704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Sandeep Reddy</w:t>
            </w:r>
          </w:p>
        </w:tc>
      </w:tr>
      <w:tr>
        <w:trPr>
          <w:trHeight w:val="258"/>
        </w:trPr>
        <w:tc>
          <w:tcPr>
            <w:tcW w:w="1920" w:type="dxa"/>
            <w:vAlign w:val="bottom"/>
          </w:tcPr>
          <w:p>
            <w:pPr>
              <w:spacing w:after="0"/>
              <w:rPr>
                <w:sz w:val="22"/>
                <w:szCs w:val="22"/>
                <w:color w:val="auto"/>
              </w:rPr>
            </w:pPr>
          </w:p>
        </w:tc>
        <w:tc>
          <w:tcPr>
            <w:tcW w:w="9320" w:type="dxa"/>
            <w:vAlign w:val="bottom"/>
            <w:gridSpan w:val="2"/>
          </w:tcPr>
          <w:p>
            <w:pPr>
              <w:ind w:left="228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1216"/>
        </w:trPr>
        <w:tc>
          <w:tcPr>
            <w:tcW w:w="19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20"/>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25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September 7, 2025, as filed with the Securities and Exchange Commission (the “Report”), I, Russell J. Weiner, Chief Executive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0" w:lineRule="exact"/>
        <w:rPr>
          <w:sz w:val="20"/>
          <w:szCs w:val="20"/>
          <w:color w:val="auto"/>
        </w:rPr>
      </w:pPr>
    </w:p>
    <w:p>
      <w:pPr>
        <w:ind w:left="760" w:right="360" w:hanging="378"/>
        <w:spacing w:after="0" w:line="258" w:lineRule="auto"/>
        <w:tabs>
          <w:tab w:leader="none" w:pos="7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22"/>
          <w:szCs w:val="22"/>
          <w:color w:val="auto"/>
        </w:rPr>
      </w:pPr>
    </w:p>
    <w:p>
      <w:pPr>
        <w:ind w:left="760" w:right="420" w:hanging="378"/>
        <w:spacing w:after="0" w:line="258" w:lineRule="auto"/>
        <w:tabs>
          <w:tab w:leader="none" w:pos="7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/s/ Russell J.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10795</wp:posOffset>
            </wp:positionV>
            <wp:extent cx="335153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22"/>
          <w:szCs w:val="22"/>
          <w:color w:val="auto"/>
        </w:rPr>
        <w:t>Russell J. Weiner</w:t>
      </w:r>
    </w:p>
    <w:p>
      <w:pPr>
        <w:ind w:left="298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October 14, 2025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20"/>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25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September 7, 2025, as filed with the Securities and Exchange Commission (the “Report”), I, Sandeep Reddy, Chief Financial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0" w:lineRule="exact"/>
        <w:rPr>
          <w:sz w:val="20"/>
          <w:szCs w:val="20"/>
          <w:color w:val="auto"/>
        </w:rPr>
      </w:pPr>
    </w:p>
    <w:p>
      <w:pPr>
        <w:ind w:left="760" w:right="360" w:hanging="378"/>
        <w:spacing w:after="0" w:line="258" w:lineRule="auto"/>
        <w:tabs>
          <w:tab w:leader="none" w:pos="7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22"/>
          <w:szCs w:val="22"/>
          <w:color w:val="auto"/>
        </w:rPr>
      </w:pPr>
    </w:p>
    <w:p>
      <w:pPr>
        <w:ind w:left="760" w:right="420" w:hanging="378"/>
        <w:spacing w:after="0" w:line="258" w:lineRule="auto"/>
        <w:tabs>
          <w:tab w:leader="none" w:pos="7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/s/ Sandeep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10795</wp:posOffset>
            </wp:positionV>
            <wp:extent cx="33515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22"/>
          <w:szCs w:val="22"/>
          <w:color w:val="auto"/>
        </w:rPr>
        <w:t>Sandeep Reddy</w:t>
      </w:r>
    </w:p>
    <w:p>
      <w:pPr>
        <w:ind w:left="298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October 14, 2025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7"/>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0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08" Type="http://schemas.openxmlformats.org/officeDocument/2006/relationships/hyperlink" Target="https://www.sec.gov/Archives/edgar/data/1286681/000119312525198332/d946118dex41.htm" TargetMode="External"/><Relationship Id="rId309" Type="http://schemas.openxmlformats.org/officeDocument/2006/relationships/hyperlink" Target="https://www.sec.gov/Archives/edgar/data/1286681/000119312525198332/d946118dex42.htm" TargetMode="External"/><Relationship Id="rId310" Type="http://schemas.openxmlformats.org/officeDocument/2006/relationships/hyperlink" Target="https://www.sec.gov/Archives/edgar/data/1286681/000119312525179392/d20565dex991.htm" TargetMode="External"/><Relationship Id="rId311" Type="http://schemas.openxmlformats.org/officeDocument/2006/relationships/hyperlink" Target="https://www.sec.gov/Archives/edgar/data/1286681/000119312525198332/d946118dex101.htm" TargetMode="External"/><Relationship Id="rId312" Type="http://schemas.openxmlformats.org/officeDocument/2006/relationships/hyperlink" Target="https://www.sec.gov/Archives/edgar/data/1286681/000119312525198332/d946118dex102.htm" TargetMode="External"/><Relationship Id="rId313" Type="http://schemas.openxmlformats.org/officeDocument/2006/relationships/hyperlink" Target="https://www.sec.gov/Archives/edgar/data/1286681/000119312525198332/d946118dex103.htm" TargetMode="External"/><Relationship Id="rId314" Type="http://schemas.openxmlformats.org/officeDocument/2006/relationships/hyperlink" Target="https://www.sec.gov/Archives/edgar/data/1286681/000119312525198332/d946118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2025-10-14T05:23:40Z</dcterms:created>
  <dcterms:modified xsi:type="dcterms:W3CDTF">2025-10-14T05:23:40Z</dcterms:modified>
</cp:coreProperties>
</file>