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 KEVIN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 FRANK LLOYD WRIGHT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DOMINOS PIZZA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DPZ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Gen'l Counsel,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 ARBOR  MI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48105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237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10.087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earned under performance-based restricted stock unit awards ("PSUs") granted to the reporting person in 2022; number of shares earned is based on the Compensation Committee's certification of the Company's satisfaction of performance criteria underlying the award of the PSUs during the three-year performance period ended December 29, 2024. All of the PSUs reported here are subject to vesting based on the continued service of the reporting person through March 10, 2025.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Joseph W. Clementz,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4390" TargetMode="External"/><Relationship Id="rId14" Type="http://schemas.openxmlformats.org/officeDocument/2006/relationships/hyperlink" Target="http://www.sec.gov/cgi-bin/browse-edgar?action=getcompany&amp;CIK=00012866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2025-01-28T16:06:13Z</dcterms:created>
  <dcterms:modified xsi:type="dcterms:W3CDTF">2025-01-28T16:06:13Z</dcterms:modified>
</cp:coreProperties>
</file>