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(Mark One)</w:t>
      </w: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29,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4960" w:type="dxa"/>
            <w:vAlign w:val="bottom"/>
          </w:tcPr>
          <w:p>
            <w:pPr>
              <w:jc w:val="center"/>
              <w:ind w:right="1755"/>
              <w:spacing w:after="0"/>
              <w:rPr>
                <w:sz w:val="20"/>
                <w:szCs w:val="20"/>
                <w:color w:val="auto"/>
              </w:rPr>
            </w:pPr>
            <w:r>
              <w:rPr>
                <w:rFonts w:ascii="Times New Roman" w:cs="Times New Roman" w:eastAsia="Times New Roman" w:hAnsi="Times New Roman"/>
                <w:sz w:val="18"/>
                <w:szCs w:val="18"/>
                <w:b w:val="1"/>
                <w:bCs w:val="1"/>
                <w:color w:val="auto"/>
              </w:rPr>
              <w:t>Commission File Number 001-32242</w:t>
            </w:r>
          </w:p>
        </w:tc>
      </w:tr>
      <w:tr>
        <w:trPr>
          <w:trHeight w:val="342"/>
        </w:trPr>
        <w:tc>
          <w:tcPr>
            <w:tcW w:w="2380" w:type="dxa"/>
            <w:vAlign w:val="bottom"/>
          </w:tcPr>
          <w:p>
            <w:pPr>
              <w:spacing w:after="0"/>
              <w:rPr>
                <w:sz w:val="24"/>
                <w:szCs w:val="24"/>
                <w:color w:val="auto"/>
              </w:rPr>
            </w:pPr>
          </w:p>
        </w:tc>
        <w:tc>
          <w:tcPr>
            <w:tcW w:w="4960" w:type="dxa"/>
            <w:vAlign w:val="bottom"/>
          </w:tcPr>
          <w:p>
            <w:pPr>
              <w:jc w:val="center"/>
              <w:ind w:right="1755"/>
              <w:spacing w:after="0"/>
              <w:rPr>
                <w:sz w:val="20"/>
                <w:szCs w:val="20"/>
                <w:color w:val="auto"/>
              </w:rPr>
            </w:pPr>
            <w:r>
              <w:rPr>
                <w:rFonts w:ascii="Times New Roman" w:cs="Times New Roman" w:eastAsia="Times New Roman" w:hAnsi="Times New Roman"/>
                <w:sz w:val="25"/>
                <w:szCs w:val="25"/>
                <w:b w:val="1"/>
                <w:bCs w:val="1"/>
                <w:color w:val="auto"/>
              </w:rPr>
              <w:t>Domino’s Pizza, Inc.</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73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5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49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23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15"/>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49"/>
        </w:trPr>
        <w:tc>
          <w:tcPr>
            <w:tcW w:w="23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15"/>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23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4960" w:type="dxa"/>
            <w:vAlign w:val="bottom"/>
          </w:tcPr>
          <w:p>
            <w:pPr>
              <w:spacing w:after="0"/>
              <w:rPr>
                <w:sz w:val="18"/>
                <w:szCs w:val="18"/>
                <w:color w:val="auto"/>
              </w:rPr>
            </w:pPr>
          </w:p>
        </w:tc>
      </w:tr>
      <w:tr>
        <w:trPr>
          <w:trHeight w:val="216"/>
        </w:trPr>
        <w:tc>
          <w:tcPr>
            <w:tcW w:w="23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9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88"/>
        </w:trPr>
        <w:tc>
          <w:tcPr>
            <w:tcW w:w="238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35"/>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4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(734) 930-3030</w:t>
      </w:r>
    </w:p>
    <w:p>
      <w:pPr>
        <w:spacing w:after="0" w:line="5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360" w:type="dxa"/>
        <w:tblCellMar>
          <w:top w:w="0" w:type="dxa"/>
          <w:left w:w="0" w:type="dxa"/>
          <w:bottom w:w="0" w:type="dxa"/>
          <w:right w:w="0" w:type="dxa"/>
        </w:tblCellMar>
      </w:tblPr>
      <w:tr>
        <w:trPr>
          <w:trHeight w:val="227"/>
        </w:trPr>
        <w:tc>
          <w:tcPr>
            <w:tcW w:w="144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540" w:type="dxa"/>
            <w:vAlign w:val="bottom"/>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18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DPZ</w:t>
            </w:r>
          </w:p>
        </w:tc>
        <w:tc>
          <w:tcPr>
            <w:tcW w:w="35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u w:val="single" w:color="auto"/>
          <w:color w:val="auto"/>
        </w:rPr>
        <w:t>None</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  ]</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[X]</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  ]</w:t>
      </w:r>
    </w:p>
    <w:p>
      <w:pPr>
        <w:spacing w:after="0" w:line="7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4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[X]</w:t>
            </w:r>
          </w:p>
        </w:tc>
        <w:tc>
          <w:tcPr>
            <w:tcW w:w="29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Smaller reporting company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Emerging growth company [</w:t>
            </w:r>
          </w:p>
        </w:tc>
        <w:tc>
          <w:tcPr>
            <w:tcW w:w="1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7"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4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by any of the registrant’s executive officers during the relevant recovery period pursuant to §240.10D-1(b). [</w:t>
            </w:r>
          </w:p>
        </w:tc>
        <w:tc>
          <w:tcPr>
            <w:tcW w:w="328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w:t>
            </w:r>
          </w:p>
        </w:tc>
        <w:tc>
          <w:tcPr>
            <w:tcW w:w="32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  No [X]</w:t>
            </w:r>
          </w:p>
        </w:tc>
      </w:tr>
      <w:tr>
        <w:trPr>
          <w:trHeight w:val="1451"/>
        </w:trPr>
        <w:tc>
          <w:tcPr>
            <w:tcW w:w="79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 w:name="page2"/>
    <w:bookmarkEnd w:id="1"/>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Domino’s Pizza, Inc. as of June 16, 2024 computed by reference to the closing price of Domino’s Pizza, Inc.’s common stock on the New York Stock Exchange on such date was $18,146,606,802.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17, 2025, Domino’s Pizza, Inc. had 34,296,712 shares of common stock, par value $0.01 per share, outstanding.</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to be furnished to shareholders of Domino’s Pizza, Inc. in connection with the annual meeting of shareholders to be held on April 23, 2025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TABLE OF CONTENTS</w:t>
      </w:r>
    </w:p>
    <w:p>
      <w:pPr>
        <w:spacing w:after="0" w:line="223"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8"/>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4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 of the Registrant</w:t>
            </w:r>
            <w:r>
              <w:rPr>
                <w:rFonts w:ascii="Times New Roman" w:cs="Times New Roman" w:eastAsia="Times New Roman" w:hAnsi="Times New Roman"/>
                <w:sz w:val="18"/>
                <w:szCs w:val="18"/>
                <w:color w:val="000000"/>
              </w:rPr>
              <w:t>.</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453"/>
        </w:trPr>
        <w:tc>
          <w:tcPr>
            <w:tcW w:w="1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8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453"/>
        </w:trPr>
        <w:tc>
          <w:tcPr>
            <w:tcW w:w="1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68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453"/>
        </w:trPr>
        <w:tc>
          <w:tcPr>
            <w:tcW w:w="1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8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7040" w:type="dxa"/>
            <w:vAlign w:val="bottom"/>
            <w:gridSpan w:val="16"/>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412"/>
        </w:trPr>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1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Throughout this document, Domino’s Pizza, Inc. (Nasdaq: DPZ) is referred to as the “Company,” “Domino’s,” “Domino’s Pizza” or in the first-person notations of “we,” “us” and “our.”</w:t>
      </w:r>
    </w:p>
    <w:p>
      <w:pPr>
        <w:spacing w:after="0" w:line="9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this document, we rely on and refer to information regarding the U.S. quick service restaurant, or QSR, sector and the U.S. QSR pizza category from CREST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ongoing foodservice market research (years ending December) prepared by Circana, as well as market research reports, analyst reports and other publicly-available information. Although we believe this information to be reliable, we have not independently verified it. U.S. sales information relating to the U.S. QSR sector and the U.S. QSR pizza category represent reported consumer spending obtained by Circana’s CREST ongoing foodservice market research from consumer surveys. This information relates to both our Company-owned and franchised stores.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21,300 locations in over 90 markets around the world as of December 29, 2024,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December 29, 2024.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We also have a global agreement with Uber Technologies, Inc. to allow customers to order Domino’s products through their marketplace. Our hand-tossed dough is made fresh and distributed to stores around the world by us and our franchisees.</w:t>
      </w:r>
    </w:p>
    <w:p>
      <w:pPr>
        <w:spacing w:after="0" w:line="8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and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spacing w:after="0" w:line="79" w:lineRule="exact"/>
        <w:rPr>
          <w:sz w:val="20"/>
          <w:szCs w:val="20"/>
          <w:color w:val="auto"/>
        </w:rPr>
      </w:pPr>
    </w:p>
    <w:p>
      <w:pPr>
        <w:ind w:left="26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our customers.</w:t>
      </w:r>
    </w:p>
    <w:p>
      <w:pPr>
        <w:spacing w:after="0" w:line="131" w:lineRule="exact"/>
        <w:rPr>
          <w:sz w:val="20"/>
          <w:szCs w:val="20"/>
          <w:color w:val="auto"/>
        </w:rPr>
      </w:pPr>
    </w:p>
    <w:p>
      <w:pPr>
        <w:ind w:left="2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 that is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memorable.</w:t>
      </w:r>
    </w:p>
    <w:p>
      <w:pPr>
        <w:spacing w:after="0" w:line="64" w:lineRule="exact"/>
        <w:rPr>
          <w:sz w:val="20"/>
          <w:szCs w:val="20"/>
          <w:color w:val="auto"/>
        </w:rPr>
      </w:pPr>
    </w:p>
    <w:p>
      <w:pPr>
        <w:ind w:lef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Our Industry</w:t>
      </w:r>
    </w:p>
    <w:p>
      <w:pPr>
        <w:spacing w:after="0" w:line="12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U.S. QSR pizza category is large and fragmented. From 2019 through 2024, the U.S. QSR pizza category has grown from $37.6 billion to $42.1 billion. It is the second-largest category, by sales, within the $358.4 billion U.S. QSR sector. The U.S. QSR pizza category is primarily comprised of delivery, dine-in and carryout, with carryout and delivery comprising the two largest segments.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U.S., we compete in the delivery and carryout segments of the pizza industry, and we are the dollar market share leader for delivery and carryout among pizza QSRs. Delivery segment dollars of $16.9 billion in 2024 (up from $13.9 billion in 2019) account for approximately 40% of total U.S. consumer spend at pizza QSRs. The four industry leaders, including Domino’s, account for approximately 60% of U.S. pizza delivery, based on reported consumer spending, with the remaining dollars going to regional chains and independent or local establishments. From 2019 to 2024, the carryout segment grew from $17.3 billion to $20.5 billion. The four industry leaders, including Domino’s, account for approximately 52% of the U.S. carryout segment. (Source: Circana, CREST, year ending December 2024).</w:t>
      </w:r>
    </w:p>
    <w:p>
      <w:pPr>
        <w:spacing w:after="0" w:line="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contrast to the U.S., international pizza delivery is relatively underdeveloped, with only Domino’s and two other competitors having a significant global presence. We believe that demand for pizza delivery and pizza carryout is large and growing globally, driven by international consumers’ increasing emphasis on convenience, and is supported by our proven success of more than 40 years of conducting business abroad.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Competition</w:t>
      </w:r>
    </w:p>
    <w:p>
      <w:pPr>
        <w:spacing w:after="0" w:line="1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global pizza delivery and carryout segments, as well as the broader QSR sector, are highly competitive. In the U.S., we compete against regional and independent or local companies as well as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Internationally, we compete primarily with Pizza Hut, Papa John’s and country-specific national, regional and local pizzerias. We generally compete on the basis of product quality, location, image, service, technology, convenience and price. Our business and those of our competitors can be affected by changes in consumer tastes, economic conditions, demographic trends, geopolitical and reputational considerations, marketing, advertising, pricing and consumers’ disposable income. We also compete with other restaurants, as well as order and delivery aggregation companies, which have continued to grow in size and scale in recent years. We compete not only for customers, but also for management and hourly employees, including store team members, drivers and qualified franchisees, as well as suitable real estate sites.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is not dependent upon a single retail customer or small group of customers, including franchisees. No customer accounted for more than 10% of our total consolidated revenues in 2024, 2023 or 2022. As of December 29, 2024, our largest franchisee based on store count, Domino’s Pizza Enterprises (DMP: ASX), operated 3,741 stores in 12 international markets, which accounted for approximately 26% of our international store count and 18% of our global store count. Revenues from this master franchisee accounted for 1.5% of our consolidated revenues in 2024. Our international franchise segment only requires a modest amount of general and administrative expenses to support its markets and does not have a cost of sales component. Therefore, the vast majority of these royalty revenues result in profits to us.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Menu</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offer a menu designed to present delicious, quality offerings to customers, while keeping it simple enough to minimize operational complexity and expedite order-taking and food preparation. Our basic menu features pizza products with varying sizes and crust types. Our typical store also offers side items including bread products, wings, boneless chicken, pastas, oven-baked sandwiches, dips, soft drink products and desserts. During 2024, we launched our newest menu items in the U.S., 5-Cheese Mac &amp; Cheese and New York Style Pizza. International market offerings vary by country and culture, such as the French Burgundy-flavored Beef Pizza commemorating the Paris 2024 Olympics or Paratha Pizza offerings in India including three unique flavors of Corn &amp; Cheese, Paneer or Chicken Keema.</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Store Image and Operations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operate two distinct service models within our stores with a significant business in both delivery and carryout. In the U.S., delivery and carryout generally contribute evenly to our overall system transaction count. The majority of our U.S. and international stores are constructed in the carryout-friendly Pizza Theater design. Many of these stores offer casual seating and enable customers to watch the preparation of their orders, but in the U.S. and many international markets, do not offer a full-service dine-in experience. As a result, our stores generally do not require expensive restaurant facilities and staffing.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Business Segments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report, three business segments: U.S. stores, international franchise and supply chain.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2024, our U.S. stores segment accounted for $1.54 billion, or 33%, of our consolidated revenues. Our U.S. stores segment is comprised primarily of our franchise operations, which consisted of 6,722 franchised stores located in the U.S. as of December 29, 2024. We also operated a network of 292 U.S. Company-owned stores as of December 29, 2024.</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Directly operating Domino’s stores contributes significantly to our ability to act as a credible franchisor. We also use our Company-owned stores as test sites for technological innovation and promotions, as well as operational improvements. Additionally, we also use them for training new store managers and operations team members, as well as developing prospective franchisees. While we are primarily a franchised business, we continuously evaluate our mix of U.S. Company-owned and franchised stores. As of December 29, 2024, franchised stores represented approximately 96% of our total store count within our U.S. stores segment.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Profile</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29, 2024, our network of 6,722 U.S. franchise stores was owned and operated by 751 independent U.S. franchisees. Our franchise formula enables franchisees to benefit from our brand recognition with a relatively low initial capital investment. As of December 29, 2024, the average U.S. franchisee owned and operated approximately nine stores and had been in our franchise system for over 15 years. Additionally, 22 of our U.S. franchisees operated more than 50 stores (including our largest U.S. franchisee who operated 158 stores) and 223 of our U.S. franchisees each operated one store as of December 29, 2024.</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apply rigorous standards to prospective U.S. franchisees. We generally require them to manage a store for at least one year and graduate from our franchise management school program before being granted the right to franchise. This enables us to observe the operational and financial performance of a potential franchisee prior to entering into a long-term agreement. Substantially all of our independent U.S. franchise owners started their careers with us as delivery drivers or in other in-store positions, which we believe offers advantages in terms of familiarity with our business and store operations. In addition, we generally restrict the ability of U.S. franchisees to be involved in other businesses, which we believe helps focus our franchisees’ attention on operating their stores. We believe these characteristics and standards are largely unique within the franchise industry and have resulted in qualified and focused franchisees operating Domino’s stores. We maintain a productive relationship with our independent franchise owners through regional franchise teams, distributing materials that help franchise stores comply with our standards and using franchise advisory groups that facilitate communications between us and our franchisees. We consider our relationship with our U.S. franchisees to be good.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Agreements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enter into franchise agreements with U.S. franchisees under which the franchisee is generally granted the right to operate a store in a particular location for a term of ten years, with an ability to renew for an additional term of ten years. We had a franchise agreement renewal rate of approximately 99% in 2024. Under the current standard franchise agreement, we assign an exclusive area of primary responsibility to each franchised store. Each franchisee is generally required to pay a 5.5% royalty fee on sales, as well as certain technology fees. In certain instances, we will collect lower rates based on certain incentives.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right="100"/>
        <w:spacing w:after="0" w:line="258" w:lineRule="auto"/>
        <w:rPr>
          <w:sz w:val="20"/>
          <w:szCs w:val="20"/>
          <w:color w:val="auto"/>
        </w:rPr>
      </w:pPr>
      <w:r>
        <w:rPr>
          <w:rFonts w:ascii="Times New Roman" w:cs="Times New Roman" w:eastAsia="Times New Roman" w:hAnsi="Times New Roman"/>
          <w:sz w:val="18"/>
          <w:szCs w:val="18"/>
          <w:color w:val="auto"/>
        </w:rPr>
        <w:t>Our stores in the U.S. generally contribute 6.0% of their sales to fund national marketing and advertising campaigns (subject, in certain instances, to lower rates based on certain incentives and waivers). Contributions by our U.S. franchisees to the Domino’s National Advertising Fund Inc. (“DNAF”), the Company’s consolidated not-for-profit advertising subsidiary, are primarily used to purchase media for advertising, and also to support market research, field communications, public relations, commercial production, talent payments and other activities to promote the Domino’s brand. In addition to the national and market-level advertising contributions, U.S. stores generally spend additional funds on local store marketing activities.</w:t>
      </w:r>
    </w:p>
    <w:p>
      <w:pPr>
        <w:spacing w:after="0" w:line="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the contractual right, subject to state law, to terminate a franchise agreement for a variety of reasons, including, but not limited to, a franchisee’s failure to adhere to the Company’s franchise agreement, failure to make required payments or failure to adhere to specified Company policies and standards.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w:t>
      </w:r>
    </w:p>
    <w:p>
      <w:pPr>
        <w:spacing w:after="0" w:line="13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During 2024, our international franchise segment accounted for $318.7 million, or 7%, of our consolidated revenues. This segment is comprised of a network of franchised stores in over 90 international markets. As of December 29, 2024, we had 14,352 international franchised stores. The principal sources of revenues from those operations are royalty payments generated by retail sales from franchised stores, as well as certain technology fees.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international franchisees employ our basic standard operating model and adapt it to satisfy the local eating habits and consumer preferences of various regions outside the U.S. Currently, the vast majority of our international stores operate under master franchise agreements. We believe that Domino’s appeals to potential international franchisees because of our recognized brand name and technological leadership, the moderate capital expenditures required to open and operate the stores and the system’s desirable store-level profitability. Stores in eight of our ten largest international markets in terms of store count are operated by master franchise companies that are publicly traded on stock exchanges as noted in the below table.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our store count as of December 29, 2024 in our ten largest international markets, which accounted for approximately 65% of our international stores as of that date.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5340" w:type="dxa"/>
            <w:vAlign w:val="bottom"/>
            <w:gridSpan w:val="2"/>
          </w:tcPr>
          <w:p>
            <w:pPr>
              <w:ind w:left="3880"/>
              <w:spacing w:after="0"/>
              <w:rPr>
                <w:sz w:val="20"/>
                <w:szCs w:val="20"/>
                <w:color w:val="auto"/>
              </w:rPr>
            </w:pPr>
            <w:r>
              <w:rPr>
                <w:rFonts w:ascii="Times New Roman" w:cs="Times New Roman" w:eastAsia="Times New Roman" w:hAnsi="Times New Roman"/>
                <w:sz w:val="18"/>
                <w:szCs w:val="18"/>
                <w:b w:val="1"/>
                <w:bCs w:val="1"/>
                <w:color w:val="auto"/>
              </w:rPr>
              <w:t>Number of stores</w:t>
            </w:r>
          </w:p>
        </w:tc>
      </w:tr>
      <w:tr>
        <w:trPr>
          <w:trHeight w:val="209"/>
        </w:trPr>
        <w:tc>
          <w:tcPr>
            <w:tcW w:w="5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(JUBLFOOD: NS)</w:t>
            </w:r>
          </w:p>
        </w:tc>
        <w:tc>
          <w:tcPr>
            <w:tcW w:w="5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 (DOM: L)</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(1405: HK)</w:t>
            </w:r>
          </w:p>
        </w:tc>
        <w:tc>
          <w:tcPr>
            <w:tcW w:w="5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 (ALSEA: MX)</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 (DMP: ASX)</w:t>
            </w:r>
          </w:p>
        </w:tc>
        <w:tc>
          <w:tcPr>
            <w:tcW w:w="5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 (DMP: ASX)</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Turkey (JUBLFOOD: NS)</w:t>
            </w:r>
          </w:p>
        </w:tc>
        <w:tc>
          <w:tcPr>
            <w:tcW w:w="5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5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FF0FC"/>
          </w:tcPr>
          <w:p>
            <w:pPr>
              <w:spacing w:after="0"/>
              <w:rPr>
                <w:sz w:val="18"/>
                <w:szCs w:val="18"/>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 (DMP: ASX)</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Franchisee Profile</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vast majority of our markets outside of the U.S. are operated by master franchisees with franchise and distribution rights for entire regions or countries. In a few select markets, we franchise directly to individual store operators. Prospective master franchisees are required to possess local market knowledge to establish and develop Domino’s stores, with the ability to identify and access targeted real estate sites, as well as expertise in local laws, customs, culture and consumer behavior. We also seek candidates that have access to sufficient capital to meet growth and development plans. We consider our relationship with our international franchisees to be good.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Master Franchise and Other Agreements</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international master franchise agreements generally grant the franchisee exclusive rights to develop and sub-franchise stores, and the right to operate supply chain centers in particular geographic areas. Agreements are generally for a term of ten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The master franchisee is also required to pay a continuing royalty fee as a percentage of sales, which varies among international markets and may also differ based on certain incentives and concessions and averaged approximately 3.0% in 2024. We also have agreements with certain of our international master franchisees with respect to certain technology fees.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During 2024, our supply chain segment accounted for $2.85 billion, or 60%, of our consolidated revenues. In the U.S., we operate 22 regional dough manufacturing and supply chain centers, two thin crust manufacturing facilities and one vegetable processing center. We also operate five regional dough manufacturing and supply chain centers in Canada. We plan to continue investing in supply chain productivity initiatives in the future. Our supply chain segment leases a fleet of more than 1,000 tractors and trailers. Our centers produce fresh dough and purchase, receive, store and deliver quality food and other complementary items to substantially all of our U.S. stores and most of our Canadian franchised stores. We regularly supply over 7,600 stores with various food and other products.</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our franchisees voluntarily choose to obtain food and other products from us because we offer the most efficient, convenient and cost-effective alternative, while also offering both quality and consistency. Our supply chain segment offers profit-sharing arrangements to U.S. and Canadian franchisees who purchase all of their food for their stores from our centers. These profit-sharing arrangements generally offer participating franchisees and Company-owned stores with 50% of the pre-tax profit from our supply chain center operations. We believe these arrangements strengthen our ties to and provide aligned benefits with franchisees.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Suppliers</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significant amount of our annual food spend is with suppliers with whom we maintain long-standing partnerships. Our supply partners are required to meet strict quality standards to ensure food safety. We review and evaluate these partners’ quality assurance programs through (among other actions) on-site visits, third-party audits and product evaluations designed to ensure compliance with our standards. We believe the length and quality of our relationships with third-party suppliers provides us with priority service and quality products at competitive prices.</w:t>
      </w:r>
    </w:p>
    <w:p>
      <w:pPr>
        <w:spacing w:after="0" w:line="8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Cheese is our largest food cost. The price we charge to our U.S. franchisees for cheese is formula-based, with the Chicago Mercantile Exchange cheddar block price as the primary component, plus a supply chain markup. As cheese prices fluctuate, our revenues and margin percentages in our supply chain segment also fluctuate; however, actual supply chain dollar margins remain unchanged. We currently purchase our U.S. pizza cheese from a single supplier. Under our December 2024 agreement which expires in December 2029, our U.S. supplier agreed to provide the Company with an uninterrupted supply of cheese and the Company agreed to purchase substantially all of its U.S. pizza cheese from this supplier during the five-year term of the contract. The majority of our meat toppings in the U.S. come from a single supplier under a contract that expires at the end of December 2025. We have the right to terminate these arrangements for quality failures and for certain uncured breaches. We have entered into a multi-year agreement with Coca-Cola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This contract, renegotiated in December 2023, provides for Coca-Cola to continue to be our exclusive beverage supplier and expires on December 31, 2030 or at such time as a minimum number of cases of Coca-Cola products are purchased by Domino’s, whichever occurs later.</w:t>
      </w:r>
    </w:p>
    <w:p>
      <w:pPr>
        <w:spacing w:after="0" w:line="9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Additionally, in 2024, we transitioned the operations of our equipment and supplies distribution center and entered into a new agreement to allow substantially all our U.S. stores and certain international stores to procure equipment and supplies directly from a third-party supplier. We do not believe this transition will have a material impact on our gross margins or income from operations.</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alternative third-party suppliers are available for all of these referenced products. While we may incur additional costs if we are required to replace any of our supply partners, we do not believe such additional costs would have a material adverse effect on our business. We continually evaluate each supply category to determine the optimal sourcing strategy.</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not experienced any significant shortages of supplies or delays in receiving our inventories or products. Prices charged to us by our supply partners are subject to fluctuation, and we have historically been able to pass increased costs and savings on to stores. We periodically enter into supplier contracts to manage the risk from changes in commodity prices. We do not engage in speculative transactions, nor do we hold or issue financial instruments for trading purposes.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Our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Brand Equity</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the largest pizza company in the world, and we believe our Domino’s brand is one of the most widely-recognized consumer brands in the world. We are the recognized world leader in pizza delivery, and, in the U.S., we are also the market share leader in carryout. We believe consumers associate our brand with quality, affordable food and with technological innovations and extensive advertising through innovative marketing promotions.</w:t>
      </w:r>
    </w:p>
    <w:p>
      <w:pPr>
        <w:spacing w:after="0" w:line="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the number one pizza company in the U.S. with approximately 23% market share at pizza QSRs, based on consumer spending data for the year ending December 2024. Within the pizza QSR segment, we are number one in delivery with approximately 32% share of delivery dollars, and we are also leading in carryout with approximately 19% share of carryout/drive-thru QSR pizza consumer spending (Source: Circana, CREST). With 7,014 stores located in the U.S., our store delivery areas cover a majority of U.S. households. Our share position and scale allow us to leverage our purchasing power, supply chain strength and marketing investments. We believe our scale and market coverage allow us to effectively serve our customers’ demands for convenience and timely delivery. Outside the U.S., we have significant market share positions in many of the markets in which we compete.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and Proven Business Model</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model generates U.S. and international franchise royalties and fees, supply chain revenues and retail sales at Company-owned stores. We have developed this model over our many years of operation, and it is anchored by strong store-level economics, which provide an entrepreneurial incentive for our franchisees and historically has generated strong demand for new stores. Over the past ten years, estimated average U.S. store profitability in the Domino’s system has increased meaningfully, resulting in higher profitability for our franchise owners. Our franchise system, in turn, has produced strong and consistent earnings for us through royalty and fee payments and through supply chain gross margins.</w:t>
      </w:r>
    </w:p>
    <w:p>
      <w:pPr>
        <w:spacing w:after="0" w:line="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U.S., we have developed a cost-efficient store model, characterized by a delivery and carryout-oriented store design, with moderate capital requirements and a menu of quality, value-oriented and affordable items. At the store level, we believe the simplicity and efficiency of our operations give us significant advantages over our competitors, who, in many cases, also focus on dine-in or have broader menu offerings. At the supply chain level, we believe we provide quality, good value and consistency for our franchise customers while also driving profits for us, which we share with our franchisees under the profit-sharing arrangements described above.</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menu simplifies and streamlines production and delivery processes and maximizes economies of scale on purchases of our principal food items. In addition, our stores are generally smaller and less expensive to build, furnish and maintain as compared to many other restaurant concepts, and they create a positive experience for our carryout customers. The combination of this efficient store model and strong sales volume has resulted in strong store-level economics and, we believe, makes Domino’s an attractive business opportunity for existing and prospective franchisees around the world. We and our franchisees are continuing to focus on growing our global store count. In recent years, we have focused specifically on increasing our presence in our existing markets to provide better service to our customers, including condensing our delivery areas to provide better delivery service and adding locations that are closer to our carryout customers. We call this approach our “fortressing” strategy.</w:t>
      </w:r>
    </w:p>
    <w:p>
      <w:pPr>
        <w:spacing w:after="0" w:line="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believe our store financial returns have led to a strong, well-diversified franchise system. This established franchise system has produced strong cash flows and earnings for us, enabling us to invest in the Domino’s brand, stores, technology and supply chain centers, pay dividends, repurchase and retire shares of our common stock and service our debt obligations.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Technological innovation is vital to our brand and our long-term success, and technology is critical to competing in the global pizza and broader QSR industries. In the U.S., Domino’s generated more than 85% of U.S. retail sales in 2024 from digital channels, and our emphasis on technological innovation has allowed us to develop many innovative ordering platforms. In 2024, the Company completed the redesign of its e-commerce platforms and intends to roll them out across the U.S. system in 2025.</w:t>
      </w:r>
    </w:p>
    <w:p>
      <w:pPr>
        <w:spacing w:after="0" w:line="92"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8"/>
          <w:szCs w:val="18"/>
          <w:color w:val="auto"/>
        </w:rPr>
        <w:t>Our simple to understand and easy to use Domino’s Rewards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loyalty program provides members reward points for qualifying orders. When rewards members accumulate a certain amount of points, Domino’s Rewards offers loyalty members the opportunity to redeem points for a wide selection of our menu items.</w:t>
      </w:r>
    </w:p>
    <w:p>
      <w:pPr>
        <w:spacing w:after="0" w:line="1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Domino’s Operating System (“DOM OS”) is the combination of tools, processes and technologies that work together to optimize and orchestrate operations at our stores, including the flow of orders. The foundation of DOM OS is our proprietary point-of-sale system called Domino’s PULSE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Domino’s PULSE system is designed to drive operating efficiencies for our franchisees and our corporate management and assist franchisees in independently managing their business. We believe our integrated technology solutions throughout our system provide us with competitive advantages over other concepts.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our core hand-tossed pizza recipe has contributed to long-term growth in customer reorder rates, consumer traffic and increased sales in the U.S. This recipe is now in use in other markets around the world. Our more than 60 years of innovation have resulted in numerous new product developments. Product innovation is also present in our global markets, where our master franchisees have the ability to recommend products to suit their local market tastes.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Dough Manufacturing and Supply Chain System</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generating significant revenues and earnings in the U.S. and Canada, we believe our vertically integrated dough manufacturing and supply chain system enhances the quality and consistency of our products, strengthens our relationships with franchisees and leverages economies of scale to offer lower costs to our stores. It also allows store managers to focus on store operations and customer service by relieving them of the responsibility of mixing dough in the stores and sourcing other ingredients. Many of our international master franchisees also profit from running supply chain businesses in their respective markets.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29, 2024, we had approximately 10,700 employees, including approximately 6,500 employees supporting our U.S. Company-owned stores and U.S. franchise operations (our U.S. stores segment), approximately 3,100 employees supporting our U.S. and Canadian supply chain operations (our supply chain segment), approximately 100 employees supporting our international franchise operations (our international franchise segment) and approximately 1,000 corporate employees. Approximately 4,300 of our employees are part-time and approximately 6,400 are full-time equivalent. Our franchisees are independent business owners, so their employees are not our employees and therefore are not included in our employee count. As of December 29, 2024, none of our employees were covered by a collective bargaining agreement. We consider our relationship with our employees to be good.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Purpose and Values</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are a purpose-inspired and performance-driven company with exceptional people committed to feeding the power of possible, one pizza at a time. At the heart of our brand is a commitment to a set of values that define our core beliefs on how we run our business, treat our people, support our franchisees and serve our customers.</w:t>
      </w:r>
    </w:p>
    <w:p>
      <w:pPr>
        <w:spacing w:after="0" w:line="79" w:lineRule="exact"/>
        <w:rPr>
          <w:sz w:val="20"/>
          <w:szCs w:val="20"/>
          <w:color w:val="auto"/>
        </w:rPr>
      </w:pPr>
    </w:p>
    <w:p>
      <w:pPr>
        <w:ind w:left="46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 the Right Thing: </w:t>
      </w:r>
      <w:r>
        <w:rPr>
          <w:rFonts w:ascii="Times New Roman" w:cs="Times New Roman" w:eastAsia="Times New Roman" w:hAnsi="Times New Roman"/>
          <w:sz w:val="18"/>
          <w:szCs w:val="18"/>
          <w:color w:val="auto"/>
        </w:rPr>
        <w:t>We act with integrity and make disciplined decisions, even when it’s difficult or unpopular. High ethical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uncommon honesty are at the heart of how we work together. We are committed to safely and responsibly serving our customers, and to giving back to the communities where we live and work.</w:t>
      </w:r>
    </w:p>
    <w:p>
      <w:pPr>
        <w:spacing w:after="0" w:line="79" w:lineRule="exact"/>
        <w:rPr>
          <w:sz w:val="20"/>
          <w:szCs w:val="20"/>
          <w:color w:val="auto"/>
        </w:rPr>
      </w:pPr>
    </w:p>
    <w:p>
      <w:pPr>
        <w:ind w:left="46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Put People First: </w:t>
      </w:r>
      <w:r>
        <w:rPr>
          <w:rFonts w:ascii="Times New Roman" w:cs="Times New Roman" w:eastAsia="Times New Roman" w:hAnsi="Times New Roman"/>
          <w:sz w:val="18"/>
          <w:szCs w:val="18"/>
          <w:color w:val="auto"/>
        </w:rPr>
        <w:t>We create an inclusive culture, knowing our people are core to our success. We treat each other with dignity and respect,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the differences each team member brings. We strive to be a company where all team members can bring their full selves to work and know that they can belong, contribute and reach their potential.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460"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Create Inspired Solutions: </w:t>
      </w:r>
      <w:r>
        <w:rPr>
          <w:rFonts w:ascii="Times New Roman" w:cs="Times New Roman" w:eastAsia="Times New Roman" w:hAnsi="Times New Roman"/>
          <w:sz w:val="18"/>
          <w:szCs w:val="18"/>
          <w:color w:val="auto"/>
        </w:rPr>
        <w:t>We are a company built on entrepreneurship and innovation. We get better every day by having the humility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courage to embrace and lead change. Together, we unlock our collective potential to be bold and think big. We have a bias for action to solve customer needs in new and relevant ways.</w:t>
      </w:r>
    </w:p>
    <w:p>
      <w:pPr>
        <w:spacing w:after="0" w:line="79" w:lineRule="exact"/>
        <w:rPr>
          <w:sz w:val="20"/>
          <w:szCs w:val="20"/>
          <w:color w:val="auto"/>
        </w:rPr>
      </w:pPr>
    </w:p>
    <w:p>
      <w:pPr>
        <w:ind w:left="460" w:right="1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Champion our Customers: </w:t>
      </w:r>
      <w:r>
        <w:rPr>
          <w:rFonts w:ascii="Times New Roman" w:cs="Times New Roman" w:eastAsia="Times New Roman" w:hAnsi="Times New Roman"/>
          <w:sz w:val="17"/>
          <w:szCs w:val="17"/>
          <w:color w:val="auto"/>
        </w:rPr>
        <w:t>We deliver on our promises, treating each order and interaction as an opportunity to deepen relationships by delivering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great products, services and experiences. We hold ourselves accountable, and if we don’t deliver on a promise, we are committed to making it right.</w:t>
      </w:r>
    </w:p>
    <w:p>
      <w:pPr>
        <w:spacing w:after="0" w:line="40" w:lineRule="exact"/>
        <w:rPr>
          <w:sz w:val="20"/>
          <w:szCs w:val="20"/>
          <w:color w:val="auto"/>
        </w:rPr>
      </w:pPr>
    </w:p>
    <w:p>
      <w:pPr>
        <w:ind w:left="4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 and Win Together: </w:t>
      </w:r>
      <w:r>
        <w:rPr>
          <w:rFonts w:ascii="Times New Roman" w:cs="Times New Roman" w:eastAsia="Times New Roman" w:hAnsi="Times New Roman"/>
          <w:sz w:val="18"/>
          <w:szCs w:val="18"/>
          <w:color w:val="auto"/>
        </w:rPr>
        <w:t>We are not playing a finite game. We are committed to building an enduring brand that outlives any of our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We will grow together, deliver exceptional results together, celebrate wins together, have fun together, and leave the Domino’s brand in a better place for those that come after.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and Benefits</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Exceptional people are the core of our business. We are committed to providing competitive pay and benefits to attract and retain great talent, whether in our U.S. Company-owned stores, in our supply chain centers or in our corporate offices. We enable this by benchmarking and analyzing pay and benefits and we are committed to pay equity for all employees.</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Domino’s offers a comprehensive benefits package to eligible team members, including several benefits designed to promote an inclusive workplace like paid parental leaves, adoption support, discounted childcare tuition, and health plans that are available to dependents, spouses and domestic partners and include fertility support. We also offer eligible team members a 401(k) plan, education assistance, access to financial education, a back-up childcare network and access to legal assistance.</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Beyond basic insurance programs, Domino’s offers other wellness services to help team members participating in our health plan manage and optimize their health. These no-cost programs include smoking cessation, diabetes and hypertension management, at-home physical therapy for such team members, in addition to emotional support through Domino’s team member assistance program for all part-time and full-time team members and their dependents. Additionally, we provide up to 40 hours per year of sick time for all part-time and full-time team members, with no waiting period for our part-time team members who begin accruing sick pay on their first day of hire, and access to an outside wellness platform featuring thousands of videos on topics like mindfulness, exercise, nutrition, sleep, and financial well-being.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Talent Development and Recruiting</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Having best-in-class talent across the globe is crucial to all aspects of Domino’s business, brand and long-term success. We are focused on attracting, developing and retaining high-performing teams and building an inclusive culture that inspires leadership, encourages innovative thinking and supports the development and advancement of all team members. Domino’s team members are empowered to drive their own success through different resources, training and several development programs.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will continue to depend on our ability to attract and retain qualified personnel to operate our stores, dough manufacturing and supply chain centers and international operations. To continue to strengthen our ability to attract and retain talent to ensure we have appropriate staffing to operate our stores and supply chain centers, we have launched an applicant tracking system and have made continued investments in frontline team member wage rates in our U.S. Company-owned stores and supply chain centers. On an annual basis, we also review scores for our team member engagement surveys to identify strengths and opportunities for our brand.</w:t>
      </w:r>
    </w:p>
    <w:p>
      <w:pPr>
        <w:spacing w:after="0" w:line="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opportunity and potential at Domino’s is best represented in a key statistic: substantially all of our U.S. franchisees started as delivery drivers or in other in-store positions. With the vast majority of Domino’s U.S. franchisees developed from within our own system, the opportunity to become a small business owner is a profound and unique aspect of Domino’s culture and strength as a brand. Experienced store managers and other operators can apply for Franchise Management School (“FMS”). At FMS, these operators receive training for a successful transition from store management to store ownership.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Empowering People Efforts</w:t>
      </w:r>
    </w:p>
    <w:p>
      <w:pPr>
        <w:spacing w:after="0" w:line="13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mission, rooted in our values, to ‘</w:t>
      </w:r>
      <w:r>
        <w:rPr>
          <w:rFonts w:ascii="Times New Roman" w:cs="Times New Roman" w:eastAsia="Times New Roman" w:hAnsi="Times New Roman"/>
          <w:sz w:val="18"/>
          <w:szCs w:val="18"/>
          <w:i w:val="1"/>
          <w:iCs w:val="1"/>
          <w:color w:val="auto"/>
        </w:rPr>
        <w:t>feed the power of possible, one pizza at a time,</w:t>
      </w:r>
      <w:r>
        <w:rPr>
          <w:rFonts w:ascii="Times New Roman" w:cs="Times New Roman" w:eastAsia="Times New Roman" w:hAnsi="Times New Roman"/>
          <w:sz w:val="18"/>
          <w:szCs w:val="18"/>
          <w:color w:val="auto"/>
        </w:rPr>
        <w:t>’ starts with our people. Domino’s team members have a passion for innovation and learning, a commitment to our core values and to delivering the joy of pizza worldwide. We believe that fostering a sense of belonging for everyone promotes a culture where anything is possible. That is why we are committed to building an environment that welcomes, seeks to understand and values everyone’s contribution. We are made better together.</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Team Member Engagement</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Domino’s is committed to fostering an engaged culture in the workplace where people are respected and appreciated, and where team members listen, learn, and support each other. We define team member engagement as the strength of the connection team members feel toward the work they do, their teams and the overall organization. Every year our aim is to proactively and continuously listen to our team members’ sentiment around their work, direct manager, teams, culture, and overall commitment to the brand. Through deep analyses and leader-led listening sessions, we strive to validate our efforts and commit ourselves to making year-over-year improvement as we propel Domino’s to be a workplace of choice.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Resource Groups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One of the ways we engage our team members is through our business resource groups (“BRGs”), which are open to all team members regardless of demographics. Our BRGs hold company-wide fireside chats featuring inclusive topics and speakers, provide best practice sharing, and help team members enhance professional skills and nurture meaningful work connections. Our five BRGs serve as trusted advisors to functional business groups while continuing to foster a culture of belonging, inclusion and allyship.</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Stewardship</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vision for stewardship is for Domino’s to deliver the power of possible every day for the communities we serve, our people and the planet. We drafted our stewardship vision, with notable goals and objectives to drive change in the years and decades to come, and with pillars that ladder up to that vision and our underlying long-term goals. We have continued our efforts to better understand our environmental and social impacts.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engaged outside experts to measure and quantify our environmental footprint, and identify opportunities to improve. With the help of these experts, we have conducted a materiality assessment, connected with key stakeholders inside and outside the company and developed a baseline report for our carbon, water and land use footprint in the U.S. We have established significant commitments on greenhouse gas emissions and in October 2024 our near-term and net zero targets were approved by the Science-Based Targets initiative (SBTi). We have established a commitment to achieve our near-term targets by 2032 and achieve net zero carbon emissions by 2050. We also continue to highlight important stewardship topics with consumers, including our recent efforts to promote the ability to recycle pizza boxes throughout the U.S. We also launched a fleet of electric vehicles as part of an initiative to solve a business need with a solution that is also good for the planet.</w:t>
      </w:r>
    </w:p>
    <w:p>
      <w:pPr>
        <w:spacing w:after="0" w:line="10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Domino’s also has a long history of caring for the communities we serve. Our national philanthropic partner is St. Jude Children’s Research Hospital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internationally recognized for its pioneering work in finding cures and saving children with cancer and other catastrophic diseases. Through a variety of internal and consumer-based activities, including a national consumer fundraising campaign called St. Jude Thanks and Giving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Domino’s system has contributed approximately $143 million to St. Jude since our partnership began in 2004, including raising approximately $18 million in 2024. Included in that effort was Domino’s 10-year, $100 million commitment to raise funds to build the Domino’s Village at St. Jude, a housing complex that accommodates up to 140 patient families during long-term stays at the hospital, which opened in 2023. During 2024, we announced a campaign to raise a cumulative $300 million for St. Jude by 2034,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our partnership.</w:t>
      </w:r>
    </w:p>
    <w:p>
      <w:pPr>
        <w:spacing w:after="0" w:line="3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also support the Domino’s Pizza Partners Foundation (the “Partners Foundation”). Founded in 1986, the mission of the Partners Foundation is “Team Members Helping Team Members.” Primarily funded by team member and franchise contributions, the Partners Foundation is a separate, not-for-profit organization that has disbursed nearly $14 million over the past five years. The Partners Foundation is committed to meeting the needs of Domino’s team members facing crisis situations, such as fire, illness, natural disasters or other personal tragedies.</w:t>
      </w:r>
    </w:p>
    <w:p>
      <w:pPr>
        <w:spacing w:after="0" w:line="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You can find more information about our initiatives and read our 2024 Corporate Stewardship Report, which includes both Sustainability Accounting Standards Board (SASB) and Global Reporting Initiative (GRI) indexed tables, at stewardship.dominos.com. The information included in our Corporate Stewardship Report is not incorporated by reference herein and should not be considered a part of this document.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Additional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Information about the Company’s working capital is included in Management’s Discussion and Analysis of Financial Condition and Results of Operations in Part II, Item 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along with our franchisees, are subject to various federal, state and local laws affecting the operation of our business.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9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also subject to the Fair Labor Standards Act and various other federal and state laws governing such matters as minimum wage requirements, overtime and other working conditions and citizenship requirements. Labor costs are largely a function of the minimum wage for a majority of our store personnel and certain supply chain personnel. A significant number of both our and our franchisees’ food service personnel are paid at rates related to the applicable minimum wage, and past increases in the minimum wage have increased labor costs, as would future increases.</w:t>
      </w:r>
    </w:p>
    <w:p>
      <w:pPr>
        <w:spacing w:after="0" w:line="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the rules and regulations of the Federal Trade Commission (“FTC”) and various state laws regulating the offer and sale of franchises. The FTC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our experience and the net worth of our subsidiary, Domino’s Pizza Franchising LLC. We believe our franchise disclosure document, together with any applicable state versions or supplements, and franchising procedures comply in all material respects with both the FTC guidelines and all applicable state laws regulating franchising in those states in which we have offered franchises.</w:t>
      </w:r>
    </w:p>
    <w:p>
      <w:pPr>
        <w:spacing w:after="0" w:line="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Internationally, our franchise stores are subject to national and local laws and regulations that are often similar to those affecting our U.S. stores, including laws and regulations concerning franchises, advertising, labor, health, sanitation and safety. Our international stores are also often subject to tariffs and regulations on imported commodities, equipment and other products, and laws regulating foreign investment. We believe our international disclosure statements, franchise offering documents and franchising procedures comply in all material respects with the laws of the foreign countries in which we have offered franchises.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both in the U.S. and globally. The legislative and regulatory landscape for privacy and data protection continues to evolve, and there has been an increase in attention given to privacy and data protection issues with the potential to directly affect our business. This includes recently-enacted laws and regulations in the U.S. and internationally requiring notification to individuals and government authorities of security breaches involving certain categories of personal information. Any changes in privacy or data protection laws or regulations could also impact our marketing techniques and could change our marketing strategies. We have a privacy policy posted on our website at dominos.com. The security of our financial data, customer information and other personal information is a priority for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3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many registered trademarks and believe that the Domino’s mark and Domino’s Pizza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not aware of any federal, state or local environmental laws or regulations that we would expect to materially affect our earnings or competitive position or result in material capital expenditures. However, we cannot predict the effect of possible future environmental legislation or regulations. During 2024, there were no material environmental compliance-related capital expenditures, and no such material expenditures are anticipated in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makes available, free of charge, through its internet website ir.dominos.com, its Annual Report on Form 10-K, Quarterly Reports on Form 10-Q, Current Reports on Form 8-K, proxy statements and amendments to those reports filed or furnished pursuant to Section 13(a), 15(d), or 16 of the Securities Exchange Act of 1934, as amended, as soon as reasonably practicable after electronically filing such material with the Securities and Exchange Commission. Materials filed with the Securities and Exchange Commission are available at sec.gov. Retail orders from Domino’s stores can be made through its website dominos.com. The reference to these website addresses anywhere in this Annual Report on Form 10-K (the “Form 10-K”) does not constitute incorporation by reference of the information contained on the websites and information appearing on those websites, including ir.dominos.com</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stewardship.dominos.com and dominos.com, should not be considered a part of this document.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a business as large and globally diverse as Domino’s, a wide range of factors could materially affect future developments and performance. In addition to the factors affecting specific business operations identified in connection with the description of these operations and the financial results of these operations elsewhere in this report and our other filings with the SEC, we believe the most significant risk factors affecting our business include the following: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Operational and Industry Risks</w:t>
      </w:r>
    </w:p>
    <w:p>
      <w:pPr>
        <w:spacing w:after="0" w:line="13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quick service restaurant (“QSR”) pizza category and the food service and food delivery markets in general are highly competitive and such competition could adversely affect our operating results.</w:t>
      </w:r>
    </w:p>
    <w:p>
      <w:pPr>
        <w:spacing w:after="0" w:line="7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In the U.S., we compete primarily against regional and independent or local companies as well as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Internationally, we compete primarily with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country-specific national, regional and independent or local companies. We have and may continue to experience increased competition from existing or new companies in the delivery and carryout pizza categories, in addition to competition from order and delivery aggregators both in the pizza category and more broadly, that may create further pressures to grow our business in order to maintain our market share. Competition for both customers and drivers from these order and delivery aggregators and other food delivery services has substantially increased as order and delivery aggregators have grown in size and scale. Additionally, we face competition from supermarkets and meal kit and food delivery providers, with the improvement of prepared food and meal kit offerings, expansion in meal delivery platforms and services and the trend towards convergence in grocery, deli, retail and restaurant services.</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also compete more broadly with QSRs and other international, national, regional and independent or local restaurants. The overall food service market, food delivery market and the QSR market are intensely competitive with respect to food quality, price, service, image, convenience and concept, and are often affected by changes in:</w:t>
      </w:r>
    </w:p>
    <w:p>
      <w:pPr>
        <w:spacing w:after="0" w:line="8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tastes and perceptions;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national, regional or local economic conditions;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advertising and pricing, including both price increases and discounting, and publicity;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disposable purchasing power and demographic trends;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geopolitical considerations related to international operations.</w:t>
      </w:r>
    </w:p>
    <w:p>
      <w:pPr>
        <w:spacing w:after="0" w:line="11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compete within the food service market and the QSR market not only for customers, but also for management and employees, including store team members, drivers and qualified franchisees, as well as suitable real estate sites. We and our franchisees have faced at times a competitive labor market in recent years, which caused us and our franchisees, in certain cases, to make operational changes and delay store openings, which could ultimately impact our growth and competitive position. While the Company saw an increase in sales in certain markets, including within the U.S., at times in recent years, including higher sales related to heightened reliance on delivery and carryout businesses, future sales are not possible to estimate, and it is unclear what future sales will be. Our success is also dependent in large part upon our ability to maintain and enhance the goodwill and reputation of our brand, our customers’ connection to our brand, and a positive relationship with our franchisees and the communities in which we and our franchisees operate.</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supply chain segment is also subject to competition from outside suppliers. While substantially all U.S. franchisees purchased food and other products from us and our suppliers in 2024, U.S. franchisees are not required to purchase food and other products from us, and they may choose to purchase from outside suppliers. If other suppliers who meet our qualification standards were to offer lower prices or better service to our franchisees for their ingredients and supplies and, as a result, our franchisees chose not to purchase from our U.S. supply chain centers, our financial condition, business and results of operations would be adversely affected.</w:t>
      </w:r>
    </w:p>
    <w:p>
      <w:pPr>
        <w:spacing w:after="0" w:line="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to maintain our competitive position, we could experience downward pressure on prices, lower demand for products, reduced margins, loss of management or employees, reduced service levels, disruption in our supply chain, the inability to take advantage of new business opportunities, store closures and the loss of market share, all of which would have an adverse effect on our operating results and could cause our stock price to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our growth strategy, which includes opening new stores and generating more sales, our ability to increase our revenues and operating profits could be adversely affected.</w:t>
      </w:r>
    </w:p>
    <w:p>
      <w:pPr>
        <w:spacing w:after="0" w:line="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significant component of our Hungry for MORE growth strategy includes the opening of new U.S. (both Company-owned as well as franchised stores) and international franchised stores to generate more global retail sales and ultimately increase operating income. We may not be able to execute our strategy to achieve our planned growth targets. We and our franchisees face many challenges in opening new stores, including, among others:</w:t>
      </w:r>
    </w:p>
    <w:p>
      <w:pPr>
        <w:spacing w:after="0" w:line="6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permitting or development delays;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training of qualified personnel, including availability of store team members;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availability of suitable new store sites and the ability to renew leases in quality locations;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negotiation of leases and financing with acceptable terms;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required U.S. or foreign governmental permits, licenses and approvals; and</w:t>
      </w:r>
    </w:p>
    <w:p>
      <w:pPr>
        <w:spacing w:after="0" w:line="9" w:lineRule="exact"/>
        <w:rPr>
          <w:rFonts w:ascii="Times New Roman" w:cs="Times New Roman" w:eastAsia="Times New Roman" w:hAnsi="Times New Roman"/>
          <w:sz w:val="18"/>
          <w:szCs w:val="18"/>
          <w:color w:val="auto"/>
        </w:rPr>
      </w:pPr>
    </w:p>
    <w:p>
      <w:pPr>
        <w:ind w:left="1020" w:right="6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increases in food costs, build costs and labor costs which could impact profitability and demand for new stores.</w:t>
      </w:r>
    </w:p>
    <w:p>
      <w:pPr>
        <w:spacing w:after="0" w:line="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opening of additional franchise stores also depends, in part, upon the availability of suitable prospective franchisees who meet our criteria, the ability of these franchisees to attract and retain qualified personnel and their desire to open new stores and ability to operate those stores effectively. Our failure to add new stores or closures of existing stores would impact global retail sales and adversely affect our ability to increase revenues and operating income. Additionally, our growth strategy and the success of new stores depend in large part on the availability of suitable store sites and leases. We and our franchisees are currently planning to expand our U.S. and international operations in many of the markets where we currently operate and in select new markets. This may require considerable management time as well as start-up expenses for market development before any significant revenues and earnings are generated. Operations in new markets may achieve low margins or may be unprofitable, and expansion in existing markets may be affected by local economic and market conditions. In addition, we expect to continue our strategy of building additional stores in markets and regions where we have existing stores, a strategy we refer to as “fortressing,” which may negatively impact sales at existing stores. This strategy could also result in store closures if executed too rapidly, as seen in certain international markets in recent years. Therefore, as we continue to expand, we or our franchisees may not experience the gross margins we expect, our results of operations may be negatively impacted, and our stock price may decline. Our net store growth figures could also be impacted by higher closure rates. Additionally, we have an equity investment in DPC Dash Ltd (“DPC Dash”), as further discussed elsewhere in this report. Through its subsidiaries, DPC Dash serves as the Company’s master franchisee in China that owns and operates Domino’s Pizza stores in that market. These types of investments are inherently risky. If DPC Dash does not succeed or is unable to successfully execute its growth strategy, we could lose some or all of our investment value.</w:t>
      </w:r>
    </w:p>
    <w:p>
      <w:pPr>
        <w:spacing w:after="0" w:line="10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decide to increase or decrease the number of Company-owned stores, either by refranchising existing Company-owned stores or by purchasing existing franchised stores, as we have done in the past. Our failure to successfully execute these transactions could have an adverse effect on our operating results and could cause our stock price to decline.</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Another component of our growth strategy also involves our participation on the third-party order aggregator marketplace. This avenue for sales may prove to be unsuccessful and sales may not meet our expectations. Our presence on the order aggregator marketplace also introduces us to additional risks and uncertainties including the risk that orders on this marketplace may not have the same level of store-level profitability as orders through our owned channels. Our operating results and stock price may be adversely affected if we are not successful on order aggregator platforms.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food, labor and other costs, labor shortages or negative economic conditions could adversely affect our profitability and operating results.</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recent years, there have been and may continue to be significant increases in food costs and labor costs, which have impacted and could further impact our profitability and that of our franchisees and which could impact the opening of new U.S. and international franchised stores, lead to store closures and adversely affect our operating results. Economic conditions, including the inflationary pressures seen in recent years, may also impact the discretionary purchasing power of our customers, especially customers with less disposable income or for whom discretionary spending represents a smaller portion of their disposable income, resulting in decreased demand for our products. Matters having a broad global economic impact may also significantly impact particular costs, such as the impact of geopolitical conflict on our and our international master franchisees’ transportation and energy costs. Health epidemics or pandemics have in the past and may in the future impact macroeconomic conditions, consumer behavior, labor availability and supply chain management, as well as local operations in impacted markets.</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 w:name="page17"/>
    <w:bookmarkEnd w:id="16"/>
    <w:p>
      <w:pPr>
        <w:ind w:right="180"/>
        <w:spacing w:after="0" w:line="266" w:lineRule="auto"/>
        <w:rPr>
          <w:sz w:val="20"/>
          <w:szCs w:val="20"/>
          <w:color w:val="auto"/>
        </w:rPr>
      </w:pPr>
      <w:r>
        <w:rPr>
          <w:rFonts w:ascii="Times New Roman" w:cs="Times New Roman" w:eastAsia="Times New Roman" w:hAnsi="Times New Roman"/>
          <w:sz w:val="18"/>
          <w:szCs w:val="18"/>
          <w:color w:val="auto"/>
        </w:rPr>
        <w:t>Labor shortages and increased turnover rates for our team members and those of our franchisees in recent years have led to and could in the future lead to increased costs, such as increased overtime to meet demand and increased wage rates to attract and retain team members and could negatively affect our and our franchisees’ ability to efficiently operate our respective businesses and result in a negative impact on service and customer experience.</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Factors such as inflation, increased food costs, increased labor and employee health and benefit costs, increased rent costs, increased transportation costs and increased energy costs may adversely affect our operating costs and profitability and those of our franchisees and could result in menu price increases, which could impact consumer demand. An economic environment characterized by high unemployment, high interest rates, cautious consumer spending, or changes in consumer practices due to a possible recession could also impact consumer spending or demand and our operating results. Most of the factors affecting costs are beyond our control and, in many cases, we may not be able to pass along these increased costs to our customers or franchisees and to the extent we were to raise menu prices to offset these costs, could result in decreased consumer demand, sales and profitability.</w:t>
      </w:r>
    </w:p>
    <w:p>
      <w:pPr>
        <w:spacing w:after="0" w:line="7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Most ingredients used in our pizza, particularly cheese, are subject to significant price fluctuations as a result of seasonality, weather, demand and other factors and we have experienced increased volatility in prices for some ingredients in recent years. Cheese, in particular, is a significant cost to us, representing approximately 25% of the food basket purchased by our Company-owned stores.</w:t>
      </w:r>
    </w:p>
    <w:p>
      <w:pPr>
        <w:spacing w:after="0" w:line="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Additionally, while we strive to engage in a competitive bidding process for our ingredients, because certain of these ingredients, including meat products, may only be available from a limited number of vendors, we may not always be able to do so effectively. Furthermore, if we need to seek new suppliers, including as a result of expiration of existing supply agreements, we may be subject to pricing or other terms less favorable to us than those reflected in our current supply arrangements. Labor costs are largely a function of the minimum wage for a majority of our and our franchisees’ store personnel and certain supply chain center personnel and, generally, are also a function of the availability of labor. In addition to the increases in labor costs described above, several jurisdictions in which we and our franchisees operate have recently approved minimum wage increases. Federal, state and local proposals that increase minimum wage requirements or mandate other employee matters could, to the extent implemented, materially increase labor and other costs. As more jurisdictions implement minimum wage increases, we expect that labor costs will continue to increase. For example, labor and regulatory compliance costs could be adversely impacted as a result of California Assembly Bill No. 1228 (AB 1228), which raised the minimum wage for employees of restaurants that are part of a national fast food chain effective April 1, 2024. The increased labor costs at franchised restaurants in California could impact their profitability and the desire to open new stores or renew the franchise agreements for existing stores and result in additional price increases, which could impact demand for our products or lead to operational changes. Further, this bill could prompt similar legislation in other states or localities. The advent of legislation aimed at predictive scheduling may impact labor for our stores and our franchisees’ stores. Additionally, while we only have a small number of unionized employees in our international operations, certain employees of other companies in our industry have recently become unionized in the U.S. If a significant portion of our or our franchisees’ employees were to become unionized, our and our franchisees’ labor costs could increase and our business could be negatively affected by other union requirements that increase costs, disrupt our business, reduce flexibility and impact employee culture. Further, our responses to any union organizing efforts could negatively impact how our brand is perceived. Labor costs and food costs, including cheese, generally represent approximately 55% to 65% of the sales at a typical Company-owned store.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interruptions or disruptions in the supply or delivery of fresh food products and store equipment could adversely affect our operating results.</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and our franchisees are dependent on frequent deliveries of food products that meet our specifications as well as adequate supply of store equipment. We have single suppliers or a limited number of suppliers for certain of our ingredients, including pizza cheese and meat toppings. While we believe there are adequate reserve quantities and potential alternative suppliers, shortages, interruptions, or disruptions in the supply of food products and store equipment caused by increased demand, capacity constraints, expiration of existing agreements, problems in production or distribution, product recalls, financial or other difficulties of suppliers, inclement weather or other conditions could adversely affect the availability, quality and cost of ingredients and equipment. We have in the past experienced disruptions within our supply chain resulting from, among other things, capacity, volume, systems, staffing and operational challenges and may experience such supply chain disruptions again in the future, which could materially and adversely affect our business and operational results. Additionally, the effects of climate change could increase the frequency and duration of weather impacts on our operations and could adversely affect our operating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food service market is affected by consumer preferences and perceptions. Changes in these preferences and perceptions may reduce the demand for our products, which would reduce sales and harm our business.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Food service businesses are affected by changes in consumer tastes, international, national, regional and local economic conditions, marketing, advertising, pricing and demographic trends. For instance, if prevailing health or dietary preferences cause consumers to avoid pizza and other products we offer in favor of foods that are perceived as healthier, or consumers shift away from delivery or carryout food, our business and operating results would be harmed. Moreover, because we are primarily dependent on a single product, if consumer demand for pizza should decrease, our business would suffer more than if we had a more diversified menu and the QSR pizza category may also not grow as quickly as other categories within the food service industry. The preferences of customers also may change as a result of advances in technology or alternative delivery methods or channels as well as geopolitical considerations. If we are not able to respond to these changes, or our competitors respond to these changes more effectively than us, our operating results could be adversely affected.</w:t>
      </w:r>
    </w:p>
    <w:p>
      <w:pPr>
        <w:spacing w:after="0" w:line="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product contamination, food-borne illness or food tampering or other events which may impact our reputation may reduce sales and harm our business.</w:t>
      </w:r>
    </w:p>
    <w:p>
      <w:pPr>
        <w:spacing w:after="0" w:line="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Reports, whether true or not, of product contamination, food-borne illnesses and injuries caused by food tampering have in the past severely injured the reputations and operating results of participants in the QSR market and could in the future as well. These events could occur both at the store and supply chain center levels. If such an event were to occur, we may not be able to respond to it quickly and effectively. The potential for acts of terrorism affecting our global food supply also exists and, if such an event occurs, could have a negative impact on us and could severely hurt sales and profits. In addition, our reputation is an important asset; as a result, anything that damages our reputation could immediately and severely affect our sales and profits. Further, a boycott or other campaign critical of us, whether domestic or international, through social media or otherwise, could negatively impact our brand’s reputation and, consequently, sales. Media reports of product contamination, illnesses and injuries, whether accurate or not, could force some stores to close or otherwise reduce sales at such stores. Moreover, as further described below, social media has dramatically increased the rate at which negative publicity, including as it relates to food-borne illness, can be disseminated before there is any meaningful opportunity to respond to or address an issue. Even reports of food-borne illnesses or food tampering occurring solely at the restaurants of competitors could, by resulting in negative publicity about the restaurant industry in general, adversely affect us on a local, regional, national or international basis. Our international operations expose us to further risk as our master franchisees are responsible for obtaining their own supply of food and equipment, subject to their compliance with our quality standards. A decrease in sales due to these health concerns, any negative publicity or as a result of the closure of any Domino’s stores could adversely affect our results of operations.</w:t>
      </w:r>
    </w:p>
    <w:p>
      <w:pPr>
        <w:spacing w:after="0" w:line="9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contracts with certain of our suppliers, or have contracts which are set to expire, and as a result they could seek to significantly increase prices or fail to deliver.</w:t>
      </w:r>
    </w:p>
    <w:p>
      <w:pPr>
        <w:spacing w:after="0" w:line="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have long-term contracts or arrangements, or have contracts which are set to expire, with certain of our suppliers. Although in the past we have not experienced significant problems with our suppliers, our suppliers may implement significant price increases or may not meet our requirements, including those that may result from increases in volume, in a timely fashion or at all. The occurrence of any of the foregoing could have a material adverse effect on the ability of our supply chain centers to deliver necessary products to our stores and those of our franchisees and on our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prolonged disruption in the operations of any of our dough manufacturing and supply chain centers could harm our business.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U.S., we operate 22 regional dough manufacturing and supply chain centers, two thin crust manufacturing facilities and one vegetable processing center to our U.S. and certain international stores. We also operate five dough manufacturing and supply chain centers in Canada. We plan to continue investing in supply chain productivity initiatives in the future. Our U.S. dough manufacturing and supply chain centers service all of our Company-owned and substantially all of our U.S. franchise stores. Any prolonged disruption in the operations of any of these facilities, whether due to technical, systems, operational or labor difficulties, destruction or damage to the facility, real estate issues, limited capacity or other reasons, or our failure to successfully increase capacity and open new centers, could adversely affect our business and operating results.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 Such risks and costs may differ in each country in which we and our franchisees do business and may cause our profitability to decline due to increased costs.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a significant and growing portion of our business outside the U.S. Our financial condition and results of operations have at times been and may in the future be adversely affected if global markets in which our franchised stores compete are affected by changes in political, economic or other factors. These factors, many over which neither we nor our master franchisees have control, may include both internal and external factors including:</w:t>
      </w:r>
    </w:p>
    <w:p>
      <w:pPr>
        <w:spacing w:after="0" w:line="8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recessionary or expansive trends in international markets and global markets and economic downturns;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labor conditions and difficulties in staffing and managing our foreign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taxes we pay and other changes in applicable tax laws both in the U.S. and globally;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or foreign policy changes;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and the burdens and costs of our compliance with a variety of foreign laws;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inflation rates or foreign exchange rates and the imposition of restrictions on currency conversion or the transfer of funds;</w:t>
      </w:r>
    </w:p>
    <w:p>
      <w:pPr>
        <w:spacing w:after="0" w:line="9"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new relationships between our master franchisees and order and delivery aggregators our master franchisees may partner with internationally and the success of those aggregators and relationships;</w:t>
      </w: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our royalties and longer payment cycles;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private enterprises;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 of doing business in China resulting from our equity investment in DPC Dash;</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sanctions, acts of war or terrorist acts;</w:t>
      </w:r>
    </w:p>
    <w:p>
      <w:pPr>
        <w:spacing w:after="0" w:line="9" w:lineRule="exact"/>
        <w:rPr>
          <w:rFonts w:ascii="Times New Roman" w:cs="Times New Roman" w:eastAsia="Times New Roman" w:hAnsi="Times New Roman"/>
          <w:sz w:val="18"/>
          <w:szCs w:val="18"/>
          <w:color w:val="auto"/>
        </w:rPr>
      </w:pPr>
    </w:p>
    <w:p>
      <w:pPr>
        <w:ind w:left="1020" w:right="58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anti-American sentiment and the identification of Domino’s as an American brand, including those seen as a result of the geopolitical tensions in the Middle East and further escalations and the impact thereof; and</w:t>
      </w: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uncertainty around the world and related geopolitical risk.</w:t>
      </w:r>
    </w:p>
    <w:p>
      <w:pPr>
        <w:spacing w:after="0" w:line="11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an increase in tariffs, such as the tariffs announced on February 1, 2025 on imports to the United States from Canada and Mexico, and any similar or retaliatory tariffs or trade policies, could disrupt and increase the costs of our supply chains and those of our master franchisees in relation to certain products that we and they source internationally.</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growth strategy depend on the success of our franchisees, and we may be harmed by actions taken by our franchisees, or employees of our franchisees, which are outside of our control.</w:t>
      </w:r>
    </w:p>
    <w:p>
      <w:pPr>
        <w:spacing w:after="0" w:line="6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 significant portion of our earnings comes from royalties and fees generated by our franchise stores. Franchisees are independent operators, and their employees are not our employees. We provide tools that franchisees can consider using in training their employees, but the quality of franchise store operations and our brand and branded products may be diminished by numerous factors beyond our control. Consequently, franchisees may not operate stores in a manner consistent with our standards and requirements or they or their employees may take other actions that adversely affect the value of our brand and harm our business and reputation. Our success also depends in part on continuing positive relationships with our franchisees (and positive relationships between our international master franchisees and their corresponding sub-franchisees) and if those relationships were to deteriorate, our revenues and stock price could decline. While we try to ensure that franchisees maintain the quality of the Domino’s brand and branded products and comply with their franchise agreements, franchisees may take actions that adversely affect the value of our intellectual property or reputation or that are inconsistent with their contractual obligations. Although our franchise arrangements permit the applicable franchisor to terminate a franchise agreement in certain circumstances, including the failure by franchisees to uphold product or operating standards, there is no assurance that such remedy will be available or sufficient to prevent harm to our brand and protect our intellectual property.</w:t>
      </w:r>
    </w:p>
    <w:p>
      <w:pPr>
        <w:spacing w:after="0" w:line="9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December 29, 2024, we had 751 independent U.S. franchisees operating 6,722 U.S. stores. As of that same date, 22 of these franchisees each owned and operated more than 50 U.S. stores, including our largest U.S. franchisee who owned and operated 158 stores, and the average U.S. franchisee owned and operated approximately nine stores. Our international master franchisees are generally responsible for the development of significantly more stores than our U.S. franchisees. As a result, our international operations are more closely tied to the success of a smaller number of franchisees than our U.S. operations. As of December 29, 2024, our largest international master franchisee operated 3,741 stores in 12 markets, which accounted for approximately 26% of our total international store count. Our U.S. and international franchisees may not operate their franchises successfully. If one or more of our key franchisees were to be unsuccessful, become insolvent or otherwise were unable or unwilling to pay us our royalties or other amounts owed, our business and results of operations would be adversely affected.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9" w:name="page20"/>
    <w:bookmarkEnd w:id="19"/>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unable or fail to recognize, respond to and effectively manage the accelerated impact of social media or become the subject of a boycott, our business could be adversely impacted.</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use of social media platforms and other consumer-oriented technologies has increased the speed and accessibility of information dissemination and given users the ability to more effectively organize collective actions such as boycotts and other brand-damaging behaviors. Negative publicity related to our brand, products, operations, or stores or related to our operations or actions by our executives, team members or franchisees and their team members or others perceived to be associated with our brand could harm our business, brand, reputation, marketing partners, financial condition and results of operations, regardless of the accuracy of such negative publicity. Failure to use or respond to social media campaigns effectively could lead to a decline in brand value and revenue.</w:t>
      </w:r>
    </w:p>
    <w:p>
      <w:pPr>
        <w:spacing w:after="0" w:line="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effective advertising, and lower advertising funds may reduce our ability to adequately market the Domino’s Pizza brand.</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been routinely named a Leading National Advertiser by Advertising Age and our success depends in part on continued effective advertising. Each Domino’s store located in the U.S. is obligated to contribute 6.0% of its sales to DNAF, which uses such fees for national advertising in addition to contributions for local market-level advertising. We currently anticipate that this 6.0% obligation will remain in place for the foreseeable future, though the actual contribution rate could be lower in certain instances due to certain incentives and waivers. From March 27, 2023 through March 24, 2024, the Company effectuated a temporary reduction of 0.25% to its standard 6.0% advertising contribution. While additional funds for advertising in the past have been provided by us, our franchisees and other third parties, none of these additional funds are legally required. The lack of continued financial support for advertising activities or a limitation on our ability to advertise certain offers could significantly curtail our marketing efforts, which may in turn affect our business and our operating results.</w:t>
      </w:r>
    </w:p>
    <w:p>
      <w:pPr>
        <w:spacing w:after="0" w:line="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key employees or our inability to attract and retain new qualified employees could hurt our business and inhibit our ability to operate and grow successfully.</w:t>
      </w:r>
    </w:p>
    <w:p>
      <w:pPr>
        <w:spacing w:after="0" w:line="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success in the highly competitive pizza delivery and carryout business will continue to depend to a significant extent on our leadership team and other key management personnel. Although we have entered into employment agreements with Russell J. Weiner and Joseph H. Jordan, each of these executives may terminate his agreement on ninety days’ notice and our other executive officers may do the same. As a result, we may not be able to retain our executive officers and key personnel or attract additional qualified management.</w:t>
      </w:r>
    </w:p>
    <w:p>
      <w:pPr>
        <w:spacing w:after="0" w:line="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While we do not have long-term employment agreements with our executive officers, for all of our executive officers we have non-compete and non-solicitation agreements that extend for 24 months following the termination of such executive officer’s employment. Our success will also continue to depend on our ability to attract and retain qualified personnel to operate our stores, dough manufacturing and supply chain centers, corporate offices and international operations. The loss of these employees or our inability to recruit and retain qualified personnel, including general managers or other store-level team members, or our inability to adequately respond to changes in the labor market, could adversely affect our operating results. Changes we make to our current and future work environments may not meet the needs or expectations of our employees and may be perceived as less favorable compared to other companies’ policies, which could negatively impact our ability to hire and retain qualified personnel.</w:t>
      </w:r>
    </w:p>
    <w:p>
      <w:pPr>
        <w:spacing w:after="0" w:line="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depend in large part on our brand and branded products and believe that they are very important to our business. We rely on a combination of trademarks, copyrights, domain names, patents, trade secrets and similar intellectual property rights to protect our brand and branded products. The success of our business depends on our continued ability to use our existing trademarks in order to capitalize on our name recognition, increase brand awareness and further develop our branded products in both U.S. and international markets. We have registered certain trademarks and have other trademark applications pending in the U.S. and foreign jurisdictions. Not all of the trademarks or domain names that we currently use or contemplate using have been registered in all of the countries in which we do business, and they may never be registered in all of these countries. Some countries’ laws do not protect unregistered trademarks at all, or make them more difficult to enforce, and third parties may have filed for “Domino’s” or similar marks in countries where Domino’s has not registered its brand for reasons including lack of presence by the brand where actual use is required to obtain trademark registration.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In addition, certain countries have use requirements to maintain a trademark registration. In those countries where we do not currently operate but have registered trademarks, we may be unable to renew those registrations when they expire due to non-use. Accordingly, we may not be able to adequately protect our trademarks everywhere in the world and our use of these trademarks may result in liability for trademark infringement, trademark dilution or unfair competition. All of the steps we have taken to protect our intellectual property globally may not be adequate. In addition, the laws of some foreign countries do not protect intellectual property rights to the same extent as the laws of the U.S. We may, from time to time, be required to institute or defend litigation to enforce our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information resources. More specifically, a cyber incident is an intentional attack or an unintentional event that can include gaining unauthorized access to systems to disrupt operations, corrupt data or steal confidential information about customers, franchisees, suppliers or employees. Many retailers and other companies have recently experienced serious cyber incidents and breaches of their information technology systems. As our reliance on technology has increased, so have the risks posed to our systems, both internal and those we have outsourced, and we may further be negatively impacted to the extent outdated or legacy systems cease to function appropriately. We have in the past been and in the future may also be subject to negative impacts to our business caused by cyber incidents relating to our third-party service providers or the service providers of those third parties or our franchisees.</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primary risks that could directly result from the occurrence of a cyber incident include operational interruption, damage to our relationships with customers, franchisees and employees, private data exposure, including payment card or other financial data, public relations impact and regulatory fines. In addition to maintaining insurance coverage to address cyber incidents, we have also implemented processes, procedures and controls to help mitigate these risks. The costs related to cyber or other security threats or disruptions may not be fully insured or indemnified by others, including by our service providers and these measures, as well as our increased awareness of the risk of a cyber incident, do not guarantee that our reputation and financial results will not be materially and adversely affected by such an incident. Our business continuation or disaster recovery programs may not be sufficient to mitigate the harm that could result from such disaster or disruption, and insurance and other safeguards may only partially reimburse us for our losses, if at all. Artificial intelligence (“AI”) technologies may intensify our cybersecurity risks.</w:t>
      </w:r>
    </w:p>
    <w:p>
      <w:pPr>
        <w:spacing w:after="0" w:line="9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depend on the performance of suppliers, aggregators and other third parties in our business operations. Third-party business processes we utilize include information technology, gift card authorization and processing, payment processing, benefits, and other accounting and business services. The failure of our suppliers, aggregators and other third parties to maintain adequate controls or comply with our expectations and standards could have a material adverse effect on our business. Our and our franchisees’ operations depend upon our ability and the ability of franchisees, third-party service providers and the service providers of those third parties (as well as franchisees’ third-party service providers and the service providers of those third parties) to protect computer equipment and systems against damage from theft, fire, power loss, telecommunications failure and other catastrophic or unanticipated events, as well as internal and external security incidents, viruses, denial-of-service attacks, phishing attacks, ransomware attacks and other intentional or unintentional disruptions. The rapid evolution and increased adoption of AI technologies amplifies these concerns.</w:t>
      </w:r>
    </w:p>
    <w:p>
      <w:pPr>
        <w:spacing w:after="0" w:line="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 significant portion of our retail sales depends on the continuing operation of our information technology and communications systems, including DOM OS, our online and mobile ordering platforms and our credit card processing systems. The failure of these systems to operate effectively, stemming from maintenance problems, upgrading or transitioning to new platforms, a compromise in our security or other unanticipated problems has at times in the past and in the future could result in interruptions to or delays in our and our franchisees’ operations, and some of our systems are not fully redundant. The occurrence of a natural disaster, intentional sabotage or other unanticipated problems could result in lengthy interruptions in service. Increases in remote working could also exacerbate certain risks to our business, including an increased risk of cyber incidents and improper dissemination of personal or confidential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8"/>
          <w:szCs w:val="18"/>
          <w:color w:val="auto"/>
        </w:rPr>
        <w:t>In addition, the implementation of technology changes and upgrades to maintain and upgrade our systems, errors or vulnerabilities in our systems, or damage to or failure of our systems, including because of systems becoming obsolete, could result in interruptions in our services and non-compliance with certain laws or regulations, which could reduce our sales, revenues and profits and damage our business and brand.</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and our franchisees accept electronic forms of payment from customers including credit cards, our business requires the collection and retention of customer data, including sensitive financial data and other personally identifiable information in various information systems that are maintained by third parties with whom we and our franchisees contract to provide payment processing. A weakness in such third party’s systems or software products (or in the systems or software products in the service providers of those third parties) may provide a mechanism for a cyber threat. In recent years, a significant number of companies have experienced data breaches in which customer information was stolen through vendor access channels. Cyber-attacks and data breaches at a payment processing contractor could compromise confidential information or adversely affect our ability to deliver products and services to our customers. There is also a potential heightened risk of cyber security incidents as a result of geopolitical events outside of our control. These problems could negatively affect our results of operations, and remediation could result in significant, unplanned capital investments.</w:t>
      </w:r>
    </w:p>
    <w:p>
      <w:pPr>
        <w:spacing w:after="0" w:line="9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also maintain important internal Company data, such as personally identifiable information about our employees and franchisees and information relating to our operations. In addition, more than 85% of our U.S. retail sales in 2024 were derived from digital channels, primarily through our online ordering website and mobile applications, where customers enter personally identifiable information that we retain. Our use and retention of personally identifiable information is regulated by foreign, federal and state laws and regulations, as well as by certain third-party agreements. For example, the State of California has adopted the California Privacy Rights Act of 2020, an amendment to the California Consumer Privacy Act, and several other states have adopted similar comprehensive data protection laws, which may require companies to change their practices for handling of personal data, including allowing consumers to request that we delete certain personal data. In addition, the State of New York promulgated the New York SHIELD Act, like laws in several other states, which imposes obligations on businesses to implement physical, administrative and technical security measures to protect personal data. As privacy and information security laws and regulations change, we may incur additional costs to ensure that we are in compliance with those laws and regulations, and our current and future planned uses of personal and other data may be adversely affected by future adopted privacy and information security laws, regulations and rulings. If our security and information systems are compromised or if we, our employees or franchisees fail to comply with these laws, regulations or contract terms, or to successfully implement processes related to requirements, laws and regulations governing cyber incidents, it could require us to notify customers, employees or other groups. This could result in adverse publicity, loss of sales and cash flows, increased fees payable to third parties and fines, penalties or remediation and other costs that could adversely affect our reputation, business and results of operations. Any other material disruption or other adverse event affecting one or more of our digital ordering platforms, including, for instance, power loss, technological or systems failures, user error or cyber-attacks, could similarly result in adverse publicity, loss of sales and cash flows and other costs, which could in turn materially and adversely affect our reputation, business and results of operations.</w:t>
      </w:r>
    </w:p>
    <w:p>
      <w:pPr>
        <w:spacing w:after="0" w:line="9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impact that new or improved technologies, alternative methods of delivery or changes in consumer or employee behavior facilitated by these technologies and alternative methods of delivery will have on our business.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Advances in technologies or alternative methods of delivery, including advances in digital ordering technology and autonomous vehicle delivery, or certain changes in consumer behavior driven by these or other technologies and methods of delivery could have a negative effect on our business and market position. Moreover, technology and consumer offerings continue to develop, and we expect that new or enhanced technologies and consumer offerings will be available in the future. We may pursue certain of those technologies and consumer offerings if we believe they offer a sustainable customer proposition and can be successfully integrated into our business model. However, we cannot predict consumer acceptance of these delivery channels or their impact on our business.</w:t>
      </w:r>
    </w:p>
    <w:p>
      <w:pPr>
        <w:spacing w:after="0" w:line="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incorporate traditional and generative AI solutions into our business, and these solutions may become important in our operations over time. The use of these AI solutions may expose us to additional risks and expenses, including, for example, if we were to incorporate AI technologies which we become dependent on or fail to adopt AI in a timely or effective manner.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2" w:name="page23"/>
    <w:bookmarkEnd w:id="22"/>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our competitors, some of whom have greater resources than we do, may be able to benefit more from changes in technologies or consumer acceptance of alternative methods of delivery. There can be no assurance that we will be able to successfully respond to changing consumer preferences, including with respect to new technologies and alternative methods of delivery, or to effectively adjust our product mix, service offerings, and marketing and merchandising initiatives for products and services that address, and anticipate advances in, technology and market trends. Alternative methods of delivery may also impact the potential labor pool from which we recruit our delivery drivers and could reduce the available supply of labor. If we are not able to successfully respond to these challenges, our business could be materially and adversely affected.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additional risks associated with our franchise system and franchisees.</w:t>
      </w:r>
    </w:p>
    <w:p>
      <w:pPr>
        <w:spacing w:after="0" w:line="13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franchise system subjects us to a number of additional risks, any one of which may impact our ability to collect royalty payments and fees from our franchisees, may harm the goodwill associated with our brand, and/or may materially and adversely impact our business and results of operations. Such risks may also apply to us as owners of stores. These risks include, but are not limited to:</w:t>
      </w:r>
    </w:p>
    <w:p>
      <w:pPr>
        <w:spacing w:after="0" w:line="81" w:lineRule="exact"/>
        <w:rPr>
          <w:sz w:val="20"/>
          <w:szCs w:val="20"/>
          <w:color w:val="auto"/>
        </w:rPr>
      </w:pPr>
    </w:p>
    <w:p>
      <w:pPr>
        <w:ind w:left="1020" w:right="38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the application of local, state, federal and foreign bankruptcy laws and other applicable laws governing creditors’ rights generally and the impact such laws could have on our ability to collect payments and fees under applicable franchise agreements;</w:t>
      </w:r>
    </w:p>
    <w:p>
      <w:pPr>
        <w:ind w:left="1020" w:right="42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franchisees that are operating entities, which generally are not limited-purpose entities, including business, operational, credit, financial and other risks in addition to risks related to unions;</w:t>
      </w:r>
    </w:p>
    <w:p>
      <w:pPr>
        <w:ind w:left="1020" w:right="4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 changes in control and succession in general and the ability to find acceptable successors who are able to perform a former franchisee’s obligations under applicable franchise agreements or successfully operate impacted stores in the event of a change of control or other succession event;</w:t>
      </w:r>
    </w:p>
    <w:p>
      <w:pPr>
        <w:spacing w:after="0" w:line="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 insurance, including the inadequacy of, or inability to obtain, insurance coverage, losses in excess of policy limits or payments not being made on a timely basis, extraordinary hazards not being subject to coverage (or only being subject to coverage at prohibitively high rates) or third parties seeking to recover losses from us to the extent those losses experienced by such third parties are either not covered by the franchisee’s insurance or exceed the policy limits of the franchisee’s insurance;</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instances of termination of or default under a franchisee’s franchise agreement or the non-renewal thereof at the end of such agreement’s expiration date and the corresponding impact on the franchisee’s or our operations;</w:t>
      </w:r>
    </w:p>
    <w:p>
      <w:pPr>
        <w:ind w:left="1020" w:right="14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product liability exposure or noncompliance with labor and employment, health and safety regulations and the impact such events could have on a franchisee’s ability to make payments under applicable franchise agreements, on us if an aggrieved party seeks to recover their losses from us and on our brand’s reputation;</w:t>
      </w:r>
    </w:p>
    <w:p>
      <w:pPr>
        <w:spacing w:after="0" w:line="1" w:lineRule="exact"/>
        <w:rPr>
          <w:rFonts w:ascii="Times New Roman" w:cs="Times New Roman" w:eastAsia="Times New Roman" w:hAnsi="Times New Roman"/>
          <w:sz w:val="18"/>
          <w:szCs w:val="18"/>
          <w:color w:val="auto"/>
        </w:rPr>
      </w:pPr>
    </w:p>
    <w:p>
      <w:pPr>
        <w:ind w:left="1020" w:right="36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injunctive relief, fines, damage awards or capital expenditures under laws or regulations that could adversely affect the ability of a franchisee to make payments under applicable franchise agreements;</w:t>
      </w:r>
    </w:p>
    <w:p>
      <w:pPr>
        <w:jc w:val="both"/>
        <w:ind w:left="1020" w:right="26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franchisees, including litigation involving us or litigation involving a third-party directed at a franchisee, which could impede the ability of a defendant-franchisee to make its royalty payments and divert our resources regardless of whether the allegations in such litigation are valid or whether we are liable; and</w:t>
      </w:r>
    </w:p>
    <w:p>
      <w:pPr>
        <w:spacing w:after="0" w:line="1"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the reliance of a franchised store business on its franchisees, both domestic and international, and the nature of franchisees in general, including the successful operations and retention of franchisees (especially including our top-performing franchisees) in the future or our ability to attract, retain, and motivate sufficient numbers of franchisees of the same caliber in the future as well as our ability to maintain a positive and constructive relationship with our franchisees.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3" w:name="page24"/>
    <w:bookmarkEnd w:id="2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certain periods prior to December 1998 and for periods after December 2001, we maintain insurance coverage for workers’ compensation, general liability and owned and non-owned automobile liabilities. We are generally responsible for up to $1.0 million per occurrence under these retention programs for workers’ compensation and up to $2.0 million per occurrence under these retention programs for general liability, depending on policy year and line of coverage. We are generally responsible for between $500,000 and $5.5 million per occurrence under these retention programs for owned and non-owned automobile liabilities, depending on policy year and line of coverage. Total insurance limits under these retention programs vary depending upon the period covered and range up to $112.5 million per occurrence for general liability and owned and non-owned automobile liabilities and up to the applicable statutory limits for workers’ compensation. These insurance policies may not be adequate to protect us from liabilities that we incur in our business. In addition, in the future our insurance premiums may increase, and we may not be able to obtain similar levels of insurance on reasonable terms, or at all. Any such inadequacy of, or inability to obtain insurance coverage could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Major institutional investors have publicly emphasized the importance of such ESG matters to their investment decisions. We have established significant commitments on greenhouse gas emissions and in October 2024 our near-term and net zero targets were approved by the Science Based Targets initiative (SBTi). We have established a commitment to achieve our near-term targets by 2032 and achieve net zero carbon emissions by 2050. Execution of these strategies and achievement of these goals are subject to risks and uncertainties, many of which are outside of our control and may prove to be more costly than we anticipate. These risks and uncertainties include, but are not limited to, our ability to execute our strategies and achieve our goals within the currently projected costs and the expected timeframes; unforeseen design, operational and technological difficulties; the outcome of research efforts and future technology developments; the success of our collaboration with franchisees and other third parties; and the actions of competitors and competitive pressures. There is no assurance that we will be able to successfully execute our strategies and achieve our goals. Failure to achieve our goals could damage our reputation and customer, investor and other stakeholder relationships and have an adverse effect on our business, results of operations and financial condition, as well as on our stock price. There also has been increased political focus, including by U.S. and foreign governmental authorities, on environmental sustainability matters, such as climate change, the reduction of greenhouse gases and water usage; there has also been pushback to certain ESG initiatives in recent years which could also have an adverse effect in the event we were to become a target of pushback or subject to additional regulatory measures. Legislative, regulatory or other efforts to combat climate change or other ESG concerns could also result in new or more stringent forms of oversight and expanding mandatory and voluntary reporting, diligence and disclosure, which could increase costs, bring additional focus and further impact our business, results of operations and financial condition. Any failure or perceived failure by us to manage ESG issues successfully could have a material adverse effect on our reputation and on our business, results of operations, financial condition or stock price.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business and limit our ability to plan for or respond to changes in our business.</w:t>
      </w:r>
    </w:p>
    <w:p>
      <w:pPr>
        <w:spacing w:after="0" w:line="13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a substantial amount of indebtedness. As of December 29, 2024, our consolidated total indebtedness was approximately $4.98 billion. We may also incur additional debt, which would not be prohibited under the terms of our current securitized debt agreements. Our substantial indebtedness could have important consequences for our business and our shareholders. For example, it could:</w:t>
      </w:r>
    </w:p>
    <w:p>
      <w:pPr>
        <w:spacing w:after="0" w:line="8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agreements;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ind w:left="1020" w:right="780" w:hanging="503"/>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and</w:t>
      </w:r>
    </w:p>
    <w:p>
      <w:pPr>
        <w:ind w:left="1020" w:right="460" w:hanging="503"/>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our peers that may have less debt.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right="40"/>
        <w:spacing w:after="0" w:line="256" w:lineRule="auto"/>
        <w:rPr>
          <w:sz w:val="20"/>
          <w:szCs w:val="20"/>
          <w:color w:val="auto"/>
        </w:rPr>
      </w:pPr>
      <w:r>
        <w:rPr>
          <w:rFonts w:ascii="Times New Roman" w:cs="Times New Roman" w:eastAsia="Times New Roman" w:hAnsi="Times New Roman"/>
          <w:sz w:val="18"/>
          <w:szCs w:val="18"/>
          <w:color w:val="auto"/>
        </w:rPr>
        <w:t>Further, our 2021 and 2022 Variable Funding Notes bear interest at fluctuating interest rates that in certain circumstances is based on a forward-looking term rate based on the Secured Overnight Financing Rate (“Term SOFR”). There can be no assurance that the Federal Reserve Bank of New York (the “New York Fed”) will continue the publication of Term SOFR, and if the New York Fed discontinues the publication of Term SOFR, interest payments on our 2021 Variable Funding Notes and 2022 Variable Funding Notes would need to be calculated using a different index, or alter the manner in which Term SOFR is calculated. As a result, our interest expense could increase, in which event we may have difficulties making interest payments and funding our other fixed costs, and our available cash flow for general corporate requirements may be adversely affected.</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interest expense could also be increased by rising interest rates. 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Downgrades in our credit ratings could impact our ability to access capital and materially and adversely affect our business, financial condition and results of operations.</w:t>
      </w:r>
    </w:p>
    <w:p>
      <w:pPr>
        <w:spacing w:after="0" w:line="6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 A downgrade of our credit ratings could, among other things, increase our cost of borrowing, limit our ability to access capital or result in more restrictive covenants in agreements governing the terms of any future indebtedness that we may incur, and thereby could adversely impact our business and operations.</w:t>
      </w:r>
    </w:p>
    <w:p>
      <w:pPr>
        <w:spacing w:after="0" w:line="8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may be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affect any other action relating to our indebtedness on satisfactory terms or at all, our business may be harmed.</w:t>
      </w:r>
    </w:p>
    <w:p>
      <w:pPr>
        <w:spacing w:after="0" w:line="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8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incur liens;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we conduct and engage in mergers, acquisitions and other business combinations;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 and make loans and investments;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or redeem or repurchase capital stock;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securitized debt also requires us to maintain specified financial ratios at the end of each fiscal quarter. These restrictions could affect our ability to pay dividends or repurchase shares of our common stock. Our ability to meet these financial ratios can be affected by events beyond our control, and we may not satisfy such a test. A breach of these covenants could result in a rapid amortization event or default under the securitized debt. If amounts owed under the securitized debt are accelerated because of a default under the securitized debt and we are unable to pay such amounts, the investors may have the right to assume control of substantially all of the securitized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term following issuance, the outstanding senior notes will accrue interest in accordance with the terms of the debt agreements. Additionally, our senior notes have original scheduled principal payments of $1.18 billion in 2025, $39.3 million in 2026, $1.31 billion in 2027, $817.9 million in 2028, $631.0 million in 2029, $10.0 million in 2030 and $912.5 million in 2031.</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our debt agreements, the payment of principal on the outstanding senior notes may be suspended if the Holdco Leverage Ratio for the Company is less than or equal to 5.0x total debt to Consolidated Adjusted EBITDA, each as defined in the indenture governing our securitized debt, and no catch-up provisions are applicable.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are unable to refinance or repay amounts under the securitized debt prior to the expiration of the term, our cash flow would be directed to the repayment of the securitized debt which would become due and payable on an accelerated schedule, and, other than technology fees and a weekly management fee sufficient to cover certain general and administrative expenses, would not be available for operating our business. 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The indenture governing the securitized debt will restrict the cash flow from the entities subject to the securitization to any of our other entities and upon the occurrence of certain events, cash flow would be further restricted. In the event that a rapid amortization event occurs under the indenture (including, without limitation, upon an event of default under the indenture or the failure to repay the securitized debt at the end of its term), the funds available to us would be reduced or eliminated, which would in turn reduce our ability to operate or grow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Compliance Risks</w:t>
      </w:r>
    </w:p>
    <w:p>
      <w:pPr>
        <w:spacing w:after="0" w:line="13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of litigation, investigations, enforcement actions and negative publicity from customers, franchisees, suppliers, employees, regulators and others in the ordinary course of business, which could divert our financial and management resources. Litigation, investigations, enforcement actions or publicity may adversely impact our financial condition and results of operations.</w:t>
      </w:r>
    </w:p>
    <w:p>
      <w:pPr>
        <w:spacing w:after="0" w:line="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Claims of illness or injury relating to food quality or food handling are common in the food service industry, and vehicular accidents and injuries occur in the food delivery business. We are currently subject to these types of claims and have been subject to these types of claims in the past. Claims within our industry of improper supplier actions also occasionally arise that, if made against one of our suppliers, could potentially damage our brand image.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class action lawsuits have been filed, and may continue to be filed, against various QSRs alleging, among other things, that QSRs have failed to disclose the health risks associated with certain foods and that QSR marketing practices have encouraged obesity. State attorney general offices or other regulators have initiated and may in the future initiate investigations or enforcement actions against us. In addition to decreasing our sales and profitability and diverting our management resources, adverse publicity resulting from such allegations may materially and adversely affect us and our brand, regardless of whether such allegations are valid or whether we are liable, and could result in a substantial settlement, fine, penalty or judgment against us. Further, we may be subject to employee, franchisee and other claims in the future based on claims of, among other things, discrimination, harassment, working and safety conditions, wrongful termination and wage, expense reimbursement, rest break and meal break issues, including claims relating to minimum wage and overtime compensation. We and our international master franchisees have been and continue to be subject to these types of claims. If one or more of these claims were to be successful or if there is a significant increase in the number of these claims or if we receive significant negative publicity, our business, financial condition and operating results could be harmed.</w:t>
      </w:r>
    </w:p>
    <w:p>
      <w:pPr>
        <w:spacing w:after="0" w:line="10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and our franchisees are subject to extensive laws and government regulation and requirements issued by other groups and our failure to comply with existing or increased laws and regulations could adversely affect our business and operating results.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right="200"/>
        <w:spacing w:after="0" w:line="282"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laws and regulations, as well as requirements issued by other groups, including those relating to:</w:t>
      </w:r>
    </w:p>
    <w:p>
      <w:pPr>
        <w:spacing w:after="0" w:line="6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sale and labeling of food;</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zoning requirements and environmental protection;</w:t>
      </w:r>
    </w:p>
    <w:p>
      <w:pPr>
        <w:spacing w:after="0" w:line="9"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including minimum wage, overtime, insurance, discrimination and other labor requirements as well as working and safety conditions;</w:t>
      </w: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arrangements;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card industry standards and requirements;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social media, information privacy and consumer protection.</w:t>
      </w:r>
    </w:p>
    <w:p>
      <w:pPr>
        <w:spacing w:after="0" w:line="1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It is uncertain how the policy priorities and initiatives of the new administration may impact the federal laws and regulations to which we are subject, and we are not able to predict the impact such changes may have on our business.</w:t>
      </w:r>
    </w:p>
    <w:p>
      <w:pPr>
        <w:spacing w:after="0" w:line="6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an FTC rule and to various state and foreign laws that govern the offer and sale of franchises.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w:t>
      </w:r>
    </w:p>
    <w:p>
      <w:pPr>
        <w:spacing w:after="0" w:line="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and our franchisees face various regulatory and legislative efforts to enforce employment laws, such as efforts to categorize franchisors as the co-employers or joint employers of their franchisees’ employees or to aggregate individual franchised businesses and classify them as large employers for minimum wage or other employment-related purposes. In October 2023, the National Labor Relations Board (“NLRB”) adopted a final rule with a new and broader standard grounded in common law agency principles for determining when two or more otherwise unrelated employers may be found to be a joint employer of the same employees under the National Labor Relations Act (the “NLRA”). While the NLRB’s final rule was vacated in April 2024, returning the law to the NLRB’s prior rule that entities can be considered joint employers if they process and actually exercise “substantial direct and immediate control,” if a broader rule is ultimately enacted or adopted by the NLRB or other government agencies and/or applied generally to franchise relationships, it could cause us to be liable or held responsible for unfair labor practices and other violations of our franchisees and subject us to other liabilities, and require us to conduct collective bargaining negotiations regarding employees of totally separate, independent employers, most notably our franchisees. In such event, our operating expenses may increase as a result of required modifications to our business practices, increased litigation, governmental investigations or proceedings, administrative enforcement actions, fines and civil liability. Additionally, based upon the outcome and application of recent legal proceedings in federal court in California involving the California wage and hour laws in another franchise system, franchisors may be subject to claims that their franchisees should be treated as employees and not as independent contractors under the wage and hour laws of that state and, potentially, certain other states and localities with similar wage and hour laws. The California legislature has enacted a statute known as Assembly Bill 5 (AB-5), which went into effect on January 1, 2020. AB-5 requires “gig economy” workers to be reclassified as employees instead of independent contractors. However, depending upon the application of AB-5, franchisors in certain industries could be deemed to be covered by the statute, in which event certain franchisees could be deemed employees of the franchisors. While active efforts to narrow the reach of AB-5 continue, a bill (SB 967), which was introduced specifically to exempt the relationship between a franchisor and franchisee from the scope of AB-5, was not successful in the legislature.</w:t>
      </w:r>
    </w:p>
    <w:p>
      <w:pPr>
        <w:spacing w:after="0" w:line="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3, 2020, the California electorate approved proposition 22, the effect of which is to exempt app-based transportation (ride shares) and delivery drivers from the application of AB-5 by treating these workers as independent contractors, rather than employees, provided certain conditions are met. The ballot measure does not affect how AB-5 applies to other businesses and workers. Given that misclassification claims have been successful against or applied to a franchisor under AB-5 and may be successful under similar state laws, a franchisor could be liable to its franchisees (and potentially their employees) based the rights and remedies available to employees under such laws and, thereafter, have to treat its franchisees (and their employees) as the franchisor’s employees under these 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right="100"/>
        <w:spacing w:after="0" w:line="252" w:lineRule="auto"/>
        <w:rPr>
          <w:sz w:val="20"/>
          <w:szCs w:val="20"/>
          <w:color w:val="auto"/>
        </w:rPr>
      </w:pPr>
      <w:r>
        <w:rPr>
          <w:rFonts w:ascii="Times New Roman" w:cs="Times New Roman" w:eastAsia="Times New Roman" w:hAnsi="Times New Roman"/>
          <w:sz w:val="18"/>
          <w:szCs w:val="18"/>
          <w:color w:val="auto"/>
        </w:rPr>
        <w:t>We and our franchisees are subject to the Fair Labor Standards Act of 1938, as amended (the “FLSA”), which, along with the Family and Medical Leave Act, governs such matters as minimum wage and overtime requirements and other working conditions and various family leave mandates, as well as a variety of other laws enacted, or rules and regulations promulgated, by federal, state and local governmental authorities that govern these and other employment matters. We and our franchisees have experienced and expect further increases in payroll expenses as a result of government-mandated increases in the minimum wage, some specific to employees of national fast-food chains, which may be material, including as a result of California’s AB 1228. Enactment and enforcement of various federal, state and local laws, rules and regulations on immigration and labor organizations may adversely impact the availability and costs of labor for Domino’s and franchisees’ stores in a particular area or across the United States. In addition, third-party suppliers may be affected by higher minimum wage standards, which may increase the price of goods and services they supply to us. Such increased expenses may cause our franchisees to exit the business or cause us to reduce the number of Company-owned stores, or otherwise adversely affect the amount of royalty payments and license fees we receive. On January 12, 2020, the U.S. Department of Labor announced a final rule to update and clarify the definition of joint employer under the FLSA. Under the final rule, the general test for assessing whether a party can be deemed a joint employer would be based upon whether that party (i) hires or fires the employee; (ii) supervises and controls the employee’s work schedule or conditions of employment;</w:t>
      </w:r>
    </w:p>
    <w:p>
      <w:pPr>
        <w:spacing w:after="0" w:line="2" w:lineRule="exact"/>
        <w:rPr>
          <w:sz w:val="20"/>
          <w:szCs w:val="20"/>
          <w:color w:val="auto"/>
        </w:rPr>
      </w:pPr>
    </w:p>
    <w:p>
      <w:pPr>
        <w:ind w:right="200" w:firstLine="8"/>
        <w:spacing w:after="0" w:line="251"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employee’s rate and method of payment; and (iv) maintains the employee’s employment records. In the final rule, the Department of Labor describes instances in which joint employment would not be more or less likely to be found to exist under the FLSA, which, according to the Department of Labor, includes the relationships that exist under the typical franchise business model. This rule may reduce a franchisor’s risk of liability that currently exists under the joint employer standard now in effect under the FLSA (though ultimately, the facts specific to the franchisor-franchisee model at issue would be considered when determining liability). On July 29, 2021, the Department of Labor issued a final rule rescinding the 2020 rule. The Department of Labor may revert to the more expansive interpretation of joint employer that existed prior to the adoption of the 2020 rule and/or interpretations that could result in franchisors being held liable or responsible for FLSA violations by their franchisees. The rules of the Department of Labor are separate from the joint employer standard under the NLRA or, as described above, potential liability as a joint employer under the NLRA.</w:t>
      </w:r>
    </w:p>
    <w:p>
      <w:pPr>
        <w:spacing w:after="0" w:line="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Laws targeting hidden fees and how businesses may advertise and/or market prices to consumers have been enacted in jurisdictions that include California and Minnesota, and these laws could impact our advertising, including advertising for our national offers. To the extent our advertising is negatively impacted, our business could be adversely affected.</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governmental authorities and private litigants have recently asserted claims against franchisors, including us, for provisions in our prior franchise agreements that restrict franchisees from soliciting or hiring the employees of other franchisees or the applicable franchisor. Claims against franchisors for such clauses include allegations that these clauses violate state and federal antitrust and unfair practices laws by restricting the free movement of employees of franchisees and/or franchisor (including the employees of Company-owned stores), thereby depressing the wages of those employees.</w:t>
      </w:r>
    </w:p>
    <w:p>
      <w:pPr>
        <w:spacing w:after="0" w:line="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(as amended, the “Affordable Care Act”) requires employers such as us to provide health insurance for all qualifying employees or pay penalties for not providing coverage. The majority of the increases in these costs began in 2015, and while the incremental costs of this program have not been material to us to date, we cannot predict what effect these costs will have on our results of operations and financial position, or the effects of the Affordable Care Act on some of our larger franchisees. Modifications to, or repeal of, all or certain provisions of the Affordable Care Act are also possible. Changes in tax laws or tax policy more broadly, increases in the enacted tax rates, adverse outcomes in connection with tax audits in any jurisdiction or any change in the pronouncements relating to accounting for income taxes could also impact our financial condition and results of operations.</w:t>
      </w:r>
    </w:p>
    <w:p>
      <w:pPr>
        <w:spacing w:after="0" w:line="18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We may also become subject to legislation or regulation seeking to tax and/or regulate certain foods deemed to be “unhealthy,” and our capital expenditures could increase due to remediation and compliance measures related to any such laws or regulations.</w:t>
      </w:r>
    </w:p>
    <w:p>
      <w:pPr>
        <w:spacing w:after="0" w:line="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Adverse government regulations and enforcement efforts or non-compliance by us or our franchisees with any of the foregoing laws and regulations could lead to various claims or governmental or judicial fines, sanctions or other enforcement measures, which could negatively impact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Market and General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value of the U.S. dollar in relation to other currencies may lead to lower revenues and earnings.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Exchange rate fluctuations could have an adverse effect on our results of operations, and we have in the past experienced significant adverse changes in foreign currency rates. International franchise royalties and fees represented approximately 6.8%, 6.9% and 6.5% of our total revenues in 2024, 2023 and 2022, respectively, a majority of which were denominated in foreign currencies. We also operate dough manufacturing and distribution facilities in Canada, which generate revenues denominated in Canadian dollars. Sales made by franchised stores outside the U.S. are denominated in the currency of the country in which the store is located, and this currency could become less valuable in U.S. dollars as a result of exchange rate fluctuations. Unfavorable currency fluctuations could lead to increased prices to customers outside the U.S. or lower profitability to our franchisees outside the U.S., or could result in lower revenues for us, on a U.S. dollar basis, from such customers and franchisees. A hypothetical 10% adverse change in the foreign currency rates in our international markets would have resulted in a negative impact on international royalty revenues of approximately $28.2 million in 2024.</w:t>
      </w:r>
    </w:p>
    <w:p>
      <w:pPr>
        <w:spacing w:after="0" w:line="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stock price may decline significantly or be subject to significant fluctuations.</w:t>
      </w:r>
    </w:p>
    <w:p>
      <w:pPr>
        <w:spacing w:after="0" w:line="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annual and quarterly financial results, including our sales and operating results, can vary significantly from quarter-to-quarter and year-to-year depending on various factors, many of which are beyond our control. These factors include, among other things:</w:t>
      </w:r>
    </w:p>
    <w:p>
      <w:pPr>
        <w:spacing w:after="0" w:line="6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timing and volume of our sales and our franchisees’ sales, including same store sales;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versus expectations of securities analysts or investors or against our guidance metrics;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sales;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availability of our ingredients or labor;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or actual changes to our capital or debt structure;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sales promotions, acquisitions or restructurings;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 or any share repurchase program;</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legislation or other regulatory developments affecting us or our industry;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and economic conditions generally as well as general market conditions;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1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our operational performance may decline quickly and significantly in response to changes in order patterns or rapid decreases in demand for our products. Any such decline may cause us and our franchisees to experience lower sales revenue. We anticipate that fluctuations in operating results will continue in the future, and such fluctuations may result in significant fluctuations or a significant decline in our stock price.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entire Board of Directors is engaged in risk management oversight, including the oversight of risks from cybersecurity threats. The Audit Committee assists the Board of Directors in its oversight of Domino’s company-wide risk management and the process established to identify, assess, measure, monitor and manage risks, including major information security and cybersecurity risks, with input from the Company’s internal committee dedicated to assessing and managing enterprise risk comprised of Company executives in addition to other senior leaders within the Company (the “Enterprise Risk Committee”).</w:t>
      </w:r>
    </w:p>
    <w:p>
      <w:pPr>
        <w:spacing w:after="0" w:line="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Cybersecurity and related matters are a recurring topic at meetings of the Audit Committee and the Company’s Executive Vice President and Chief Technology Officer (“CTO”) and Chief Information Security Officer (“CISO”) provide the Audit Committee with an update on the Company’s cybersecurity risk profile and strategy at multiple Audit Committee meetings each year. These updates include both qualitative and quantitative information on the effectiveness of the Company’s cybersecurity controls.</w:t>
      </w:r>
    </w:p>
    <w:p>
      <w:pPr>
        <w:spacing w:after="0" w:line="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an operational level, the Company’s cybersecurity strategy is shaped by its CISO who is ultimately responsible for implementing the Company’s cybersecurity policies, procedures and strategy under the oversight of the Enterprise Risk Committee. The Company’s CISO regularly provides updates to the Enterprise Risk Committee at relevant meetings and provides additional updates to the Company’s Chief Executive Officer, Executive Vice President and Chief Financial Officer, Executive Vice President, General Counsel and Corporate Secretary and CTO on a regular basis in between the meetings of the Enterprise Risk Committee. Such updates are designed to ensure the Enterprise Risk Committee and Company executives remain informed about and are able to monitor the prevention, detection, mitigation and remediation of cybersecurity incidents. The Company’s CISO has multiple decades of experience in the cybersecurity and information security fields with relevant experience supplemented by undergraduate and post-graduate degrees in information technology and security and completion of additional related executive education, along with holding several industry-recognized cybersecurity certifications. The Company’s CTO supplements the expertise and experience of the CISO.</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oversight of the Enterprise Risk Committee, relevant information regarding the Company’s cybersecurity profile and any cybersecurity threats or incidents is then communicated during the regular updates to the Audit Committee in a process designed to ensure the Board of Directors and Audit Committee maintains appropriate oversight of the Company’s cybersecurity strategy and risk profile.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Cybersecurity is a key component of the Company’s overall risk management system, and the Company believes it has implemented robust processes that are designed to effectively manage risks from cybersecurity threats. In addition to maintaining insurance coverage to address cyber incidents, the Company has also implemented processes, procedures and controls to help mitigate these risks. Domino’s cybersecurity program is embedded into the Company’s enterprise risk management framework from both a resource allocation and strategic initiative perspective and is supported by an extensive catalog of layered security controls that are designed to prevent and detect internal and external security threats and safeguard privacy and personal data of customers, team members, franchisees and other business partners. Domino’s maintains this comprehensive information security program with a dedicated team that is responsible for directing, coordinating, planning and organizing information security activities throughout the Company and is led by the Company’s CISO.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t>The Company leverages a combination of the National Institute of Standards and Technology (NIST) Cybersecurity Framework and the Center for Internet Security (CIS) Critical Security Controls as the scale against which to assess its information security program and invest in its ability to proactively defend against security risks within its environment. Domino’s conducts annual risk assessments, both internally and through the use of third parties, to evaluate the effectiveness of its security controls and identify new threats and vulnerabilities and appropriate controls to mitigate risks and supplements these regular assessments with ongoing monitoring. Additionally, Domino’s participates in ongoing and periodic assessments of its external platform and applications to include running a responsible disclosure program to ensure that vulnerabilities that are discovered can be reported and appropriately remediated. Domino’s has been certified as compliant with the Payment Card Industry Data Security Standard (“PCI DSS”) standards and has several dedicated teams of specialists within its information security department that routinely conduct internal and external vulnerability and penetration assessments in accordance with both PCI DSS and industry accepted practices. This team keeps the Company’s management informed about and monitors the prevention, detection, mitigation, and remediation of cybersecurity incidents and leads the Company’s processes to oversee and identify risks from cybersecurity threats associated with the Company’s use of its third-party service providers. The Company additionally has established and maintains a dedicated Security Operations Center (SOC) team that is responsible for quickly identifying and treating events that could pose risk to its technology environments and that has a documented incident response plan in place, which is periodically tested, reviewed and updated as appropriate. The Company trains its team members through annual cybersecurity awareness training, phishing simulations and periodic communications about timely cybersecurity topics and threats.</w:t>
      </w:r>
    </w:p>
    <w:p>
      <w:pPr>
        <w:spacing w:after="0" w:line="1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its vendors and service providers and their respective vendors and service providers face various security threats on a regular basis, including ongoing cybersecurity threats to and attacks on its and their information technology infrastructure that are intended to gain access to the Company’s proprietary information, destroy or modify data or disable, degrade or sabotage systems. Cyber incident techniques change frequently, may not immediately be recognized and can originate from a wide variety of sources, including as part of the supply-chain of software and computer code that supports the software and systems on which the Company and such parties rely. There has been an increase in the frequency, sophistication and ingenuity of the data security threats the Company and these vendors and service providers face, with attacks ranging from those common to businesses generally to those that are more advanced and persistent.</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While the Company does not believe that any risks from cybersecurity threats (as defined in Item 106 of Regulation S-K), including as a result of any previous cybersecurity incidents, have to-date materially affected the Company, including its business strategy, results of operations or financial condition, the occurrence of cybersecurity incidents, or a deficiency in cybersecurity, could negatively impact the Company’s business by causing a disruption to its operations, a compromise or corruption of confidential information, or damage to the Company’s employee and business relationships, any of which could have adverse effects on the Company’s results of operations, financial condition and cash flow and harm its brand. The costs related to cyber or other security threats or disruptions may not be fully insured or indemnified by others, including by the Company’s service providers. See “</w:t>
      </w:r>
      <w:r>
        <w:rPr>
          <w:rFonts w:ascii="Times New Roman" w:cs="Times New Roman" w:eastAsia="Times New Roman" w:hAnsi="Times New Roman"/>
          <w:sz w:val="18"/>
          <w:szCs w:val="18"/>
          <w:i w:val="1"/>
          <w:iCs w:val="1"/>
          <w:color w:val="auto"/>
        </w:rPr>
        <w:t>Risk Factors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r>
        <w:rPr>
          <w:rFonts w:ascii="Times New Roman" w:cs="Times New Roman" w:eastAsia="Times New Roman" w:hAnsi="Times New Roman"/>
          <w:sz w:val="18"/>
          <w:szCs w:val="18"/>
          <w:color w:val="auto"/>
        </w:rPr>
        <w:t>” for further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lease approximately 285,000 square feet for our World Resource Center, including our Domino’s Innovation Garage, located in Ann Arbor, Michigan under an operating lease with Domino’s Farms Office Park, L.L.C., an unrelated company. The lease, as amended, expires in 2029 and has two five-year renewal options.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own four supply chain center buildings. All other U.S. and Canadian supply chain centers are leased by us, under leases ranging between five and 21 years with one or two five-year renewal options. All buildings for U.S. Company-owned stores are leased by us, typically under ten-year leases with one or two five-year renewal options. All franchise stores are leased or owned directly by the respective franchisees. We believe that our existing headquarters and other leased and owned facilities are adequate to meet our current requirements, but we plan to continue investing in additional supply chain productivity initiatives in the future.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Executive Officers of the Registrant.</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listing of executive officers of the Company is set forth under Part III, Item 10. Directors, Executive Officers and Corporate Governance, which is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February 17, 2025, Domino’s Pizza, Inc. had 170,000,000 authorized shares of common stock, par value $0.01 per share, of which 34,296,712 were issued and outstanding. As of February 17, 2025, there were 1,458 registered holders of record of Domino’s Pizza, Inc.’s common stock. Beginning on January 2, 2025, Domino’s Pizza, Inc.’s common stock is traded on The Nasdaq Stock Market LLC (“Nasdaq”) under the ticker symbol “DPZ” following our voluntary withdrawal from listing on the New York Stock Exchange (“NYSE”) after market close on December 31, 2024.</w:t>
      </w:r>
    </w:p>
    <w:p>
      <w:pPr>
        <w:spacing w:after="0" w:line="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of Directors declared a quarterly dividend of $1.74 per common share on February 19, 2025 payable on March 28, 2025 to shareholders of record at the close of business on March 14, 2025.</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anticipate continuing the payment of quarterly cash dividends. The actual amount of such dividends, if any, will depend upon future earnings, results of operations, capital requirements, our financial condition and certain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21, 2024, our Board of Directors authorized an additional share repurchase program to repurchase up to $1.0 billion of our common stock, in addition to the $141.3 million that was previously remaining under our Board of Directors’ previous July 20, 2021 authorization for a total authorization of $1.14 billion for future share repurchases as of that date. As of December 29, 2024, we had $814.3 million remaining under this authorization for repurchases of shares of our common stock. Any future purchases of our common stock would be funded by current cash amounts, available borrowings or future excess cash flow. The following table summarizes our repurchase activity during the fourth quarter ended December 29,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Dollar Value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Purchased as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Part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May Yet</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Publicly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Be Purchased</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Announced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0" w:type="dxa"/>
            <w:vAlign w:val="bottom"/>
          </w:tcPr>
          <w:p>
            <w:pPr>
              <w:spacing w:after="0"/>
              <w:rPr>
                <w:sz w:val="1"/>
                <w:szCs w:val="1"/>
                <w:color w:val="auto"/>
              </w:rPr>
            </w:pPr>
          </w:p>
        </w:tc>
      </w:tr>
      <w:tr>
        <w:trPr>
          <w:trHeight w:val="13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Purchased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Paid</w:t>
            </w: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Program</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Program</w:t>
            </w:r>
          </w:p>
        </w:tc>
        <w:tc>
          <w:tcPr>
            <w:tcW w:w="0" w:type="dxa"/>
            <w:vAlign w:val="bottom"/>
          </w:tcPr>
          <w:p>
            <w:pPr>
              <w:spacing w:after="0"/>
              <w:rPr>
                <w:sz w:val="1"/>
                <w:szCs w:val="1"/>
                <w:color w:val="auto"/>
              </w:rPr>
            </w:pPr>
          </w:p>
        </w:tc>
      </w:tr>
      <w:tr>
        <w:trPr>
          <w:trHeight w:val="155"/>
        </w:trPr>
        <w:tc>
          <w:tcPr>
            <w:tcW w:w="55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#10 (September 9, 2024 to October 6, 2024)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428.84</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#11 (October 7, 2024 to November 3,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#12 (November 4, 2024 to December 1, 2024)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127,894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127,894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#13 (December 2, 2024 to December 29, 2024)</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458.34</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262,268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433.20</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258,568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814,337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580" w:right="160" w:hanging="378"/>
        <w:spacing w:after="0" w:line="298"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3,700 shares were purchased as part of the Company’s employee stock purchase discount plan. During the fourth quarter, the shares were purchased at an average price of $437.79.</w:t>
      </w:r>
    </w:p>
    <w:p>
      <w:pPr>
        <w:spacing w:after="0" w:line="69" w:lineRule="exact"/>
        <w:rPr>
          <w:rFonts w:ascii="Times New Roman" w:cs="Times New Roman" w:eastAsia="Times New Roman" w:hAnsi="Times New Roman"/>
          <w:sz w:val="16"/>
          <w:szCs w:val="16"/>
          <w:color w:val="auto"/>
        </w:rPr>
      </w:pPr>
    </w:p>
    <w:p>
      <w:pPr>
        <w:ind w:left="580" w:right="40" w:hanging="378"/>
        <w:spacing w:after="0" w:line="298"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spacing w:after="0" w:line="258" w:lineRule="auto"/>
        <w:rPr>
          <w:sz w:val="20"/>
          <w:szCs w:val="20"/>
          <w:color w:val="auto"/>
        </w:rPr>
      </w:pPr>
      <w:r>
        <w:rPr>
          <w:rFonts w:ascii="Times New Roman" w:cs="Times New Roman" w:eastAsia="Times New Roman" w:hAnsi="Times New Roman"/>
          <w:sz w:val="18"/>
          <w:szCs w:val="18"/>
          <w:color w:val="auto"/>
        </w:rPr>
        <w:t>The following comparative stock performance line graph compares the cumulative shareholder return of the common stock of Domino’s Pizza, Inc. (Nasdaq: DPZ) for the five-year period between December 27, 2019 and December 29, 2024, with the cumulative total return of (i) the Standard &amp; Poor’s 500 Index (the “S&amp;P 500”) and (ii) the Company’s peer group, the Standard &amp; Poor’s Composite 1500 Restaurant Index (the “S&amp;P 1500 Restaurant Index”). The cumulative total return computations set forth in the performance graph assume the investment of $100 in each of the Company’s common stock, the S&amp;P 500 and the S&amp;P 1500 Restaurant Index on December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4577715" cy="3077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7771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fiscal year typically includes 52 weeks, comprised of three twelve-week quarters and one sixteen-week quarter.</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fiscal year ended December 29, 2024 compared to the fiscal year ended December 31, 2023. For a discussion of the fiscal year ended December 31, 2023 compared to the fiscal year ended January 1, 2023, please refer to Part II, Item 7, “Management’s Discussion and Analysis of Financial Condition and Results of Operations” in our Annual Report on Form 10-K for the fiscal year ended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21,300 locations in over 90 markets around the world as of December 29, 2024,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December 29, 2024.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We also have a global agreement with Uber Technologies, Inc. to allow customers to order Domino’s products through their marketplace. Our hand-tossed dough is made fresh and distributed to stores around the world by us and our franchisees.</w:t>
      </w:r>
    </w:p>
    <w:p>
      <w:pPr>
        <w:spacing w:after="0" w:line="8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and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At Domino’s, we believe we have a proven business model for success that has historically driven strong returns for our shareholders.</w:t>
      </w:r>
    </w:p>
    <w:p>
      <w:pPr>
        <w:spacing w:after="0" w:line="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long-lived assets, casualty insurance reserves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and changes in estimates could materially affect our results of operations and financial condition for any particular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most critical accounting estimates are: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record long-lived assets, including property, plant and equipment and capitalized software, at cost. For 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the potential impairment of long-lived assets at least annually or whenever events or changes in circumstances indicate that the carrying amount of the assets may not be recoverable. Our periodic evaluation is based on various analyses, including, on an annual basis, the projection of undiscounted cash flows. If we determine that the carrying amount of an asset (or asset group) may not be recoverable, we compare the net carrying value of the asset group to the undiscounted net cash flows to be generated from the use and eventual disposition of that asset group. For Company-owned stores, we perform related impairment tests on an operating market basis, which we have determined to be the lowest level for which identifiable cash flows are largely independent of other cash flows. If the carrying amount of a long-lived asset exceeds the amount of the expected future undiscounted cash flows of that asset, we estimate the fair value of the asset. If the carrying amount of the asset exceeds the estimated fair value of the asset, an impairment loss is recognized, and the asset is written down to its estimated fair value.</w:t>
      </w:r>
    </w:p>
    <w:p>
      <w:pPr>
        <w:spacing w:after="0" w:line="9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not made any significant changes in the methodology used to project the future market cash flows of Company-owned stores during the years presented. Same store sales fluctuations and the rates at which operating costs will fluctuate in the future are key factors in determining projected cash flows used to evaluate recoverability of the related assets. If our same store sales significantly decline or if operating costs increase and we are unable to recover these costs, the carrying value of our Company-owned stores, by market, may not be recoverable and we may be required to recognize an impairment charge. There were no triggering events in 2024, 2023 or 2022, and accordingly, we did not record any impairment losses on long-lived assets in 2024, 2023 and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insurance reserves</w:t>
      </w:r>
    </w:p>
    <w:p>
      <w:pPr>
        <w:spacing w:after="0" w:line="1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certain periods prior to December 1998 and for periods after December 2001, we maintain insurance coverage for workers’ compensation, general liability and owned and non-owned automobile liabilities. We are generally responsible for up to $1.0 million per occurrence under these retention programs for workers’ compensation and up to $2.0 million per occurrence under these retention programs for general liability, depending on policy year and line of coverage. We are generally responsible for up to between $500,000 and $5.5 million per occurrence under these retention programs for owned and non-owned automobile liabilities, depending on policy year and line of coverage. The related insurance reserves are based on undiscounted independent actuarial estimates, which are based on historical information along with assumptions about future events. There is inherent uncertainty in the ultimate cost for known claims under our insurance coverages, and for incidents that have occurred that will be subject to a claim, but have yet to be reported to us.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6" w:name="page37"/>
    <w:bookmarkEnd w:id="36"/>
    <w:p>
      <w:pPr>
        <w:ind w:right="40"/>
        <w:spacing w:after="0" w:line="255" w:lineRule="auto"/>
        <w:rPr>
          <w:sz w:val="20"/>
          <w:szCs w:val="20"/>
          <w:color w:val="auto"/>
        </w:rPr>
      </w:pPr>
      <w:r>
        <w:rPr>
          <w:rFonts w:ascii="Times New Roman" w:cs="Times New Roman" w:eastAsia="Times New Roman" w:hAnsi="Times New Roman"/>
          <w:sz w:val="18"/>
          <w:szCs w:val="18"/>
          <w:color w:val="auto"/>
        </w:rPr>
        <w:t>Our methodology for determining our exposure has remained consistent throughout the years presented. Management believes that the various assumptions developed, and actuarial methods used to determine our casualty insurance reserves are reasonable and provide meaningful data that management uses to make its best estimate of our exposure to these risks. Changes in assumptions for such factors as medical costs and legal actions, as well as changes in actual experience, could cause our estimates to change in the near term which could result in an increase or decrease in the related expense in future periods. A 10% change in our casualty insurance liability at December 29, 2024 would have affected our income before provision for income taxes by approximately $5.1 million in 2024. We had accruals for casualty insurance reserves of $50.7 million and $56.3 million at December 29, 2024 and December 31,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U.S. Federal statutory income tax rate was 21% in each of 2024, 2023 and 2022. Our Federal income tax provision calculated based on the Federal statutory rate was $151.7 million, $137.0 million and $120.3 million in 2024, 2023 and 2022, respectively.</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based on the differences between the financial statement carrying amounts and the tax basis of assets and liabilities. We measure deferred taxes using current enacted tax rates that will apply in the years in which we expect the temporary differences to be recovered or paid. Judgment is required in determining the provision for income taxes, related reserves and deferred taxes. These include establishing a valuation allowance related to the ability to realize certain deferred tax assets, if necessary. On an ongoing basis, management will assess whether it remains more likely than not that the deferred tax assets will be realized. Our accounting for deferred taxes represents our best estimate of future events. Except with respect to certain foreign tax credits and interest deductibility in separately filed states, our deferred tax assets assume that we will generate sufficient taxable income in specific tax jurisdictions, based on our estimates and assumptions. As of December 29, 2024 and December 31, 2023, we had total foreign tax credits of $21.0 million and $16.8 million, respectively, each of which were fully offset with a corresponding valuation allowance. We also had valuation allowances related to interest deductibility in separately filed states of $1.4 million and $1.4 million as of December 29, 2024 and December 31, 2023, respectively. We believe our remaining deferred tax assets will be realized. Changes in our current estimates due to unanticipated events could have a material impact on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Fiscal 2024 Highlights</w:t>
      </w:r>
    </w:p>
    <w:p>
      <w:pPr>
        <w:spacing w:after="0" w:line="125" w:lineRule="exact"/>
        <w:rPr>
          <w:sz w:val="20"/>
          <w:szCs w:val="20"/>
          <w:color w:val="auto"/>
        </w:rPr>
      </w:pPr>
    </w:p>
    <w:p>
      <w:pPr>
        <w:ind w:left="760" w:right="160" w:hanging="378"/>
        <w:spacing w:after="0" w:line="255"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Sales: Global retail sales, excluding foreign currency impact (which includes total retail sales at Company-owned and franchised stores worldwide), increased 5.9% as compared to 2023. U.S. retail sales increased 5.3% and international retail sales, excluding foreign currency impact, increased 6.5%, as compared to 2023. Same store sales increased 3.2% in our U.S. stores and increased 1.6%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Stores: Global net store growth of 775 stores, including 160 net store openings in the U.S. and 615 net store openings internationally.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Profits: Income from operations increased 7.3%.</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2024, driven by same store sales growth and net store growth in both our U.S. and international businesses. These factors, as well as gross margin dollar improvement within supply chain driven primarily by procurement productivity, also contributed to an increase in income from operations.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Statistical Measures</w:t>
      </w:r>
    </w:p>
    <w:p>
      <w:pPr>
        <w:spacing w:after="0" w:line="1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9,026.1</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8,751.7</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9,249.7</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8,788.2</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19,124.2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18,275.8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17,539.9</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2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210"/>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International stores (excluding foreign currency impact) </w:t>
            </w:r>
            <w:r>
              <w:rPr>
                <w:rFonts w:ascii="Times New Roman" w:cs="Times New Roman" w:eastAsia="Times New Roman" w:hAnsi="Times New Roman"/>
                <w:sz w:val="24"/>
                <w:szCs w:val="24"/>
                <w:color w:val="auto"/>
                <w:vertAlign w:val="superscript"/>
              </w:rPr>
              <w:t>(1)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+ 7.7%</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w:t>
            </w:r>
          </w:p>
        </w:tc>
        <w:tc>
          <w:tcPr>
            <w:tcW w:w="120" w:type="dxa"/>
            <w:vAlign w:val="bottom"/>
          </w:tcPr>
          <w:p>
            <w:pPr>
              <w:spacing w:after="0"/>
              <w:rPr>
                <w:sz w:val="18"/>
                <w:szCs w:val="18"/>
                <w:color w:val="auto"/>
              </w:rPr>
            </w:pPr>
          </w:p>
        </w:tc>
      </w:tr>
      <w:tr>
        <w:trPr>
          <w:trHeight w:val="210"/>
        </w:trPr>
        <w:tc>
          <w:tcPr>
            <w:tcW w:w="69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Total (excluding foreign currency impact) </w:t>
            </w:r>
            <w:r>
              <w:rPr>
                <w:rFonts w:ascii="Times New Roman" w:cs="Times New Roman" w:eastAsia="Times New Roman" w:hAnsi="Times New Roman"/>
                <w:sz w:val="24"/>
                <w:szCs w:val="24"/>
                <w:color w:val="auto"/>
                <w:vertAlign w:val="superscript"/>
              </w:rPr>
              <w:t>(2)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w:t>
            </w:r>
          </w:p>
        </w:tc>
        <w:tc>
          <w:tcPr>
            <w:tcW w:w="120" w:type="dxa"/>
            <w:vAlign w:val="bottom"/>
            <w:shd w:val="clear" w:color="auto" w:fill="CFF0FC"/>
          </w:tcPr>
          <w:p>
            <w:pPr>
              <w:spacing w:after="0"/>
              <w:rPr>
                <w:sz w:val="18"/>
                <w:szCs w:val="18"/>
                <w:color w:val="auto"/>
              </w:rPr>
            </w:pPr>
          </w:p>
        </w:tc>
      </w:tr>
    </w:tbl>
    <w:p>
      <w:pPr>
        <w:spacing w:after="0" w:line="104" w:lineRule="exact"/>
        <w:rPr>
          <w:sz w:val="20"/>
          <w:szCs w:val="20"/>
          <w:color w:val="auto"/>
        </w:rPr>
      </w:pPr>
    </w:p>
    <w:p>
      <w:pPr>
        <w:ind w:left="480" w:right="40" w:hanging="459"/>
        <w:spacing w:after="0" w:line="236" w:lineRule="auto"/>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2024 fiscal year figure excludes the impact of the Russia market. Including the impact of the Russia market, international stores retail sales growth, excluding foreign currency impact, was 6.1%.</w:t>
      </w:r>
    </w:p>
    <w:p>
      <w:pPr>
        <w:ind w:left="480" w:right="40" w:hanging="459"/>
        <w:spacing w:after="0" w:line="239" w:lineRule="auto"/>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2024 fiscal year figure excludes the impact of the Russia market. Including the impact of the Russia market, total global retail sales growth, excluding foreign currency impact, was 5.7%.</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stores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w:t>
            </w:r>
          </w:p>
        </w:tc>
        <w:tc>
          <w:tcPr>
            <w:tcW w:w="1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w:t>
            </w:r>
          </w:p>
        </w:tc>
        <w:tc>
          <w:tcPr>
            <w:tcW w:w="1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+ 0.1%</w:t>
            </w:r>
          </w:p>
        </w:tc>
      </w:tr>
    </w:tbl>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U.S. same store sales increased 3.2% during 2024, rolling over an increase in U.S. same store sales of 1.6% in 2023. The increase in U.S. same store sales was primarily driven by higher orders resulting from our Domino’s Rewards loyalty program and other national offers, as well as from Uber’s order aggregation marketplace. International same store sales (excluding foreign currency impact) increased 1.6% during 2024, rolling over an increase in international same store sales (excluding foreign currency impact) of 1.7% in 2023. The increase in international same store sales was attributable to higher customer transaction counts, as well as a slightly higher average ticket per transaction.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Store Growth</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2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2, 2022</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(229 )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1, 2023</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(349 )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December 31, 2023</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December 29, 2024</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Fiscal 2024 net store growth</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-170815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-187960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Market</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August 21, 2023, our master franchisee that owned and operated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stores in Russia announced its intent to file for bankruptcy with respect to the stores in that market. Therefore, as of August 21, 2023, we have considered the stores in the Russia market to be closed and they are excluded from our ending store count as of the end of the third quarter of 2023. We have presented our statistical measure of global retail sales growth, excluding foreign currency impact for fiscal 2024 excluding the retail sales from the Russia market from the 2023 retail sales base. We believe the impact of the Russia market on our statistical measure of global retail sales growth, excluding foreign currency impact for the other periods presented was immaterial. We believe the impact of the Russia market on our statistical measure of same store sales growth for the periods presented was immaterial, and we also believe the impact of the Russia market on our consolidated statements of income related to international franchise royalties and fee revenues and general and administrative expenses for the periods presented was immaterial. We have not received any royalties and fees from the operations of the Russia market subsequent to the Russian invasion of Ukraine in February 2022.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r>
      <w:tr>
        <w:trPr>
          <w:trHeight w:val="209"/>
        </w:trPr>
        <w:tc>
          <w:tcPr>
            <w:tcW w:w="4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60.7 %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61.4 %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63.7 %</w:t>
            </w:r>
          </w:p>
        </w:tc>
      </w:tr>
      <w:tr>
        <w:trPr>
          <w:trHeight w:val="20"/>
        </w:trPr>
        <w:tc>
          <w:tcPr>
            <w:tcW w:w="40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36.3 %</w:t>
            </w: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10.7 %</w:t>
            </w: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 (gain)</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(21.2 )</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40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16.9 %</w:t>
            </w: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(178.8 )</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(184.8 )</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(195.1 )</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4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14.6 %</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12.6 %</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4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-1996440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-1996440</wp:posOffset>
            </wp:positionV>
            <wp:extent cx="1543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-1996440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-1996440</wp:posOffset>
            </wp:positionV>
            <wp:extent cx="154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-1996440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-1996440</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-1430655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-1430655</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-1430655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-1430655</wp:posOffset>
            </wp:positionV>
            <wp:extent cx="1543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-1430655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-1430655</wp:posOffset>
            </wp:positionV>
            <wp:extent cx="154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-873760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-873760</wp:posOffset>
            </wp:positionV>
            <wp:extent cx="154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-873760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-873760</wp:posOffset>
            </wp:positionV>
            <wp:extent cx="1543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-873760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-873760</wp:posOffset>
            </wp:positionV>
            <wp:extent cx="1543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154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154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54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2024 compared to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5"/>
                <w:szCs w:val="15"/>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13.6 %</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3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1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60.4 %</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60.6 %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6.8 %</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10.8 %</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5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-153670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-153670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-153670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and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Consolidated revenues increased $227.1 million, or 5.1%, in 2024 due primarily to higher supply chain revenues, higher global franchise royalties and fees and higher advertising revenues. The increase in supply chain revenues was primarily attributable to higher order volumes, as well as an increase in the Company’s food basket pricing to stores. Global franchise royalties and fees increased primarily as a result of higher same store sales and net store growth, and U.S. franchise advertising revenues increased primarily as a result of the increase in the advertising contribution rate, higher same store sales and net store growth. These changes in revenues are described in more detail below.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5"/>
                <w:szCs w:val="15"/>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41.4 %</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41.6 %</w:t>
            </w: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33.1 %</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32.5 %</w:t>
            </w:r>
          </w:p>
        </w:tc>
      </w:tr>
      <w:tr>
        <w:trPr>
          <w:trHeight w:val="20"/>
        </w:trPr>
        <w:tc>
          <w:tcPr>
            <w:tcW w:w="5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U.S. stores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-153670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-153670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-153670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Revenues from U.S. Company-owned store operations increased $17.7 million, or 4.7%, in 2024 primarily due to higher same store sales and net store growth.</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Company-owned same store sales increased 3.5% in 2024 and increased 5.4% in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Revenues from U.S. franchise royalties and fees increased $33.3 million, or 5.5%, in 2024 primarily due to higher same store sales and net store growth. Additionally, U.S. franchise royalties and fees benefited from an increase in digital transactions which resulted in an increase in fees paid by our franchisees for the use of our technology platforms, but this increase was partially offset by a net $0.04 decrease in the digital per transaction technology fee to $0.355 effectuated as of March 25,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franchise same store sales increased 3.2% in 2024 and increased 1.4% in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Revenues from U.S. franchise advertising increased $36.7 million, or 7.7%, in 2024 primarily due to higher same store sales and net store growth, as well as the return to the standard 6.0% advertising contribution rate at the beginning of the second quarter of 2024 following the end of the temporary reduction to 5.75% which began in the second quarter of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Supply chain revenues increased $130.8 million, or 4.8%, in 2024 due primarily to higher order volumes, as well as an increase in our food basket pricing to stores. These increases were partially offset by a shift in the relative mix of products we sell, as well as the transition of our equipment and supplies business to a third-party supplier. Our food basket pricing to stores increased 1.4% during 2024, which resulted in an estimated $34 million increase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 Revenues</w:t>
      </w:r>
    </w:p>
    <w:p>
      <w:pPr>
        <w:spacing w:after="0" w:line="13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$8.6 million, or 2.8%, in 2024 due primarily to net store growth and same store sales growth (excluding foreign currency impact), but this increase was partially offset by the negative impact of changes in foreign currency exchange rates of approximately $5.8 million in 2024.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International franchise same store sales, excluding the impact of changes in foreign currency exchange rates, increased 1.6% in 2024 and increased 1.7% in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Gross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5"/>
                <w:szCs w:val="15"/>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1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60.7 %</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61.4 %</w:t>
            </w:r>
          </w:p>
        </w:tc>
      </w:tr>
      <w:tr>
        <w:trPr>
          <w:trHeight w:val="20"/>
        </w:trPr>
        <w:tc>
          <w:tcPr>
            <w:tcW w:w="5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39.3 %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38.6 %</w:t>
            </w:r>
          </w:p>
        </w:tc>
      </w:tr>
      <w:tr>
        <w:trPr>
          <w:trHeight w:val="20"/>
        </w:trPr>
        <w:tc>
          <w:tcPr>
            <w:tcW w:w="5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 Consolidated gross margin (which we define as revenues less cost of sales) increased $121.1 million, or 7.0%, in 2024 due primarily to higher global franchise revenues, as well as gross margin dollar growth within supply chain, discussed below. Franchise revenues do not have a cost of sales component, so changes in these revenues have a disproportionate effect on gross margin. We generally update our supply chain gross margin structure on an annual basis. However,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9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a percentage of revenues, the consolidated gross margin increased 0.7 percentage points to 39.3% in 2024 from 38.6% in 2023. U.S. Company-owned store gross margin increased 0.3 percentage points in 2024, and supply chain gross margin increased 0.9 percentage points in 2024. Changes in the significant components of gross margin are described in more detail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Stores Gross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5"/>
                <w:szCs w:val="15"/>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83.3 %</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83.6 %</w:t>
            </w:r>
          </w:p>
        </w:tc>
      </w:tr>
      <w:tr>
        <w:trPr>
          <w:trHeight w:val="20"/>
        </w:trPr>
        <w:tc>
          <w:tcPr>
            <w:tcW w:w="5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16.7 %</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16.4 %</w:t>
            </w:r>
          </w:p>
        </w:tc>
      </w:tr>
      <w:tr>
        <w:trPr>
          <w:trHeight w:val="20"/>
        </w:trPr>
        <w:tc>
          <w:tcPr>
            <w:tcW w:w="57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increased $4.4 million, or 7.2%, in 2024. As a percentage of store revenues, U.S. Company-owned store gross margin increased 0.3 percentage points in 2024. These changes in gross margin as a percentage of revenues are discussed in additional detail below.</w:t>
      </w:r>
    </w:p>
    <w:p>
      <w:pPr>
        <w:spacing w:after="0" w:line="81"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0.1 percentage points to 29.0% in 2024.</w:t>
      </w:r>
    </w:p>
    <w:p>
      <w:pPr>
        <w:spacing w:after="0" w:line="13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0.3 percentage points to 31.3% in 2024 due to labor cost improvements as a result of store level productivity and sales leverage driven by higher order counts. These improvements in labor cost were partially offset by higher wage rates in our U.S. Company-owned stores.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Gross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5"/>
                <w:szCs w:val="15"/>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1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88.9 %</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89.8 %</w:t>
            </w:r>
          </w:p>
        </w:tc>
      </w:tr>
      <w:tr>
        <w:trPr>
          <w:trHeight w:val="20"/>
        </w:trPr>
        <w:tc>
          <w:tcPr>
            <w:tcW w:w="5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5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120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Supply chain gross margin increased $38.2 million, or 13.7%, in 2024. As a percentage of supply chain revenues, supply chain gross margin increased 0.9 percentage points in 2024. These changes in gross margin as a percentage of revenues are discussed in additional detail below.</w:t>
      </w:r>
    </w:p>
    <w:p>
      <w:pPr>
        <w:spacing w:after="0" w:line="67" w:lineRule="exact"/>
        <w:rPr>
          <w:sz w:val="20"/>
          <w:szCs w:val="20"/>
          <w:color w:val="auto"/>
        </w:rPr>
      </w:pPr>
    </w:p>
    <w:p>
      <w:pPr>
        <w:ind w:left="760" w:right="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1.1 percentage points to 71.3% in 2024 driven primarily by procurement productivity. The increase in the commodity costs within our food basket sold to stores partially offset this improvement.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0.1 percentage points to 9.2% in 2024 due primarily to higher wage rates in our supply chain centers in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$24.9 million, or 5.7%, in 2024 due primarily to higher labor costs, partially offset by a shift in the timing of investments.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U.S. franchise advertising expenses increased $36.7 million, or 7.7%, in 2024,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income was $22.1 million and $17.7 million in 2024 and 2023, respectively, representing the net realized and unrealized gains on our investment in DPC Dash. The recorded amount of our investment is based on the active exchange quoted price for the equity security. Additional information related to our investment in DPC Dash is included in Note 1 and Note 4 to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expense, net, decreased $5.9 million, or 3.2%, in 2024 driven by higher interest income earned on our cash equivalents in 2024. Our weighted average borrowing rate was 3.8% in both 2024 and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Provision for income taxes increased $4.7 million, or 3.5%, in 2024 due to an increase in income before the provision for income taxes, partially offset by a lower effective tax rate. The effective tax rate decreased to 19.1% during 2024, as compared to 20.4% in 2023. The lower effective tax rate in 2024 was driven by a 2.6 percentage point favorable change in the impact of excess tax benefits from equity-based compensation, which is recorded as a reduction to the provision for income taxes. Lower foreign derived intangible income deductions partially offset the decrease in the effective tax 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565.4</w:t>
            </w:r>
          </w:p>
        </w:tc>
        <w:tc>
          <w:tcPr>
            <w:tcW w:w="5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1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280.6</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260.7</w:t>
            </w: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shd w:val="clear" w:color="auto" w:fill="CFF0FC"/>
          </w:tcPr>
          <w:p>
            <w:pPr>
              <w:spacing w:after="0"/>
              <w:rPr>
                <w:sz w:val="18"/>
                <w:szCs w:val="18"/>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Stores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stores Segment Income increased $44.4 million, or 8.5%, in 2024, primarily due to higher U.S. franchise royalties and fees revenues, as well as the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$4.4 million increase in U.S. Company-owned store gross margin, each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w:t>
      </w:r>
    </w:p>
    <w:p>
      <w:pPr>
        <w:spacing w:after="0" w:line="13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Supply chain Segment Income increased $35.2 million, or 14.3%, in 2024, primarily due to the $38.2 million increase in supply chain gross margin, discussed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Franchise</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International franchise Segment Income increased $1.1 million, or 0.4%, in 2024, primarily due to higher international franchise royalties and fees revenues, as discussed above. International franchise revenues do not have a cost of sales component, so changes in these revenues have a disproportionate effect on international franchise Segment Income. The increase in international franchise Segment Income was partially offset by travel expenses for our Worldwide Rally that takes place every two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impact of new accounting pronouncements adopted and the estimated impact of new accounting pronouncements that we will adopt in future years is included in Note 1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2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December 29, 2024, we had negative working capital totaling $904.4 million, which primarily included $1.14 billion of current portion of long-term debt associated with our 2018 7.5-Year Notes and 2015 Ten-Year Notes (each as defined below) for each of which the anticipated repayment date is October 2025. Our working capital amount excludes restricted cash and cash equivalents of $195.4 million, advertising fund assets, restricted of $103.4 million and advertising fund liabilities of $101.6 million. Working capital includes total unrestricted cash and cash equivalents of $186.1 million.</w:t>
      </w:r>
    </w:p>
    <w:p>
      <w:pPr>
        <w:spacing w:after="0" w:line="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variable funding notes. During 2024, we experienced global retail sales growth, excluding foreign currency impact, in both our U.S. and international businesses. These factors contributed to our continued ability to generate positive operating cash flows. In addition to our cash flows from operations, we have two variable funding note facilities. The facilities include our 2022 Variable Funding Notes (defined below), which allows for advances of up to $120.0 million, as well as our 2021 Variable Funding Notes (defined below), which allows for advances of up to $200.0 million and certain other credit instruments, including letters of credit (the 2021 Variable Funding Notes and the 2022 Variable Funding Notes, the “2022 and 2021 Variable Funding Notes”). The letters of credit primarily relate to our casualty insurance programs and certain supply chain center leases. As of December 29, 2024, we had no outstanding borrowings and $120.0 million of available borrowing capacity under our 2022 Variable Funding Notes. As of December 29, 2024, we had no outstanding borrowings and $143.6 million of available borrowing capacity under our 2021 Variable Funding Notes, net of letters of credit issued of $56.4 million.</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business and other strategic opportunities, repay outstanding borrowings under our securitized debt, pay dividends and repurchase and retire shares of our common stock.</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in Item 1A. Risk Factors.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Notes (defined below) and to service, extend or refinance our 2022 and 2021 Variable Funding Notes will be subject to future economic conditions and to financial, business and other factors, many of which are beyond our control.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December 29, 2024, we had $144.0 million of restricted cash and cash equivalents held for future principal and interest payments and other working capital requirements of our asset-backed securitization structure, $51.2 million of restricted cash equivalents held in a three-month interest reserve as required by the related debt agreements and $0.2 million of other restricted cash for a total of $195.4 million of restricted cash and cash equivalents. As of December 29, 2024, we also held $80.9 million of advertising fund restricted cash and cash equivalents which can only be used for activities that promote the Domino’s brand.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Variable Funding Notes</w:t>
      </w:r>
    </w:p>
    <w:p>
      <w:pPr>
        <w:spacing w:after="0" w:line="13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On September 16, 2022, certain of our subsidiaries issued a variable funding note facility which allows for advances of up to $120.0 million of Series 2022-1 Variable Funding Senior Secured Notes, Class A-1 Notes (the “2022 Variable Funding Notes”). Additional information related to our 2022 Variable Funding Notes is included in Note 3 to our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Variable Funding Notes</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2021 Recapitalization, certain of our subsidiaries issued a variable funding note facility which allows for advances of up to $200.0 million of Series 2021-1 Variable Funding Senior Secured Notes, Class A-1 Notes and certain other credit instruments, including letters of credit (the “2021 Variable Funding Notes”). Additional information related to our 2021 Variable Funding Notes is included in Note 3 to our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Recapitalization</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16, 2021, we completed the 2021 Recapitalization in which certain of our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 Additional information related to the 2021 Recapitalization is included in Note 3 to our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2019 Recapitalization</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November 19, 2019, we completed the 2019 Recapitalization in which certain of our subsidiaries issued $675.0 million Series 2019-1 3.668% Fixed Rate Senior Secured Notes, Class A-2 with an anticipated term of 10 years (the “2019 Notes”) pursuant to an asset-backed securitization. Gross proceeds from the issuance of the 2019 Notes were $675.0 million. Additional information related to the 2019 Recapitalization is included in Note 3 to our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Recapitalization</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24, 2018, we completed the 2018 Recapitalization in which certain of our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Gross proceeds from the issuance of the 2018 Notes were $825.0 million. Additional information related to the 2018 Recapitalization is included in Note 3 to our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2017 Recapitalization</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24, 2017, we completed the 2017 Recapitalization in which certain of our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10 years (the “2017 Ten-Year Notes” and, collectively with the 2017 Floating Rate Notes and the 2017 Five-Year Notes, the “2017 Notes”). Gross proceeds from the issuance of the 2017 Notes were $1.9 billion. The 2017 Floating Rate Notes and the 2017 Five-Year Notes were repaid in connection with the 2021 Recapitalization. Additional information related to the 2017 Recapitalization is included in Note 3 to our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2015 Recapitalization</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21, 2015, we completed the 2015 Recapitalization in which certain of our subsidiaries issued notes pursuant to an asset-backed securitization. The notes consisted of $500.0 million of Series 2015-1 3.484% Fixed Rate Senior Secured Notes, Class A-2-I (the “2015 Five-Year Notes”), $800.0 million Series 2015-1 4.474% Fixed Rate Senior Secured Notes, Class A-2-II (the “2015 Ten-Year Notes” and collectively with the 2015 Five-Year Notes, the “2015 Notes”). Gross proceeds from the issuance of the 2015 Notes were $1.3 billion. The 2015 Five-Year Notes were repaid in connection with the 2018 Recapitalization. Additional information related to the 2015 Recapitalization is included in Note 3 to our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2019, 2018, 2017 and 2015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Notes, 2019 Notes, 2018 Notes, 2017 Notes and the 2015 Notes are collectively referred to as the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have original scheduled principal payments of $1.18 billion in 2025, $39.3 million in 2026, $1.31 billion in 2027, $817.9 million in 2028,</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$631.0 million in 2029, $10.0 million in 2030 and $912.5 million in 2031. However, in accordance with our debt agreements, the payment of principal on the outstanding senior notes may be suspended if our Holdco Leverage Ratio is less than or equal to 5.0x total debt to Consolidated Adjusted EBITDA, each as defined in the indenture governing our securitized debt, and no catch-up provisions are applicable.</w:t>
      </w:r>
    </w:p>
    <w:p>
      <w:pPr>
        <w:spacing w:after="0" w:line="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the end of each of the fiscal quarters in 2024, we had a Holdco Leverage Ratio of less than 5.0x, and accordingly, did not make the previously scheduled debt amortization payments for our outstanding notes beginning in the second quarter of 2024. Accordingly, the outstanding principal amounts of our 2021 Notes, 2019 Notes, 2018 9.25-Year Notes and 2017 Ten-Year Notes have been classified as long-term debt in the consolidated balance sheet as of December 29, 2024.</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anticipated repayment date for each of the 2018 7.5-Year Notes and the 2015 Ten-Year Notes is October 2025 and accordingly, the outstanding principal amounts for these notes have been classified as current portion of long-term debt in the consolidated balance sheet as of December 29, 2024. We expect to refinance the 2018 7.5-Year Notes and the 2015 Ten-Year Notes prior to the anticipated repayment date. If we do not refinance the 2018 7.5-Year Notes and the 2015 Ten-Year Notes prior to the anticipated repayment date, additional interest of at least 5% per annum will accrue and our cash flows other than technology fees and a weekly management fee to cover certain general and administrative expenses would be directed to the repayment of the securitized debt.</w:t>
      </w:r>
    </w:p>
    <w:p>
      <w:pPr>
        <w:spacing w:after="0" w:line="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indenture governing our securitized debt. In the event that certain covenants are not met, the Notes may become due and payable on an accelerated schedule.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lease certain retail store and supply chain center locations, supply chain vehicles, various equipment and our World Resource Center under leases with expiration dates through 2045. Refer to Note 5 to the consolidated financial statements for additional information regarding our leases, including future minimum rental commitments.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3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the past three years, we have spent approximately $305.5 million on capital expenditures. In 2024, we spent $112.9 million on capital expenditures which primarily related to investments in our technology initiatives, supply chain centers and corporate store operations. We did not have any material commitments for capital expenditures as of December 29,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hold a non-controlling interest in DPC Dash, our master franchisee in China that owns and operates Domino’s Pizza stores in that market.</w:t>
      </w:r>
    </w:p>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29, 2024 and December 31, 2023, the fair value of our investment in DPC Dash was $82.7 million and $143.6 million, respectively. The fair value of our investment in DPC Dash was based on the active exchange quoted price for the equity security of HK$79.25 per share as of December 29, 2024 and HK$61.95 per share as of December 31, 2023. We owned 8,101,019 and 18,101,019 ordinary shares as of December 29, 2024 and December 31, 2023, respectively. We sold 10,000,000 ordinary shares of our investment in DPC Dash in the fourth quarter of 2024 for net proceeds of $82.9 million. We recorded a total net adjustment to the net carrying amount of our investment in DPC Dash of $22.1 million and $17.7 million in 2024 and 2023, respectively, with the net realized and unrealized gains recorded in other income in our consolidated statements of income.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variable funding notes. We used cash of $327.0 million in 2024, $269.0 million in 2023 and $293.7 million in 2022 for share repurchases.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February 21, 2024, our Board of Directors authorized an additional share repurchase program to repurchase up to $1.0 billion of our common stock, in addition to the $141.3 million that was previously remaining under our previous July 20, 2021 authorization for a total authorization of $1.14 billion for future share repurchases as of that date. As of December 29, 2024, we had $814.3 million remaining under this authorization for repurchases of shares of our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declared dividends of $210.7 million (or $6.04 per share) in 2024, $170.4 million (or $4.84 per share) in 2023 and $157.5 million (or $4.40 per share) in 2022. We paid dividends of $209.9 million, $169.8 million and $157.5 million in 2024, 2023 and 2022, respectively.</w:t>
      </w:r>
    </w:p>
    <w:p>
      <w:pPr>
        <w:spacing w:after="0" w:line="6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Subsequent to the end of fiscal 2024, on February 19, 2025, our Board of Directors declared a quarterly dividend of $1.74 per common share payable on March 28, 2025 to shareholders of record at the close of business on March 14,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2024</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(31.2 )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(106.9 )</w:t>
            </w:r>
          </w:p>
        </w:tc>
        <w:tc>
          <w:tcPr>
            <w:tcW w:w="0" w:type="dxa"/>
            <w:vAlign w:val="bottom"/>
          </w:tcPr>
          <w:p>
            <w:pPr>
              <w:spacing w:after="0"/>
              <w:rPr>
                <w:sz w:val="1"/>
                <w:szCs w:val="1"/>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(532.2 )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(476.4 )</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$34.0 million in 2024 primarily as a result of higher net income, excluding non-cash operating activities and a positive change in advertising fund assets and liabilities, restricted. Net income increased $65.1 million and non-cash adjustments increased $17.5 million, resulting in an overall increase to cash provided by operating activities in 2024 as compared to 2023 of $82.6 million. Additionally, a $45.8 million positive impact of changes in advertising fund assets and liabilities, restricted, in 2024 as compared to 2023 was a result of receipts for advertising contributions outpacing payments for advertising activities. These increases were partially offset by the negative impact of changes in operating assets and liabilities totaling $94.4 million, primarily related to the timing of payments on accrued liabilities, income taxes and accounts payable in 2024 as compared to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$31.2 million in 2024, which consisted primarily of capital expenditures of $112.9 million (driven primarily by investments in technological initiatives, supply chain centers and corporate store operations). These investing cash outflows were partially offset by net proceeds from the sale of 10,000,000 ordinary shares of our investment in DPC Dash for $82.9 million.</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$106.9 million in 2023, which consisted primarily of capital expenditures of $105.4 million (driven primarily by investments in technological initiatives, supply chain centers and corporate store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$532.2 million in 2024. We repurchased and retired $327.0 million in shares of our common stock under our Board of Directors-approved share repurchase program, as well as made $2.6 million in excise tax payments related to our share repurchase programs. We also made dividend payments to our shareholders of $209.9 million. We made repayments of long-term debt and principal amounts related to our financing obligations and finance leases of $17.6 million and had tax payments for the vesting of restricted stock of $11.1 million. These uses of cash were partially offset by proceeds from the exercise of stock options of $36.0 million.</w:t>
      </w:r>
    </w:p>
    <w:p>
      <w:pPr>
        <w:spacing w:after="0" w:line="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$476.4 million in 2023. We repurchased and retired $269.0 million in shares of our common stock under our Board of Directors-approved share repurchase program, and we also made dividend payments to our shareholders of $169.8 million. We also made repayments of long-term debt and principal amounts related to our financing obligations and finance leases of $55.7 million and had tax payments for the vesting of restricted stock of $5.4 million. These uses of cash were partially offset by proceeds from our failed sale leaseback transaction of $14.9 million and from the exercise of stock options of $8.7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Impact of Inflation</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the inflation rates in recent years, there have been and may continue to be increases in food costs and labor costs which have and could further impact our profitability and that of our franchisees and which could impact the opening of new U.S. and international franchised stores and adversely affect our operating results. Factors such as inflation, increased food costs, increased labor and employee health and benefit costs, increased rent costs and increased energy costs may adversely affect our operating costs and profitability and those of our franchisees and could result in menu price increases. The impact of inflation is described with respect to our food basket pricing to stores and our labor cost, in the discussion of supply chain revenues and U.S. Company-owned store and supply chain gross margins, above. Severe increases in inflation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forward-looking statements generally can be identified by the use of words such as “anticipate,” “believe,” “could,” “should,” “estimate,” “expect,” “intend,” “may,” “will,” “plan,” “predict,” “project,” “seek,”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the expected demand for future pizza delivery and carryout, our expectation that we will meet the terms of our agreement with our third-party supplier of pizza cheese, our belief that alternative third-party suppliers are available for our key ingredients in the event we are required to replace any of our supply partners, our intention to continue to enhance and grow online ordering, digital marketing and technological capabilities, our expectation that there will be no material environmental compliance-related capital expenditures, our plans to expand U.S. and international operations in many of the markets where we currently operate and in selected new markets, our expectation that the obligation for advertising fees payable to DNAF will remain in place for the foreseeable future, and the availability of our borrowings under the 2021 Variable Funding Notes and 2022 Variable Funding Notes for, among other things, funding working capital requirements, paying capital expenditures and funding other general corporate purposes, including payment of dividends.</w:t>
      </w:r>
    </w:p>
    <w:p>
      <w:pPr>
        <w:spacing w:after="0" w:line="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Forward-looking statements relating to our anticipated profitability, estimates in same store sales growth, store growth and the growth of our U.S. and international business in general, ability to service our indebtedness, our future cash flows, our operating performance,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w:t>
      </w:r>
    </w:p>
    <w:p>
      <w:pPr>
        <w:spacing w:after="0" w:line="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those expressed or implied in the forward-looking statements as a result of various factors, including but not limited to, the following:</w:t>
      </w:r>
    </w:p>
    <w:p>
      <w:pPr>
        <w:spacing w:after="0" w:line="162" w:lineRule="exact"/>
        <w:rPr>
          <w:sz w:val="20"/>
          <w:szCs w:val="20"/>
          <w:color w:val="auto"/>
        </w:rPr>
      </w:pPr>
    </w:p>
    <w:p>
      <w:pPr>
        <w:ind w:left="1020" w:right="48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increased indebtedness as a result of the 2021 Recapitalization, 2019 Recapitalization, 2018 Recapitalization, 2017 Recapitalization and 2015 Recapitalization and our ability to incur additional indebtedness or refinance or renegotiate key terms of that indebtedness in the future;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downgrade in our credit rating may have on our business, financial condition and results of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our ability to pay principal and interest on our indebtedness;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brand, including our ability to compete in the U.S. and internationally in our intensely competitive industry, including the food service and food delivery markets;</w:t>
      </w:r>
    </w:p>
    <w:p>
      <w:pPr>
        <w:ind w:left="1020" w:right="90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growth strategy, including through our participation in the third-party order aggregation marketplace;</w:t>
      </w:r>
    </w:p>
    <w:p>
      <w:pPr>
        <w:ind w:left="1020" w:right="22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or changes in operating expenses resulting from increases in prices of food (particularly cheese), fuel and other commodity costs, labor, utilities, insurance, employee benefits and other operating costs or negative economic conditions;</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operations and promotional initiatives;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interruptions or disruptions in the supply or delivery of fresh food products and store equipment;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risks our international operations subject us to, which may differ in each country in which we and our franchisees do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earnings and business growth strategy on the success of our franchisees;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franchisees to successfully operate in the current and future credit environment;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social media or a boycott on our business, brand and reputation;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improved technologies and alternative methods of delivery on consumer behavior;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digital ordering and concept developments by us, and other food-industry competitors;</w:t>
      </w:r>
    </w:p>
    <w:p>
      <w:pPr>
        <w:spacing w:after="0" w:line="27"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and attract new franchisees and franchisees’ ability to successfully manage their operations without negatively impacting our royalty payments and fees or our brand’s reputation;</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cost-saving strategies;</w:t>
      </w:r>
    </w:p>
    <w:p>
      <w:pPr>
        <w:spacing w:after="0" w:line="9" w:lineRule="exact"/>
        <w:rPr>
          <w:rFonts w:ascii="Times New Roman" w:cs="Times New Roman" w:eastAsia="Times New Roman" w:hAnsi="Times New Roman"/>
          <w:sz w:val="18"/>
          <w:szCs w:val="18"/>
          <w:color w:val="auto"/>
        </w:rPr>
      </w:pPr>
    </w:p>
    <w:p>
      <w:pPr>
        <w:ind w:left="1020" w:right="76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consumer spending given general economic conditions, including interest rates, energy prices and consumer confidence or negative economic conditions in general;</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franchisees to open new restaurants and keep existing restaurants in operation and maintain demand for new stores;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widespread illness, health epidemics or general health concerns, severe weather conditions and natural disasters may have on our business and the economies of the countries where we operate;</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income tax rates;</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or replace our executive officers and other key members of management and our ability to adequately staff our stores and supply chain centers with qualified personnel;</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and/or retain suitable real estate for our stores and supply chain centers;</w:t>
      </w:r>
    </w:p>
    <w:p>
      <w:pPr>
        <w:spacing w:after="0" w:line="9"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legislation or regulation, including changes in laws and regulations regarding information privacy, payment methods, advertising and consumer protection and social media;</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judgments or settlements;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food-borne illness or contamination of products or food tampering or other events that may impact our reputation;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power loss, technological failures, user error or other cyber risks threatening us or our franchisees;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environmental, social and governance matters may have on our business and reputation;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war, terrorism, catastrophic events, geopolitical or reputational considerations or climate change;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repurchase shares;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taste, spending and traffic patterns and demographic trends;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our insurance coverage.</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light of these risks, uncertainties and assumptions, the forward-looking events discussed in this Form 10-K might not occur. All forward-looking statements speak only as of the date of this Form 10-K and should be evaluated with an understanding of their inherent uncertainty. Except as required under federal securities laws and the rules and regulations of the Securities and Exchange Commission, we will not undertake, and specifically disclaim any obligation to publicly update or revise any forward-looking statements to reflect events or circumstances arising after the date of this Form 10-K, whether as a result of new information, future events or otherwise.</w:t>
      </w:r>
    </w:p>
    <w:p>
      <w:pPr>
        <w:spacing w:after="0" w:line="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December 29, 2024, we are exposed to interest rate risk on borrowings under our variable funding notes. As of December 29, 2024, we did not have any outstanding borrowings under our 2022 and 2021 Variable Funding Notes.</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fixed-rate debt exposes us to changes in market interest rates reflected in the fair value of the debt and to the risk that the Company may need to refinance maturing debt with new debt at a higher rate. As of December 29, 2024, we had approximately $1.14 billion of debt classified as current associated with our 2018 7.5-Year Notes and 2015 Ten-Year Notes for which the anticipated repayment date is October 2025. We expect to refinance the 2018 7.5-Year Notes and 2015 Ten-Year Notes prior to the anticipated repayment date, and we expect, based upon current benchmark rates, to refinance those notes at higher interest rates.</w:t>
      </w:r>
    </w:p>
    <w:p>
      <w:pPr>
        <w:spacing w:after="0" w:line="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food and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6.8% of our total revenues in 2024, 6.9% of our total revenues in 2023 and 6.5% of our total revenues in 2022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international franchise royalty and fee revenues of approximately $28.2 million in 2024.</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Domino’s Pizza,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Domino’s Pizza, Inc. and its subsidiaries (the “Company”) as of December 29, 2024 and December 31, 2023, and the related consolidated statements of income, of comprehensive income, of stockholders’ deficit and of cash flows for each of the three years in the period ended December 29, 2024, including the related notes and schedule of condensed financial information listed in the index appearing under Item 15(a)(2) (collectively referred to as the “consolidated financial statements”). We also have audited the Company’s internal control over financial reporting as of December 29,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29, 2024 and December 31, 2023, and the results of its operations and its cash flows for each of the three years in the period ended December 29, 2024 in conformity with accounting principles generally accepted in the United States of America. Also in our opinion, the Company maintained, in all material respects, effective internal control over financial reporting as of December 29,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COSO.</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3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Casualty Insurance Reserves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has retention programs for workers’ compensation, general liability, and owned and non-owned automobile liabilities for certain periods prior to December 1998 and for periods after December 2001. As of December 29, 2024, the Company had accruals for these casualty insurance matters of $50.7 million. The casualty insurance reserves are based on undiscounted independent actuarial estimates, which are based on historical information along with assumptions about future events. Management utilizes various methods, including analyses of historical trends and actuarial valuation methods, to estimate the 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w:t>
      </w:r>
    </w:p>
    <w:p>
      <w:pPr>
        <w:spacing w:after="0" w:line="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casualty insurance reserves is a critical audit matter are (i) the significant judgment by management when developing the estimated reserves; (ii) a high degree of auditor judgment and effort in performing procedures relating to the actuarial valuation methods used to develop future ultimate claim costs and actuarial assumptions related to the severity, duration and frequency of claims, legal cost associated with claims, healthcare trends and projected inflation; and (iii) the audit effort involved the use of professionals with specialized skill and knowledge.</w:t>
      </w:r>
    </w:p>
    <w:p>
      <w:pPr>
        <w:spacing w:after="0" w:line="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casualty insurance reserves. These procedures also included, among others, obtaining and evaluating the Company’s casualty insurance program documents and testing the underlying historical claims data. Professionals with specialized skill and knowledge were used to assist in testing management’s process for estimating the valuation of casualty insurance reserves, including evaluating the appropriateness of the actuarial valuation methods and the reasonableness of actuarial assumptions related to the severity, duration and frequency of claims, legal cost associated with claims, healthcare trends and projected inflation.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4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3"/>
        </w:trPr>
        <w:tc>
          <w:tcPr>
            <w:tcW w:w="2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5"/>
                <w:szCs w:val="15"/>
                <w:color w:val="auto"/>
              </w:rPr>
            </w:pPr>
          </w:p>
        </w:tc>
      </w:tr>
      <w:tr>
        <w:trPr>
          <w:trHeight w:val="142"/>
        </w:trPr>
        <w:tc>
          <w:tcPr>
            <w:tcW w:w="28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260" w:type="dxa"/>
            <w:vAlign w:val="bottom"/>
            <w:gridSpan w:val="3"/>
            <w:shd w:val="clear" w:color="auto" w:fill="CFF0FC"/>
          </w:tcPr>
          <w:p>
            <w:pPr>
              <w:jc w:val="center"/>
              <w:ind w:right="3860"/>
              <w:spacing w:after="0" w:line="142" w:lineRule="exact"/>
              <w:rPr>
                <w:sz w:val="20"/>
                <w:szCs w:val="20"/>
                <w:color w:val="auto"/>
              </w:rPr>
            </w:pPr>
            <w:r>
              <w:rPr>
                <w:rFonts w:ascii="Times New Roman" w:cs="Times New Roman" w:eastAsia="Times New Roman" w:hAnsi="Times New Roman"/>
                <w:sz w:val="15"/>
                <w:szCs w:val="15"/>
                <w:b w:val="1"/>
                <w:bCs w:val="1"/>
                <w:color w:val="auto"/>
                <w:w w:val="99"/>
              </w:rPr>
              <w:t>Assets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5"/>
        </w:trPr>
        <w:tc>
          <w:tcPr>
            <w:tcW w:w="3740" w:type="dxa"/>
            <w:vAlign w:val="bottom"/>
            <w:tcBorders>
              <w:top w:val="single" w:sz="8" w:color="CFF0FC"/>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Current assets:</w:t>
            </w:r>
          </w:p>
        </w:tc>
        <w:tc>
          <w:tcPr>
            <w:tcW w:w="400" w:type="dxa"/>
            <w:vAlign w:val="bottom"/>
            <w:tcBorders>
              <w:top w:val="single" w:sz="8" w:color="auto"/>
            </w:tcBorders>
          </w:tcPr>
          <w:p>
            <w:pPr>
              <w:spacing w:after="0"/>
              <w:rPr>
                <w:sz w:val="13"/>
                <w:szCs w:val="13"/>
                <w:color w:val="auto"/>
              </w:rPr>
            </w:pPr>
          </w:p>
        </w:tc>
        <w:tc>
          <w:tcPr>
            <w:tcW w:w="3860" w:type="dxa"/>
            <w:vAlign w:val="bottom"/>
            <w:tcBorders>
              <w:top w:val="single" w:sz="8" w:color="CFF0FC"/>
            </w:tcBorders>
            <w:gridSpan w:val="2"/>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3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186,126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114,098</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Restricted cash and cash equivalents</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195,370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200,870</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Accounts receivable, net of reserves of $5,834 in 2024 and $5,885 in 2023</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309,104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282,809</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70,919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82,964</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Prepaid expenses and other</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40,363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30,215</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Advertising fund assets, restricted</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103,396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106,335</w:t>
            </w:r>
          </w:p>
        </w:tc>
        <w:tc>
          <w:tcPr>
            <w:tcW w:w="120" w:type="dxa"/>
            <w:vAlign w:val="bottom"/>
          </w:tcPr>
          <w:p>
            <w:pPr>
              <w:spacing w:after="0"/>
              <w:rPr>
                <w:sz w:val="14"/>
                <w:szCs w:val="14"/>
                <w:color w:val="auto"/>
              </w:rPr>
            </w:pPr>
          </w:p>
        </w:tc>
      </w:tr>
      <w:tr>
        <w:trPr>
          <w:trHeight w:val="155"/>
        </w:trPr>
        <w:tc>
          <w:tcPr>
            <w:tcW w:w="8000" w:type="dxa"/>
            <w:vAlign w:val="bottom"/>
            <w:tcBorders>
              <w:bottom w:val="single" w:sz="8" w:color="CFF0FC"/>
            </w:tcBorders>
            <w:gridSpan w:val="5"/>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905,278</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817,291</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6"/>
        </w:trPr>
        <w:tc>
          <w:tcPr>
            <w:tcW w:w="800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5"/>
                <w:szCs w:val="15"/>
                <w:color w:val="auto"/>
              </w:rPr>
              <w:t>Property, plant and equipment:</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Land and buildings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104,793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108,791</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Leasehold and other improvements</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191,718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176,817</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Equipment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390,542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364,620</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Construction in progress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22,717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24,505</w:t>
            </w:r>
          </w:p>
        </w:tc>
        <w:tc>
          <w:tcPr>
            <w:tcW w:w="120" w:type="dxa"/>
            <w:vAlign w:val="bottom"/>
          </w:tcPr>
          <w:p>
            <w:pPr>
              <w:spacing w:after="0"/>
              <w:rPr>
                <w:sz w:val="14"/>
                <w:szCs w:val="14"/>
                <w:color w:val="auto"/>
              </w:rPr>
            </w:pPr>
          </w:p>
        </w:tc>
      </w:tr>
      <w:tr>
        <w:trPr>
          <w:trHeight w:val="156"/>
        </w:trPr>
        <w:tc>
          <w:tcPr>
            <w:tcW w:w="28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709,770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674,733</w:t>
            </w:r>
          </w:p>
        </w:tc>
        <w:tc>
          <w:tcPr>
            <w:tcW w:w="120" w:type="dxa"/>
            <w:vAlign w:val="bottom"/>
            <w:shd w:val="clear" w:color="auto" w:fill="CFF0FC"/>
          </w:tcPr>
          <w:p>
            <w:pPr>
              <w:spacing w:after="0"/>
              <w:rPr>
                <w:sz w:val="13"/>
                <w:szCs w:val="13"/>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Accumulated depreciation and amortization</w:t>
            </w:r>
          </w:p>
        </w:tc>
        <w:tc>
          <w:tcPr>
            <w:tcW w:w="220" w:type="dxa"/>
            <w:vAlign w:val="bottom"/>
          </w:tcPr>
          <w:p>
            <w:pPr>
              <w:spacing w:after="0"/>
              <w:rPr>
                <w:sz w:val="14"/>
                <w:szCs w:val="14"/>
                <w:color w:val="auto"/>
              </w:rPr>
            </w:pPr>
          </w:p>
        </w:tc>
        <w:tc>
          <w:tcPr>
            <w:tcW w:w="15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(408,591 )</w:t>
            </w:r>
          </w:p>
        </w:tc>
        <w:tc>
          <w:tcPr>
            <w:tcW w:w="140" w:type="dxa"/>
            <w:vAlign w:val="bottom"/>
          </w:tcPr>
          <w:p>
            <w:pPr>
              <w:spacing w:after="0"/>
              <w:rPr>
                <w:sz w:val="14"/>
                <w:szCs w:val="14"/>
                <w:color w:val="auto"/>
              </w:rPr>
            </w:pPr>
          </w:p>
        </w:tc>
        <w:tc>
          <w:tcPr>
            <w:tcW w:w="13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(370,368 )</w:t>
            </w:r>
          </w:p>
        </w:tc>
      </w:tr>
      <w:tr>
        <w:trPr>
          <w:trHeight w:val="156"/>
        </w:trPr>
        <w:tc>
          <w:tcPr>
            <w:tcW w:w="8000" w:type="dxa"/>
            <w:vAlign w:val="bottom"/>
            <w:tcBorders>
              <w:bottom w:val="single" w:sz="8" w:color="CFF0FC"/>
            </w:tcBorders>
            <w:gridSpan w:val="5"/>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Property, plant and equipment, net</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301,179</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304,365</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800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210,302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207,323</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Investments in marketable securities, restricted</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20,638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16,720</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11,688</w:t>
            </w:r>
          </w:p>
        </w:tc>
        <w:tc>
          <w:tcPr>
            <w:tcW w:w="120" w:type="dxa"/>
            <w:vAlign w:val="bottom"/>
            <w:shd w:val="clear" w:color="auto" w:fill="CFF0FC"/>
          </w:tcPr>
          <w:p>
            <w:pPr>
              <w:spacing w:after="0"/>
              <w:rPr>
                <w:sz w:val="14"/>
                <w:szCs w:val="14"/>
                <w:color w:val="auto"/>
              </w:rPr>
            </w:pPr>
          </w:p>
        </w:tc>
      </w:tr>
      <w:tr>
        <w:trPr>
          <w:trHeight w:val="145"/>
        </w:trPr>
        <w:tc>
          <w:tcPr>
            <w:tcW w:w="8000" w:type="dxa"/>
            <w:vAlign w:val="bottom"/>
            <w:gridSpan w:val="5"/>
          </w:tcPr>
          <w:p>
            <w:pPr>
              <w:ind w:left="200"/>
              <w:spacing w:after="0" w:line="145" w:lineRule="exact"/>
              <w:rPr>
                <w:sz w:val="20"/>
                <w:szCs w:val="20"/>
                <w:color w:val="auto"/>
              </w:rPr>
            </w:pPr>
            <w:r>
              <w:rPr>
                <w:rFonts w:ascii="Times New Roman" w:cs="Times New Roman" w:eastAsia="Times New Roman" w:hAnsi="Times New Roman"/>
                <w:sz w:val="15"/>
                <w:szCs w:val="15"/>
                <w:color w:val="auto"/>
              </w:rPr>
              <w:t>Capitalized software, net of accumulated amortization of $193,854 in 2024</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9"/>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and $183,980 in 2023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134,105</w:t>
            </w:r>
          </w:p>
        </w:tc>
        <w:tc>
          <w:tcPr>
            <w:tcW w:w="120" w:type="dxa"/>
            <w:vAlign w:val="bottom"/>
          </w:tcPr>
          <w:p>
            <w:pPr>
              <w:spacing w:after="0"/>
              <w:rPr>
                <w:sz w:val="15"/>
                <w:szCs w:val="15"/>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Investment in DPC Dash</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82,699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143,553</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26,882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26,174</w:t>
            </w:r>
          </w:p>
        </w:tc>
        <w:tc>
          <w:tcPr>
            <w:tcW w:w="120" w:type="dxa"/>
            <w:vAlign w:val="bottom"/>
          </w:tcPr>
          <w:p>
            <w:pPr>
              <w:spacing w:after="0"/>
              <w:rPr>
                <w:sz w:val="14"/>
                <w:szCs w:val="14"/>
                <w:color w:val="auto"/>
              </w:rPr>
            </w:pPr>
          </w:p>
        </w:tc>
      </w:tr>
      <w:tr>
        <w:trPr>
          <w:trHeight w:val="162"/>
        </w:trPr>
        <w:tc>
          <w:tcPr>
            <w:tcW w:w="8000" w:type="dxa"/>
            <w:vAlign w:val="bottom"/>
            <w:tcBorders>
              <w:bottom w:val="single" w:sz="8" w:color="CFF0FC"/>
            </w:tcBorders>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income tax assets, net</w:t>
            </w: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23,432</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13,680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8000" w:type="dxa"/>
            <w:vAlign w:val="bottom"/>
            <w:gridSpan w:val="5"/>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other assets</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530,556</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553,243</w:t>
            </w:r>
          </w:p>
        </w:tc>
        <w:tc>
          <w:tcPr>
            <w:tcW w:w="120" w:type="dxa"/>
            <w:vAlign w:val="bottom"/>
          </w:tcPr>
          <w:p>
            <w:pPr>
              <w:spacing w:after="0"/>
              <w:rPr>
                <w:sz w:val="13"/>
                <w:szCs w:val="13"/>
                <w:color w:val="auto"/>
              </w:rPr>
            </w:pPr>
          </w:p>
        </w:tc>
      </w:tr>
      <w:tr>
        <w:trPr>
          <w:trHeight w:val="195"/>
        </w:trPr>
        <w:tc>
          <w:tcPr>
            <w:tcW w:w="8000" w:type="dxa"/>
            <w:vAlign w:val="bottom"/>
            <w:tcBorders>
              <w:bottom w:val="single" w:sz="8" w:color="CFF0FC"/>
            </w:tcBorders>
            <w:gridSpan w:val="5"/>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1,737,013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1,674,899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29"/>
        </w:trPr>
        <w:tc>
          <w:tcPr>
            <w:tcW w:w="2800" w:type="dxa"/>
            <w:vAlign w:val="bottom"/>
          </w:tcPr>
          <w:p>
            <w:pPr>
              <w:spacing w:after="0"/>
              <w:rPr>
                <w:sz w:val="11"/>
                <w:szCs w:val="11"/>
                <w:color w:val="auto"/>
              </w:rPr>
            </w:pPr>
          </w:p>
        </w:tc>
        <w:tc>
          <w:tcPr>
            <w:tcW w:w="230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8000" w:type="dxa"/>
            <w:vAlign w:val="bottom"/>
            <w:gridSpan w:val="5"/>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Current portion of long-term debt</w:t>
            </w:r>
          </w:p>
        </w:tc>
        <w:tc>
          <w:tcPr>
            <w:tcW w:w="2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1,149,679</w:t>
            </w:r>
          </w:p>
        </w:tc>
        <w:tc>
          <w:tcPr>
            <w:tcW w:w="2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56,366</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85,898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106,267</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Accrued compensation</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58,203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54,689</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Accrued interest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32,783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33,367</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39,920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39,330</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Insurance reserves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25,658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28,135</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Advertising fund liabilities</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101,567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104,246</w:t>
            </w:r>
          </w:p>
        </w:tc>
        <w:tc>
          <w:tcPr>
            <w:tcW w:w="120" w:type="dxa"/>
            <w:vAlign w:val="bottom"/>
          </w:tcPr>
          <w:p>
            <w:pPr>
              <w:spacing w:after="0"/>
              <w:rPr>
                <w:sz w:val="14"/>
                <w:szCs w:val="14"/>
                <w:color w:val="auto"/>
              </w:rPr>
            </w:pPr>
          </w:p>
        </w:tc>
      </w:tr>
      <w:tr>
        <w:trPr>
          <w:trHeight w:val="162"/>
        </w:trPr>
        <w:tc>
          <w:tcPr>
            <w:tcW w:w="8000" w:type="dxa"/>
            <w:vAlign w:val="bottom"/>
            <w:tcBorders>
              <w:bottom w:val="single" w:sz="8" w:color="CFF0FC"/>
            </w:tcBorders>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accrued liabilities</w:t>
            </w: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118,754</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124,950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8000" w:type="dxa"/>
            <w:vAlign w:val="bottom"/>
            <w:gridSpan w:val="5"/>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1,612,462</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547,350</w:t>
            </w:r>
          </w:p>
        </w:tc>
        <w:tc>
          <w:tcPr>
            <w:tcW w:w="120" w:type="dxa"/>
            <w:vAlign w:val="bottom"/>
          </w:tcPr>
          <w:p>
            <w:pPr>
              <w:spacing w:after="0"/>
              <w:rPr>
                <w:sz w:val="13"/>
                <w:szCs w:val="13"/>
                <w:color w:val="auto"/>
              </w:rPr>
            </w:pPr>
          </w:p>
        </w:tc>
      </w:tr>
      <w:tr>
        <w:trPr>
          <w:trHeight w:val="155"/>
        </w:trPr>
        <w:tc>
          <w:tcPr>
            <w:tcW w:w="8000" w:type="dxa"/>
            <w:vAlign w:val="bottom"/>
            <w:gridSpan w:val="5"/>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Long-term liabilities:</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Long-term debt, less current portion</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3,825,659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4,934,062</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181,983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179,548</w:t>
            </w:r>
          </w:p>
        </w:tc>
        <w:tc>
          <w:tcPr>
            <w:tcW w:w="120" w:type="dxa"/>
            <w:vAlign w:val="bottom"/>
            <w:shd w:val="clear" w:color="auto" w:fill="CFF0FC"/>
          </w:tcPr>
          <w:p>
            <w:pPr>
              <w:spacing w:after="0"/>
              <w:rPr>
                <w:sz w:val="14"/>
                <w:szCs w:val="14"/>
                <w:color w:val="auto"/>
              </w:rPr>
            </w:pP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Insurance reserves</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33,229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38,559</w:t>
            </w:r>
          </w:p>
        </w:tc>
        <w:tc>
          <w:tcPr>
            <w:tcW w:w="120" w:type="dxa"/>
            <w:vAlign w:val="bottom"/>
          </w:tcPr>
          <w:p>
            <w:pPr>
              <w:spacing w:after="0"/>
              <w:rPr>
                <w:sz w:val="14"/>
                <w:szCs w:val="14"/>
                <w:color w:val="auto"/>
              </w:rPr>
            </w:pPr>
          </w:p>
        </w:tc>
      </w:tr>
      <w:tr>
        <w:trPr>
          <w:trHeight w:val="162"/>
        </w:trPr>
        <w:tc>
          <w:tcPr>
            <w:tcW w:w="8000" w:type="dxa"/>
            <w:vAlign w:val="bottom"/>
            <w:tcBorders>
              <w:bottom w:val="single" w:sz="8" w:color="CFF0FC"/>
            </w:tcBorders>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accrued liabilities</w:t>
            </w: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45,971</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45,747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8000" w:type="dxa"/>
            <w:vAlign w:val="bottom"/>
            <w:gridSpan w:val="5"/>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long-term liabilities</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4,086,842</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5,197,916</w:t>
            </w:r>
          </w:p>
        </w:tc>
        <w:tc>
          <w:tcPr>
            <w:tcW w:w="120" w:type="dxa"/>
            <w:vAlign w:val="bottom"/>
          </w:tcPr>
          <w:p>
            <w:pPr>
              <w:spacing w:after="0"/>
              <w:rPr>
                <w:sz w:val="13"/>
                <w:szCs w:val="13"/>
                <w:color w:val="auto"/>
              </w:rPr>
            </w:pPr>
          </w:p>
        </w:tc>
      </w:tr>
      <w:tr>
        <w:trPr>
          <w:trHeight w:val="155"/>
        </w:trPr>
        <w:tc>
          <w:tcPr>
            <w:tcW w:w="8000" w:type="dxa"/>
            <w:vAlign w:val="bottom"/>
            <w:tcBorders>
              <w:bottom w:val="single" w:sz="8" w:color="CFF0FC"/>
            </w:tcBorders>
            <w:gridSpan w:val="5"/>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5,699,304</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5,745,266</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800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5"/>
                <w:szCs w:val="15"/>
                <w:color w:val="auto"/>
              </w:rPr>
              <w:t>Commitments and contingencies (Note 6)</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000" w:type="dxa"/>
            <w:vAlign w:val="bottom"/>
            <w:gridSpan w:val="5"/>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Stockholders’ deficit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5"/>
        </w:trPr>
        <w:tc>
          <w:tcPr>
            <w:tcW w:w="8000" w:type="dxa"/>
            <w:vAlign w:val="bottom"/>
            <w:gridSpan w:val="5"/>
          </w:tcPr>
          <w:p>
            <w:pPr>
              <w:ind w:left="200"/>
              <w:spacing w:after="0" w:line="145" w:lineRule="exact"/>
              <w:rPr>
                <w:sz w:val="20"/>
                <w:szCs w:val="20"/>
                <w:color w:val="auto"/>
              </w:rPr>
            </w:pPr>
            <w:r>
              <w:rPr>
                <w:rFonts w:ascii="Times New Roman" w:cs="Times New Roman" w:eastAsia="Times New Roman" w:hAnsi="Times New Roman"/>
                <w:sz w:val="15"/>
                <w:szCs w:val="15"/>
                <w:color w:val="auto"/>
              </w:rPr>
              <w:t>Common stock, par value $0.01 per share; 170,000,000 shares authorized;</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9"/>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34,281,927 in 2024 and 34,726,182 in 2023 issued and outstanding</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20" w:type="dxa"/>
            <w:vAlign w:val="bottom"/>
          </w:tcPr>
          <w:p>
            <w:pPr>
              <w:spacing w:after="0"/>
              <w:rPr>
                <w:sz w:val="15"/>
                <w:szCs w:val="15"/>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Preferred stock, par value $0.01 per share; 5,000,000 shares authorized, none issued</w:t>
            </w:r>
          </w:p>
        </w:tc>
        <w:tc>
          <w:tcPr>
            <w:tcW w:w="2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2,801</w:t>
            </w:r>
          </w:p>
        </w:tc>
        <w:tc>
          <w:tcPr>
            <w:tcW w:w="120" w:type="dxa"/>
            <w:vAlign w:val="bottom"/>
          </w:tcPr>
          <w:p>
            <w:pPr>
              <w:spacing w:after="0"/>
              <w:rPr>
                <w:sz w:val="14"/>
                <w:szCs w:val="14"/>
                <w:color w:val="auto"/>
              </w:rPr>
            </w:pPr>
          </w:p>
        </w:tc>
      </w:tr>
      <w:tr>
        <w:trPr>
          <w:trHeight w:val="162"/>
        </w:trPr>
        <w:tc>
          <w:tcPr>
            <w:tcW w:w="8000" w:type="dxa"/>
            <w:vAlign w:val="bottom"/>
            <w:gridSpan w:val="5"/>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Retained deficit</w:t>
            </w:r>
          </w:p>
        </w:tc>
        <w:tc>
          <w:tcPr>
            <w:tcW w:w="2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(3,956,474 )</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(4,069,648 )</w:t>
            </w:r>
          </w:p>
        </w:tc>
      </w:tr>
      <w:tr>
        <w:trPr>
          <w:trHeight w:val="162"/>
        </w:trPr>
        <w:tc>
          <w:tcPr>
            <w:tcW w:w="800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tcPr>
          <w:p>
            <w:pPr>
              <w:spacing w:after="0"/>
              <w:rPr>
                <w:sz w:val="14"/>
                <w:szCs w:val="14"/>
                <w:color w:val="auto"/>
              </w:rPr>
            </w:pPr>
          </w:p>
        </w:tc>
        <w:tc>
          <w:tcPr>
            <w:tcW w:w="15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(7,432 )</w:t>
            </w:r>
          </w:p>
        </w:tc>
        <w:tc>
          <w:tcPr>
            <w:tcW w:w="140" w:type="dxa"/>
            <w:vAlign w:val="bottom"/>
          </w:tcPr>
          <w:p>
            <w:pPr>
              <w:spacing w:after="0"/>
              <w:rPr>
                <w:sz w:val="14"/>
                <w:szCs w:val="14"/>
                <w:color w:val="auto"/>
              </w:rPr>
            </w:pPr>
          </w:p>
        </w:tc>
        <w:tc>
          <w:tcPr>
            <w:tcW w:w="13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(3,867 )</w:t>
            </w:r>
          </w:p>
        </w:tc>
      </w:tr>
      <w:tr>
        <w:trPr>
          <w:trHeight w:val="20"/>
        </w:trPr>
        <w:tc>
          <w:tcPr>
            <w:tcW w:w="2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8000" w:type="dxa"/>
            <w:vAlign w:val="bottom"/>
            <w:gridSpan w:val="5"/>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stockholders’ deficit</w:t>
            </w:r>
          </w:p>
        </w:tc>
        <w:tc>
          <w:tcPr>
            <w:tcW w:w="22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(3,962,291 )</w:t>
            </w: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(4,070,367 )</w:t>
            </w:r>
          </w:p>
        </w:tc>
      </w:tr>
      <w:tr>
        <w:trPr>
          <w:trHeight w:val="155"/>
        </w:trPr>
        <w:tc>
          <w:tcPr>
            <w:tcW w:w="8000" w:type="dxa"/>
            <w:vAlign w:val="bottom"/>
            <w:tcBorders>
              <w:top w:val="single" w:sz="8" w:color="CFF0FC"/>
              <w:bottom w:val="single" w:sz="8" w:color="CFF0FC"/>
            </w:tcBorders>
            <w:gridSpan w:val="5"/>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liabilities and stockholders’ deficit</w:t>
            </w:r>
          </w:p>
        </w:tc>
        <w:tc>
          <w:tcPr>
            <w:tcW w:w="2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1,737,013</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1,674,899</w:t>
            </w:r>
          </w:p>
        </w:tc>
        <w:tc>
          <w:tcPr>
            <w:tcW w:w="120" w:type="dxa"/>
            <w:vAlign w:val="bottom"/>
            <w:tcBorders>
              <w:top w:val="single" w:sz="8" w:color="CFF0FC"/>
            </w:tcBorders>
          </w:tcPr>
          <w:p>
            <w:pPr>
              <w:spacing w:after="0"/>
              <w:rPr>
                <w:sz w:val="13"/>
                <w:szCs w:val="13"/>
                <w:color w:val="auto"/>
              </w:rPr>
            </w:pPr>
          </w:p>
        </w:tc>
      </w:tr>
      <w:tr>
        <w:trPr>
          <w:trHeight w:val="20"/>
        </w:trPr>
        <w:tc>
          <w:tcPr>
            <w:tcW w:w="2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-4996815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-4996815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-4148455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-4148455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-3214370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-3214370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-2990850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-2973705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-2973705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-1936750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-1936750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-1302385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-1079500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-136525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3"/>
                <w:szCs w:val="13"/>
                <w:color w:val="auto"/>
              </w:rPr>
            </w:pPr>
          </w:p>
        </w:tc>
        <w:tc>
          <w:tcPr>
            <w:tcW w:w="140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2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393,898</w:t>
            </w:r>
          </w:p>
        </w:tc>
        <w:tc>
          <w:tcPr>
            <w:tcW w:w="2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376,180</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445,810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638,193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556,269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2,845,781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2,754,742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318,691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310,077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509,853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100" w:type="dxa"/>
            <w:vAlign w:val="bottom"/>
          </w:tcPr>
          <w:p>
            <w:pPr>
              <w:spacing w:after="0"/>
              <w:rPr>
                <w:sz w:val="18"/>
                <w:szCs w:val="18"/>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4,706,416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4,479,358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4,537,158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327,986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314,673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378,018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2,529,928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2,437,268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2,510,534</w:t>
            </w:r>
          </w:p>
        </w:tc>
        <w:tc>
          <w:tcPr>
            <w:tcW w:w="100" w:type="dxa"/>
            <w:vAlign w:val="bottom"/>
          </w:tcPr>
          <w:p>
            <w:pPr>
              <w:spacing w:after="0"/>
              <w:rPr>
                <w:sz w:val="18"/>
                <w:szCs w:val="18"/>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2,857,914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2,751,941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2,888,552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1,648,606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459,492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434,554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416,524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 (gain)</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(21,173 )</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878,999</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819,519</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767,925</w:t>
            </w: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(195,870 )</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(196,475 )</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(198,254 )</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722,215</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652,440</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138,045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584,170</w:t>
            </w:r>
          </w:p>
        </w:tc>
        <w:tc>
          <w:tcPr>
            <w:tcW w:w="24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-2545080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-2545080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-1979295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-1979295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-1422400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-1422400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-864870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-864870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-582295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-582295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80" w:type="dxa"/>
            <w:vAlign w:val="bottom"/>
          </w:tcPr>
          <w:p>
            <w:pPr>
              <w:spacing w:after="0"/>
              <w:rPr>
                <w:sz w:val="10"/>
                <w:szCs w:val="10"/>
                <w:color w:val="auto"/>
              </w:rPr>
            </w:pPr>
          </w:p>
        </w:tc>
        <w:tc>
          <w:tcPr>
            <w:tcW w:w="116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00" w:type="dxa"/>
            <w:vAlign w:val="bottom"/>
          </w:tcPr>
          <w:p>
            <w:pPr>
              <w:spacing w:after="0"/>
              <w:rPr>
                <w:sz w:val="10"/>
                <w:szCs w:val="10"/>
                <w:color w:val="auto"/>
              </w:rPr>
            </w:pPr>
          </w:p>
        </w:tc>
      </w:t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584,170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(3,565 )</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(1,874 )</w:t>
            </w: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580,605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519,945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080" w:type="dxa"/>
            <w:vAlign w:val="bottom"/>
            <w:gridSpan w:val="4"/>
            <w:vMerge w:val="restart"/>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5"/>
        </w:trPr>
        <w:tc>
          <w:tcPr>
            <w:tcW w:w="4880" w:type="dxa"/>
            <w:vAlign w:val="bottom"/>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140" w:type="dxa"/>
            <w:vAlign w:val="bottom"/>
            <w:vMerge w:val="restart"/>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24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at January 2, 2022</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36,138,273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361</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840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(4,207,917 )</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(2,820 )</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452,263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880" w:type="dxa"/>
            <w:vAlign w:val="bottom"/>
            <w:shd w:val="clear" w:color="auto" w:fill="CFF0FC"/>
          </w:tcPr>
          <w:p>
            <w:pPr>
              <w:ind w:left="180"/>
              <w:spacing w:after="0" w:line="145"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3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(157,479 )</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488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($4.40 per share)</w:t>
            </w:r>
          </w:p>
        </w:tc>
        <w:tc>
          <w:tcPr>
            <w:tcW w:w="13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880" w:type="dxa"/>
            <w:vAlign w:val="bottom"/>
            <w:vMerge w:val="continue"/>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3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(26,699 )</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(10,349 )</w:t>
            </w: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(371 )</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Purchases of common stock</w:t>
            </w:r>
          </w:p>
        </w:tc>
        <w:tc>
          <w:tcPr>
            <w:tcW w:w="13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(739,847 )</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(7 )</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(12,819 )</w:t>
            </w:r>
          </w:p>
        </w:tc>
        <w:tc>
          <w:tcPr>
            <w:tcW w:w="22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(280,914 )</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Exercises of stock options</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32,979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3,312</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Non-cash equity-based compensation expense</w:t>
            </w:r>
          </w:p>
        </w:tc>
        <w:tc>
          <w:tcPr>
            <w:tcW w:w="13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28,709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Currency translation adjustment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(1,874 )</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at January 1, 2023</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35,419,718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354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9,693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(4,194,418 )</w:t>
            </w:r>
          </w:p>
        </w:tc>
        <w:tc>
          <w:tcPr>
            <w:tcW w:w="140" w:type="dxa"/>
            <w:vAlign w:val="bottom"/>
          </w:tcPr>
          <w:p>
            <w:pPr>
              <w:spacing w:after="0"/>
              <w:rPr>
                <w:sz w:val="13"/>
                <w:szCs w:val="13"/>
                <w:color w:val="auto"/>
              </w:rPr>
            </w:pPr>
          </w:p>
        </w:tc>
        <w:tc>
          <w:tcPr>
            <w:tcW w:w="13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(4,694 )</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6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519,118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880" w:type="dxa"/>
            <w:vAlign w:val="bottom"/>
          </w:tcPr>
          <w:p>
            <w:pPr>
              <w:ind w:left="180"/>
              <w:spacing w:after="0" w:line="145"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(170,419 )</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48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($4.84 per share)</w:t>
            </w: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8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33,947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3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(16,038 )</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(5,410 )</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Purchases of common stock</w:t>
            </w:r>
          </w:p>
        </w:tc>
        <w:tc>
          <w:tcPr>
            <w:tcW w:w="13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(789,977 )</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(8 )</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(47,651 )</w:t>
            </w: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(223,929 )</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Exercises of stock options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78,532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8,655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Non-cash equity-based compensation expense</w:t>
            </w:r>
          </w:p>
        </w:tc>
        <w:tc>
          <w:tcPr>
            <w:tcW w:w="136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37,514</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Currency translation adjustment</w:t>
            </w: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at December 31, 2023</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34,726,182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347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2,801</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(4,069,648 )</w:t>
            </w: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(3,867 )</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584,170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880" w:type="dxa"/>
            <w:vAlign w:val="bottom"/>
            <w:shd w:val="clear" w:color="auto" w:fill="CFF0FC"/>
          </w:tcPr>
          <w:p>
            <w:pPr>
              <w:ind w:left="180"/>
              <w:spacing w:after="0" w:line="145"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3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(210,676 )</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488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($6.04 per share)</w:t>
            </w:r>
          </w:p>
        </w:tc>
        <w:tc>
          <w:tcPr>
            <w:tcW w:w="13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880" w:type="dxa"/>
            <w:vAlign w:val="bottom"/>
            <w:vMerge w:val="continue"/>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67,869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3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(24,306 )</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(11,098 )</w:t>
            </w: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Purchases of common stock</w:t>
            </w:r>
          </w:p>
        </w:tc>
        <w:tc>
          <w:tcPr>
            <w:tcW w:w="13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(758,242 )</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(8 )</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(69,707 )</w:t>
            </w:r>
          </w:p>
        </w:tc>
        <w:tc>
          <w:tcPr>
            <w:tcW w:w="22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(260,320 )</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Exercises of stock options</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270,424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36,021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Non-cash equity-based compensation expense</w:t>
            </w:r>
          </w:p>
        </w:tc>
        <w:tc>
          <w:tcPr>
            <w:tcW w:w="13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43,255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Currency translation adjustment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(3,565 )</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at December 29, 2024</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34,281,927</w:t>
            </w:r>
          </w:p>
        </w:tc>
        <w:tc>
          <w:tcPr>
            <w:tcW w:w="2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343</w:t>
            </w:r>
          </w:p>
        </w:tc>
        <w:tc>
          <w:tcPr>
            <w:tcW w:w="26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1,272</w:t>
            </w:r>
          </w:p>
        </w:tc>
        <w:tc>
          <w:tcPr>
            <w:tcW w:w="220" w:type="dxa"/>
            <w:vAlign w:val="bottom"/>
          </w:tcPr>
          <w:p>
            <w:pPr>
              <w:spacing w:after="0"/>
              <w:rPr>
                <w:sz w:val="13"/>
                <w:szCs w:val="13"/>
                <w:color w:val="auto"/>
              </w:rPr>
            </w:pPr>
          </w:p>
        </w:tc>
        <w:tc>
          <w:tcPr>
            <w:tcW w:w="2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(3,956,474 )</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(7,432 )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-2211070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-2211070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-2211070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-2211070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-136525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-136525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-136525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-136525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239"/>
              <w:spacing w:after="0" w:line="157" w:lineRule="exact"/>
              <w:rPr>
                <w:sz w:val="20"/>
                <w:szCs w:val="20"/>
                <w:color w:val="auto"/>
              </w:rPr>
            </w:pPr>
            <w:r>
              <w:rPr>
                <w:rFonts w:ascii="Times New Roman" w:cs="Times New Roman" w:eastAsia="Times New Roman" w:hAnsi="Times New Roman"/>
                <w:sz w:val="14"/>
                <w:szCs w:val="14"/>
                <w:b w:val="1"/>
                <w:bCs w:val="1"/>
                <w:color w:val="auto"/>
              </w:rPr>
              <w:t>For the Years Ended</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right"/>
              <w:ind w:right="424"/>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1280" w:type="dxa"/>
            <w:vAlign w:val="bottom"/>
            <w:gridSpan w:val="2"/>
          </w:tcPr>
          <w:p>
            <w:pPr>
              <w:jc w:val="right"/>
              <w:ind w:right="31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96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584,170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519,118</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Refranchising loss (gain)</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(21,173 )</w:t>
            </w:r>
          </w:p>
        </w:tc>
        <w:tc>
          <w:tcPr>
            <w:tcW w:w="0" w:type="dxa"/>
            <w:vAlign w:val="bottom"/>
          </w:tcPr>
          <w:p>
            <w:pPr>
              <w:spacing w:after="0"/>
              <w:rPr>
                <w:sz w:val="1"/>
                <w:szCs w:val="1"/>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sale/disposal of assets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(Benefit) provision for deferred income taxes</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(9,117 )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(19,509 )</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equity-based compensation expense</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43,255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37,514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Excess tax benefits from equity-based compensation</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(22,241 )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(3,397 )</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(2,169 )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losses on accounts and notes receivable</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and realized gain on investments, net</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(22,064 )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(17,713 )</w:t>
            </w:r>
          </w:p>
        </w:tc>
        <w:tc>
          <w:tcPr>
            <w:tcW w:w="160" w:type="dxa"/>
            <w:vAlign w:val="bottom"/>
          </w:tcPr>
          <w:p>
            <w:pPr>
              <w:spacing w:after="0"/>
              <w:rPr>
                <w:sz w:val="17"/>
                <w:szCs w:val="17"/>
                <w:color w:val="auto"/>
              </w:rPr>
            </w:pPr>
          </w:p>
        </w:tc>
        <w:tc>
          <w:tcPr>
            <w:tcW w:w="10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(27,353 )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(26,515 )</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(6,333 )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(17,059 )</w:t>
            </w:r>
          </w:p>
        </w:tc>
        <w:tc>
          <w:tcPr>
            <w:tcW w:w="0" w:type="dxa"/>
            <w:vAlign w:val="bottom"/>
          </w:tcPr>
          <w:p>
            <w:pPr>
              <w:spacing w:after="0"/>
              <w:rPr>
                <w:sz w:val="1"/>
                <w:szCs w:val="1"/>
                <w:color w:val="auto"/>
              </w:rPr>
            </w:pPr>
          </w:p>
        </w:tc>
      </w:tr>
      <w:tr>
        <w:trPr>
          <w:trHeight w:val="203"/>
        </w:trPr>
        <w:tc>
          <w:tcPr>
            <w:tcW w:w="6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(10,218 )</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(36,605 )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Insurance reserves</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(5,557 )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(5,163 )</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(558 )</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Advertising fund assets and liabilities, restricted</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(6,977 )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(52,731 )</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(17,495 )</w:t>
            </w:r>
          </w:p>
        </w:tc>
        <w:tc>
          <w:tcPr>
            <w:tcW w:w="0" w:type="dxa"/>
            <w:vAlign w:val="bottom"/>
          </w:tcPr>
          <w:p>
            <w:pPr>
              <w:spacing w:after="0"/>
              <w:rPr>
                <w:sz w:val="1"/>
                <w:szCs w:val="1"/>
                <w:color w:val="auto"/>
              </w:rPr>
            </w:pPr>
          </w:p>
        </w:tc>
      </w:tr>
      <w:tr>
        <w:trPr>
          <w:trHeight w:val="196"/>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624,897</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590,864</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475,317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(112,885 )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(105,396 )</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(87,234 )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 of investments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82,918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franchise operations and other assets</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(6,814 )</w:t>
            </w: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(1,336 )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(1,682 )</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(31,229 )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(106,917 )</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(53,681 )</w:t>
            </w:r>
          </w:p>
        </w:tc>
        <w:tc>
          <w:tcPr>
            <w:tcW w:w="0" w:type="dxa"/>
            <w:vAlign w:val="bottom"/>
          </w:tcPr>
          <w:p>
            <w:pPr>
              <w:spacing w:after="0"/>
              <w:rPr>
                <w:sz w:val="1"/>
                <w:szCs w:val="1"/>
                <w:color w:val="auto"/>
              </w:rPr>
            </w:pPr>
          </w:p>
        </w:tc>
      </w:tr>
      <w:tr>
        <w:trPr>
          <w:trHeight w:val="196"/>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 and finance lease obligations</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(17,647 )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(55,705 )</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(175,676 )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36,024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(329,557 )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(269,025 )</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(293,740 )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 payments for restricted stock upon vesting</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(11,098 )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(5,410 )</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(10,720 )</w:t>
            </w: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common stock dividends and equivalents</w:t>
            </w:r>
          </w:p>
        </w:tc>
        <w:tc>
          <w:tcPr>
            <w:tcW w:w="180" w:type="dxa"/>
            <w:vAlign w:val="bottom"/>
          </w:tcPr>
          <w:p>
            <w:pPr>
              <w:spacing w:after="0"/>
              <w:rPr>
                <w:sz w:val="17"/>
                <w:szCs w:val="17"/>
                <w:color w:val="auto"/>
              </w:rPr>
            </w:pP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(209,945 )</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(169,772 )</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(157,531 )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financing costs</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(1,594 )</w:t>
            </w:r>
          </w:p>
        </w:tc>
        <w:tc>
          <w:tcPr>
            <w:tcW w:w="0" w:type="dxa"/>
            <w:vAlign w:val="bottom"/>
          </w:tcPr>
          <w:p>
            <w:pPr>
              <w:spacing w:after="0"/>
              <w:rPr>
                <w:sz w:val="1"/>
                <w:szCs w:val="1"/>
                <w:color w:val="auto"/>
              </w:rPr>
            </w:pPr>
          </w:p>
        </w:tc>
      </w:tr>
      <w:tr>
        <w:trPr>
          <w:trHeight w:val="196"/>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(532,223</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(476,358</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(515,949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(2,154 )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(963 )</w:t>
            </w: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 restricted cash and cash equivalents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(95,276 )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114,098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beginning of period</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200,870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191,289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included in advertising fund assets, restricted,</w:t>
            </w:r>
          </w:p>
        </w:tc>
        <w:tc>
          <w:tcPr>
            <w:tcW w:w="1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88,165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143,559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9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and cash equivalents, restricted cash and cash equivalents and cash</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cash equivalents included in advertising fund assets, restricted,</w:t>
            </w:r>
          </w:p>
        </w:tc>
        <w:tc>
          <w:tcPr>
            <w:tcW w:w="18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403,133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490,480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FF0FC"/>
            </w:tcBorders>
            <w:shd w:val="clear" w:color="auto" w:fill="CFF0FC"/>
          </w:tcPr>
          <w:p>
            <w:pPr>
              <w:ind w:left="140"/>
              <w:spacing w:after="0" w:line="176" w:lineRule="exact"/>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186,126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114,098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end of period</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200,870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included in advertising fund assets, restricted,</w:t>
            </w:r>
          </w:p>
        </w:tc>
        <w:tc>
          <w:tcPr>
            <w:tcW w:w="18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80,928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88,165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9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and cash equivalents, restricted cash and cash equivalents and cash</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cash equivalents included in advertising fund assets, restricted,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462,424</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403,133</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color w:val="auto"/>
              </w:rPr>
              <w:t>end of period</w:t>
            </w:r>
          </w:p>
        </w:tc>
        <w:tc>
          <w:tcPr>
            <w:tcW w:w="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-4585335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-4585335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-3531235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-3531235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-2506345</wp:posOffset>
            </wp:positionV>
            <wp:extent cx="10223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6216015</wp:posOffset>
            </wp:positionH>
            <wp:positionV relativeFrom="paragraph">
              <wp:posOffset>-2506345</wp:posOffset>
            </wp:positionV>
            <wp:extent cx="939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-2506345</wp:posOffset>
            </wp:positionV>
            <wp:extent cx="939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-2219325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-2219325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-1036320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-1053465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-1036320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-393700</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-393700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amounts in thousands, except percentages, share and per share amounts)</w:t>
      </w:r>
    </w:p>
    <w:p>
      <w:pPr>
        <w:spacing w:after="0" w:line="176"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3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Domino’s Pizza, Inc. (“DPI”), a Delaware corporation, conducts its operations and derives substantially all of its income from operations and cash provided by operating activities through its wholly-owned subsidiary, Domino’s, Inc. (“Domino’s”) and Domino’s wholly-owned subsidiary, Domino’s Pizza LLC. DPI and its wholly-owned subsidiaries (collectively, the “Company”) are primarily engaged in the following business activities: (i) retail sales of food through Company-owned Domino’s Pizza stores; (ii) sales of food and other products to franchised Domino’s Pizza stores through Company-owned supply chain centers in the U.S. and Canada; (iii) receipt of royalties, advertising contributions and fees from U.S. Domino’s Pizza franchisees; and (iv) receipt of royalties and fees from international Domino’s Pizza franchisees.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35"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DPI and its subsidiaries. All significant intercompany accounts and transactions have been eliminated.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35"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Sunday closest to December 31. The 2024 fiscal year ended on December 29, 2024, the 2023 fiscal year ended on December 31, 2023 and the 2022 fiscal year ended on January 1, 2023. The 2024, 2023 and 2022 fiscal years each consisted of fifty-two weeks.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35"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p>
      <w:pPr>
        <w:spacing w:after="0" w:line="135"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Restricted cash and cash equivalents at December 29, 2024 included $144.0 million of restricted cash and cash equivalents held for future principal and interest payments and other working capital requirements of the Company’s asset-backed securitization structure, $51.2 million of restricted cash equivalents held in a three-month interest reserve as required by the related debt agreements and $0.2 million of other restricted cash. As of December 29, 2024, the Company also held $80.9 million of advertising fund restricted cash and cash equivalents, which can only be used for activities that promote the Domino’s Pizza brand.</w:t>
      </w:r>
    </w:p>
    <w:p>
      <w:pPr>
        <w:spacing w:after="0" w:line="89"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Restricted cash and cash equivalents at December 31, 2023 included $149.1 million of restricted cash and cash equivalents held for future principal and interest payments and other working capital requirements of the Company’s asset-backed securitization structure, $51.6 million of restricted cash equivalents held in a three-month interest reserve as required by the related debt agreements and $0.2 million of other restricted cash. As of December 31, 2023, the Company also held $88.2 million of advertising fund restricted cash and cash equivalents, which can only be used for activities that promote the Domino’s Pizza brand.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Allowances for Credit Losses</w:t>
      </w:r>
    </w:p>
    <w:p>
      <w:pPr>
        <w:spacing w:after="0" w:line="135"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81" w:lineRule="exact"/>
        <w:rPr>
          <w:sz w:val="20"/>
          <w:szCs w:val="20"/>
          <w:color w:val="auto"/>
        </w:rPr>
      </w:pPr>
    </w:p>
    <w:p>
      <w:pPr>
        <w:ind w:right="280" w:firstLine="469"/>
        <w:spacing w:after="0" w:line="266" w:lineRule="auto"/>
        <w:rPr>
          <w:sz w:val="20"/>
          <w:szCs w:val="20"/>
          <w:color w:val="auto"/>
        </w:rPr>
      </w:pPr>
      <w:r>
        <w:rPr>
          <w:rFonts w:ascii="Times New Roman" w:cs="Times New Roman" w:eastAsia="Times New Roman" w:hAnsi="Times New Roman"/>
          <w:sz w:val="18"/>
          <w:szCs w:val="18"/>
          <w:color w:val="auto"/>
        </w:rPr>
        <w:t>The Company also monitors its off-balance sheet exposures under its letters of credit (Note 3), lease guarantees (Note 5) and surety bonds. Total conditional commitments under surety bonds were $11.8 million at December 29, 2024 and $14.7 million at December 31, 2023. None of these arrangements has had or is likely to have a material effect on the Company’s results of operations, financial condition, revenues, expenses or liquidity.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net realizable value.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35" w:lineRule="exact"/>
        <w:rPr>
          <w:sz w:val="20"/>
          <w:szCs w:val="20"/>
          <w:color w:val="auto"/>
        </w:rPr>
      </w:pPr>
    </w:p>
    <w:p>
      <w:pPr>
        <w:ind w:right="440" w:firstLine="469"/>
        <w:spacing w:after="0" w:line="266" w:lineRule="auto"/>
        <w:rPr>
          <w:sz w:val="20"/>
          <w:szCs w:val="20"/>
          <w:color w:val="auto"/>
        </w:rPr>
      </w:pPr>
      <w:r>
        <w:rPr>
          <w:rFonts w:ascii="Times New Roman" w:cs="Times New Roman" w:eastAsia="Times New Roman" w:hAnsi="Times New Roman"/>
          <w:sz w:val="18"/>
          <w:szCs w:val="18"/>
          <w:color w:val="auto"/>
        </w:rPr>
        <w:t>Current and long-term other assets primarily include prepaid expenses such as insurance, taxes, deposits, notes receivable, software licenses, implementation costs for cloud-based computing arrangements, covenants not-to-compete and other intangible assets primarily arising from franchise acquisitions.</w:t>
      </w:r>
    </w:p>
    <w:p>
      <w:pPr>
        <w:spacing w:after="0" w:line="81"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Other long-term assets included implementation costs for cloud-based computing arrangements (primarily related to certain enterprise systems) of $14.5 million and $11.1 million, net of accumulated amortization of $9.7 million and $6.2 million as of December 29, 2024 and December 31, 2023, respectively. Amortization expense for implementation costs for cloud-based computing arrangements was $3.5 million, $2.7 million and $1.9 million in 2024, 2023 and 2022,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Additions to property, plant and equipment are recorded at cost. Repair and maintenance costs are expensed as incurred. Depreciation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are recorded using the straight-line method over the estimated useful lives of the related assets.</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9"/>
        </w:trPr>
        <w:tc>
          <w:tcPr>
            <w:tcW w:w="9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Estimated useful lives are generally as follows (in years):</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1"/>
        </w:trPr>
        <w:tc>
          <w:tcPr>
            <w:tcW w:w="9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900" w:type="dxa"/>
            <w:vAlign w:val="bottom"/>
            <w:shd w:val="clear" w:color="auto" w:fill="CFF0FC"/>
          </w:tcPr>
          <w:p>
            <w:pPr>
              <w:spacing w:after="0"/>
              <w:rPr>
                <w:sz w:val="18"/>
                <w:szCs w:val="18"/>
                <w:color w:val="auto"/>
              </w:rPr>
            </w:pPr>
          </w:p>
        </w:tc>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w:t>
            </w:r>
          </w:p>
        </w:tc>
      </w:tr>
    </w:tbl>
    <w:p>
      <w:pPr>
        <w:spacing w:after="0" w:line="10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$55.8 million, $52.4 million and $51.8 million in 2024, 2023 and 2022,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 of Long-Lived Assets</w:t>
      </w:r>
    </w:p>
    <w:p>
      <w:pPr>
        <w:spacing w:after="0" w:line="135"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Company evaluates the potential impairment of long-lived assets at least annually based on various analyses including, on an annual basis, the projection of undiscounted cash flows and whenever events or changes in circumstances indicate that the carrying amount of the assets may not be recoverable. If the Company determines that the carrying amount of an asset (or asset group) may not be recoverable, the Company compares the net carrying value of the asset group to the undiscounted net cash flows to be generated from the use and eventual disposition of that asset group.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the Company estimates the fair value of the assets. If the carrying amount of the asset exceeds the estimated fair value of the asset, an impairment loss is recognized, and the asset is written down to its estimated fair value. There were no triggering events in 2024, 2023 and 2022 and accordingly, the Company did not record any impairment losses on long-lived assets in 2024, 2023 and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Marketable Securities</w:t>
      </w:r>
    </w:p>
    <w:p>
      <w:pPr>
        <w:spacing w:after="0" w:line="135"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Investments in marketable securities consist of investments in various mutual funds made by eligible individuals as part of the Company’s deferred compensation plan (Note 8).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35"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Company’s goodwill amounts primarily relate to franchise store acquisitions. The Company performs its required impairment tests in the fourth quarter of each fiscal year and did not recognize any goodwill impairment charges in 2024, 2023 and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Capitalized Software</w:t>
      </w:r>
    </w:p>
    <w:p>
      <w:pPr>
        <w:spacing w:after="0" w:line="135"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Capitalized software is recorded at cost and includes purchased, internally-developed and externally-developed software used in the Company’s operations. Amortization expense is provided using the straight-line method over the estimated useful lives of the software, which range from one to ten years. Capitalized software amortization expense was $31.9 million, $28.2 million and $28.5 million in 2024, 2023 and 2022, respectively.</w:t>
      </w:r>
    </w:p>
    <w:p>
      <w:pPr>
        <w:spacing w:after="0" w:line="8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As of December 29, 2024, scheduled amortization for capitalized software that had been placed in service as of December 29, 2024 is as follows in the table below. As of December 29, 2024, the Company also had $51.9 million of capitalized software that had not yet been placed in service.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20,565</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120" w:type="dxa"/>
            <w:vAlign w:val="bottom"/>
          </w:tcPr>
          <w:p>
            <w:pPr>
              <w:spacing w:after="0"/>
              <w:rPr>
                <w:sz w:val="18"/>
                <w:szCs w:val="18"/>
                <w:color w:val="auto"/>
              </w:rPr>
            </w:pPr>
          </w:p>
        </w:tc>
      </w:tr>
      <w:tr>
        <w:trPr>
          <w:trHeight w:val="250"/>
        </w:trPr>
        <w:tc>
          <w:tcPr>
            <w:tcW w:w="9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DPC Dash</w:t>
      </w:r>
    </w:p>
    <w:p>
      <w:pPr>
        <w:spacing w:after="0" w:line="13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On March 28, 2023, DPC Dash completed its initial public offering on the Hong Kong Exchange (HK: 1405). The Company accounts for its investment in DPC Dash as a trading security and records it at fair value at the end of each reporting period, with gains and losses recorded in other income or expense in its consolidated statements of income. Refer to Note 4 for fair value disclosures related to the Company’s investment in DPC Dash.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3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Debt issuance costs are recorded as a reduction to the Company’s debt balance and primarily include the expenses incurred by the Company as part of the 2021, 2019, 2018, 2017 and 2015 Recapitalizations. Refer to Note 3 for a description of the 2021, 2019, 2018, 2017 and 2015 Recapitalizations. Amortization is recorded on a straight-line basis (which is materially consistent with the effective interest method) over the expected terms of the respective debt instrument to which the costs relate and is included in interest expense. Debt issuance cost amortization expense was $5.3 million, $5.5 million and $5.6 million in 2024, 2023 and 2022,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35"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The Company has retention programs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up to $2.0 million per occurrence under these retention programs for general liability, depending on policy year and line of coverage. The Company is also generally responsible for between $500,000 and $5.5 million per occurrence under these retention programs for owned and non-owned automobile liabilities depending on the year. Total insurance limits under these retention programs vary depending on the year covered and range up to $112.5 million per occurrence for general liability and owned and non-owned automobile liabilities and up to the applicable statutory limits for workers’ compensation.</w:t>
      </w:r>
    </w:p>
    <w:p>
      <w:pPr>
        <w:spacing w:after="0" w:line="94"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Casualty insurance reserves relating to the Company's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generally receives estimates of outstanding casualty insurance exposures from its independent actuary twice per year and differences between these estimated actuarial exposures and the Company’s recorded amounts are adjusted as appropriate. The Company had reserves for these programs of $50.7 million and $56.3 million as of December 29, 2024 and December 31, 2023, respectively.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Company maintains reserves for its share of employee health costs as part of the health care benefits offered to its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are based on undiscounted actuarial estimates based on underlying claims, including estimated claims incurred that have not yet been paid.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35"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Contract liabilities consist primarily of deferred franchise fees and deferred development fees. Deferred franchise fees and deferred development fees of $5.1 million and $5.3 million were included in current other accrued liabilities as of December 29, 2024 and December 31, 2023, respectively. Deferred franchise fees and deferred development fees of $15.8 million and $19.9 million were included in long-term other accrued liabilities as of December 29, 2024 and December 31, 2023, respectively.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in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24"/>
        </w:trPr>
        <w:tc>
          <w:tcPr>
            <w:tcW w:w="7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640"/>
              <w:spacing w:after="0" w:line="12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96"/>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shd w:val="clear" w:color="auto" w:fill="CFF0FC"/>
          </w:tcPr>
          <w:p>
            <w:pPr>
              <w:spacing w:after="0"/>
              <w:rPr>
                <w:sz w:val="18"/>
                <w:szCs w:val="18"/>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(6,468 )</w:t>
            </w:r>
          </w:p>
        </w:tc>
      </w:tr>
      <w:tr>
        <w:trPr>
          <w:trHeight w:val="22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expects to recognize revenue associated with deferred franchise fees and deferred development fees as follows in the table below. The Company has applied the sales-based royalty exemption which permits exclusion of variable consideration in the form of sales-based royalties from the disclosure of remaining performance obligations.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Pr>
          <w:p>
            <w:pPr>
              <w:spacing w:after="0"/>
              <w:rPr>
                <w:sz w:val="18"/>
                <w:szCs w:val="18"/>
                <w:color w:val="auto"/>
              </w:rPr>
            </w:pPr>
          </w:p>
        </w:tc>
      </w:tr>
      <w:tr>
        <w:trPr>
          <w:trHeight w:val="249"/>
        </w:trPr>
        <w:tc>
          <w:tcPr>
            <w:tcW w:w="9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p>
      <w:pPr>
        <w:spacing w:after="0" w:line="135"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Current and long-term other accrued liabilities primarily include accruals for income, sales, property and other taxes, legal reserves, operating expenses, dividends payable, deferred compensation, unredeemed gift cards and contract liabilities. The Company had $42.6 million and $38.9 million included in other current accrued liabilities related to unredeemed gift cards as of December 29, 2024 and December 31,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35"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Company’s foreign entities use their local currency as the functional currency. For these entities,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right="100" w:firstLine="469"/>
        <w:spacing w:after="0" w:line="261" w:lineRule="auto"/>
        <w:rPr>
          <w:sz w:val="20"/>
          <w:szCs w:val="20"/>
          <w:color w:val="auto"/>
        </w:rPr>
      </w:pPr>
      <w:r>
        <w:rPr>
          <w:rFonts w:ascii="Times New Roman" w:cs="Times New Roman" w:eastAsia="Times New Roman" w:hAnsi="Times New Roman"/>
          <w:sz w:val="18"/>
          <w:szCs w:val="18"/>
          <w:color w:val="auto"/>
        </w:rPr>
        <w:t>U.S. Company-owned stores revenues are comprised of retail sales of food through Company-owned Domino’s Pizza stores located in the U.S. and are recognized when the items are delivered to or carried out by customers. Customer payments are generally due at the time of sale. Sales taxes related to these sales are collected from customers and remitted to the appropriate taxing authority and are not reflected in the Company’s consolidated statements of income as revenue.</w:t>
      </w:r>
    </w:p>
    <w:p>
      <w:pPr>
        <w:spacing w:after="0" w:line="72"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8"/>
          <w:szCs w:val="18"/>
          <w:color w:val="auto"/>
        </w:rPr>
        <w:t>U.S. franchise royalties and fees are primarily comprised of royalties and fees from Domino’s Pizza franchisees with operations in the U.S. Each franchisee is generally required to pay a 5.5% royalty fee on sales. In certain instances, the Company will collect lower rates based on area development agreements, sales initiatives, store relocation incentives and new store incentives. Royalty revenues are based on a percentage of franchise retail sales and are recognized when the items are delivered to or carried out by franchisees’ customers. U.S. franchise fee revenue primarily relates to per-transaction technology fees that are recognized as the related sales occur. From January 1, 2024 through March 24, 2024, the Company’s U.S. digital per-transaction technology fee was $0.395. As of March 25, 2024 and for the remainder of fiscal 2024, the Company’s U.S. digital per-transaction technology fee was $0.355. Payments for U.S. royalties and fees are generally due within seven days of the prior week end date.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Supply chain revenues are primarily comprised of sales of food and other products to franchised Domino’s Pizza stores located in the U.S. and Canada. Revenues from the sale of food are recognized upon delivery of the food to franchisees and payments for food purchases are generally due within 30 days of the shipping date. The Company also offers profit sharing rebates and volume discounts to its franchisees. Obligations for profit sharing rebates are calculated based on actual results of its supply chain centers and are recognized as a reduction to revenue. Volume discounts are based on annual sales. The Company estimates the amount that will be earned and records a reduction to revenue throughout the year.</w:t>
      </w:r>
    </w:p>
    <w:p>
      <w:pPr>
        <w:spacing w:after="0" w:line="7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International franchise royalties and fees are primarily comprised of royalties and fees from Domino’s Pizza franchisees outside of the U.S. Royalty revenues are recognized when the items are delivered to or carried out by franchisees’ customers. Royalty rates vary among international markets and may also differ based on certain incentives and concessions and averaged approximately 3.0% in 2024. Franchise fees received from international franchisees are recognized as revenue on a straight-line basis over the term of each respective franchise store agreement, which is typically ten years. Development fees received from international master franchisees are also deferred when amounts are received and are recognized as revenue on a straight-line basis over the term of the respective master franchise agreement, which is typically ten years. International franchise fee revenues primarily relate to per-transaction technology fees that are recognized as the related sales occur. International franchise royalties and fees are invoiced at least quarterly, and payments are generally due within 60 days.</w:t>
      </w:r>
    </w:p>
    <w:p>
      <w:pPr>
        <w:spacing w:after="0" w:line="8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U.S. franchise advertising revenues are comprised of contributions from Domino’s Pizza franchisees with operations in the U.S. to the Domino’s National Advertising Fund Inc. (“DNAF”), the Company’s consolidated not-for-profit subsidiary that administers the Domino’s Pizza system’s national and market level advertising activities in the U.S. Each franchisee is generally required to contribute 6.0% of their retail sales to fund national marketing and advertising campaigns (subject, in certain instances, to lower rates based on certain incentives and waivers). Beginning on March 27, 2023, the Company effectuated a temporary reduction of 0.25% to its standard 6.0% advertising contribution. This temporary reduction expired at the beginning of the second quarter of 2024 and the advertising contribution rate returned to its standard 6.0% as of March 25, 2024. These revenues are recognized when items are delivered to or carried out by franchisees’ customers. Payments for U.S. franchise advertising revenues are generally due within seven days of the prior week end date. Although these revenues are restricted to be used only for advertising and promotional activities to benefit franchised stores, the Company has determined there are not performance obligations associated with the franchise advertising contributions received by DNAF that are separate from its U.S. royalty payment stream and as a result, these franchise contributions and the related expenses are presented gross in the Company’s consolidated statements of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consolidated statements of income to satisfy this requirement.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Profit-Sharing Arrangements</w:t>
      </w:r>
    </w:p>
    <w:p>
      <w:pPr>
        <w:spacing w:after="0" w:line="135"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enters into profit-sharing arrangements with U.S. and Canadian franchisees that purchase all of their food from the Company’s supply chain centers. These profit-sharing arrangements generally offer Company-owned stores and participating franchisees 50% of the pre-tax profit from the Company’s supply chain center operations. Profit-sharing obligations are recorded as a reduction to supply chain revenues in the same period as the related revenues and costs are recorded, and were $164.0 million, $138.7 million and $110.0 million in 2024, 2023 and 2022,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35" w:lineRule="exact"/>
        <w:rPr>
          <w:sz w:val="20"/>
          <w:szCs w:val="20"/>
          <w:color w:val="auto"/>
        </w:rPr>
      </w:pPr>
    </w:p>
    <w:p>
      <w:pPr>
        <w:ind w:right="440" w:firstLine="449"/>
        <w:spacing w:after="0" w:line="266" w:lineRule="auto"/>
        <w:rPr>
          <w:sz w:val="20"/>
          <w:szCs w:val="20"/>
          <w:color w:val="auto"/>
        </w:rPr>
      </w:pPr>
      <w:r>
        <w:rPr>
          <w:rFonts w:ascii="Times New Roman" w:cs="Times New Roman" w:eastAsia="Times New Roman" w:hAnsi="Times New Roman"/>
          <w:sz w:val="18"/>
          <w:szCs w:val="18"/>
          <w:color w:val="auto"/>
        </w:rPr>
        <w:t>Cost of sales consists primarily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35"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labor cost (including variable performance-based compensation expense and non-cash equity-based compensation expense), depreciation and amortization, computer expenses, professional fees, travel and entertainment, rent, insurance and other corporate administrative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35"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U.S. stores are generally required to contribute a percentage of retail sales to DNAF, as described in the revenue recognition section above. U.S. franchise advertising costs are accrued and expensed when the related U.S. franchise advertising revenues are recognized, as DNAF is obligated to expend such revenues on advertising and other activities that promote the Domino’s brand. U.S. franchise advertising costs expended by DNAF are included in U.S. franchise advertising expenses in the Company’s consolidated statements of income. Advertising costs funded by Company-owned stores are generally expensed as incurred and are included in general and administrative expense. Contributions from Company-owned stores that have not yet been expended are included in advertising fund assets, restricted on the Company’s consolidated balance sheets.</w:t>
      </w:r>
    </w:p>
    <w:p>
      <w:pPr>
        <w:spacing w:after="0" w:line="7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Advertising expense included $509.9 million, $473.2 million and $485.3 million of U.S. franchise advertising expense in 2024, 2023 and 2022, respectively. Advertising expense also included $33.4 million, $33.5 million and $33.8 million in 2024, 2023 and 2022, respectively, primarily related to advertising costs funded by U.S. Company-owned stores and other general marketing expenses which are included in general and administrative expense in the consolidated statements of income.</w:t>
      </w:r>
    </w:p>
    <w:p>
      <w:pPr>
        <w:spacing w:after="0" w:line="85"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As of December 29, 2024, advertising fund assets, restricted of $103.4 million consisted of $80.9 million of cash and cash equivalents, $14.3 million of accounts receivable and $8.2 million of prepaid expenses. As of December 29, 2024, advertising fund cash and cash equivalents included $1.8 million of cash contributed from U.S. Company-owned stores that had not yet been expended.</w:t>
      </w:r>
    </w:p>
    <w:p>
      <w:pPr>
        <w:spacing w:after="0" w:line="8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2023, advertising fund assets, restricted of $106.3 million consisted of $88.2 million of cash and cash equivalents, $14.0 million of accounts receivable and $4.1 million of prepaid expenses. As of December 31, 2023, advertising fund cash and cash equivalents included $2.1 million of cash contributed from U.S. Company-owned stores that had not yet been expended.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35"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The Company determines whether an arrangement is or contains a lease at contract inception. The majority of the Company’s leases are classified as operating leases, which are included in operating lease right-of-use assets and operating lease liabilities in the Company’s consolidated balance sheets. Finance leases are included in property, plant and equipment, current portion of long-term debt and long-term debt on the Company’s consolidated balance sheets.</w:t>
      </w:r>
    </w:p>
    <w:p>
      <w:pPr>
        <w:spacing w:after="0" w:line="72" w:lineRule="exact"/>
        <w:rPr>
          <w:sz w:val="20"/>
          <w:szCs w:val="20"/>
          <w:color w:val="auto"/>
        </w:rPr>
      </w:pPr>
    </w:p>
    <w:p>
      <w:pPr>
        <w:jc w:val="both"/>
        <w:ind w:right="260" w:firstLine="449"/>
        <w:spacing w:after="0" w:line="261" w:lineRule="auto"/>
        <w:rPr>
          <w:sz w:val="20"/>
          <w:szCs w:val="20"/>
          <w:color w:val="auto"/>
        </w:rPr>
      </w:pPr>
      <w:r>
        <w:rPr>
          <w:rFonts w:ascii="Times New Roman" w:cs="Times New Roman" w:eastAsia="Times New Roman" w:hAnsi="Times New Roman"/>
          <w:sz w:val="18"/>
          <w:szCs w:val="18"/>
          <w:color w:val="auto"/>
        </w:rPr>
        <w:t>Right-of-use assets and lease liabilities are recognized based on the present value of the future minimum lease payments over the lease term at the commencement date for leases exceeding 12 months. Minimum lease payments include only the fixed lease component of the agreement, as well as any variable rate payments that depend on an index, initially measured using the index at the lease commencement date. Lease terms may include options to renew when it is reasonably certain that the Company will exercise that option.</w:t>
      </w:r>
    </w:p>
    <w:p>
      <w:pPr>
        <w:spacing w:after="0" w:line="72"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estimates its incremental borrowing rate for each lease using a portfolio approach based on the respective weighted average term of the agreements. This estimation considers the market rates of the Company’s outstanding collateralized borrowings and interpolations of rates outside of the terms of the outstanding borrowings, including comparisons to comparable borrowings of similarly rated companies with longer term borrowings.</w:t>
      </w:r>
    </w:p>
    <w:p>
      <w:pPr>
        <w:spacing w:after="0" w:line="68"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7"/>
          <w:szCs w:val="17"/>
          <w:color w:val="auto"/>
        </w:rPr>
        <w:t>Operating lease expense is recognized on a straight-line basis over the lease term and is included in cost of sales or general and administrative expense. Amortization expense for finance leases is recognized on a straight-line basis over the lease term and is included in cost of sales or general and administrative expense. Interest expense for finance leases is recognized using the effective interest method. Variable lease payments that do not depend on a rate or index, payments associated with non-lease components and short-term rentals (leases with terms less than 12 months) are expensed as incurred.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Common Stock Dividends</w:t>
      </w:r>
    </w:p>
    <w:p>
      <w:pPr>
        <w:spacing w:after="0" w:line="135"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Company declared dividends of $210.7 million (or $6.04 per share) in 2024, $170.4 million (or $4.84 per share) in 2023 and $157.5 million (or $4.40 per share) in 2022. The Company paid dividends of $209.9 million, $169.8 million, and $157.5 million in 2024, 2023 and 2022, respectively.</w:t>
      </w:r>
    </w:p>
    <w:p>
      <w:pPr>
        <w:spacing w:after="0" w:line="53" w:lineRule="exact"/>
        <w:rPr>
          <w:sz w:val="20"/>
          <w:szCs w:val="20"/>
          <w:color w:val="auto"/>
        </w:rPr>
      </w:pPr>
    </w:p>
    <w:p>
      <w:pPr>
        <w:ind w:right="180" w:firstLine="449"/>
        <w:spacing w:after="0" w:line="281" w:lineRule="auto"/>
        <w:rPr>
          <w:sz w:val="20"/>
          <w:szCs w:val="20"/>
          <w:color w:val="auto"/>
        </w:rPr>
      </w:pPr>
      <w:r>
        <w:rPr>
          <w:rFonts w:ascii="Times New Roman" w:cs="Times New Roman" w:eastAsia="Times New Roman" w:hAnsi="Times New Roman"/>
          <w:sz w:val="18"/>
          <w:szCs w:val="18"/>
          <w:color w:val="auto"/>
        </w:rPr>
        <w:t xml:space="preserve">Subsequent to the end of fiscal 2024, </w:t>
      </w:r>
      <w:r>
        <w:rPr>
          <w:rFonts w:ascii="Arial" w:cs="Arial" w:eastAsia="Arial" w:hAnsi="Arial"/>
          <w:sz w:val="18"/>
          <w:szCs w:val="18"/>
          <w:color w:val="auto"/>
        </w:rPr>
        <w:t>o</w:t>
      </w:r>
      <w:r>
        <w:rPr>
          <w:rFonts w:ascii="Times New Roman" w:cs="Times New Roman" w:eastAsia="Times New Roman" w:hAnsi="Times New Roman"/>
          <w:sz w:val="18"/>
          <w:szCs w:val="18"/>
          <w:color w:val="auto"/>
        </w:rPr>
        <w:t>n February 19, 2025, the Company’s Board of Directors declared a quarterly dividend of $1.74 per common share payable on March 28, 2025 to shareholders of record at the close of business on March 14,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Other Equity-Based Compensation Arrangements</w:t>
      </w:r>
    </w:p>
    <w:p>
      <w:pPr>
        <w:spacing w:after="0" w:line="13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cost of all of the Company’s stock options, as well as other equity-based compensation arrangements, is reflected in the consolidated financial statements based on the estimated fair value of the awards (Note 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3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Company discloses two calculations of earnings per share (“EPS”): basic EPS and diluted EPS (Note 2).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unvested restricted stock awards and units and unvested performance-based restricted stock awards and units.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paid interest of $185.0 million, $186.8 million and $188.5 million during 2024, 2023 and 2022, respectively, on its Notes (Note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was $161.0 million, $136.3 million and $134.4 million in 2024, 2023 and 2022, respectively.</w:t>
      </w:r>
    </w:p>
    <w:p>
      <w:pPr>
        <w:spacing w:after="0" w:line="9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$3.1 million, $6.7 million and $6.9 million at December 29, 2024, December 31, 2023 and January 1, 2023, respectively. As of December 29, 2024, the Company had $3.0 million in non-cash financing activity related to accruals for excise taxes on share repurchases. As of December 31, 2023, the Company had $2.6 million in non-cash financing activity related to accruals for excise taxes on share repurchases, which was paid in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131"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and adopted the following accounting standard.</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18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 (“ASU 2023-07”)</w:t>
      </w:r>
      <w:r>
        <w:rPr>
          <w:rFonts w:ascii="Times New Roman" w:cs="Times New Roman" w:eastAsia="Times New Roman" w:hAnsi="Times New Roman"/>
          <w:sz w:val="18"/>
          <w:szCs w:val="18"/>
          <w:color w:val="auto"/>
        </w:rPr>
        <w:t>, which requires disclosure on an annual and interim basis, significant segment expenses that are regularly provided to the chief operating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title and position of the chief operating decision maker.</w:t>
      </w:r>
    </w:p>
    <w:p>
      <w:pPr>
        <w:spacing w:after="0" w:line="9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December 29, 2024, the end of the 2024 fiscal year, the Company adopted ASU 2023-07 and included the relevant disclosures within Note 11, </w:t>
      </w: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The Company has presented the disclosures for significant segment expenses that are regularly provided to the chief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maker retrospectively for all periods presented in the consolidated statements of income.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considered all new accounting pronouncements issued by the FASB. The Company has not yet adopted the following standards: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98"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 (“ASU 2023-09”)</w:t>
      </w:r>
      <w:r>
        <w:rPr>
          <w:rFonts w:ascii="Times New Roman" w:cs="Times New Roman" w:eastAsia="Times New Roman" w:hAnsi="Times New Roman"/>
          <w:sz w:val="18"/>
          <w:szCs w:val="18"/>
          <w:color w:val="auto"/>
        </w:rPr>
        <w:t>, which requires disclosure on an annual basis, a tabular reconciliation, including both amount and percentage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88" w:lineRule="exact"/>
        <w:rPr>
          <w:sz w:val="20"/>
          <w:szCs w:val="20"/>
          <w:color w:val="auto"/>
        </w:rPr>
      </w:pPr>
    </w:p>
    <w:p>
      <w:pPr>
        <w:ind w:right="16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is effective for fiscal years beginning after December 15, 2024, and early adoption is permitted. The Company is currently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impact of this accounting standard on its consolidated financial statements.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ASU 2024-03, Income Statement – Reporting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 Disaggregation Disclosures (Subtopic 220-40)</w:t>
      </w:r>
    </w:p>
    <w:p>
      <w:pPr>
        <w:spacing w:after="0" w:line="18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(“ASU 2024-03”)</w:t>
      </w:r>
      <w:r>
        <w:rPr>
          <w:rFonts w:ascii="Times New Roman" w:cs="Times New Roman" w:eastAsia="Times New Roman" w:hAnsi="Times New Roman"/>
          <w:sz w:val="18"/>
          <w:szCs w:val="18"/>
          <w:color w:val="auto"/>
        </w:rPr>
        <w:t>, which requires disclosure in the notes to the consolidated financial statements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w:t>
      </w:r>
    </w:p>
    <w:p>
      <w:pPr>
        <w:spacing w:after="0" w:line="89"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ASU 2024-03 </w:t>
      </w:r>
      <w:r>
        <w:rPr>
          <w:rFonts w:ascii="Times New Roman" w:cs="Times New Roman" w:eastAsia="Times New Roman" w:hAnsi="Times New Roman"/>
          <w:sz w:val="18"/>
          <w:szCs w:val="18"/>
          <w:color w:val="auto"/>
        </w:rPr>
        <w:t>is effective for annual reporting fiscal years beginning after December 15, 2026 and interim periods within fiscal years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2027, and early adoption is permitted. The standard may be adopted either prospectively or retrospectively. The Company is currently evaluating the impact of this accounting standard on its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5"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left="480" w:hanging="472"/>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basic and diluted earnings per common share for 2024, 2023 and 2022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584,170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100" w:type="dxa"/>
            <w:vAlign w:val="bottom"/>
            <w:shd w:val="clear" w:color="auto" w:fill="CFF0FC"/>
          </w:tcPr>
          <w:p>
            <w:pPr>
              <w:spacing w:after="0"/>
              <w:rPr>
                <w:sz w:val="21"/>
                <w:szCs w:val="21"/>
                <w:color w:val="auto"/>
              </w:rPr>
            </w:pPr>
          </w:p>
        </w:tc>
      </w:tr>
      <w:tr>
        <w:trPr>
          <w:trHeight w:val="197"/>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34,707,298</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35,081,779</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35,724,325</w:t>
            </w:r>
          </w:p>
        </w:tc>
        <w:tc>
          <w:tcPr>
            <w:tcW w:w="100" w:type="dxa"/>
            <w:vAlign w:val="bottom"/>
            <w:tcBorders>
              <w:top w:val="single" w:sz="8" w:color="CFF0FC"/>
            </w:tcBorders>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common shares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34,991,484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35,401,313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36,093,754</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-574040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-556895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-574040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-556895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2024, 2023 and 2022 do not include the following because the effect of including these shares would be anti-dilutive or because the performance targets for these awards had not yet been met: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46,277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115,187</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23,430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Recapitalizations and Financing Arrangements</w:t>
      </w:r>
    </w:p>
    <w:p>
      <w:pPr>
        <w:spacing w:after="0" w:line="135"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2021 Notes, 2019 Notes, 2018 Notes, 2017 Notes and 2015 Notes (each, as defined below) are collectively referred to as the “Notes.” The Company made payments of $12.9 million, $51.5 million and $51.5 million in 2024, 2023 and 2022, respectively on the Notes. The Company borrowed and repaid $120.0 million under its 2021 Variable Funding Notes (as defined below) in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Recapitalization</w:t>
      </w:r>
    </w:p>
    <w:p>
      <w:pPr>
        <w:spacing w:after="0" w:line="135" w:lineRule="exact"/>
        <w:rPr>
          <w:sz w:val="20"/>
          <w:szCs w:val="20"/>
          <w:color w:val="auto"/>
        </w:rPr>
      </w:pPr>
    </w:p>
    <w:p>
      <w:pPr>
        <w:ind w:right="180" w:firstLine="464"/>
        <w:spacing w:after="0" w:line="258" w:lineRule="auto"/>
        <w:rPr>
          <w:sz w:val="20"/>
          <w:szCs w:val="20"/>
          <w:color w:val="auto"/>
        </w:rPr>
      </w:pPr>
      <w:r>
        <w:rPr>
          <w:rFonts w:ascii="Times New Roman" w:cs="Times New Roman" w:eastAsia="Times New Roman" w:hAnsi="Times New Roman"/>
          <w:sz w:val="18"/>
          <w:szCs w:val="18"/>
          <w:color w:val="auto"/>
        </w:rPr>
        <w:t>On April 16, 2021, the Company completed a recapitalization transaction (the “2021 Recapitalization”) in which certain of the Company’s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Recapitalization</w:t>
      </w:r>
    </w:p>
    <w:p>
      <w:pPr>
        <w:spacing w:after="0" w:line="135" w:lineRule="exact"/>
        <w:rPr>
          <w:sz w:val="20"/>
          <w:szCs w:val="20"/>
          <w:color w:val="auto"/>
        </w:rPr>
      </w:pPr>
    </w:p>
    <w:p>
      <w:pPr>
        <w:ind w:right="180" w:firstLine="469"/>
        <w:spacing w:after="0" w:line="289" w:lineRule="auto"/>
        <w:rPr>
          <w:sz w:val="20"/>
          <w:szCs w:val="20"/>
          <w:color w:val="auto"/>
        </w:rPr>
      </w:pPr>
      <w:r>
        <w:rPr>
          <w:rFonts w:ascii="Times New Roman" w:cs="Times New Roman" w:eastAsia="Times New Roman" w:hAnsi="Times New Roman"/>
          <w:sz w:val="17"/>
          <w:szCs w:val="17"/>
          <w:color w:val="auto"/>
        </w:rPr>
        <w:t>On November 19, 2019, the Company completed a recapitalization transaction (the “2019 Recapitalization”) in which certain of the Company’s subsidiaries issued notes pursuant to an asset-backed securitization. The notes consist of $675.0 million Series 2019-1 3.668% Fixed Rate Senior Secured Notes, Class A-2 with an anticipated term of 10 years (the “2019 Notes”). Gross proceeds from the issuance of the 2019 Notes were $675.0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Recapitalization</w:t>
      </w:r>
    </w:p>
    <w:p>
      <w:pPr>
        <w:spacing w:after="0" w:line="135"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On April 24, 2018, the Company completed a recapitalization transaction (the “2018 Recapitalization”) in which certain of the Company’s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Gross proceeds from the issuance of the 2018 Notes were $825.0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2017 Recapitalization</w:t>
      </w:r>
    </w:p>
    <w:p>
      <w:pPr>
        <w:spacing w:after="0" w:line="135"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On July 24, 2017, the Company completed a recapitalization transaction (the “2017 Recapitalization”) in which certain of the Company’s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ten years (the “2017 Ten-Year Notes” and, collectively with the 2017 Floating Rate Notes and the 2017 Five-Year Notes, the “2017 Notes”). Gross proceeds from the issuance of the 2017 Notes were $1.9 billion.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Recapitalization</w:t>
      </w:r>
    </w:p>
    <w:p>
      <w:pPr>
        <w:spacing w:after="0" w:line="13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On October 21, 2015, the Company completed a recapitalization transaction (the “2015 Recapitalization”) in which certain of the Company’s subsidiaries issued notes pursuant to an asset-backed securitization. The notes consisted of $500.0 million Series 2015-1 3.484% Fixed Rate Senior Secured Notes, Class A-2-I (the “2015 Five-Year Notes”) and $800.0 million Series 2015-1 4.474% Fixed Rate Senior Secured Notes, Class A-2-II (the “2015 Ten-Year Notes” and, together with the 2015 Five-Year Notes, the “2015 Notes”). Gross proceeds from the issuance of the 2015 Notes were $1.3 billion.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Variable Funding Notes</w:t>
      </w:r>
    </w:p>
    <w:p>
      <w:pPr>
        <w:spacing w:after="0" w:line="135"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On September 16, 2022, certain of the Company’s subsidiaries issued a variable funding note facility which allows for advances of up to $120.0 million of Series 2022-1 Variable Funding Senior Secured Notes, Class A-1 Notes (the “2022 Variable Funding Notes”). Interest on the 2022 Variable Funding Notes is payable at a per year rate equal to Secured Overnight Financing Rate, plus a spread adjustment (“Adjusted Term SOFR”), plus 150 basis points. The unused portion of the 2022 Variable Funding Notes is subject to a commitment fee of 50 basis points. It is anticipated that any amounts outstanding on the 2022 Variable Funding Notes will be repaid in full on or prior to April 2026, subject to two additional one-year extensions at the option of the Company, subject to certain conditions. Following the anticipated repayment date (and any extensions thereof), additional interest will accrue on the 2022 Variable Funding Notes equal to 5% per annum.</w:t>
      </w:r>
    </w:p>
    <w:p>
      <w:pPr>
        <w:spacing w:after="0" w:line="94"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As of both December 29, 2024 and December 31, 2023, the Company had no outstanding borrowings and $120.0 million of available borrowing capacity under its 2022 Variable Funding Notes.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Variable Funding Notes</w:t>
      </w:r>
    </w:p>
    <w:p>
      <w:pPr>
        <w:spacing w:after="0" w:line="135"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In connection with the 2021 Recapitalization, certain of the Company’s subsidiaries issued a variable funding note facility which allows for advances of up to $200.0 million of Series 2021-1 Variable Funding Senior Secured Notes, Class A-1 Notes and certain other credit instruments, including letters of credit (the “2021 Variable Funding Notes”). Interest on the 2021 Variable Funding Notes is payable at a per year rate equal to Adjusted Term SOFR, plus 150 basis points. The unused portion of the 2021 Variable Funding Notes is subject to a commitment fee ranging from 50 to 100 basis points depending on utilization. It is anticipated that any amounts outstanding on the 2021 Variable Funding Notes will be repaid in full on or prior to April 2026, subject to two additional one-year extensions at the option of the Company, subject to certain conditions. Following the anticipated repayment date (and any extensions thereof), additional interest will accrue on the 2021 Variable Funding Notes equal to 5% per annum.</w:t>
      </w:r>
    </w:p>
    <w:p>
      <w:pPr>
        <w:spacing w:after="0" w:line="94" w:lineRule="exact"/>
        <w:rPr>
          <w:sz w:val="20"/>
          <w:szCs w:val="20"/>
          <w:color w:val="auto"/>
        </w:rPr>
      </w:pPr>
    </w:p>
    <w:p>
      <w:pPr>
        <w:jc w:val="both"/>
        <w:ind w:right="120" w:firstLine="449"/>
        <w:spacing w:after="0" w:line="257" w:lineRule="auto"/>
        <w:rPr>
          <w:sz w:val="20"/>
          <w:szCs w:val="20"/>
          <w:color w:val="auto"/>
        </w:rPr>
      </w:pPr>
      <w:r>
        <w:rPr>
          <w:rFonts w:ascii="Times New Roman" w:cs="Times New Roman" w:eastAsia="Times New Roman" w:hAnsi="Times New Roman"/>
          <w:sz w:val="18"/>
          <w:szCs w:val="18"/>
          <w:color w:val="auto"/>
        </w:rPr>
        <w:t>As of December 29, 2024, the Company had no outstanding borrowings and $143.6 million of available borrowing capacity under its 2021 Variable Funding Notes, net of letters of credit issued of $56.4 million. As of December 31, 2023, the Company had no outstanding borrowings and $157.8 million of available borrowing capacity under its 2021 Variable Funding Notes, net of letters of credit issued of $42.2 million.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2021 Notes</w:t>
      </w:r>
    </w:p>
    <w:p>
      <w:pPr>
        <w:spacing w:after="0" w:line="135"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The 2021 7.5-Year Notes have original remaining scheduled principal payments of $8.5 million in each of 2025 through 2027 and $801.1 million in 2028. The 2021 Ten-Year Notes have original remaining scheduled principal payments of $10.0 million in each of 2025 through 2030 and $912.5 million in 2031. Refer to the leverage ratio and debt classification disclosure below for additional information.</w:t>
      </w:r>
    </w:p>
    <w:p>
      <w:pPr>
        <w:spacing w:after="0" w:line="8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legal final maturity date of the 2021 Notes is April 2051, but it is anticipated that, unless earlier prepaid to the extent permitted under the related debt agreements, the 2021 7.5-Year Notes will be repaid on or prior to the anticipated repayment date occurring in October 2028, and the 2021 Ten-Year Notes will be repaid on or prior to the anticipated repayment date occurring in April 2031. If the Company has not repaid or refinanced the 2021 Notes prior to the applicable anticipated repayment dates, additional interest of at least 5% per annum will accrue, as defined in the related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Notes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2019 Notes have original remaining scheduled principal payments of $6.8 million in each of 2025 through 2028 and $621.0 million in 2029.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leverage ratio and debt classification disclosure below for additional information.</w:t>
      </w:r>
    </w:p>
    <w:p>
      <w:pPr>
        <w:spacing w:after="0" w:line="11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legal final maturity date of the 2019 Notes is October 2049, but it is anticipated that, unless earlier prepaid to the extent permitted under the related debt agreements, the 2019 Notes will be repaid on or prior to the anticipated repayment date occurring in October 2029. If the Company has not repaid or refinanced the 2019 Notes prior to the applicable anticipated repayment date, additional interest of at least 5% per annum will accrue, as defined in the related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Notes</w:t>
      </w:r>
    </w:p>
    <w:p>
      <w:pPr>
        <w:spacing w:after="0" w:line="135"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2018 7.5-Year Notes have original remaining scheduled principal payments of $402.7 million in 2025. The 2018 9.25-Year Notes have original remaining scheduled principal payments of $4.0 million in each of 2025 and 2026 and $371.0 million in 2027. Refer to the leverage ratio and debt classification disclosure below for additional information.</w:t>
      </w:r>
    </w:p>
    <w:p>
      <w:pPr>
        <w:spacing w:after="0" w:line="8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legal final maturity date of the 2018 Notes is July 2048, but it is anticipated that, unless earlier prepaid to the extent permitted under the related debt agreements, the 2018 7.5-Year Notes will be repaid on or prior to the anticipated repayment date occurring in October 2025, and the 2018 9.25-Year Notes will be repaid on or prior to the anticipated repayment date occurring in July 2027. If the Company has not repaid or refinanced the 2018 Notes prior to the applicable anticipated repayment dates, additional interest of at least 5% per annum will accrue, as defined in the related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Notes</w:t>
      </w:r>
    </w:p>
    <w:p>
      <w:pPr>
        <w:spacing w:after="0" w:line="135"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2017 Five-Year Notes and the 2017 Floating Rate Notes were repaid in connection with the 2021 Recapitalization. The 2017 Ten-Year Notes have original remaining scheduled principal payments of $10.0 million in each of 2025 and 2026 and $920.0 million in 2027. Refer to the leverage ratio and debt classification disclosure below for additional information.</w:t>
      </w:r>
    </w:p>
    <w:p>
      <w:pPr>
        <w:spacing w:after="0" w:line="68"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legal final maturity date of the 2017 Ten-Year Notes is October 2047, but it is anticipated that, unless earlier prepaid to the extent permitted under the related debt agreements, the 2017 Ten-Year Notes will be repaid on or prior to the anticipated repayment date occurring in July 2027. If the Company has not repaid or refinanced the 2017 Ten-Year Notes prior to the applicable anticipated repayment dates, additional interest of at least 5% per annum will accrue, as defined in the related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Notes</w:t>
      </w:r>
    </w:p>
    <w:p>
      <w:pPr>
        <w:spacing w:after="0" w:line="135"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2015 Five-Year Notes were repaid in connection with the 2018 Recapitalization. The 2015 Ten-Year Notes have original remaining scheduled principal payments of $742.0 million in 2025. Refer to the leverage ratio and debt classification disclosure below for additional information.</w:t>
      </w:r>
    </w:p>
    <w:p>
      <w:pPr>
        <w:spacing w:after="0" w:line="6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legal final maturity date of the 2015 Ten-Year Notes is in October 2045, but it is anticipated that, unless earlier prepaid to the extent permitted under the related debt agreements, the 2015 Ten-Year Notes will be repaid on or prior to the anticipated repayment date occurring in October 2025. If the Company has not repaid or refinanced the 2015 Ten-Year Notes prior to the applicable anticipated repayment date, additional interest of at least 5% per annum will accrue, as defined in the related agreements.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Debt Issuance Costs and Transaction-Related Expenses</w:t>
      </w:r>
    </w:p>
    <w:p>
      <w:pPr>
        <w:spacing w:after="0" w:line="135" w:lineRule="exact"/>
        <w:rPr>
          <w:sz w:val="20"/>
          <w:szCs w:val="20"/>
          <w:color w:val="auto"/>
        </w:rPr>
      </w:pPr>
    </w:p>
    <w:p>
      <w:pPr>
        <w:ind w:right="440" w:firstLine="449"/>
        <w:spacing w:after="0" w:line="266" w:lineRule="auto"/>
        <w:rPr>
          <w:sz w:val="20"/>
          <w:szCs w:val="20"/>
          <w:color w:val="auto"/>
        </w:rPr>
      </w:pPr>
      <w:r>
        <w:rPr>
          <w:rFonts w:ascii="Times New Roman" w:cs="Times New Roman" w:eastAsia="Times New Roman" w:hAnsi="Times New Roman"/>
          <w:sz w:val="18"/>
          <w:szCs w:val="18"/>
          <w:color w:val="auto"/>
        </w:rPr>
        <w:t>During 2022 and in connection with the issuance of the 2022 Variable Funding Notes, the Company capitalized $1.6 million of financing costs, which are recorded in long-term other assets in the Company’s consolidated balance sheets and are being amortized into interest expense over the remaining term of the 2022 Variable Funding Notes.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Covenants of the Notes</w:t>
      </w:r>
    </w:p>
    <w:p>
      <w:pPr>
        <w:spacing w:after="0" w:line="13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Notes are guaranteed by certain subsidiaries of the Company and secured by a security interest in substantially all of the assets of the Company, including royalty and certain other income from all U.S. and international stores, U.S. and Canadian supply chain distribution income and intellectual property. The restrictions placed on the Company’s subsidiaries require that the Company’s principal and interest obligations have first priority and amounts are segregated weekly to ensure appropriate funds are reserved to pay the quarterly principal and interest amounts due. The amount of weekly cash flow that exceeds the required weekly principal and interest reserve is generally remitted to the Company in the form of a dividend. However, once the required obligations are satisfied, there are no further restrictions, including payment of dividends, on the cash flows of the subsidiaries.</w:t>
      </w:r>
    </w:p>
    <w:p>
      <w:pPr>
        <w:spacing w:after="0" w:line="93"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indenture governing the securitized debt. The covenants, among other things, may limit the ability of certain of the Company’s subsidiaries to declare dividends, make loans or advances or enter into transactions with affiliates. In the event that certain covenants are not met, the Notes may become partially or fully due and payable on an accelerated schedule. In addition, the Company may voluntarily prepay, in part or in full, the Notes at any time, subject to certain make-whole interest obligations.</w:t>
      </w:r>
    </w:p>
    <w:p>
      <w:pPr>
        <w:spacing w:after="0" w:line="75"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While the Notes are outstanding, scheduled payments of principal and interest are required to be made on a quarterly basis. The payment of principal of the Notes may be suspended if the Holdco Leverage Ratio for the Company is less than or equal to 5.0x total debt to Consolidated Adjusted EBITDA, each as defined in the indenture governing the securitized debt. Scheduled principal payments will resume upon failure to satisfy the aforementioned leverage ratio on an ongoing basis and no catch-up provisions are applicable.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Ratio and Debt Classification</w:t>
      </w:r>
    </w:p>
    <w:p>
      <w:pPr>
        <w:spacing w:after="0" w:line="135"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As of the end of each of the fiscal quarters in 2024, the Company had a Holdco Leverage Ratio of less than 5.0x, and accordingly, did not make the previously scheduled debt amortization payments for its outstanding notes beginning in the second quarter of 2024. Accordingly, the outstanding principal amounts of the Company’s 2021 Notes, 2019 Notes, 2018 9.25-Year Notes and 2017 Ten-Year Notes have been classified as long-term debt in the consolidated balance sheet as of December 29, 2024.</w:t>
      </w:r>
    </w:p>
    <w:p>
      <w:pPr>
        <w:spacing w:after="0" w:line="8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anticipated repayment date for the 2018 7.5-Year Notes and the 2015 Ten-Year Notes is October 2025 and accordingly, the outstanding principal amounts for these notes have been classified as current portion of long-term debt in the consolidated balance sheet as of December 29, 2024. The Company expects to refinance the 2018 7.5-Year Notes and the 2015 Ten-Year Notes prior to the anticipated repayment date. If the Company does not refinance the 2018 7.5-Year Notes and the 2015 Ten-Year Notes prior to the anticipated repayment date, additional interest of at least 5% per annum will accrue and the Company’s cash flows other than technology fees and a weekly management fee to cover certain general and administrative expenses would be directed to the repayment of the securitized debt.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Consolidated Long-Term Debt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29, 2024 and December 31, 2023, consolidated long-term debt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2017</w:t>
            </w: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Debt issuance costs, net of accumulated amortization</w:t>
            </w:r>
          </w:p>
        </w:tc>
        <w:tc>
          <w:tcPr>
            <w:tcW w:w="220" w:type="dxa"/>
            <w:vAlign w:val="bottom"/>
          </w:tcPr>
          <w:p>
            <w:pPr>
              <w:spacing w:after="0"/>
              <w:rPr>
                <w:sz w:val="17"/>
                <w:szCs w:val="17"/>
                <w:color w:val="auto"/>
              </w:rPr>
            </w:pPr>
          </w:p>
        </w:tc>
        <w:tc>
          <w:tcPr>
            <w:tcW w:w="1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(16,321 )</w:t>
            </w:r>
          </w:p>
        </w:tc>
        <w:tc>
          <w:tcPr>
            <w:tcW w:w="240" w:type="dxa"/>
            <w:vAlign w:val="bottom"/>
          </w:tcPr>
          <w:p>
            <w:pPr>
              <w:spacing w:after="0"/>
              <w:rPr>
                <w:sz w:val="17"/>
                <w:szCs w:val="17"/>
                <w:color w:val="auto"/>
              </w:rPr>
            </w:pP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(21,619 )</w:t>
            </w:r>
          </w:p>
        </w:tc>
        <w:tc>
          <w:tcPr>
            <w:tcW w:w="0" w:type="dxa"/>
            <w:vAlign w:val="bottom"/>
          </w:tcPr>
          <w:p>
            <w:pPr>
              <w:spacing w:after="0"/>
              <w:rPr>
                <w:sz w:val="1"/>
                <w:szCs w:val="1"/>
                <w:color w:val="auto"/>
              </w:rPr>
            </w:pPr>
          </w:p>
        </w:tc>
      </w:tr>
      <w:tr>
        <w:trPr>
          <w:trHeight w:val="221"/>
        </w:trPr>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$34.5 million in 2024 and $29.2 million in 2023</w:t>
            </w:r>
          </w:p>
        </w:tc>
        <w:tc>
          <w:tcPr>
            <w:tcW w:w="22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4,975,338</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(1,149,679 )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(56,366 )</w:t>
            </w: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3,825,659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4,934,062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At December 29, 2024, maturities of long-term debt, finance leases and other financing obligations were as follows below and reflect the total</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amounts due for each of the Notes on their respective anticipated repayment dates assuming the Holdco Leverage Ratio remains less than or equal to 5.0x.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1,149,679</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1,324,246</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831,088</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652,765</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1,027,890</w:t>
            </w:r>
          </w:p>
        </w:tc>
        <w:tc>
          <w:tcPr>
            <w:tcW w:w="100" w:type="dxa"/>
            <w:vAlign w:val="bottom"/>
          </w:tcPr>
          <w:p>
            <w:pPr>
              <w:spacing w:after="0"/>
              <w:rPr>
                <w:sz w:val="18"/>
                <w:szCs w:val="18"/>
                <w:color w:val="auto"/>
              </w:rPr>
            </w:pPr>
          </w:p>
        </w:tc>
      </w:tr>
      <w:tr>
        <w:trPr>
          <w:trHeight w:val="249"/>
        </w:trPr>
        <w:tc>
          <w:tcPr>
            <w:tcW w:w="9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4,991,659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5"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13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8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Company holds a non-controlling interest in DPC Dash, the Company’s master franchisee in China that owns and operates Domino’s Pizza stores in that market. As of December 29, 2024 and December 31, 2023, the fair value of the Company’s investment in DPC Dash is based on the active exchange quoted price for the equity security (HK$79.25 per share as of December 29, 2024 and HK$61.95 per share as of December 31, 2023). The Company owned 8,101,019 and 18,101,019 ordinary shares as of December 29, 2024 and December 31, 2023, respectively. The Company sold 10,000,000 ordinary shares of its investment in DPC Dash in the fourth quarter of 2024 for net proceeds of $82.9 million.</w:t>
      </w:r>
    </w:p>
    <w:p>
      <w:pPr>
        <w:spacing w:after="0" w:line="89"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recorded a total net adjustment to the net carrying amount of its investment in DPC Dash of $22.1 million and $17.7 million in 2024 and 2023, respectively, with the net realized and unrealized gains recorded in other income in its consolidated statements of income. The Company did not record any adjustments to the carrying amount of its investment in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certain assets at December 29,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At December 29, 2024</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6"/>
          </w:tcPr>
          <w:p>
            <w:pPr>
              <w:jc w:val="center"/>
              <w:ind w:left="59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279"/>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127,074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127,074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certain assets at 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6"/>
          </w:tcPr>
          <w:p>
            <w:pPr>
              <w:jc w:val="center"/>
              <w:ind w:left="61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279"/>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Notes (Note 3) are classified as Level 2 measurements, as the Company estimates the fair value amount by using available market information. The Company obtained quotes from two separate brokerage firms that are knowledgeable about the Company’s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Notes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739,032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399,869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403,750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649,688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850,938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830,700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December 29, 2024 or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3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2024, 2023 and 2022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8"/>
                <w:szCs w:val="18"/>
                <w:color w:val="auto"/>
              </w:rPr>
            </w:pPr>
          </w:p>
        </w:tc>
      </w:tr>
      <w:tr>
        <w:trPr>
          <w:trHeight w:val="216"/>
        </w:trPr>
        <w:tc>
          <w:tcPr>
            <w:tcW w:w="5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Rent expense totaled $91.2 million, $85.6 million and $79.6 million in 2024, 2023 and 2022,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$7.5 million, $5.4 million and $7.0 million in 2024, 2023 and 2022, respectively. Variable rent expense and rent expense for other short-term leases were immaterial for 2024, 2023 and 2022.</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finance leases as of December 29, 2024 and December 31, 2023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4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84,606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88,253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(28,148 )</w:t>
            </w: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(24,159 )</w:t>
            </w:r>
          </w:p>
        </w:tc>
      </w:tr>
      <w:tr>
        <w:trPr>
          <w:trHeight w:val="250"/>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 net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68,704</w:t>
            </w:r>
          </w:p>
        </w:tc>
        <w:tc>
          <w:tcPr>
            <w:tcW w:w="100" w:type="dxa"/>
            <w:vAlign w:val="bottom"/>
          </w:tcPr>
          <w:p>
            <w:pPr>
              <w:spacing w:after="0"/>
              <w:rPr>
                <w:sz w:val="18"/>
                <w:szCs w:val="18"/>
                <w:color w:val="auto"/>
              </w:rPr>
            </w:pPr>
          </w:p>
        </w:tc>
      </w:tr>
      <w:tr>
        <w:trPr>
          <w:trHeight w:val="250"/>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66,058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-607695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-590550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December 29, 2024 and December 31, 2023, the weighted average remaining lease term and weighted average discount rate for the Company’s operating and finance leases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900" w:type="dxa"/>
            <w:vAlign w:val="bottom"/>
            <w:gridSpan w:val="2"/>
          </w:tcPr>
          <w:p>
            <w:pPr>
              <w:jc w:val="center"/>
              <w:ind w:left="304"/>
              <w:spacing w:after="0" w:line="118" w:lineRule="exact"/>
              <w:rPr>
                <w:sz w:val="20"/>
                <w:szCs w:val="20"/>
                <w:color w:val="auto"/>
              </w:rPr>
            </w:pPr>
            <w:r>
              <w:rPr>
                <w:rFonts w:ascii="Times New Roman" w:cs="Times New Roman" w:eastAsia="Times New Roman" w:hAnsi="Times New Roman"/>
                <w:sz w:val="13"/>
                <w:szCs w:val="13"/>
                <w:b w:val="1"/>
                <w:bCs w:val="1"/>
                <w:color w:val="auto"/>
              </w:rPr>
              <w:t>Finance</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35"/>
              <w:spacing w:after="0" w:line="118" w:lineRule="exact"/>
              <w:rPr>
                <w:sz w:val="20"/>
                <w:szCs w:val="20"/>
                <w:color w:val="auto"/>
              </w:rPr>
            </w:pPr>
            <w:r>
              <w:rPr>
                <w:rFonts w:ascii="Times New Roman" w:cs="Times New Roman" w:eastAsia="Times New Roman" w:hAnsi="Times New Roman"/>
                <w:sz w:val="13"/>
                <w:szCs w:val="13"/>
                <w:b w:val="1"/>
                <w:bCs w:val="1"/>
                <w:color w:val="auto"/>
              </w:rPr>
              <w:t>Finance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5"/>
                <w:szCs w:val="15"/>
                <w:color w:val="auto"/>
              </w:rPr>
            </w:pPr>
          </w:p>
        </w:tc>
        <w:tc>
          <w:tcPr>
            <w:tcW w:w="900" w:type="dxa"/>
            <w:vAlign w:val="bottom"/>
            <w:tcBorders>
              <w:bottom w:val="single" w:sz="8" w:color="auto"/>
            </w:tcBorders>
            <w:gridSpan w:val="2"/>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gridSpan w:val="2"/>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gridSpan w:val="2"/>
          </w:tcPr>
          <w:p>
            <w:pPr>
              <w:spacing w:after="0"/>
              <w:rPr>
                <w:sz w:val="15"/>
                <w:szCs w:val="15"/>
                <w:color w:val="auto"/>
              </w:rPr>
            </w:pPr>
          </w:p>
        </w:tc>
      </w:tr>
      <w:tr>
        <w:trPr>
          <w:trHeight w:val="209"/>
        </w:trPr>
        <w:tc>
          <w:tcPr>
            <w:tcW w:w="5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 years</w:t>
            </w:r>
          </w:p>
        </w:tc>
        <w:tc>
          <w:tcPr>
            <w:tcW w:w="5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12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 years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13 years</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4.6 %</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6.1 %</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r>
      <w:tr>
        <w:trPr>
          <w:trHeight w:val="319"/>
        </w:trPr>
        <w:tc>
          <w:tcPr>
            <w:tcW w:w="75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2024, 2023 and 2022 was as follows: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50,636</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46,936</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45,082</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8"/>
                <w:szCs w:val="18"/>
                <w:color w:val="auto"/>
              </w:rPr>
            </w:pPr>
          </w:p>
        </w:tc>
      </w:tr>
      <w:tr>
        <w:trPr>
          <w:trHeight w:val="198"/>
        </w:trPr>
        <w:tc>
          <w:tcPr>
            <w:tcW w:w="524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2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53,076</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34,313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64,660</w:t>
            </w:r>
          </w:p>
        </w:tc>
        <w:tc>
          <w:tcPr>
            <w:tcW w:w="100" w:type="dxa"/>
            <w:vAlign w:val="bottom"/>
            <w:shd w:val="clear" w:color="auto" w:fill="CFF0FC"/>
          </w:tcPr>
          <w:p>
            <w:pPr>
              <w:spacing w:after="0"/>
              <w:rPr>
                <w:sz w:val="18"/>
                <w:szCs w:val="18"/>
                <w:color w:val="auto"/>
              </w:rPr>
            </w:pPr>
          </w:p>
        </w:tc>
      </w:tr>
      <w:tr>
        <w:trPr>
          <w:trHeight w:val="234"/>
        </w:trPr>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0"/>
                <w:szCs w:val="20"/>
                <w:color w:val="auto"/>
              </w:rPr>
            </w:pPr>
          </w:p>
        </w:tc>
      </w:tr>
      <w:tr>
        <w:trPr>
          <w:trHeight w:val="414"/>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52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color w:val="auto"/>
        </w:rPr>
        <w:t>Maturities of lease liabilities as of December 29, 2024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2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49,446</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50,514</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261,979</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(40,076 )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(24,683 )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221,903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In the fourth quarter of 2023, a subsidiary of the Company entered into a purchase and sale agreement with a developer to sell one of the Company’s owned supply chain center buildings and the associated land for $14.9 million. Concurrently, a separate subsidiary of the Company entered into a lease agreement with the developer to construct a new supply chain center which includes both the existing building as well as an adjoined new construction on the adjacent properties owned by the developer.</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leaseback of the Company’s building on a standalone basis for the construction period plus the 20-year term using the discount rate implicit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resulted in a finance lease classification, and therefore, the transaction was accounted for as a failed sale leaseback. The Company retained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land and buildings on its consolidated balance sheet which are included in property, plant and equipment and the Company continues to depreciate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building as if it owned it. The $14.9 million cash proceeds from the transaction were recorded as a financing obligation which is classified as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 the Company’s consolidated balance sheet and will be amortized into principal and interest expense over the term of the lease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$119.5 million of future minimum rent payments associated with the new construction on a standalone basis is included in the disclosure for material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yet commenced, below.</w:t>
      </w:r>
    </w:p>
    <w:p>
      <w:pPr>
        <w:spacing w:after="0" w:line="9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As of December 29, 2024, in addition to the lease for the new supply chain construction on a standalone basis discussed above, the Company also had additional leases for certain supply chain real estate and certain supply chain vehicles that had not yet commenced. The total estimated future minimum rental commitments for all of these arrangements is $178.0 million. These leases are expected to commence in 2025 with lease terms of up to 20 years. These undiscounted amounts are not included in the table above.</w:t>
      </w:r>
    </w:p>
    <w:p>
      <w:pPr>
        <w:spacing w:after="0" w:line="72"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$12.8 million and $18.5 million as of December 29, 2024 and December 31, 2023, respectively. The Company does not believe these arrangements have or are likely to have a material effect on its results of operations, financial condition, revenues or expenses, capital expenditures or liquidity.</w:t>
      </w:r>
    </w:p>
    <w:p>
      <w:pPr>
        <w:spacing w:after="0" w:line="176"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The Company records legal fees associated with loss contingencies when they are probable and reasonably estimable. Litigation is subject to many uncertainties, and the outcome of individual litigated matters is unpredictable. These matters could be decided unfavorably and could require the Company to pay damages or make other expenditures in amounts or a range of amounts that cannot be estimated with accuracy. However, the Company does not believe these matters, individually or in the aggregate, will have a material adverse effect on the business or financial condition of the Company, and the Company expects that the established accruals adequately provide for the estimated resolution of such claims.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ind w:left="480" w:hanging="472"/>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before provision for income taxes in 2024, 2023 and 2022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707,705</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640,255</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560,115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722,215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652,440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 differences between the U.S. Federal statutory income tax provision (using the statutory rate of 21%) and the Company’s consolidated provision for income taxes for 2024, 2023 and 2022 are summarized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income tax provision based on the statutory rate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151,665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120,295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related Federal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Non-resident withholding and foreign income taxes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and other tax credits</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(28,622 )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(25,786 )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(19,849 )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(16,380 )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(17,850 )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(15,068 )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(22,241 )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(3,397 )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 net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provision (benefit), net of related Federal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(3,788 )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(2,246 )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(6,487 )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(1,427 )</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138,045</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100" w:type="dxa"/>
            <w:vAlign w:val="bottom"/>
            <w:tcBorders>
              <w:top w:val="single" w:sz="8" w:color="CFF0FC"/>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right="280" w:firstLine="449"/>
        <w:spacing w:after="0" w:line="266" w:lineRule="auto"/>
        <w:rPr>
          <w:sz w:val="20"/>
          <w:szCs w:val="20"/>
          <w:color w:val="auto"/>
        </w:rPr>
      </w:pPr>
      <w:r>
        <w:rPr>
          <w:rFonts w:ascii="Times New Roman" w:cs="Times New Roman" w:eastAsia="Times New Roman" w:hAnsi="Times New Roman"/>
          <w:sz w:val="18"/>
          <w:szCs w:val="18"/>
          <w:color w:val="auto"/>
        </w:rPr>
        <w:t>Excess tax benefits from equity-based compensation activity resulted in a decrease in the Company’s provision for income taxes of $22.2 million, $3.4 million and $2.2 million in 2024, 2023 and 2022, respectively, primarily due to the recognition of excess tax benefits for options exercised and the vesting of equity awards.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2024, 2023 and 2022 consolidated provision for income taxes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taxes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95,376</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100,287</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76,552</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(benefit) provision</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(8,816 )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(16,467 )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FF0FC"/>
          </w:tcPr>
          <w:p>
            <w:pPr>
              <w:spacing w:after="0"/>
              <w:rPr>
                <w:sz w:val="18"/>
                <w:szCs w:val="18"/>
                <w:color w:val="auto"/>
              </w:rPr>
            </w:pPr>
          </w:p>
        </w:tc>
      </w:tr>
      <w:tr>
        <w:trPr>
          <w:trHeight w:val="209"/>
        </w:trPr>
        <w:tc>
          <w:tcPr>
            <w:tcW w:w="55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provision for Federal income taxes</w:t>
            </w:r>
          </w:p>
        </w:tc>
        <w:tc>
          <w:tcPr>
            <w:tcW w:w="1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80,677</w:t>
            </w:r>
          </w:p>
        </w:tc>
        <w:tc>
          <w:tcPr>
            <w:tcW w:w="100" w:type="dxa"/>
            <w:vAlign w:val="bottom"/>
            <w:tcBorders>
              <w:top w:val="single" w:sz="8" w:color="CFF0FC"/>
            </w:tcBorders>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state and local income taxes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(benefit) provision</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(301 )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(2,991 )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8"/>
                <w:szCs w:val="18"/>
                <w:color w:val="auto"/>
              </w:rPr>
            </w:pPr>
          </w:p>
        </w:tc>
      </w:tr>
      <w:tr>
        <w:trPr>
          <w:trHeight w:val="209"/>
        </w:trPr>
        <w:tc>
          <w:tcPr>
            <w:tcW w:w="55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provision for state and local income taxes</w:t>
            </w:r>
          </w:p>
        </w:tc>
        <w:tc>
          <w:tcPr>
            <w:tcW w:w="1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tcBorders>
              <w:top w:val="single" w:sz="8" w:color="CFF0FC"/>
            </w:tcBorders>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non-resident withholding and foreign income taxes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benefit</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(4,449 )</w:t>
            </w:r>
          </w:p>
        </w:tc>
      </w:tr>
      <w:tr>
        <w:trPr>
          <w:trHeight w:val="210"/>
        </w:trPr>
        <w:tc>
          <w:tcPr>
            <w:tcW w:w="55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provision for non-resident withholding and foreign income taxes</w:t>
            </w:r>
          </w:p>
        </w:tc>
        <w:tc>
          <w:tcPr>
            <w:tcW w:w="11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tcBorders>
              <w:top w:val="single" w:sz="8" w:color="CFF0FC"/>
            </w:tcBorders>
          </w:tcPr>
          <w:p>
            <w:pPr>
              <w:spacing w:after="0"/>
              <w:rPr>
                <w:sz w:val="18"/>
                <w:szCs w:val="18"/>
                <w:color w:val="auto"/>
              </w:rPr>
            </w:pPr>
          </w:p>
        </w:tc>
      </w:tr>
      <w:tr>
        <w:trPr>
          <w:trHeight w:val="250"/>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138,045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100" w:type="dxa"/>
            <w:vAlign w:val="bottom"/>
            <w:shd w:val="clear" w:color="auto" w:fill="CFF0FC"/>
          </w:tcPr>
          <w:p>
            <w:pPr>
              <w:spacing w:after="0"/>
              <w:rPr>
                <w:sz w:val="21"/>
                <w:szCs w:val="21"/>
                <w:color w:val="auto"/>
              </w:rPr>
            </w:pPr>
          </w:p>
        </w:tc>
      </w:tr>
      <w:tr>
        <w:trPr>
          <w:trHeight w:val="413"/>
        </w:trPr>
        <w:tc>
          <w:tcPr>
            <w:tcW w:w="55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-2202180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-2202180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-1645285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-1645285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-1088390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-1088390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-796290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-779145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-796290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-779145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color w:val="auto"/>
        </w:rPr>
        <w:t>As of December 29, 2024 and December 31, 2023, the significant components of net deferred income taxes were as follows:</w:t>
      </w:r>
    </w:p>
    <w:p>
      <w:pPr>
        <w:spacing w:after="0" w:line="1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55,538</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53,720</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tax credit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2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122,776</w:t>
            </w:r>
          </w:p>
        </w:tc>
        <w:tc>
          <w:tcPr>
            <w:tcW w:w="120" w:type="dxa"/>
            <w:vAlign w:val="bottom"/>
          </w:tcPr>
          <w:p>
            <w:pPr>
              <w:spacing w:after="0"/>
              <w:rPr>
                <w:sz w:val="18"/>
                <w:szCs w:val="18"/>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(22,359 )</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(18,166 )</w:t>
            </w:r>
          </w:p>
        </w:tc>
      </w:tr>
      <w:tr>
        <w:trPr>
          <w:trHeight w:val="210"/>
        </w:trPr>
        <w:tc>
          <w:tcPr>
            <w:tcW w:w="74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103,642</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104,610</w:t>
            </w:r>
          </w:p>
        </w:tc>
        <w:tc>
          <w:tcPr>
            <w:tcW w:w="120" w:type="dxa"/>
            <w:vAlign w:val="bottom"/>
            <w:tcBorders>
              <w:top w:val="single" w:sz="8" w:color="CFF0FC"/>
            </w:tcBorders>
          </w:tcPr>
          <w:p>
            <w:pPr>
              <w:spacing w:after="0"/>
              <w:rPr>
                <w:sz w:val="18"/>
                <w:szCs w:val="18"/>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amortization and asset basis differences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2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90,930</w:t>
            </w:r>
          </w:p>
        </w:tc>
        <w:tc>
          <w:tcPr>
            <w:tcW w:w="120" w:type="dxa"/>
            <w:vAlign w:val="bottom"/>
          </w:tcPr>
          <w:p>
            <w:pPr>
              <w:spacing w:after="0"/>
              <w:rPr>
                <w:sz w:val="18"/>
                <w:szCs w:val="18"/>
                <w:color w:val="auto"/>
              </w:rPr>
            </w:pPr>
          </w:p>
        </w:tc>
      </w:tr>
      <w:tr>
        <w:trPr>
          <w:trHeight w:val="250"/>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-1447800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-1156970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-1156970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-316230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-316230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80" w:firstLine="449"/>
        <w:spacing w:after="0" w:line="265" w:lineRule="auto"/>
        <w:rPr>
          <w:sz w:val="20"/>
          <w:szCs w:val="20"/>
          <w:color w:val="auto"/>
        </w:rPr>
      </w:pPr>
      <w:r>
        <w:rPr>
          <w:rFonts w:ascii="Times New Roman" w:cs="Times New Roman" w:eastAsia="Times New Roman" w:hAnsi="Times New Roman"/>
          <w:sz w:val="18"/>
          <w:szCs w:val="18"/>
          <w:color w:val="auto"/>
        </w:rPr>
        <w:t>Realization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deferred tax assets is dependent upon many factors, including, but not limited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generate sufficient taxable income. Although realization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deferred tax assets is not assured, on an ongoing basis, management assesses whether it remains more likely than not the deferred tax assets will be realized.</w:t>
      </w:r>
    </w:p>
    <w:p>
      <w:pPr>
        <w:spacing w:after="0" w:line="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As of December 29, 2024 and December 31, 2023, the Company had total foreign tax credits of $21.0 million and $16.8 million, respectively, which were fully offset with a corresponding valuation allowance. As of December 29, 2024 and December 31, 2023, the Company also had valuation allowances related to interest deductibility in separately filed states of $1.4 million and $1.4 million, respectively. Management believes the remaining deferred tax assets will be realized. For financial reporting purposes,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investment in foreign subsidiaries does not exceed its tax basis. Therefore, no deferred income taxes have been provided.</w:t>
      </w:r>
    </w:p>
    <w:p>
      <w:pPr>
        <w:spacing w:after="0" w:line="88"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recognizes the financial statement benefit of a tax position if it is more likely than not that the position is sustainable, based solely on its technical merits and consideration of the relevant taxing authorities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recognizes penalties in income tax expense.</w:t>
      </w:r>
    </w:p>
    <w:p>
      <w:pPr>
        <w:spacing w:after="0" w:line="8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 of December 29, 2024, December 31, 2023 and January 1, 2023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3"/>
                <w:szCs w:val="13"/>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73"/>
        </w:trPr>
        <w:tc>
          <w:tcPr>
            <w:tcW w:w="4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49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Reductions for changes in prior year tax positions</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(551 )</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(4,521 )</w:t>
            </w:r>
          </w:p>
        </w:tc>
      </w:tr>
      <w:tr>
        <w:trPr>
          <w:trHeight w:val="216"/>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Reductions for lapses of applicable statute of limitations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(664 )</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(897 )</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(1,112 )</w:t>
            </w:r>
          </w:p>
        </w:tc>
      </w:tr>
      <w:tr>
        <w:trPr>
          <w:trHeight w:val="250"/>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16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4980" w:type="dxa"/>
            <w:vAlign w:val="bottom"/>
          </w:tcPr>
          <w:p>
            <w:pPr>
              <w:spacing w:after="0"/>
              <w:rPr>
                <w:sz w:val="24"/>
                <w:szCs w:val="24"/>
                <w:color w:val="auto"/>
              </w:rPr>
            </w:pPr>
          </w:p>
        </w:tc>
        <w:tc>
          <w:tcPr>
            <w:tcW w:w="16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-796290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-779780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-796290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-779780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As of December 29, 2024, the amount of unrecognized tax benefits was $4.5 million of which, if ultimately recognized, $4.5 million would be recognized as an income tax benefit and reduce the Company’s effective tax rate. As of December 29, 2024, the Company had $0.6 million of accrued interest and no accrued penalties.</w:t>
      </w:r>
    </w:p>
    <w:p>
      <w:pPr>
        <w:spacing w:after="0" w:line="81" w:lineRule="exact"/>
        <w:rPr>
          <w:sz w:val="20"/>
          <w:szCs w:val="20"/>
          <w:color w:val="auto"/>
        </w:rPr>
      </w:pPr>
    </w:p>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2023, the amount of unrecognized tax benefits was $3.9 million of which, if ultimately recognized, $3.9 million would be recognized as an income tax benefit and reduce the Company’s effective tax rate. As of December 31, 2023, the Company had $0.4 million of accrued interest and no accrued penalties.</w:t>
      </w:r>
    </w:p>
    <w:p>
      <w:pPr>
        <w:spacing w:after="0" w:line="8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There are currently no Internal Revenue Service audits in progress for the Company. The Company continues to be under examination by certain states. The Company’s Federal statute of limitation has expired for years prior to 2021, but it varies for state and foreign locations. The Company believes appropriate provisions for all outstanding tax issues have been made for all jurisdictions and all open years.</w:t>
      </w:r>
    </w:p>
    <w:p>
      <w:pPr>
        <w:spacing w:after="0" w:line="131"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35"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Company has a retirement savings plan which qualifies under Internal Revenue Code Section 401(k). All employees of the Company who have completed 60 days of service and are at least 18 years of age are eligible to participate in the plan. The plan requires the Company to match 100% of the first 5% of each employee’s elective deferrals. The Company’s matching contributions are made in the form of cash and vest immediately. The expenses incurred for Company contributions to the plan were $14.1 million, $12.5 million and $12.4 million in 2024, 2023 and 2022, respectively.</w:t>
      </w:r>
    </w:p>
    <w:p>
      <w:pPr>
        <w:spacing w:after="0" w:line="85"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The Company has established a non-qualified deferred compensation plan available for certain key employees. Under this self-funding plan, the participants may defer up to 40% of their base salary and up to 80% of their bonus compensation. Beginning in fiscal 2025, participants may defer up to 50% of their base salary and up to 80% of their bonus compensation. The participants direct the investment of their deferred compensation within several investment funds. The Company is not required to contribute and did not contribute to this plan during 2024, 2023 and 2022.</w:t>
      </w:r>
    </w:p>
    <w:p>
      <w:pPr>
        <w:spacing w:after="0" w:line="85"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payroll deduction plan (the “ESPDP”). Under the ESPDP, eligible employees may deduct up to 15% of their eligible wages to purchase common stock at 85% of the market price of the stock at the purchase date. The ESPDP requires employees to hold their purchased common stock for at least one year. The Company purchases common stock on the open market for the ESPDP at the current market price. There were 15,935 shares, 18,439 shares and 17,378 shares of common stock in 2024, 2023 and 2022, respectively, purchased on the open market for participating employees at a weighted-average price of $450.59 in 2024, $341.76 in 2023 and $391.23 in 2022. The expenses incurred under the ESPDP were $1.0 million, $0.9 million, and $1.0 million in 2024, 2023 and 2022, respectively.</w:t>
      </w:r>
    </w:p>
    <w:p>
      <w:pPr>
        <w:spacing w:after="0" w:line="156"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3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Company’s current equity incentive plan, named the Domino’s Pizza, Inc. 2004 Equity Incentive Plan (the “2004 Equity Incentive Plan”), benefits certain of the Company’s employees and members of the Company’s Board of Directors. As of December 29, 2024, the maximum number of shares that may be granted under the 2004 Equity Incentive Plan is 15,600,000 shares of voting common stock of which 2,084,307 shares were authorized for grant but have not been granted.</w:t>
      </w:r>
    </w:p>
    <w:p>
      <w:pPr>
        <w:spacing w:after="0" w:line="85" w:lineRule="exact"/>
        <w:rPr>
          <w:sz w:val="20"/>
          <w:szCs w:val="20"/>
          <w:color w:val="auto"/>
        </w:rPr>
      </w:pPr>
    </w:p>
    <w:p>
      <w:pPr>
        <w:ind w:right="460" w:firstLine="449"/>
        <w:spacing w:after="0" w:line="266" w:lineRule="auto"/>
        <w:rPr>
          <w:sz w:val="20"/>
          <w:szCs w:val="20"/>
          <w:color w:val="auto"/>
        </w:rPr>
      </w:pPr>
      <w:r>
        <w:rPr>
          <w:rFonts w:ascii="Times New Roman" w:cs="Times New Roman" w:eastAsia="Times New Roman" w:hAnsi="Times New Roman"/>
          <w:sz w:val="18"/>
          <w:szCs w:val="18"/>
          <w:color w:val="auto"/>
        </w:rPr>
        <w:t>The cost of all employee stock options, as well as other equity-based compensation arrangements, is reflected in the consolidated statements of income based on the estimated fair value of the awards and is amortized over the requisite service period of each award. All non-cash equity-based compensation expense amounts are recorded in general and administrative expense. The Company accounts for forfeitures as they occur.</w:t>
      </w:r>
    </w:p>
    <w:p>
      <w:pPr>
        <w:spacing w:after="0" w:line="8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Company recorded total non-cash equity-based compensation expense of $43.3 million, $37.5 million and $28.7 million in 2024, 2023 and 2022, respectively. The Company recorded a deferred tax benefit related to non-cash equity-based compensation expense of $6.8 million, $6.3 million and $4.9 million in 2024, 2023 and 2022, respectively.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35"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As of December 29, 2024, the number of stock options granted and outstanding under the 2004 Equity Incentive Plan was 458,294 options. Stock options granted in fiscal 2015 through fiscal 2020 were granted with an exercise price equal to the market price at the date of the grant, expire ten years from the date of grant and generally vested over four years from the date of grant, generally subject to the holder’s continued employment. Stock options granted after fiscal 2020 were granted with an exercise price equal to the market price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of the holders that have achieved specific service and age requirements.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related to the 2004 Equity Incentive Plan is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Common Stock Options</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2,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 or expired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(8,712 )</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(32,979 )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672,142</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 or expired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(11,973 )</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(78,532 )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December 31,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686,348</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 or expired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(3,728 )</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(270,424 )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December 29,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458,294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306.85</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29, 2024</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334,194</w:t>
            </w:r>
          </w:p>
        </w:tc>
        <w:tc>
          <w:tcPr>
            <w:tcW w:w="2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285.84</w:t>
            </w:r>
          </w:p>
        </w:tc>
        <w:tc>
          <w:tcPr>
            <w:tcW w:w="1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48,051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-187960</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$93.5 million, $19.6 million and $8.8 million in 2024, 2023 and 2022, respectively. Cash received from the exercise of stock options was $36.0 million, $8.7 million and $3.3 million in 2024, 2023 and 2022, respectively. The tax benefit realized from stock options exercised was $20.8 million, $4.2 million and $1.9 million in 2024, 2023 and 2022, respectively.</w:t>
      </w:r>
    </w:p>
    <w:p>
      <w:pPr>
        <w:spacing w:after="0" w:line="8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Company recorded total non-cash equity-based compensation expense of $6.7 million, $5.8 million and $4.2 million in 2024, 2023 and 2022, respectively, related to stock option awards. As of December 29, 2024, there was $7.9 million of total unrecognized compensation cost related to unvested stock options granted under the 2004 Equity Incentive Plan which will be recognized on a straight-line basis over the related vesting period. This unrecognized compensation cost is expected to be recognized over a weighted average period of 1.7 years.</w:t>
      </w:r>
    </w:p>
    <w:p>
      <w:pPr>
        <w:spacing w:after="0" w:line="85" w:lineRule="exact"/>
        <w:rPr>
          <w:sz w:val="20"/>
          <w:szCs w:val="20"/>
          <w:color w:val="auto"/>
        </w:rPr>
      </w:pPr>
    </w:p>
    <w:p>
      <w:pPr>
        <w:ind w:right="80" w:firstLine="449"/>
        <w:spacing w:after="0" w:line="259" w:lineRule="auto"/>
        <w:rPr>
          <w:sz w:val="20"/>
          <w:szCs w:val="20"/>
          <w:color w:val="auto"/>
        </w:rPr>
      </w:pPr>
      <w:r>
        <w:rPr>
          <w:rFonts w:ascii="Times New Roman" w:cs="Times New Roman" w:eastAsia="Times New Roman" w:hAnsi="Times New Roman"/>
          <w:sz w:val="18"/>
          <w:szCs w:val="18"/>
          <w:color w:val="auto"/>
        </w:rPr>
        <w:t>Management estimated the fair value of each option grant made during 2024, 2023 and 2022 as of the date of the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 Option valuation models require the input of highly subjective assumptions and changes in assumptions can significantly affect the estimated fair value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options.</w:t>
      </w:r>
    </w:p>
    <w:p>
      <w:pPr>
        <w:spacing w:after="0" w:line="84"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estimating the fair value of each stock option granted in 2024, 2023 and 2022 using the Black-Scholes option pricing method are presented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21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5.25 years</w:t>
            </w:r>
          </w:p>
        </w:tc>
        <w:tc>
          <w:tcPr>
            <w:tcW w:w="3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5.25 years</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 years</w:t>
            </w: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32.0 %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32.0 %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31.0 %</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stock option</w:t>
            </w:r>
          </w:p>
        </w:tc>
        <w:tc>
          <w:tcPr>
            <w:tcW w:w="2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80" w:type="dxa"/>
            <w:vAlign w:val="bottom"/>
            <w:shd w:val="clear" w:color="auto" w:fill="CFF0FC"/>
          </w:tcPr>
          <w:p>
            <w:pPr>
              <w:spacing w:after="0"/>
              <w:rPr>
                <w:sz w:val="18"/>
                <w:szCs w:val="18"/>
                <w:color w:val="auto"/>
              </w:rPr>
            </w:pPr>
          </w:p>
        </w:tc>
      </w:tr>
      <w:tr>
        <w:trPr>
          <w:trHeight w:val="432"/>
        </w:trPr>
        <w:tc>
          <w:tcPr>
            <w:tcW w:w="4400" w:type="dxa"/>
            <w:vAlign w:val="bottom"/>
          </w:tcPr>
          <w:p>
            <w:pPr>
              <w:spacing w:after="0"/>
              <w:rPr>
                <w:sz w:val="24"/>
                <w:szCs w:val="24"/>
                <w:color w:val="auto"/>
              </w:rPr>
            </w:pPr>
          </w:p>
        </w:tc>
        <w:tc>
          <w:tcPr>
            <w:tcW w:w="2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Other Equity-Based Compensation Arrangements</w:t>
      </w:r>
    </w:p>
    <w:p>
      <w:pPr>
        <w:spacing w:after="0" w:line="135"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granted 3,322 units, 4,553 units and 3,792 shares of restricted stock in 2024, 2023 and 2022, respectively, to members of its Board of Directors. Restricted stock units and awards granted to members of the Company’s Board of Directors were granted with a fair value equal to the market price of the Company’s common stock on the grant date and generally vest one year from the date of grant, generally subject to the director’s continued service. These awards also contain provisions for accelerated vesting upon the retirement eligibility of the holders that have achieved specified service and age requirements.</w:t>
      </w:r>
    </w:p>
    <w:p>
      <w:pPr>
        <w:spacing w:after="0" w:line="8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Company granted 64,272 units, 125,285 units and 81,739 units of restricted stock in 2024, 2023 and 2022, respectively, to certain employees of the Company. These restricted stock units were granted with a fair value equal to the market price of the Company’s common stock on the grant date. These restricted stock units are generally separated into three tranches and have time-based vesting conditions with the last tranche of the award vesting three years from the grant date, generally subject to the holder’s continued employment. These awards generally also contain provisions for accelerated vesting upon the retirement of the holders that have achieved specified service and age requirements.</w:t>
      </w:r>
    </w:p>
    <w:p>
      <w:pPr>
        <w:spacing w:after="0" w:line="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Company granted 17,670 units, 37,677 units and 8,921 units of performance-based restricted stock in 2024, 2023 and 2022, respectively, to certain employees of the Company. These restricted stock units were granted with a fair value equal to the market price of the Company’s common stock on the grant date, certain of which were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achievement as compared to the specified target performance conditions. Certain of the performance-based restricted stock units also include provisions for a potential modifier (upward or downward) based on the Company’s cumulative three-year common stock total shareholder return performance relative to that of a pre-established peer group. These awards contain provisions for full or partial vesting if the holder retires during the performance period, after achieving specified service and age requirements. For the awards with a market condition,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w:t>
      </w:r>
    </w:p>
    <w:p>
      <w:pPr>
        <w:spacing w:after="0" w:line="93"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estimating the fair value of the performance-based restricted stock units granted in 2024, 2023 and 2022 that include a market condition using the Monte-Carlo simulation pricing method are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3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2.81 years</w:t>
            </w:r>
          </w:p>
        </w:tc>
        <w:tc>
          <w:tcPr>
            <w:tcW w:w="3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2.80 years</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 years</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30.4 %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33.2 %</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performance-based restricted stock unit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479.39</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w:t>
            </w:r>
          </w:p>
        </w:tc>
        <w:tc>
          <w:tcPr>
            <w:tcW w:w="180" w:type="dxa"/>
            <w:vAlign w:val="bottom"/>
          </w:tcPr>
          <w:p>
            <w:pPr>
              <w:spacing w:after="0"/>
              <w:rPr>
                <w:sz w:val="20"/>
                <w:szCs w:val="20"/>
                <w:color w:val="auto"/>
              </w:rPr>
            </w:pPr>
          </w:p>
        </w:tc>
      </w:tr>
    </w:tbl>
    <w:p>
      <w:pPr>
        <w:spacing w:after="0" w:line="85"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previously granted performance-based restricted stock to certain employees of the Company. These performance-based restricted stock awards were separated into four tranches and had time-based and performance-based vesting conditions with the last tranche vesting four years from the issuance date, generally subject to the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continued employment. These awards contained provisions for full or partial vesting if the holder retires during the performance period, after achieving specified service and age requirements. The final tranche of these performance-based restricted stock awards vested in 2024.</w:t>
      </w:r>
    </w:p>
    <w:p>
      <w:pPr>
        <w:spacing w:after="0" w:line="75"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In 2018, the Company granted 28,570 shares of restricted stock to two executives of the Company. These awards had a fair value equal to the market price of the Company’s common stock on the grant date and vested in 2022, four years from the date of the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Activity related to restricted stock awards and units and performance-based restricted stock awards and units awarded under the 2004 Equity Incentive Plan is summarized as follows in the table below. The Company recorded total non-cash equity-based compensation expense of $36.6 million, $31.7 million and $24.5 million in 2024, 2023 and 2022, respectively, related to these restricted stock awards and units and performance-based restricted stock awards and units. Certain prior period disclosure amounts have been reclassified to conform to the current presentation. As of December 29, 2024, there was $49.2 million of total unrecognized compensation cost related to these restricted stock awards and units and performance-based restricted stock awards and units. The unrecognized compensation cost related to restricted stock awards and units and performance-based restricted stock awards and units is expected to be recognized over a weighted average period of 2.0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2, 2022</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145,261</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(18,563 )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(75,506 )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145,644</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(9,799 )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(54,225 )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249,135</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(15,216 )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(74,265 )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29,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244,918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Capital Structure</w:t>
      </w:r>
    </w:p>
    <w:p>
      <w:pPr>
        <w:spacing w:after="0" w:line="135"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On February 21, 2024, the Company’s Board of Directors authorized an additional share repurchase program to repurchase up to $1.0 billion of the Company’s common stock, in addition to the $141.3 million that was previously remaining under the previous July 20, 2021 authorization for a total authorization of $1.14 billion for future share repurchases as of that date. As of December 29, 2024, the Company had $814.3 million remaining under its authorization for repurchases of shares of the Company’s common stock.</w:t>
      </w:r>
    </w:p>
    <w:p>
      <w:pPr>
        <w:spacing w:after="0" w:line="85"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Company’s share repurchase programs have historically been funded by excess operating cash flows, excess proceeds from the Company’s recapitalization transactions and borrowings under the Company’s variable funding notes.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85"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During 2024, 2023 and 2022, the Company repurchased 758,242 shares, 789,977 shares and 739,847 shares of the Company’s common stock for $327.0 million, $269.0 million and $293.7 million, respectively.</w:t>
      </w:r>
    </w:p>
    <w:p>
      <w:pPr>
        <w:spacing w:after="0" w:line="67"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December 29, 2024, authorized common stock consists of 160,000,000 voting shares and 10,000,000 non-voting shares. The share components of outstanding common stock at December 29, 2024 and December 31, 2023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6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Pr>
          <w:p>
            <w:pPr>
              <w:spacing w:after="0"/>
              <w:rPr>
                <w:sz w:val="13"/>
                <w:szCs w:val="13"/>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Voting</w:t>
            </w:r>
          </w:p>
        </w:tc>
        <w:tc>
          <w:tcPr>
            <w:tcW w:w="5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34,278,732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34,722,988</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Non-Voting</w:t>
            </w:r>
          </w:p>
        </w:tc>
        <w:tc>
          <w:tcPr>
            <w:tcW w:w="4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8"/>
                <w:szCs w:val="18"/>
                <w:color w:val="auto"/>
              </w:rPr>
            </w:pPr>
          </w:p>
        </w:tc>
      </w:tr>
      <w:tr>
        <w:trPr>
          <w:trHeight w:val="250"/>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Common Stock</w:t>
            </w:r>
          </w:p>
        </w:tc>
        <w:tc>
          <w:tcPr>
            <w:tcW w:w="5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34,281,927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100" w:type="dxa"/>
            <w:vAlign w:val="bottom"/>
            <w:shd w:val="clear" w:color="auto" w:fill="CFF0FC"/>
          </w:tcPr>
          <w:p>
            <w:pPr>
              <w:spacing w:after="0"/>
              <w:rPr>
                <w:sz w:val="21"/>
                <w:szCs w:val="21"/>
                <w:color w:val="auto"/>
              </w:rPr>
            </w:pPr>
          </w:p>
        </w:tc>
      </w:tr>
      <w:tr>
        <w:trPr>
          <w:trHeight w:val="413"/>
        </w:trPr>
        <w:tc>
          <w:tcPr>
            <w:tcW w:w="3560" w:type="dxa"/>
            <w:vAlign w:val="bottom"/>
            <w:tcBorders>
              <w:top w:val="single" w:sz="8" w:color="CFF0FC"/>
            </w:tcBorders>
          </w:tcPr>
          <w:p>
            <w:pPr>
              <w:spacing w:after="0"/>
              <w:rPr>
                <w:sz w:val="24"/>
                <w:szCs w:val="24"/>
                <w:color w:val="auto"/>
              </w:rPr>
            </w:pPr>
          </w:p>
        </w:tc>
        <w:tc>
          <w:tcPr>
            <w:tcW w:w="412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81</w:t>
            </w: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ind w:left="480" w:hanging="472"/>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(i) U.S. stores; (ii) supply chain; and (iii) international franchise.</w:t>
      </w:r>
    </w:p>
    <w:p>
      <w:pPr>
        <w:spacing w:after="0" w:line="13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Over 90% of the Company’s supply chain revenues are attributable to the U.S. The international franchise segment includes operations related to the Company’s franchising business in foreign markets. The accounting policies of the reportable segments are the same as those described in Note 1. The Company’s chief operating decision maker is its Chief Executive Officer, and he evaluates the performance of the Company’s segments and allocates resources to them based on revenues and earnings before interest, taxes, depreciation, amortization and other, referred to as Segment Income. The Company uses Segment Income to determine future business objectives and targets and for long-range planning for the reportable segments, as well as to evaluate their operating performance.</w:t>
      </w:r>
    </w:p>
    <w:p>
      <w:pPr>
        <w:spacing w:after="0" w:line="9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tables below summarize the financial information, including revenues, significant segment expenses, Segment Income and capital expenditures, concerning the Company’s reportable segments for fiscal years 2024, 2023 and 2022. Intersegment revenues are comprised of sales of food, and to a lesser extent, other products, from the supply chain segment to the Company-owned stores in the U.S. stores segment. Intersegment sales prices are market based.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 ended December 29, 2024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120" w:type="dxa"/>
            <w:vAlign w:val="bottom"/>
          </w:tcPr>
          <w:p>
            <w:pPr>
              <w:spacing w:after="0"/>
              <w:rPr>
                <w:sz w:val="10"/>
                <w:szCs w:val="10"/>
                <w:color w:val="auto"/>
              </w:rPr>
            </w:pPr>
          </w:p>
        </w:tc>
        <w:tc>
          <w:tcPr>
            <w:tcW w:w="13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60" w:type="dxa"/>
            <w:vAlign w:val="bottom"/>
          </w:tcPr>
          <w:p>
            <w:pPr>
              <w:spacing w:after="0"/>
              <w:rPr>
                <w:sz w:val="10"/>
                <w:szCs w:val="10"/>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393,898</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2,966,953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2,966,953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(121,172 )</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(121,172 )</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318,691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5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1,541,944</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2,845,781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318,691</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4,706,416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 food</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2,027,816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 - labor</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123,251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262,312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509,853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58,029</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565,393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280,611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260,662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1,106,666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5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10,959</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44,653</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7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120" w:type="dxa"/>
            <w:vAlign w:val="bottom"/>
          </w:tcPr>
          <w:p>
            <w:pPr>
              <w:spacing w:after="0"/>
              <w:rPr>
                <w:sz w:val="10"/>
                <w:szCs w:val="10"/>
                <w:color w:val="auto"/>
              </w:rPr>
            </w:pPr>
          </w:p>
        </w:tc>
        <w:tc>
          <w:tcPr>
            <w:tcW w:w="13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60" w:type="dxa"/>
            <w:vAlign w:val="bottom"/>
          </w:tcPr>
          <w:p>
            <w:pPr>
              <w:spacing w:after="0"/>
              <w:rPr>
                <w:sz w:val="10"/>
                <w:szCs w:val="10"/>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1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376,180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2,829,224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(114,215 )</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(114,215 )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310,077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1,454,272</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2,715,009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310,077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4,479,358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 food</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 - labor</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247,048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156,291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65,237</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50,469</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520,977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245,430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259,608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1,026,015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7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11,942</w:t>
            </w:r>
          </w:p>
        </w:tc>
        <w:tc>
          <w:tcPr>
            <w:tcW w:w="48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34,044</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93</w:t>
            </w:r>
          </w:p>
        </w:tc>
        <w:tc>
          <w:tcPr>
            <w:tcW w:w="28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-3436620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-3419475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-3436620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-3419475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-3436620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-3419475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-959485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-942340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-942340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-959485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-942340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Fiscal year ended January 1, 2023</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120" w:type="dxa"/>
            <w:vAlign w:val="bottom"/>
          </w:tcPr>
          <w:p>
            <w:pPr>
              <w:spacing w:after="0"/>
              <w:rPr>
                <w:sz w:val="10"/>
                <w:szCs w:val="10"/>
                <w:color w:val="auto"/>
              </w:rPr>
            </w:pPr>
          </w:p>
        </w:tc>
        <w:tc>
          <w:tcPr>
            <w:tcW w:w="13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60" w:type="dxa"/>
            <w:vAlign w:val="bottom"/>
          </w:tcPr>
          <w:p>
            <w:pPr>
              <w:spacing w:after="0"/>
              <w:rPr>
                <w:sz w:val="10"/>
                <w:szCs w:val="10"/>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445,810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2,898,069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(143,327 )</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(143,327 )</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1,487,409</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2,754,742</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295,007</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4,537,158</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 food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2,046,049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2,185,936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 - labor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135,993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240,950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376,943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283,683</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198,831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321,719</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438,604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208,799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236,144</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883,547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78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9,830</w:t>
            </w:r>
          </w:p>
        </w:tc>
        <w:tc>
          <w:tcPr>
            <w:tcW w:w="50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34,625</w:t>
            </w:r>
          </w:p>
        </w:tc>
        <w:tc>
          <w:tcPr>
            <w:tcW w:w="56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44,455</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-187960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380" w:hanging="372"/>
        <w:spacing w:after="0" w:line="233"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 other, includes delivery, occupancy costs (including rent, telephone and utilities) and insurance expense. Depreciation and amortization is not included in the measurement of Segment Income.</w:t>
      </w:r>
    </w:p>
    <w:p>
      <w:pPr>
        <w:ind w:left="380" w:right="220" w:hanging="372"/>
        <w:spacing w:after="0" w:line="221"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 consists primarily of labor cost (including variable performance-based compensation expense), computer expenses, professional fees, travel and entertainment, rent, insurance and other. Depreciation and amortization, non-cash equity-based compensation expense and gains and losses from the sale of assets are not included in the measurement of Segment Income.</w:t>
      </w:r>
    </w:p>
    <w:p>
      <w:pPr>
        <w:ind w:left="380" w:right="20" w:hanging="372"/>
        <w:spacing w:after="0" w:line="239"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had $53.7 million, $59.2 million and $44.4 million of other capital expenditures not attributable to the reportable segments primarily representing capitalized software in 2024, 2023 and 2022, respectively.</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income before provision for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1,106,666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1,026,015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883,547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 other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(94,995 )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(86,894 )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(26,022 )</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(87,732 )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(80,640 )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(80,251 )</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(43,255 )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(37,514 )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(28,709 )</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(1,527 )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(1,299 )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(1,813 )</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Refranchising (loss) gain</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(149 )</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878,999</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819,519</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767,925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(195,870 )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(196,475 )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(198,254 )</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722,215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652,440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380" w:right="520" w:hanging="372"/>
        <w:spacing w:after="0" w:line="26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administrative costs that have not been allocated to a reportable segment including labor, computer expenses, professional fees, travel and entertainment, rent, insurance and other corporate administrative costs.</w:t>
      </w:r>
    </w:p>
    <w:p>
      <w:pPr>
        <w:spacing w:after="0" w:line="73"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In 2023, the Company changed its allocation methodology for certain costs which support certain internally developed software used across the Company’s franchise system. This allocation methodology change was implemented in order to reflect the way the chief operating decision maker allocates resources to the Company’s reportable segments and evaluates segment profitability, including the costs of internally developed software. The change in allocation methodology of certain software development costs resulted in an estimated increase in U.S. stores Segment Income of $65.7 million and an estimated increase in international franchise Segment Income of $8.9 million. These estimated increases in U.S. stores and international franchise Segment Income were offset by a corresponding $74.6 million decrease in unallocated general and administrative - other expenses. The change in allocation methodology of certain software development costs in 2023 had no impact on revenues, income from operations or supply chain Segment Income. The change in allocation methodology for certain software development costs was a prospective change and the comparative information for fiscal 2022 has not been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identifiable asset information by reportable segment as of December 29,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240,408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631,908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902,225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816,776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772,674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1,737,013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360" w:firstLine="449"/>
        <w:spacing w:after="0" w:line="261" w:lineRule="auto"/>
        <w:rPr>
          <w:sz w:val="20"/>
          <w:szCs w:val="20"/>
          <w:color w:val="auto"/>
        </w:rPr>
      </w:pPr>
      <w:r>
        <w:rPr>
          <w:rFonts w:ascii="Times New Roman" w:cs="Times New Roman" w:eastAsia="Times New Roman" w:hAnsi="Times New Roman"/>
          <w:sz w:val="18"/>
          <w:szCs w:val="18"/>
          <w:color w:val="auto"/>
        </w:rPr>
        <w:t>Unallocated assets primarily include cash and cash equivalents, restricted cash and cash equivalents, certain accounts receivable and prepaid expenses, investments and marketable securities, certain long-lived assets including certain property, plant and equipment, capitalized software and the operating lease right-of-use asset for the Company’s corporate headquarters and deferred income taxes. Over 95% of the Company’s long-lived assets including property, plant and equipment, capitalized software and operating lease right-of-use assets are located in the 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goodwill balance by reportable segment as of December 29, 2024 and December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goodwill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Company-owned Store Transactions</w:t>
      </w:r>
    </w:p>
    <w:p>
      <w:pPr>
        <w:spacing w:after="0" w:line="135"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During 2024, the Company refranchised two U.S. Company-owned stores for proceeds of less than $0.1 million. The pre-tax refranchising loss associated with the sale of the related assets and liabilities, including goodwill, was approximately $0.2 million and was recorded in refranchising loss in the Company’s consolidated statements of income.</w:t>
      </w:r>
    </w:p>
    <w:p>
      <w:pPr>
        <w:spacing w:after="0" w:line="8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During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consolidated statements of income.</w:t>
      </w:r>
    </w:p>
    <w:p>
      <w:pPr>
        <w:spacing w:after="0" w:line="81"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During 2022, the Company purchased 23 U.S. franchised stores in Michigan from certain of the Company’s existing U.S. franchisees for $6.8 million, which included $4.0 million of intangibles, $1.7 million of equipment and leasehold improvements and $1.1 million of goodwill.</w:t>
      </w:r>
    </w:p>
    <w:p>
      <w:pPr>
        <w:spacing w:after="0" w:line="67" w:lineRule="exact"/>
        <w:rPr>
          <w:sz w:val="20"/>
          <w:szCs w:val="20"/>
          <w:color w:val="auto"/>
        </w:rPr>
      </w:pPr>
    </w:p>
    <w:p>
      <w:pPr>
        <w:ind w:right="320" w:firstLine="449"/>
        <w:spacing w:after="0" w:line="255" w:lineRule="auto"/>
        <w:rPr>
          <w:sz w:val="20"/>
          <w:szCs w:val="20"/>
          <w:color w:val="auto"/>
        </w:rPr>
      </w:pPr>
      <w:r>
        <w:rPr>
          <w:rFonts w:ascii="Times New Roman" w:cs="Times New Roman" w:eastAsia="Times New Roman" w:hAnsi="Times New Roman"/>
          <w:sz w:val="18"/>
          <w:szCs w:val="18"/>
          <w:color w:val="auto"/>
        </w:rPr>
        <w:t>Also, during 2022, the Company refranchised 114 U.S. Company-owned stores in Arizona and Utah for proceeds of $41.1 million. In connection with the refranchising of the stores, the Company recorded a $21.2 million pre-tax gain on the sale of the related assets and liabilities, including a $4.3 million reduction in goodwill. The net gain on the sale of these stores was recorded in refranchising gain in the Company’s consolidated statements of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3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Evaluation of Disclosure Controls and Procedures.</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9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w:t>
        <w:tab/>
        <w:t>Changes in Internal Control over Financial Reporting.</w:t>
      </w:r>
    </w:p>
    <w:p>
      <w:pPr>
        <w:spacing w:after="0" w:line="13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6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(c)</w:t>
        <w:tab/>
        <w:t>Management’s Annual Report on Internal Control over Financial Reporting.</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management, including its Chief Executive Officer and Chief Financial Officer, the Company conducted an evaluation of the effectiveness of its internal control over financial reporting as of December 29, 2024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management concluded that its internal control over financial reporting was effective as of December 29, 2024. The effectiveness of the Company’s internal control over financial reporting as of December 29, 2024, has been audited by PricewaterhouseCoopers LLP, an independent registered public accounting firm, as stated in their report which appears herein.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54"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29, 2024, the following Section 16 officer adopted a “Rule 10b5-1 trading arrangement” (as defined in Item 408 under Regulation S-K of the Exchange Act):</w:t>
      </w:r>
    </w:p>
    <w:p>
      <w:pPr>
        <w:spacing w:after="0" w:line="54" w:lineRule="exact"/>
        <w:rPr>
          <w:sz w:val="20"/>
          <w:szCs w:val="20"/>
          <w:color w:val="auto"/>
        </w:rPr>
      </w:pPr>
    </w:p>
    <w:p>
      <w:pPr>
        <w:ind w:left="520" w:hanging="512"/>
        <w:spacing w:after="0" w:line="258"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Sandeep Reddy, our Executive Vice President, Chief Financial Officer, adopted a new Rule 10b5-1 trading arrangement on December 10, 2024. The plan’s maximum duration is until December 31, 2025, and first trades will not occur until March 11, 2025 at the earliest. The trading plan, which is subject to certain conditions, is intended to permit Mr. Reddy to sell from time to time an aggregate of up to 3,299 shares of our common stock, the actual amount of which may be less based on tax withholdings and performance and vesting conditions of performance-based stock units and restricted stock units, upon such vesting.</w:t>
      </w:r>
    </w:p>
    <w:p>
      <w:pPr>
        <w:spacing w:after="0" w:line="7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Rule 10b5-1 trading arrangement described above was adopted and precleared in accordance with Domino’s Insider Trading Policy and actual sale transactions made pursuant to such trading arrangement will be disclosed publicly in future Section 16 filings with the SEC.</w:t>
      </w:r>
    </w:p>
    <w:p>
      <w:pPr>
        <w:spacing w:after="0" w:line="54"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No other directors or officers adopted, modified and/or terminated a “Rule 10b5-1 trading arrangement” or a “non-Rule 10b5-1 trading arrangement,” as defined in Item 408 under Regulation S-K of the Exchange Act, during the last fiscal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Age</w:t>
            </w:r>
          </w:p>
        </w:tc>
        <w:tc>
          <w:tcPr>
            <w:tcW w:w="8100" w:type="dxa"/>
            <w:vAlign w:val="bottom"/>
            <w:tcBorders>
              <w:bottom w:val="single" w:sz="8" w:color="auto"/>
            </w:tcBorders>
          </w:tcPr>
          <w:p>
            <w:pPr>
              <w:ind w:left="38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J. Weiner</w:t>
            </w:r>
          </w:p>
        </w:tc>
        <w:tc>
          <w:tcPr>
            <w:tcW w:w="940" w:type="dxa"/>
            <w:vAlign w:val="bottom"/>
            <w:shd w:val="clear" w:color="auto" w:fill="CFF0FC"/>
          </w:tcPr>
          <w:p>
            <w:pPr>
              <w:jc w:val="center"/>
              <w:ind w:left="312"/>
              <w:spacing w:after="0"/>
              <w:rPr>
                <w:sz w:val="20"/>
                <w:szCs w:val="20"/>
                <w:color w:val="auto"/>
              </w:rPr>
            </w:pPr>
            <w:r>
              <w:rPr>
                <w:rFonts w:ascii="Times New Roman" w:cs="Times New Roman" w:eastAsia="Times New Roman" w:hAnsi="Times New Roman"/>
                <w:sz w:val="18"/>
                <w:szCs w:val="18"/>
                <w:color w:val="auto"/>
                <w:w w:val="99"/>
              </w:rPr>
              <w:t>56</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Jordan</w:t>
            </w:r>
          </w:p>
        </w:tc>
        <w:tc>
          <w:tcPr>
            <w:tcW w:w="9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51</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U.S. and Global Services</w:t>
            </w:r>
          </w:p>
        </w:tc>
      </w:tr>
      <w:tr>
        <w:trPr>
          <w:trHeight w:val="21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Sandeep Reddy</w:t>
            </w:r>
          </w:p>
        </w:tc>
        <w:tc>
          <w:tcPr>
            <w:tcW w:w="940" w:type="dxa"/>
            <w:vAlign w:val="bottom"/>
            <w:shd w:val="clear" w:color="auto" w:fill="CFF0FC"/>
          </w:tcPr>
          <w:p>
            <w:pPr>
              <w:jc w:val="center"/>
              <w:ind w:left="312"/>
              <w:spacing w:after="0"/>
              <w:rPr>
                <w:sz w:val="20"/>
                <w:szCs w:val="20"/>
                <w:color w:val="auto"/>
              </w:rPr>
            </w:pPr>
            <w:r>
              <w:rPr>
                <w:rFonts w:ascii="Times New Roman" w:cs="Times New Roman" w:eastAsia="Times New Roman" w:hAnsi="Times New Roman"/>
                <w:sz w:val="18"/>
                <w:szCs w:val="18"/>
                <w:color w:val="auto"/>
                <w:w w:val="99"/>
              </w:rPr>
              <w:t>54</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1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E. Garcia</w:t>
            </w:r>
          </w:p>
        </w:tc>
        <w:tc>
          <w:tcPr>
            <w:tcW w:w="9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49</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r>
      <w:tr>
        <w:trPr>
          <w:trHeight w:val="21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Frank R. Garrido</w:t>
            </w:r>
          </w:p>
        </w:tc>
        <w:tc>
          <w:tcPr>
            <w:tcW w:w="940" w:type="dxa"/>
            <w:vAlign w:val="bottom"/>
            <w:shd w:val="clear" w:color="auto" w:fill="CFF0FC"/>
          </w:tcPr>
          <w:p>
            <w:pPr>
              <w:jc w:val="center"/>
              <w:ind w:left="312"/>
              <w:spacing w:after="0"/>
              <w:rPr>
                <w:sz w:val="20"/>
                <w:szCs w:val="20"/>
                <w:color w:val="auto"/>
              </w:rPr>
            </w:pPr>
            <w:r>
              <w:rPr>
                <w:rFonts w:ascii="Times New Roman" w:cs="Times New Roman" w:eastAsia="Times New Roman" w:hAnsi="Times New Roman"/>
                <w:sz w:val="18"/>
                <w:szCs w:val="18"/>
                <w:color w:val="auto"/>
                <w:w w:val="99"/>
              </w:rPr>
              <w:t>54</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Restaurant Officer</w:t>
            </w:r>
          </w:p>
        </w:tc>
      </w:tr>
      <w:tr>
        <w:trPr>
          <w:trHeight w:val="21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Cynthia A. Headen</w:t>
            </w:r>
          </w:p>
        </w:tc>
        <w:tc>
          <w:tcPr>
            <w:tcW w:w="9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56</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Supply Chain Officer</w:t>
            </w:r>
          </w:p>
        </w:tc>
      </w:tr>
      <w:tr>
        <w:trPr>
          <w:trHeight w:val="21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S. Morris</w:t>
            </w:r>
          </w:p>
        </w:tc>
        <w:tc>
          <w:tcPr>
            <w:tcW w:w="940" w:type="dxa"/>
            <w:vAlign w:val="bottom"/>
            <w:shd w:val="clear" w:color="auto" w:fill="CFF0FC"/>
          </w:tcPr>
          <w:p>
            <w:pPr>
              <w:jc w:val="center"/>
              <w:ind w:left="312"/>
              <w:spacing w:after="0"/>
              <w:rPr>
                <w:sz w:val="20"/>
                <w:szCs w:val="20"/>
                <w:color w:val="auto"/>
              </w:rPr>
            </w:pPr>
            <w:r>
              <w:rPr>
                <w:rFonts w:ascii="Times New Roman" w:cs="Times New Roman" w:eastAsia="Times New Roman" w:hAnsi="Times New Roman"/>
                <w:sz w:val="18"/>
                <w:szCs w:val="18"/>
                <w:color w:val="auto"/>
                <w:w w:val="99"/>
              </w:rPr>
              <w:t>64</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21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Maureen S. Pittenger</w:t>
            </w:r>
          </w:p>
        </w:tc>
        <w:tc>
          <w:tcPr>
            <w:tcW w:w="9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51</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21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Katherine E. Trumbull</w:t>
            </w:r>
          </w:p>
        </w:tc>
        <w:tc>
          <w:tcPr>
            <w:tcW w:w="940" w:type="dxa"/>
            <w:vAlign w:val="bottom"/>
            <w:shd w:val="clear" w:color="auto" w:fill="CFF0FC"/>
          </w:tcPr>
          <w:p>
            <w:pPr>
              <w:jc w:val="center"/>
              <w:ind w:left="312"/>
              <w:spacing w:after="0"/>
              <w:rPr>
                <w:sz w:val="20"/>
                <w:szCs w:val="20"/>
                <w:color w:val="auto"/>
              </w:rPr>
            </w:pPr>
            <w:r>
              <w:rPr>
                <w:rFonts w:ascii="Times New Roman" w:cs="Times New Roman" w:eastAsia="Times New Roman" w:hAnsi="Times New Roman"/>
                <w:sz w:val="18"/>
                <w:szCs w:val="18"/>
                <w:color w:val="auto"/>
                <w:w w:val="99"/>
              </w:rPr>
              <w:t>43</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Marketing Officer</w:t>
            </w:r>
          </w:p>
        </w:tc>
      </w:tr>
    </w:tbl>
    <w:p>
      <w:pPr>
        <w:spacing w:after="0" w:line="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J. Weiner </w:t>
      </w:r>
      <w:r>
        <w:rPr>
          <w:rFonts w:ascii="Times New Roman" w:cs="Times New Roman" w:eastAsia="Times New Roman" w:hAnsi="Times New Roman"/>
          <w:sz w:val="18"/>
          <w:szCs w:val="18"/>
          <w:color w:val="auto"/>
        </w:rPr>
        <w:t>has served as Domino’s Chief Executive Officer since May 2022. Prior to becoming CEO, Mr. Weiner served as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President, Domino’s U.S. from July 2020 to April 2022, Chief Operating Officer and President of the Americas from July 2018 to July 2020, President, Domino’s USA from October 2014 to July 2018 and joined Domino’s as Executive Vice President and Chief Marketing Officer in September 2008. Prior to joining Domino’s, Mr. Weiner held various marketing positions at PepsiCo, Inc. from 1998 to 2008, most recently serving as Vice President of Marketing, Colas for Pepsi-Cola North America. Mr. Weiner has served on Domino’s Board of Directors since April 2022 when he was elected in conjunction with his appointment as Chief Executive Officer effective May 2022. Mr. Weiner also serves on the Board of Directors of The Clorox Company.</w:t>
      </w:r>
    </w:p>
    <w:p>
      <w:pPr>
        <w:spacing w:after="0" w:line="8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H. Jordan </w:t>
      </w:r>
      <w:r>
        <w:rPr>
          <w:rFonts w:ascii="Times New Roman" w:cs="Times New Roman" w:eastAsia="Times New Roman" w:hAnsi="Times New Roman"/>
          <w:sz w:val="18"/>
          <w:szCs w:val="18"/>
          <w:color w:val="auto"/>
        </w:rPr>
        <w:t>has served as Domino’s President, U.S. and Global Services since May 2022. Mr. Jordan previously served as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International from April 2018 to April 2022, Senior Vice President and Chief Marketing Officer from May 2015 to April 2018, and joined Domino’s as Vice President of Innovation in September 2011. Prior to joining Domino’s, Mr. Jordan served most recently as Senior Director of Marketing at Pepsi-Cola North America where he worked for six years, held marketing roles at Philips Electronics and Unilever and was a consultant for Accenture. Mr. Jordan also serves on the Board of Directors of The Boston Beer Company, Inc. and DPC Dash Ltd.</w:t>
      </w:r>
    </w:p>
    <w:p>
      <w:pPr>
        <w:spacing w:after="0" w:line="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Sandeep Reddy </w:t>
      </w:r>
      <w:r>
        <w:rPr>
          <w:rFonts w:ascii="Times New Roman" w:cs="Times New Roman" w:eastAsia="Times New Roman" w:hAnsi="Times New Roman"/>
          <w:sz w:val="18"/>
          <w:szCs w:val="18"/>
          <w:color w:val="auto"/>
        </w:rPr>
        <w:t>has served as Domino’s Executive Vice President, Chief Financial Officer since April 2022. Prior to joining Domino’s, Mr. Reddy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Executive Vice President and Chief Financial Officer of Six Flags Entertainment from July 2020 to March 2022, and as Chief Financial Officer of Guess?, Inc. from July 2013 to December 2019, after joining Guess?, Inc. in 2010 as the Vice President and European CFO. From 1997 to 2010, Mr. Reddy held a variety of positions with increasing responsibility for Mattel Inc. Mr. Reddy also serves on the Board of Directors of Masco Corporation.</w:t>
      </w:r>
    </w:p>
    <w:p>
      <w:pPr>
        <w:spacing w:after="0" w:line="8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Kelly E. Garcia </w:t>
      </w:r>
      <w:r>
        <w:rPr>
          <w:rFonts w:ascii="Times New Roman" w:cs="Times New Roman" w:eastAsia="Times New Roman" w:hAnsi="Times New Roman"/>
          <w:sz w:val="18"/>
          <w:szCs w:val="18"/>
          <w:color w:val="auto"/>
        </w:rPr>
        <w:t>has served as Domino’s Executive Vice President, Chief Technology Officer since October 2020. Prior to his current role, Mr. Garcia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Chief Technology Officer from April 2019 to October 2020. Mr. Garcia joined Domino’s in July 2012 as Vice President, eCommerce Development. Prior to Domino’s, Mr. Garcia was with R.L. Polk &amp; Co. from 2004 to 2012, most recently as Vice President of Business Intelligence and North American Operations. Mr. Garcia also serves on the Board of Directors of Ulta Beauty, Inc.</w:t>
      </w:r>
    </w:p>
    <w:p>
      <w:pPr>
        <w:spacing w:after="0" w:line="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Frank R. Garrido </w:t>
      </w:r>
      <w:r>
        <w:rPr>
          <w:rFonts w:ascii="Times New Roman" w:cs="Times New Roman" w:eastAsia="Times New Roman" w:hAnsi="Times New Roman"/>
          <w:sz w:val="18"/>
          <w:szCs w:val="18"/>
          <w:color w:val="auto"/>
        </w:rPr>
        <w:t>has served as Domino’s Executive Vice President, Chief Restaurant Officer since March 2023. From March 2021 to March 2023,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Garrido served as Executive Vice President, U.S. Operations and Support. Prior to this role, Mr. Garrido served as Senior Vice President, Team USA from June 2020 to March 2021 after joining Domino’s in March 2017 as Vice President, Franchise Operations for the East region. Prior to joining Domino’s, Mr. Garrido was Vice President of Operations of Focus Brands from March 2015 to March 2017. From July 2013 to March 2015, he served as Executive Vice President of Operations, Training and Concept Development for Edible Arrangements International.</w:t>
      </w:r>
    </w:p>
    <w:p>
      <w:pPr>
        <w:spacing w:after="0" w:line="8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Cynthia A. Headen </w:t>
      </w:r>
      <w:r>
        <w:rPr>
          <w:rFonts w:ascii="Times New Roman" w:cs="Times New Roman" w:eastAsia="Times New Roman" w:hAnsi="Times New Roman"/>
          <w:sz w:val="18"/>
          <w:szCs w:val="18"/>
          <w:color w:val="auto"/>
        </w:rPr>
        <w:t>has served as Domino’s Executive Vice President, Chief Supply Chain Officer since March 2023. From August 2020 to March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Headen served as Executive Vice President, Supply Chain Services. Ms. Headen previously served as Senior Vice President, Global Procurement and Supply Chain Operations from December 2018 to August 2020, after joining Domino’s as Vice President of Procurement and Replenishment in November 2015. Prior to Domino’s, Ms. Headen spent nearly 16 years with PepsiCo, where she was responsible for global procurement.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S. Morris </w:t>
      </w:r>
      <w:r>
        <w:rPr>
          <w:rFonts w:ascii="Times New Roman" w:cs="Times New Roman" w:eastAsia="Times New Roman" w:hAnsi="Times New Roman"/>
          <w:sz w:val="18"/>
          <w:szCs w:val="18"/>
          <w:color w:val="auto"/>
        </w:rPr>
        <w:t>has served as Domino’s Executive Vice President, General Counsel since January 2017 and also as Corporate Secretary since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Domino’s, Mr. Morris served at Equinox Holdings, Inc. and its various operating subsidiaries and affiliates from December 2012 to January 2017, most recently as Senior Vice President, General Counsel and Corporate Secretary. Mr. Morris operated his own private legal practice from July 2009 to November 2012. Prior to 2009, Mr. Morris served as Vice President and Associate General Counsel at Global Hyatt Corporation (the predecessor in interest to Hyatt Hotels Corporation) from 1999 to 2008. Prior to 1999, Mr. Morris served as a Senior International Attorney and Staff Director at McDonald’s Corporation after beginning his career as an attorney at Rudnick &amp; Wolfe LLP.</w:t>
      </w:r>
    </w:p>
    <w:p>
      <w:pPr>
        <w:spacing w:after="0" w:line="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Maureen S. Pittenger </w:t>
      </w:r>
      <w:r>
        <w:rPr>
          <w:rFonts w:ascii="Times New Roman" w:cs="Times New Roman" w:eastAsia="Times New Roman" w:hAnsi="Times New Roman"/>
          <w:sz w:val="18"/>
          <w:szCs w:val="18"/>
          <w:color w:val="auto"/>
        </w:rPr>
        <w:t>has served as Domino’s Executive Vice President, Chief Human Resources Officer since July 2024. Ms. Pittenger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worked as Senior Vice President and Chief Human Resources Officer at Dana Inc. from February 2022 to June 2024, after joining Dana in January 2019 as the Vice President of Corporate Human Resources. Prior to that, she held escalating leadership roles in human resources at Visteon Corporation, beginning in 2001.</w:t>
      </w:r>
    </w:p>
    <w:p>
      <w:pPr>
        <w:spacing w:after="0" w:line="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Katherine E. Trumbull </w:t>
      </w:r>
      <w:r>
        <w:rPr>
          <w:rFonts w:ascii="Times New Roman" w:cs="Times New Roman" w:eastAsia="Times New Roman" w:hAnsi="Times New Roman"/>
          <w:sz w:val="18"/>
          <w:szCs w:val="18"/>
          <w:color w:val="auto"/>
        </w:rPr>
        <w:t>has served as Domino’s Executive Vice President, Chief Marketing Officer since November 2024. Ms. Trumbull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Vice President, Chief Brand Officer from March 2023 to November 2024 and Senior Vice President, Brand and Product Innovation from November 2021 to March 2023. Prior to that, Ms. Trumbull held escalating leadership roles at Domino’s, including Vice President of Advertising and Hispanic Marketing, Director of Digital Marketing, Director of Loyalty and Manager of Field Marketing, beginning in 2011. Before joining Domino’s, Ms. Trumbull worked in brand management at Procter &amp; Gamble.</w:t>
      </w:r>
    </w:p>
    <w:p>
      <w:pPr>
        <w:spacing w:after="0" w:line="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from Domino’s Pizza, Inc.’s definitive proxy statement, which will be filed within 120 days of December 29,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Information regarding executive compensation is incorporated by reference from Domino’s Pizza, Inc.’s definitive proxy statement, which will be filed within 120 days of December 29, 2024. However, no information set forth in the proxy statement regarding the Audit Committee Report shall be deemed incorporated by reference into this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is incorporated by reference from Domino’s Pizza, Inc.’s definitive proxy statement, which will be filed within 120 days of December 29,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is incorporated by reference from Domino’s Pizza, Inc.’s definitive proxy statement, which will be filed within 120 days of December 29,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by reference from Domino’s Pizza, Inc.’s definitive proxy statement, which will be filed within 120 days of December 29, 2024.</w:t>
      </w: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31" w:lineRule="exact"/>
        <w:rPr>
          <w:sz w:val="20"/>
          <w:szCs w:val="20"/>
          <w:color w:val="auto"/>
        </w:rPr>
      </w:pPr>
    </w:p>
    <w:p>
      <w:pPr>
        <w:ind w:left="760" w:right="160" w:hanging="288"/>
        <w:spacing w:after="0" w:line="282" w:lineRule="auto"/>
        <w:tabs>
          <w:tab w:leader="none" w:pos="6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following financial statements for Domino’s Pizza, Inc. and subsidiaries are included in Item 8, “Financial Statements and Supplementary Data”:</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Balance Sheets as of December 29, 2024 and December 31, 2023</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29, 2024, December 31, 2023 and January 1, 2023</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29, 2024, December 31, 2023 and January 1, 2023</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Stockholders’ Deficit for the Years Ended December 29, 2024, December 31, 2023 and January 1, 2023</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29, 2024, December 31, 2023 and January 1, 2023</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ind w:left="480"/>
        <w:spacing w:after="0"/>
        <w:tabs>
          <w:tab w:leader="none" w:pos="7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 The following financial statement schedule is attached to this report.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Schedule I – Condensed Financial Information of the Registrant</w:t>
      </w:r>
    </w:p>
    <w:p>
      <w:pPr>
        <w:spacing w:after="0" w:line="225" w:lineRule="exact"/>
        <w:rPr>
          <w:sz w:val="20"/>
          <w:szCs w:val="20"/>
          <w:color w:val="auto"/>
        </w:rPr>
      </w:pPr>
    </w:p>
    <w:p>
      <w:pPr>
        <w:ind w:left="760" w:right="36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is included in the financial statements or the notes thereto.</w:t>
      </w:r>
    </w:p>
    <w:p>
      <w:pPr>
        <w:spacing w:after="0" w:line="162" w:lineRule="exact"/>
        <w:rPr>
          <w:sz w:val="20"/>
          <w:szCs w:val="20"/>
          <w:color w:val="auto"/>
        </w:rPr>
      </w:pPr>
    </w:p>
    <w:p>
      <w:pPr>
        <w:ind w:left="760" w:right="140" w:hanging="28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34"/>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986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Form of Second Restated Certificate of Incorporation of Domino’s Pizza, Inc. (Incorporated by reference to Exhibit 3.1 to the Domino’s</w:t>
              </w:r>
            </w:hyperlink>
          </w:p>
        </w:tc>
        <w:tc>
          <w:tcPr>
            <w:tcW w:w="240" w:type="dxa"/>
            <w:vAlign w:val="bottom"/>
            <w:gridSpan w:val="8"/>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76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Pizza, Inc. registration statement on Form S-1 filed on April 13, 2004 (Reg. No. 333-114442) (the “S-1”)).</w:t>
              </w:r>
            </w:hyperlink>
          </w:p>
        </w:tc>
        <w:tc>
          <w:tcPr>
            <w:tcW w:w="20" w:type="dxa"/>
            <w:vAlign w:val="bottom"/>
            <w:tcBorders>
              <w:bottom w:val="single" w:sz="8" w:color="0000EE"/>
            </w:tcBorders>
          </w:tcPr>
          <w:p>
            <w:pPr>
              <w:spacing w:after="0"/>
              <w:rPr>
                <w:sz w:val="17"/>
                <w:szCs w:val="17"/>
                <w:color w:val="auto"/>
              </w:rPr>
            </w:pPr>
          </w:p>
        </w:tc>
        <w:tc>
          <w:tcPr>
            <w:tcW w:w="2400" w:type="dxa"/>
            <w:vAlign w:val="bottom"/>
            <w:gridSpan w:val="11"/>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Certificate of Amendment to the Second Restated Certificate of Incorporation of Domino’s Pizza, Inc. (Incorporated by reference to Exhibit</w:t>
              </w:r>
            </w:hyperlink>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Form 10-Q for the quarter ended June 14, 2015).</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Fourth Amended and Restated By-Laws of Domino’s Pizza, Inc. (Incorporated by reference to Exhibit 3.1 to the registrant’s current report</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on Form 8-K filed on October 12, 2023).</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0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of the Registrant.</w:t>
            </w:r>
          </w:p>
        </w:tc>
        <w:tc>
          <w:tcPr>
            <w:tcW w:w="20" w:type="dxa"/>
            <w:vAlign w:val="bottom"/>
            <w:tcBorders>
              <w:bottom w:val="single" w:sz="8" w:color="0000EE"/>
            </w:tcBorders>
          </w:tcPr>
          <w:p>
            <w:pPr>
              <w:spacing w:after="0"/>
              <w:rPr>
                <w:sz w:val="17"/>
                <w:szCs w:val="17"/>
                <w:color w:val="auto"/>
              </w:rPr>
            </w:pPr>
          </w:p>
        </w:tc>
        <w:tc>
          <w:tcPr>
            <w:tcW w:w="7000" w:type="dxa"/>
            <w:vAlign w:val="bottom"/>
            <w:gridSpan w:val="18"/>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8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Lease Agreement dated as of December 21, 1998 by and between Domino’s Farms Office Park Limited Partnership and Domino’s, Inc.</w:t>
              </w:r>
            </w:hyperlink>
          </w:p>
        </w:tc>
        <w:tc>
          <w:tcPr>
            <w:tcW w:w="28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(Incorporated by reference to Exhibit 10.3 to the Domino’s, Inc. registration statement on Form S-4 filed on March 22, 1999 (Reg. No. 333-</w:t>
              </w:r>
            </w:hyperlink>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76">
              <w:r>
                <w:rPr>
                  <w:rFonts w:ascii="Times New Roman" w:cs="Times New Roman" w:eastAsia="Times New Roman" w:hAnsi="Times New Roman"/>
                  <w:sz w:val="18"/>
                  <w:szCs w:val="18"/>
                  <w:color w:val="0000FF"/>
                  <w:w w:val="97"/>
                </w:rPr>
                <w:t>74797)</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20" w:type="dxa"/>
            <w:vAlign w:val="bottom"/>
            <w:tcBorders>
              <w:bottom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9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Fourth Amendment to the Lease Agreement between Domino’s Farms Office Park, L.L.C. and Domino’s Pizza LLC, dated as of August</w:t>
              </w:r>
            </w:hyperlink>
          </w:p>
        </w:tc>
        <w:tc>
          <w:tcPr>
            <w:tcW w:w="2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28, 2012 (Incorporated by reference to Exhibit 10.2 to the registrant’s annual report on Form 10-K for the year ended December 30, 2012</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(the “2012 10-K”)).</w:t>
              </w:r>
            </w:hyperlink>
          </w:p>
        </w:tc>
      </w:tr>
      <w:tr>
        <w:trPr>
          <w:trHeight w:val="20"/>
        </w:trPr>
        <w:tc>
          <w:tcPr>
            <w:tcW w:w="114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9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Fifth Amendment to a Lease Agreement between Domino’s Farms Office Park, L.L.C. and Domino’s Pizza LLC, dated as of February 1,</w:t>
              </w:r>
            </w:hyperlink>
          </w:p>
        </w:tc>
        <w:tc>
          <w:tcPr>
            <w:tcW w:w="1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2015 (Incorporated by reference to Exhibit 10.3 to the registrant’s annual report on Form 10-K for the year ended January 1, 2017 (the</w:t>
              </w:r>
            </w:hyperlink>
          </w:p>
        </w:tc>
        <w:tc>
          <w:tcPr>
            <w:tcW w:w="38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“2016 10-K”)).</w:t>
              </w:r>
            </w:hyperlink>
          </w:p>
        </w:tc>
      </w:tr>
      <w:tr>
        <w:trPr>
          <w:trHeight w:val="20"/>
        </w:trPr>
        <w:tc>
          <w:tcPr>
            <w:tcW w:w="1140" w:type="dxa"/>
            <w:vAlign w:val="bottom"/>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9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Sixth Amendment to a Lease Agreement between Domino’s Farms Office Park, L.L.C. and Domino’s Pizza LLC, dated as of February 1,</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2015 (Incorporated by reference to Exhibit 10.4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5"/>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99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Seventh Amendment to a Lease Agreement between Domino’s Farms Office Park, L.L.C. and Domino’s Pizza LLC, dated as of April 19,</w:t>
              </w:r>
            </w:hyperlink>
          </w:p>
        </w:tc>
        <w:tc>
          <w:tcPr>
            <w:tcW w:w="1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2016 (Incorporated by reference to Exhibit 10.5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5"/>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Eighth Amendment to a Lease Agreement between Domino’s Farms Office Park, L.L.C. and Domino’s Pizza LLC, dated as of November</w:t>
              </w:r>
            </w:hyperlink>
          </w:p>
        </w:tc>
        <w:tc>
          <w:tcPr>
            <w:tcW w:w="1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4, 2016 (Incorporated by reference to Exhibit 10.6 to the 2016 10-K).</w:t>
              </w:r>
            </w:hyperlink>
          </w:p>
        </w:tc>
        <w:tc>
          <w:tcPr>
            <w:tcW w:w="20" w:type="dxa"/>
            <w:vAlign w:val="bottom"/>
            <w:tcBorders>
              <w:bottom w:val="single" w:sz="8" w:color="0000EE"/>
            </w:tcBorders>
          </w:tcPr>
          <w:p>
            <w:pPr>
              <w:spacing w:after="0"/>
              <w:rPr>
                <w:sz w:val="17"/>
                <w:szCs w:val="17"/>
                <w:color w:val="auto"/>
              </w:rPr>
            </w:pPr>
          </w:p>
        </w:tc>
        <w:tc>
          <w:tcPr>
            <w:tcW w:w="5080" w:type="dxa"/>
            <w:vAlign w:val="bottom"/>
            <w:gridSpan w:val="13"/>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Ninth Amendment to a Lease Agreement between Domino’s Farms Office Park, L.L.C. and Domino’s Pizza LLC, dated as of February 16,</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2017 (Incorporated by reference to Exhibit 10.7 to the 2016 10-K).</w:t>
              </w:r>
            </w:hyperlink>
          </w:p>
        </w:tc>
      </w:tr>
      <w:tr>
        <w:trPr>
          <w:trHeight w:val="236"/>
        </w:trPr>
        <w:tc>
          <w:tcPr>
            <w:tcW w:w="1140" w:type="dxa"/>
            <w:vAlign w:val="bottom"/>
          </w:tcPr>
          <w:p>
            <w:pPr>
              <w:spacing w:after="0"/>
              <w:rPr>
                <w:sz w:val="20"/>
                <w:szCs w:val="20"/>
                <w:color w:val="auto"/>
              </w:rPr>
            </w:pPr>
          </w:p>
        </w:tc>
        <w:tc>
          <w:tcPr>
            <w:tcW w:w="4820" w:type="dxa"/>
            <w:vAlign w:val="bottom"/>
            <w:tcBorders>
              <w:top w:val="single" w:sz="8" w:color="0000FF"/>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Tenth Amendment to a Lease Agreement between Domino’s Farms Office Park, L.L.C. and Domino’s Pizza LLC, dated as of November 7,</w:t>
              </w:r>
            </w:hyperlink>
          </w:p>
        </w:tc>
      </w:tr>
      <w:tr>
        <w:trPr>
          <w:trHeight w:val="196"/>
        </w:trPr>
        <w:tc>
          <w:tcPr>
            <w:tcW w:w="1120" w:type="dxa"/>
            <w:vAlign w:val="bottom"/>
          </w:tcPr>
          <w:p>
            <w:pPr>
              <w:spacing w:after="0"/>
              <w:rPr>
                <w:sz w:val="17"/>
                <w:szCs w:val="17"/>
                <w:color w:val="auto"/>
              </w:rPr>
            </w:pPr>
          </w:p>
        </w:tc>
        <w:tc>
          <w:tcPr>
            <w:tcW w:w="100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2017 (Incorporated by reference to Exhibit 10.8 to the registrant’s annual report on Form 10-K for the year ended December 31, 2017 (the</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“2017 10-K”)).</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9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Eleventh Amendment to a Lease Agreement between Domino’s Farms Office Park, L.L.C. and Domino’s Pizza LLC, dated as of July 13,</w:t>
              </w:r>
            </w:hyperlink>
          </w:p>
        </w:tc>
        <w:tc>
          <w:tcPr>
            <w:tcW w:w="12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2018 (Incorporated by reference to Exhibit 10.1 to the registrant’s quarterly report on Form 10-Q for the quarter ended September 9, 2018</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(the “September 2018 10-Q”)).</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9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Twelfth Amendment to a Lease Agreement between Domino’s Farms Office Park, L.L.C. and Domino’s Pizza LLC, dated as of July 13,</w:t>
              </w:r>
            </w:hyperlink>
          </w:p>
        </w:tc>
        <w:tc>
          <w:tcPr>
            <w:tcW w:w="18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2018 (Incorporated by reference to Exhibit 10.2 to the September 2018 10-Q).</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Thirteenth Amendment to a Lease Agreement between Domino’s Farms Office Park, L.L.C. and Domino’s Pizza LLC, dated as of May 14,</w:t>
              </w:r>
            </w:hyperlink>
          </w:p>
        </w:tc>
      </w:tr>
      <w:tr>
        <w:trPr>
          <w:trHeight w:val="196"/>
        </w:trPr>
        <w:tc>
          <w:tcPr>
            <w:tcW w:w="1120" w:type="dxa"/>
            <w:vAlign w:val="bottom"/>
          </w:tcPr>
          <w:p>
            <w:pPr>
              <w:spacing w:after="0"/>
              <w:rPr>
                <w:sz w:val="17"/>
                <w:szCs w:val="17"/>
                <w:color w:val="auto"/>
              </w:rPr>
            </w:pPr>
          </w:p>
        </w:tc>
        <w:tc>
          <w:tcPr>
            <w:tcW w:w="99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2019 (Incorporated by reference to Exhibit 10.1 to the registrant's quarterly report on Form 10-Q for the quarter ended June 16, 2019 (the</w:t>
              </w:r>
            </w:hyperlink>
          </w:p>
        </w:tc>
        <w:tc>
          <w:tcPr>
            <w:tcW w:w="14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88">
              <w:r>
                <w:rPr>
                  <w:rFonts w:ascii="Times New Roman" w:cs="Times New Roman" w:eastAsia="Times New Roman" w:hAnsi="Times New Roman"/>
                  <w:sz w:val="18"/>
                  <w:szCs w:val="18"/>
                  <w:color w:val="0000FF"/>
                  <w:w w:val="98"/>
                </w:rPr>
                <w:t>“June 2019 10-Q”)).</w:t>
              </w:r>
            </w:hyperlink>
          </w:p>
        </w:tc>
        <w:tc>
          <w:tcPr>
            <w:tcW w:w="20" w:type="dxa"/>
            <w:vAlign w:val="bottom"/>
            <w:tcBorders>
              <w:bottom w:val="single" w:sz="8" w:color="0000EE"/>
            </w:tcBorders>
          </w:tcPr>
          <w:p>
            <w:pPr>
              <w:spacing w:after="0"/>
              <w:rPr>
                <w:sz w:val="17"/>
                <w:szCs w:val="17"/>
                <w:color w:val="auto"/>
              </w:rPr>
            </w:pPr>
          </w:p>
        </w:tc>
        <w:tc>
          <w:tcPr>
            <w:tcW w:w="8580" w:type="dxa"/>
            <w:vAlign w:val="bottom"/>
            <w:gridSpan w:val="2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Fourteenth Amendment to a Lease Agreement between Domino’s Farms Office Park, L.L.C. and Domino’s Pizza LLC, dated as of May 31,</w:t>
              </w:r>
            </w:hyperlink>
          </w:p>
        </w:tc>
      </w:tr>
      <w:tr>
        <w:trPr>
          <w:trHeight w:val="196"/>
        </w:trPr>
        <w:tc>
          <w:tcPr>
            <w:tcW w:w="1120" w:type="dxa"/>
            <w:vAlign w:val="bottom"/>
          </w:tcPr>
          <w:p>
            <w:pPr>
              <w:spacing w:after="0"/>
              <w:rPr>
                <w:sz w:val="17"/>
                <w:szCs w:val="17"/>
                <w:color w:val="auto"/>
              </w:rPr>
            </w:pPr>
          </w:p>
        </w:tc>
        <w:tc>
          <w:tcPr>
            <w:tcW w:w="52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2019 (Incorporated by reference to Exhibit 10.1 to the June 2019 10-Q).</w:t>
              </w:r>
            </w:hyperlink>
          </w:p>
        </w:tc>
        <w:tc>
          <w:tcPr>
            <w:tcW w:w="20" w:type="dxa"/>
            <w:vAlign w:val="bottom"/>
            <w:tcBorders>
              <w:bottom w:val="single" w:sz="8" w:color="0000EE"/>
            </w:tcBorders>
          </w:tcPr>
          <w:p>
            <w:pPr>
              <w:spacing w:after="0"/>
              <w:rPr>
                <w:sz w:val="17"/>
                <w:szCs w:val="17"/>
                <w:color w:val="auto"/>
              </w:rPr>
            </w:pPr>
          </w:p>
        </w:tc>
        <w:tc>
          <w:tcPr>
            <w:tcW w:w="4860" w:type="dxa"/>
            <w:vAlign w:val="bottom"/>
            <w:gridSpan w:val="1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Fifteenth Amendment to a Lease Agreement between Domino’s Farms Office Park, L.L.C. and Domino’s Pizza LLC, dated as of July 21,</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2021 (Incorporated by reference to Exhibit 10.13 to the registrant's annual report on Form 10-K for the year ended January 2, 2022 (the</w:t>
              </w:r>
            </w:hyperlink>
          </w:p>
        </w:tc>
        <w:tc>
          <w:tcPr>
            <w:tcW w:w="28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“2021 10-K”)).</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Sixteenth Amendment to a Lease Agreement between Domino’s Farms Office Park, L.L.C. and Domino’s Pizza LLC, dated as of July 21,</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2021 (Incorporated by reference to Exhibit 10.14 to the 2021 10-K).</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Domino’s Pizza Deferred Compensation Plan effective as of October 8, 2024.</w:t>
            </w:r>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0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Amended Domino’s Pizza, Inc. 2004 Equity Incentive Plan (Incorporated by reference to Exhibit 10.1 to the registrant’s quarterly report on</w:t>
              </w:r>
            </w:hyperlink>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Form 10-Q for the quarter ended March 22, 2009 (the “March 2009 10-Q”)).</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5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Form of Employee Stock Option Agreement under the Amended Domino’s Pizza, Inc. 2004 Equity Incentive Plan (Incorporated by</w:t>
              </w:r>
            </w:hyperlink>
          </w:p>
        </w:tc>
        <w:tc>
          <w:tcPr>
            <w:tcW w:w="540" w:type="dxa"/>
            <w:vAlign w:val="bottom"/>
            <w:gridSpan w:val="1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reference to Exhibit 10.8 to the 2012 10-K).</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2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Form of 2013 Special Employee Stock Option Agreement under the Amended Domino’s Pizza, Inc. 2004 Equity Incentive Plan</w:t>
              </w:r>
            </w:hyperlink>
          </w:p>
        </w:tc>
        <w:tc>
          <w:tcPr>
            <w:tcW w:w="820" w:type="dxa"/>
            <w:vAlign w:val="bottom"/>
            <w:gridSpan w:val="1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(Incorporated by reference to Exhibit 10.9 to the 2012 10-K).</w:t>
              </w:r>
            </w:hyperlink>
          </w:p>
        </w:tc>
        <w:tc>
          <w:tcPr>
            <w:tcW w:w="20" w:type="dxa"/>
            <w:vAlign w:val="bottom"/>
            <w:tcBorders>
              <w:bottom w:val="single" w:sz="8" w:color="0000EE"/>
            </w:tcBorders>
          </w:tcPr>
          <w:p>
            <w:pPr>
              <w:spacing w:after="0"/>
              <w:rPr>
                <w:sz w:val="17"/>
                <w:szCs w:val="17"/>
                <w:color w:val="auto"/>
              </w:rPr>
            </w:pPr>
          </w:p>
        </w:tc>
        <w:tc>
          <w:tcPr>
            <w:tcW w:w="5640" w:type="dxa"/>
            <w:vAlign w:val="bottom"/>
            <w:gridSpan w:val="21"/>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4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Amended and Restated Domino’s Pizza Senior Executive Annual Incentive Plan (Incorporated by reference to Exhibit 10.20 to the</w:t>
              </w:r>
            </w:hyperlink>
          </w:p>
        </w:tc>
        <w:tc>
          <w:tcPr>
            <w:tcW w:w="60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5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registrant’s annual report on Form 10-K for the year ended January 2, 2011).</w:t>
              </w:r>
            </w:hyperlink>
          </w:p>
        </w:tc>
        <w:tc>
          <w:tcPr>
            <w:tcW w:w="80" w:type="dxa"/>
            <w:vAlign w:val="bottom"/>
            <w:tcBorders>
              <w:bottom w:val="single" w:sz="8" w:color="0000EE"/>
            </w:tcBorders>
          </w:tcPr>
          <w:p>
            <w:pPr>
              <w:spacing w:after="0"/>
              <w:rPr>
                <w:sz w:val="17"/>
                <w:szCs w:val="17"/>
                <w:color w:val="auto"/>
              </w:rPr>
            </w:pPr>
          </w:p>
        </w:tc>
        <w:tc>
          <w:tcPr>
            <w:tcW w:w="4460" w:type="dxa"/>
            <w:vAlign w:val="bottom"/>
            <w:gridSpan w:val="1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7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Amended and Restated Domino’s Pizza, Inc. Employee Stock Payroll Deduction Plan dated as of February 21, 2023 (Incorporated by</w:t>
              </w:r>
            </w:hyperlink>
          </w:p>
        </w:tc>
        <w:tc>
          <w:tcPr>
            <w:tcW w:w="38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reference to Exhibit 10.1 to the registrant’s quarterly report on Form 10-Q for the quarter ended March 26, 2023 (the "March 2023 10-Q")).</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9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Form of Domino’s Pizza, Inc. Dividend Reinvestment &amp; Direct Stock Purchase and Sale Plan (Incorporated by reference to Exhibit 10.32</w:t>
              </w:r>
            </w:hyperlink>
          </w:p>
        </w:tc>
        <w:tc>
          <w:tcPr>
            <w:tcW w:w="10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to the S-1).</w:t>
              </w:r>
            </w:hyperlink>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9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Form of 2021 Employee Stock Option Agreement under the Amended Domino’s Pizza, Inc. 2004 Equity Incentive Plan (Incorporated by</w:t>
              </w:r>
            </w:hyperlink>
          </w:p>
        </w:tc>
        <w:tc>
          <w:tcPr>
            <w:tcW w:w="14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7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reference to Exhibit 10.1 to the registrant's quarterly report on Form 10-Q for the quarter ended June 20, 2021 (the “June 2021 10-Q”)).</w:t>
              </w:r>
            </w:hyperlink>
          </w:p>
        </w:tc>
        <w:tc>
          <w:tcPr>
            <w:tcW w:w="20" w:type="dxa"/>
            <w:vAlign w:val="bottom"/>
            <w:tcBorders>
              <w:bottom w:val="single" w:sz="8" w:color="0000EE"/>
            </w:tcBorders>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0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399">
              <w:r>
                <w:rPr>
                  <w:rFonts w:ascii="Times New Roman" w:cs="Times New Roman" w:eastAsia="Times New Roman" w:hAnsi="Times New Roman"/>
                  <w:sz w:val="18"/>
                  <w:szCs w:val="18"/>
                  <w:color w:val="0000FF"/>
                  <w:w w:val="99"/>
                </w:rPr>
                <w:t>Form of Performance-Based Restricted Stock Unit Award Agreement under the Amended Domino’s Pizza, Inc. 2004 Equity Incentive Plan</w:t>
              </w:r>
            </w:hyperlink>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(Incorporated by reference to Exhibit 10.2 to the June 2021 10-Q).</w:t>
              </w:r>
            </w:hyperlink>
          </w:p>
        </w:tc>
      </w:tr>
      <w:tr>
        <w:trPr>
          <w:trHeight w:val="20"/>
        </w:trPr>
        <w:tc>
          <w:tcPr>
            <w:tcW w:w="11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60" w:type="dxa"/>
            <w:vAlign w:val="bottom"/>
            <w:tcBorders>
              <w:right w:val="single" w:sz="8" w:color="0000EE"/>
            </w:tcBorders>
            <w:gridSpan w:val="5"/>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0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Form of Restricted Stock Unit Award Agreement (three-year vesting) under the Amended Domino’s Pizza, Inc. 2004 Equity Incentive Plan</w:t>
              </w:r>
            </w:hyperlink>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(Incorporated by reference to Exhibit 10.3 to the June 2021 10-Q).</w:t>
              </w:r>
            </w:hyperlink>
          </w:p>
        </w:tc>
      </w:tr>
      <w:tr>
        <w:trPr>
          <w:trHeight w:val="20"/>
        </w:trPr>
        <w:tc>
          <w:tcPr>
            <w:tcW w:w="11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60" w:type="dxa"/>
            <w:vAlign w:val="bottom"/>
            <w:tcBorders>
              <w:right w:val="single" w:sz="8" w:color="0000EE"/>
            </w:tcBorders>
            <w:gridSpan w:val="5"/>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0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Form of Restricted Stock Unit Award Agreement (two vesting dates) under the Amended Domino’s Pizza, Inc. 2004 Equity Incentive Plan</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(Incorporated by reference to Exhibit 10.1 to the registrant's quarterly report on Form 10-Q for the quarter ended September 12, 2021).</w:t>
              </w:r>
            </w:hyperlink>
          </w:p>
        </w:tc>
      </w:tr>
      <w:tr>
        <w:trPr>
          <w:trHeight w:val="20"/>
        </w:trPr>
        <w:tc>
          <w:tcPr>
            <w:tcW w:w="11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60" w:type="dxa"/>
            <w:vAlign w:val="bottom"/>
            <w:tcBorders>
              <w:right w:val="single" w:sz="8" w:color="0000EE"/>
            </w:tcBorders>
            <w:gridSpan w:val="1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7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of Restricted Stock Unit Award Agreement (three vesting dates) under the Amended Domino’s Pizza, Inc. 2004 Equity Incentive</w:t>
              </w:r>
            </w:hyperlink>
          </w:p>
        </w:tc>
        <w:tc>
          <w:tcPr>
            <w:tcW w:w="30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Plan (Incorporated by reference to Exhibit 10.6 to the registrant's quarterly report on Form 10-Q for the quarter ended March 27, 2022 (the</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“March 2022 10-Q”)).</w:t>
              </w:r>
            </w:hyperlink>
          </w:p>
        </w:tc>
        <w:tc>
          <w:tcPr>
            <w:tcW w:w="20" w:type="dxa"/>
            <w:vAlign w:val="bottom"/>
            <w:tcBorders>
              <w:bottom w:val="single" w:sz="8" w:color="0000EE"/>
            </w:tcBorders>
          </w:tcPr>
          <w:p>
            <w:pPr>
              <w:spacing w:after="0"/>
              <w:rPr>
                <w:sz w:val="17"/>
                <w:szCs w:val="17"/>
                <w:color w:val="auto"/>
              </w:rPr>
            </w:pPr>
          </w:p>
        </w:tc>
        <w:tc>
          <w:tcPr>
            <w:tcW w:w="8440" w:type="dxa"/>
            <w:vAlign w:val="bottom"/>
            <w:gridSpan w:val="2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97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Form of Restricted Stock Unit Award Agreement (two-year vesting with acceleration events) under the Amended Domino’s Pizza, Inc.</w:t>
              </w:r>
            </w:hyperlink>
          </w:p>
        </w:tc>
        <w:tc>
          <w:tcPr>
            <w:tcW w:w="30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7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2004 Equity Incentive Plan (Incorporated by reference to Exhibit 10.1 to the registrant's quarterly report on Form 10-Q for the quarter</w:t>
              </w:r>
            </w:hyperlink>
          </w:p>
        </w:tc>
        <w:tc>
          <w:tcPr>
            <w:tcW w:w="380" w:type="dxa"/>
            <w:vAlign w:val="bottom"/>
            <w:gridSpan w:val="11"/>
          </w:tcPr>
          <w:p>
            <w:pPr>
              <w:spacing w:after="0"/>
              <w:rPr>
                <w:sz w:val="17"/>
                <w:szCs w:val="17"/>
                <w:color w:val="auto"/>
              </w:rPr>
            </w:pPr>
          </w:p>
        </w:tc>
      </w:tr>
    </w:tbl>
    <w:p>
      <w:pPr>
        <w:spacing w:after="0" w:line="20" w:lineRule="exact"/>
        <w:rPr>
          <w:sz w:val="20"/>
          <w:szCs w:val="20"/>
          <w:color w:val="auto"/>
        </w:rPr>
      </w:pPr>
    </w:p>
    <w:p>
      <w:pPr>
        <w:ind w:left="1120"/>
        <w:spacing w:after="0"/>
        <w:rPr>
          <w:rFonts w:ascii="Times New Roman" w:cs="Times New Roman" w:eastAsia="Times New Roman" w:hAnsi="Times New Roman"/>
          <w:sz w:val="18"/>
          <w:szCs w:val="18"/>
          <w:u w:val="single" w:color="auto"/>
          <w:color w:val="0000FF"/>
        </w:rPr>
      </w:pPr>
      <w:hyperlink r:id="rId403">
        <w:r>
          <w:rPr>
            <w:rFonts w:ascii="Times New Roman" w:cs="Times New Roman" w:eastAsia="Times New Roman" w:hAnsi="Times New Roman"/>
            <w:sz w:val="18"/>
            <w:szCs w:val="18"/>
            <w:u w:val="single" w:color="auto"/>
            <w:color w:val="0000FF"/>
          </w:rPr>
          <w:t>ended June 19, 2022 (the “June 2022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-7620</wp:posOffset>
            </wp:positionV>
            <wp:extent cx="20529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205295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473075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2"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9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Form of Restricted Stock Unit Award Agreement (three-year vesting with acceleration events) under the Amended Domino’s Pizza, Inc.</w:t>
              </w:r>
            </w:hyperlink>
          </w:p>
        </w:tc>
        <w:tc>
          <w:tcPr>
            <w:tcW w:w="2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2004 Equity Incentive Plan (Incorporated by reference to Exhibit 10.2 to the June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4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Form of 2023 Performance-Based Restricted Stock Unit Award Agreement under the Amended Domino’s Pizza, Inc. 2004 Equity</w:t>
              </w:r>
            </w:hyperlink>
          </w:p>
        </w:tc>
        <w:tc>
          <w:tcPr>
            <w:tcW w:w="660" w:type="dxa"/>
            <w:vAlign w:val="bottom"/>
            <w:gridSpan w:val="2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Incentive Plan (Incorporated by reference to Exhibit 10.2 to the March 2023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94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Form of 2023 Restricted Stock Unit Award Agreement (three-year vesting) under the Amended Domino’s Pizza, Inc. 2004 Equity</w:t>
              </w:r>
            </w:hyperlink>
          </w:p>
        </w:tc>
        <w:tc>
          <w:tcPr>
            <w:tcW w:w="680" w:type="dxa"/>
            <w:vAlign w:val="bottom"/>
            <w:gridSpan w:val="2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Incentive Plan (Incorporated by reference to Exhibit 10.3 to the March 2023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996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2023 Employee Stock Option Agreement under the Amended Domino’s Pizza, Inc. 2004 Equity Incentive Plan (Incorporated by</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reference to Exhibit 10.4 to the March 2023 10-Q).</w:t>
              </w:r>
            </w:hyperlink>
          </w:p>
        </w:tc>
        <w:tc>
          <w:tcPr>
            <w:tcW w:w="20" w:type="dxa"/>
            <w:vAlign w:val="bottom"/>
            <w:tcBorders>
              <w:bottom w:val="single" w:sz="8" w:color="0000EE"/>
            </w:tcBorders>
          </w:tcPr>
          <w:p>
            <w:pPr>
              <w:spacing w:after="0"/>
              <w:rPr>
                <w:sz w:val="17"/>
                <w:szCs w:val="17"/>
                <w:color w:val="auto"/>
              </w:rPr>
            </w:pPr>
          </w:p>
        </w:tc>
        <w:tc>
          <w:tcPr>
            <w:tcW w:w="6400" w:type="dxa"/>
            <w:vAlign w:val="bottom"/>
            <w:gridSpan w:val="36"/>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94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Form of 2023 Restricted Stock Unit Award Agreement (three vesting dates) under the Amended Domino’s Pizza, Inc. 2004 Equity</w:t>
              </w:r>
            </w:hyperlink>
          </w:p>
        </w:tc>
        <w:tc>
          <w:tcPr>
            <w:tcW w:w="620" w:type="dxa"/>
            <w:vAlign w:val="bottom"/>
            <w:gridSpan w:val="2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Incentive Plan (Incorporated by reference to Exhibit 10.5 to the March 2023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0080" w:type="dxa"/>
            <w:vAlign w:val="bottom"/>
            <w:tcBorders>
              <w:bottom w:val="single" w:sz="8" w:color="0000FF"/>
            </w:tcBorders>
            <w:gridSpan w:val="47"/>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Form of 2023 Restricted Stock Unit Award Agreement (two vesting dates) under the Amended Domino’s Pizza, Inc. 2004 Equity Incentive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3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Plan (Incorporated by reference to Exhibit 10.6 to the March 2023 10-Q).</w:t>
              </w:r>
            </w:hyperlink>
          </w:p>
        </w:tc>
        <w:tc>
          <w:tcPr>
            <w:tcW w:w="20" w:type="dxa"/>
            <w:vAlign w:val="bottom"/>
            <w:tcBorders>
              <w:bottom w:val="single" w:sz="8" w:color="0000EE"/>
            </w:tcBorders>
          </w:tcPr>
          <w:p>
            <w:pPr>
              <w:spacing w:after="0"/>
              <w:rPr>
                <w:sz w:val="17"/>
                <w:szCs w:val="17"/>
                <w:color w:val="auto"/>
              </w:rPr>
            </w:pPr>
          </w:p>
        </w:tc>
        <w:tc>
          <w:tcPr>
            <w:tcW w:w="4780" w:type="dxa"/>
            <w:vAlign w:val="bottom"/>
            <w:gridSpan w:val="32"/>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10020" w:type="dxa"/>
            <w:vAlign w:val="bottom"/>
            <w:tcBorders>
              <w:bottom w:val="single" w:sz="8" w:color="0000FF"/>
            </w:tcBorders>
            <w:gridSpan w:val="45"/>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of 2023 Restricted Stock Unit Award Agreement for Directors under the Amended Domino’s Pizza, Inc. 2004 Equity Incentive Plan</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(Incorporated by reference to Exhibit 10.7 to the March 2023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988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Amended and Restated Employment Agreement dated as of February 24, 2022 between Domino’s Pizza, Inc., Domino’s Pizza LLC and</w:t>
              </w:r>
            </w:hyperlink>
          </w:p>
        </w:tc>
        <w:tc>
          <w:tcPr>
            <w:tcW w:w="2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Russell J. Weiner (Incorporated by reference to Exhibit 10.1 to the registrant’s current report on Form 8-K filed on March 1, 2022 (the</w:t>
              </w:r>
            </w:hyperlink>
          </w:p>
        </w:tc>
        <w:tc>
          <w:tcPr>
            <w:tcW w:w="36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“March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97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Time Sharing Agreement dated as of February 24, 2022 by and between Domino’s Pizza LLC and Russell J. Weiner (Incorporated by</w:t>
              </w:r>
            </w:hyperlink>
          </w:p>
        </w:tc>
        <w:tc>
          <w:tcPr>
            <w:tcW w:w="40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reference to Exhibit 10.2 to the March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95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Employment Agreement dated as of February 25, 2022 by and between Domino’s Pizza LLC and Sandeep Reddy (Incorporated by</w:t>
              </w:r>
            </w:hyperlink>
          </w:p>
        </w:tc>
        <w:tc>
          <w:tcPr>
            <w:tcW w:w="600" w:type="dxa"/>
            <w:vAlign w:val="bottom"/>
            <w:gridSpan w:val="2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reference to Exhibit 10.3 to the March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96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Addendum to Amended and Restated Employment Agreement dated as of June 22, 2018 between Domino’s Pizza LLC and David A.</w:t>
              </w:r>
            </w:hyperlink>
          </w:p>
        </w:tc>
        <w:tc>
          <w:tcPr>
            <w:tcW w:w="42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Brandon (Incorporated by reference to Exhibit 10.1 to the registrant’s quarterly report on Form 10-Q for the quarter ended June 17, 2018</w:t>
              </w:r>
            </w:hyperlink>
          </w:p>
        </w:tc>
        <w:tc>
          <w:tcPr>
            <w:tcW w:w="2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(the “June 2018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996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Second Addendum to Amended and Restated Employment Agreement dated as of December 29, 2018 between Domino’s Pizza LLC and</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FF"/>
            </w:tcBorders>
            <w:gridSpan w:val="46"/>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David A. Brandon (Incorporated by reference to Exhibit 10.39 to the registrant’s annual report on Form 10-K for the year ended December</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30, 2018 (the “December 2018 10-K”)).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10100" w:type="dxa"/>
            <w:vAlign w:val="bottom"/>
            <w:gridSpan w:val="48"/>
          </w:tcPr>
          <w:p>
            <w:pPr>
              <w:spacing w:after="0" w:line="196" w:lineRule="exact"/>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Third Addendum to Amended and Restated Employment Agreement dated as of January 30, 2020 between Domino’s Pizza LLC and David</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47"/>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 Brandon (Incorporated by reference to Exhibit 10.1 to the registrant’s quarterly report on Form 10-Q for the quarter ended March 22,</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18">
              <w:r>
                <w:rPr>
                  <w:rFonts w:ascii="Times New Roman" w:cs="Times New Roman" w:eastAsia="Times New Roman" w:hAnsi="Times New Roman"/>
                  <w:sz w:val="18"/>
                  <w:szCs w:val="18"/>
                  <w:color w:val="0000FF"/>
                  <w:w w:val="94"/>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98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Amended and Restated Employment Agreement dated as of March 2, 2022 by and between Domino’s Pizza LLC and Joseph H. Jordan</w:t>
              </w:r>
            </w:hyperlink>
          </w:p>
        </w:tc>
        <w:tc>
          <w:tcPr>
            <w:tcW w:w="30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(Incorporated by reference to Exhibit 10.1 to the registrant’s current report on Form 8-K filed on March 4, 2022).</w:t>
              </w:r>
            </w:hyperlink>
          </w:p>
        </w:tc>
      </w:tr>
      <w:tr>
        <w:trPr>
          <w:trHeight w:val="20"/>
        </w:trPr>
        <w:tc>
          <w:tcPr>
            <w:tcW w:w="114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96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Employment Agreement dated as of September 21, 2020 by and between Domino’s Pizza LLC and Kelly E. Garcia. (Incorporated by</w:t>
              </w:r>
            </w:hyperlink>
          </w:p>
        </w:tc>
        <w:tc>
          <w:tcPr>
            <w:tcW w:w="44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20">
              <w:r>
                <w:rPr>
                  <w:rFonts w:ascii="Times New Roman" w:cs="Times New Roman" w:eastAsia="Times New Roman" w:hAnsi="Times New Roman"/>
                  <w:sz w:val="18"/>
                  <w:szCs w:val="18"/>
                  <w:color w:val="0000FF"/>
                  <w:w w:val="99"/>
                </w:rPr>
                <w:t>reference to Exhibit 10.54 to the 2023 10-K).</w:t>
              </w:r>
            </w:hyperlink>
          </w:p>
        </w:tc>
        <w:tc>
          <w:tcPr>
            <w:tcW w:w="6840" w:type="dxa"/>
            <w:vAlign w:val="bottom"/>
            <w:gridSpan w:val="39"/>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9980" w:type="dxa"/>
            <w:vAlign w:val="bottom"/>
            <w:tcBorders>
              <w:bottom w:val="single" w:sz="8" w:color="0000FF"/>
            </w:tcBorders>
            <w:gridSpan w:val="44"/>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Employment Agreement dated as of July 30, 2020 by and between Domino’s Pizza LLC and Arthur P. D’Elia. (Incorporated by reference</w:t>
              </w:r>
            </w:hyperlink>
          </w:p>
        </w:tc>
        <w:tc>
          <w:tcPr>
            <w:tcW w:w="1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to Exhibit 10.55 to the 2023 10-K).</w:t>
              </w:r>
            </w:hyperlink>
          </w:p>
        </w:tc>
      </w:tr>
      <w:tr>
        <w:trPr>
          <w:trHeight w:val="20"/>
        </w:trPr>
        <w:tc>
          <w:tcPr>
            <w:tcW w:w="114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10100" w:type="dxa"/>
            <w:vAlign w:val="bottom"/>
            <w:gridSpan w:val="48"/>
          </w:tcPr>
          <w:p>
            <w:pPr>
              <w:spacing w:after="0" w:line="196" w:lineRule="exact"/>
              <w:rPr>
                <w:sz w:val="20"/>
                <w:szCs w:val="20"/>
                <w:color w:val="auto"/>
              </w:rPr>
            </w:pPr>
            <w:r>
              <w:rPr>
                <w:rFonts w:ascii="Times New Roman" w:cs="Times New Roman" w:eastAsia="Times New Roman" w:hAnsi="Times New Roman"/>
                <w:sz w:val="18"/>
                <w:szCs w:val="18"/>
                <w:color w:val="0000FF"/>
              </w:rPr>
              <w:t>Letter Agreement dated as of February 24, 2022 by and between Domino’s Pizza LLC and Arthur P. D’Elia</w:t>
            </w:r>
            <w:r>
              <w:rPr>
                <w:rFonts w:ascii="Times New Roman" w:cs="Times New Roman" w:eastAsia="Times New Roman" w:hAnsi="Times New Roman"/>
                <w:sz w:val="18"/>
                <w:szCs w:val="18"/>
                <w:color w:val="000000"/>
              </w:rPr>
              <w:t>.</w:t>
            </w:r>
          </w:p>
        </w:tc>
      </w:tr>
      <w:tr>
        <w:trPr>
          <w:trHeight w:val="20"/>
        </w:trPr>
        <w:tc>
          <w:tcPr>
            <w:tcW w:w="114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962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Separation Agreement and General Release dated as of October 21, 2024 by and between Domino’s Pizza LLC and Arthur P. D’Elia.</w:t>
            </w:r>
          </w:p>
        </w:tc>
        <w:tc>
          <w:tcPr>
            <w:tcW w:w="480" w:type="dxa"/>
            <w:vAlign w:val="bottom"/>
            <w:gridSpan w:val="19"/>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74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Form of Indemnification Agreement (Incorporated by reference to Exhibit 10.3 to the June 2022 10-Q).</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28"/>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97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Amended and Restated Base Indenture dated March 15, 2012 among Domino’s Pizza Master Issuer LLC, Domino’s Pizza Distribution</w:t>
              </w:r>
            </w:hyperlink>
          </w:p>
        </w:tc>
        <w:tc>
          <w:tcPr>
            <w:tcW w:w="3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LLC, Domino’s IP Holder LLC and Domino’s SPV Canadian Holding Company Inc., each as Co-Issuer, and Citibank, N.A., as Trustee</w:t>
              </w:r>
            </w:hyperlink>
          </w:p>
        </w:tc>
        <w:tc>
          <w:tcPr>
            <w:tcW w:w="26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and Securities Intermediary (Incorporated by reference to Exhibit 4.1 to the registrant’s current report on Form 8-K filed on March 19,</w:t>
              </w:r>
            </w:hyperlink>
          </w:p>
        </w:tc>
        <w:tc>
          <w:tcPr>
            <w:tcW w:w="38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23">
              <w:r>
                <w:rPr>
                  <w:rFonts w:ascii="Times New Roman" w:cs="Times New Roman" w:eastAsia="Times New Roman" w:hAnsi="Times New Roman"/>
                  <w:sz w:val="18"/>
                  <w:szCs w:val="18"/>
                  <w:color w:val="0000FF"/>
                  <w:w w:val="99"/>
                </w:rPr>
                <w:t>2012 (the “March 2012 8-K”)).</w:t>
              </w:r>
            </w:hyperlink>
          </w:p>
        </w:tc>
        <w:tc>
          <w:tcPr>
            <w:tcW w:w="20" w:type="dxa"/>
            <w:vAlign w:val="bottom"/>
            <w:tcBorders>
              <w:bottom w:val="single" w:sz="8" w:color="0000EE"/>
            </w:tcBorders>
          </w:tcPr>
          <w:p>
            <w:pPr>
              <w:spacing w:after="0"/>
              <w:rPr>
                <w:sz w:val="17"/>
                <w:szCs w:val="17"/>
                <w:color w:val="auto"/>
              </w:rPr>
            </w:pPr>
          </w:p>
        </w:tc>
        <w:tc>
          <w:tcPr>
            <w:tcW w:w="7820" w:type="dxa"/>
            <w:vAlign w:val="bottom"/>
            <w:gridSpan w:val="42"/>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992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First Supplement dated as of September 16, 2013 to the Amended and Restated Base Indenture dated as of March 15, 2012 (Incorporated</w:t>
              </w:r>
            </w:hyperlink>
          </w:p>
        </w:tc>
        <w:tc>
          <w:tcPr>
            <w:tcW w:w="1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by reference to Exhibit 4.1 to the registrant’s current report on Form 8-K filed on October 22, 2015 (the “October 2015 8-K”)).</w:t>
              </w:r>
            </w:hyperlink>
          </w:p>
        </w:tc>
      </w:tr>
      <w:tr>
        <w:trPr>
          <w:trHeight w:val="20"/>
        </w:trPr>
        <w:tc>
          <w:tcPr>
            <w:tcW w:w="1140" w:type="dxa"/>
            <w:vAlign w:val="bottom"/>
          </w:tcPr>
          <w:p>
            <w:pPr>
              <w:spacing w:after="0" w:line="20" w:lineRule="exact"/>
              <w:rPr>
                <w:sz w:val="1"/>
                <w:szCs w:val="1"/>
                <w:color w:val="auto"/>
              </w:rPr>
            </w:pPr>
          </w:p>
        </w:tc>
        <w:tc>
          <w:tcPr>
            <w:tcW w:w="3840" w:type="dxa"/>
            <w:vAlign w:val="bottom"/>
            <w:gridSpan w:val="13"/>
            <w:shd w:val="clear" w:color="auto" w:fill="0000FF"/>
          </w:tcPr>
          <w:p>
            <w:pPr>
              <w:spacing w:after="0" w:line="20" w:lineRule="exact"/>
              <w:rPr>
                <w:sz w:val="1"/>
                <w:szCs w:val="1"/>
                <w:color w:val="auto"/>
              </w:rPr>
            </w:pPr>
          </w:p>
        </w:tc>
        <w:tc>
          <w:tcPr>
            <w:tcW w:w="4340" w:type="dxa"/>
            <w:vAlign w:val="bottom"/>
            <w:tcBorders>
              <w:right w:val="single" w:sz="8" w:color="0000FF"/>
            </w:tcBorders>
            <w:gridSpan w:val="9"/>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1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10.49</w:t>
            </w:r>
          </w:p>
        </w:tc>
        <w:tc>
          <w:tcPr>
            <w:tcW w:w="10100" w:type="dxa"/>
            <w:vAlign w:val="bottom"/>
            <w:gridSpan w:val="48"/>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Second Supplement dated as of October 21, 2015 to the Amended and Restated Base Indenture dated as of March 15, 2012 (Incorporated</w:t>
              </w:r>
            </w:hyperlink>
          </w:p>
        </w:tc>
      </w:tr>
      <w:tr>
        <w:trPr>
          <w:trHeight w:val="196"/>
        </w:trPr>
        <w:tc>
          <w:tcPr>
            <w:tcW w:w="1140" w:type="dxa"/>
            <w:vAlign w:val="bottom"/>
          </w:tcPr>
          <w:p>
            <w:pPr>
              <w:spacing w:after="0"/>
              <w:rPr>
                <w:sz w:val="17"/>
                <w:szCs w:val="17"/>
                <w:color w:val="auto"/>
              </w:rPr>
            </w:pPr>
          </w:p>
        </w:tc>
        <w:tc>
          <w:tcPr>
            <w:tcW w:w="3840" w:type="dxa"/>
            <w:vAlign w:val="bottom"/>
            <w:tcBorders>
              <w:top w:val="single" w:sz="8" w:color="0000EE"/>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by reference to Exhibit 4.2 to the October 2015 8-K).</w:t>
              </w:r>
            </w:hyperlink>
          </w:p>
        </w:tc>
        <w:tc>
          <w:tcPr>
            <w:tcW w:w="5080" w:type="dxa"/>
            <w:vAlign w:val="bottom"/>
            <w:tcBorders>
              <w:top w:val="single" w:sz="8" w:color="0000EE"/>
            </w:tcBorders>
            <w:gridSpan w:val="10"/>
          </w:tcPr>
          <w:p>
            <w:pPr>
              <w:spacing w:after="0"/>
              <w:rPr>
                <w:sz w:val="17"/>
                <w:szCs w:val="17"/>
                <w:color w:val="auto"/>
              </w:rPr>
            </w:pPr>
          </w:p>
        </w:tc>
        <w:tc>
          <w:tcPr>
            <w:tcW w:w="1020" w:type="dxa"/>
            <w:vAlign w:val="bottom"/>
            <w:tcBorders>
              <w:top w:val="single" w:sz="8" w:color="0000FF"/>
            </w:tcBorders>
            <w:gridSpan w:val="19"/>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940" w:type="dxa"/>
            <w:vAlign w:val="bottom"/>
            <w:gridSpan w:val="14"/>
          </w:tcPr>
          <w:p>
            <w:pPr>
              <w:ind w:left="440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10.50</w:t>
            </w:r>
          </w:p>
        </w:tc>
        <w:tc>
          <w:tcPr>
            <w:tcW w:w="10020" w:type="dxa"/>
            <w:vAlign w:val="bottom"/>
            <w:gridSpan w:val="33"/>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Third Supplement dated as of October 21, 2015 to the Amended and Restated Base Indenture dated as of March 15, 2012 (Incorporated by</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7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reference to Exhibit 4.3 to the October 2015 8-K).</w:t>
              </w:r>
            </w:hyperlink>
          </w:p>
        </w:tc>
        <w:tc>
          <w:tcPr>
            <w:tcW w:w="124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10.51</w:t>
            </w:r>
          </w:p>
        </w:tc>
        <w:tc>
          <w:tcPr>
            <w:tcW w:w="96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Fourth Supplement dated as of July 24, 2017 to the Amended and Restated Base Indenture dated as of March 15, 2012 by and among</w:t>
              </w:r>
            </w:hyperlink>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Domino’s Pizza Master Issuer LLC, Domino’s SPV Canadian Holding Company Inc., Domino’s Pizza Distribution LLC and Domino’s IP</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4.1 to the</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33"/>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Domino’s Pizza, Inc. Current Report on Form 8-K, filed on July 25, 2017 (the “July 2017 8-K”)).</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10.52</w:t>
            </w:r>
          </w:p>
        </w:tc>
        <w:tc>
          <w:tcPr>
            <w:tcW w:w="99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Fifth Supplement dated as of November 21, 2018 to the Amended and Restated Base Indenture dated as of March 15, 2012 by and among</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Domino’s Pizza Master Issuer LLC, Domino’s SPV Canadian Holding Company Inc., Domino’s Pizza Distribution LLC and Domino’s IP</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Holder LLC, each as Co-Issuer, and Citibank, N.A., as Trustee and Securities Intermediary. (Incorporated by reference to Exhibit 10.49 to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33"/>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the registrant’s annual report on Form 10-K for the year ended December 29, 2019).</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10.53</w:t>
            </w:r>
          </w:p>
        </w:tc>
        <w:tc>
          <w:tcPr>
            <w:tcW w:w="96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Sixth Supplement dated as of April 16, 2021 to the Amended and Restated Base Indenture dated as of March 15, 2012 by and among</w:t>
              </w:r>
            </w:hyperlink>
          </w:p>
        </w:tc>
        <w:tc>
          <w:tcPr>
            <w:tcW w:w="4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Domino’s Pizza Master Issuer LLC, Domino’s SPV Canadian Holding Company Inc., Domino’s Pizza Distribution LLC and Domino’s IP</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4.1 to the</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33"/>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registrant’s Current Report on Form 8-K filed on April 20, 2021 (the “April 2021 8-K”)).</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10.54</w:t>
            </w:r>
          </w:p>
        </w:tc>
        <w:tc>
          <w:tcPr>
            <w:tcW w:w="96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Seventh Supplement dated as of December 30, 2021 to the Amended and Restated Base Indenture dated as of March 15, 2012 by and</w:t>
              </w:r>
            </w:hyperlink>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6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among Domino’s Pizza Master Issuer LLC, Domino’s SPV Canadian Holding Company Inc., Domino’s Pizza Distribution LLC and</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7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Domino’s IP Holder LLC, each as Co-Issuer, and Citibank, N.A., as Trustee and Securities Intermediary (Incorporated by reference to</w:t>
              </w:r>
            </w:hyperlink>
          </w:p>
        </w:tc>
        <w:tc>
          <w:tcPr>
            <w:tcW w:w="3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Exhibit 10.62 to the 2021 10-K).</w:t>
              </w:r>
            </w:hyperlink>
          </w:p>
        </w:tc>
        <w:tc>
          <w:tcPr>
            <w:tcW w:w="20" w:type="dxa"/>
            <w:vAlign w:val="bottom"/>
            <w:tcBorders>
              <w:bottom w:val="single" w:sz="8" w:color="0000EE"/>
            </w:tcBorders>
          </w:tcPr>
          <w:p>
            <w:pPr>
              <w:spacing w:after="0"/>
              <w:rPr>
                <w:sz w:val="17"/>
                <w:szCs w:val="17"/>
                <w:color w:val="auto"/>
              </w:rPr>
            </w:pPr>
          </w:p>
        </w:tc>
        <w:tc>
          <w:tcPr>
            <w:tcW w:w="764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10.55</w:t>
            </w:r>
          </w:p>
        </w:tc>
        <w:tc>
          <w:tcPr>
            <w:tcW w:w="96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Eighth Supplement dated as of July 23, 2024 to the Amended and Restated Base Indenture dated as of March 15, 2012 by and among</w:t>
              </w:r>
            </w:hyperlink>
          </w:p>
        </w:tc>
        <w:tc>
          <w:tcPr>
            <w:tcW w:w="3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Domino’s Pizza Master Issuer LLC, Domino’s SPV Canadian Holding Company Inc., Domino’s Pizza Distribution LLC and Domino’s IP</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Holder LLC, each as Co-Issuer, and Citibank, N.A., as Trustee and Securities Intermediary. (Incorporated by reference to Exhibit 10.1 to</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3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the registrant’s quarterly report on Form 10-Q for the quarter ended September 8, 2024).</w:t>
              </w:r>
            </w:hyperlink>
          </w:p>
        </w:tc>
        <w:tc>
          <w:tcPr>
            <w:tcW w:w="60" w:type="dxa"/>
            <w:vAlign w:val="bottom"/>
            <w:tcBorders>
              <w:bottom w:val="single" w:sz="8" w:color="0000EE"/>
            </w:tcBorders>
          </w:tcPr>
          <w:p>
            <w:pPr>
              <w:spacing w:after="0"/>
              <w:rPr>
                <w:sz w:val="17"/>
                <w:szCs w:val="17"/>
                <w:color w:val="auto"/>
              </w:rPr>
            </w:pPr>
          </w:p>
        </w:tc>
        <w:tc>
          <w:tcPr>
            <w:tcW w:w="35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10.56</w:t>
            </w:r>
          </w:p>
        </w:tc>
        <w:tc>
          <w:tcPr>
            <w:tcW w:w="95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Series 2015-1 Supplement dated as of October 21, 2015 to the Amended and Restated Base Indenture dated March 15, 2012 among</w:t>
              </w:r>
            </w:hyperlink>
          </w:p>
        </w:tc>
        <w:tc>
          <w:tcPr>
            <w:tcW w:w="50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Domino’s Pizza Master Issuer LLC, Domino’s Pizza Distribution LLC, Domino’s IP Holder LLC and Domino’s SPV Canadian Holding</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Company Inc., each as a Co-Issuer of the Series 2015-1 3.484% Fixed Rate Senior Secured Notes, Class A-2-I, the Series 2015-1 4.474%</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Fixed Rate Senior Secured Notes, Class A-2-II and the Series 2015-1 Variable Funding Senior Notes, Class A-1, and Citibank, N.A., as</w:t>
              </w:r>
            </w:hyperlink>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5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34">
              <w:r>
                <w:rPr>
                  <w:rFonts w:ascii="Times New Roman" w:cs="Times New Roman" w:eastAsia="Times New Roman" w:hAnsi="Times New Roman"/>
                  <w:sz w:val="18"/>
                  <w:szCs w:val="18"/>
                  <w:color w:val="0000FF"/>
                  <w:w w:val="99"/>
                </w:rPr>
                <w:t>Trustee and Series 2015-1 Securities Intermediary (Incorporated by reference to Exhibit 4.4 to the October 2015 8-K).</w:t>
              </w:r>
            </w:hyperlink>
          </w:p>
        </w:tc>
        <w:tc>
          <w:tcPr>
            <w:tcW w:w="20" w:type="dxa"/>
            <w:vAlign w:val="bottom"/>
            <w:tcBorders>
              <w:bottom w:val="single" w:sz="8" w:color="0000EE"/>
            </w:tcBorders>
          </w:tcPr>
          <w:p>
            <w:pPr>
              <w:spacing w:after="0"/>
              <w:rPr>
                <w:sz w:val="17"/>
                <w:szCs w:val="17"/>
                <w:color w:val="auto"/>
              </w:rPr>
            </w:pPr>
          </w:p>
        </w:tc>
        <w:tc>
          <w:tcPr>
            <w:tcW w:w="14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10.57</w:t>
            </w:r>
          </w:p>
        </w:tc>
        <w:tc>
          <w:tcPr>
            <w:tcW w:w="100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Series 2017-1 Supplement dated as of July 24, 2017 by and among Domino’s Pizza Master Issuer LLC, Domino’s SPV Canadian Holding</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Company Inc., Domino’s Pizza Distribution LLC and Domino’s IP Holder LLC, each as Co-Issuer, and Citibank, N.A., as Trustee, Series</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5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35">
              <w:r>
                <w:rPr>
                  <w:rFonts w:ascii="Times New Roman" w:cs="Times New Roman" w:eastAsia="Times New Roman" w:hAnsi="Times New Roman"/>
                  <w:sz w:val="18"/>
                  <w:szCs w:val="18"/>
                  <w:color w:val="0000FF"/>
                  <w:w w:val="99"/>
                </w:rPr>
                <w:t>2017-1 Securities Intermediary and Calculation Agent (Incorporated by reference to Exhibit 4.2 to the July 2017 8-K).</w:t>
              </w:r>
            </w:hyperlink>
          </w:p>
        </w:tc>
        <w:tc>
          <w:tcPr>
            <w:tcW w:w="20" w:type="dxa"/>
            <w:vAlign w:val="bottom"/>
            <w:tcBorders>
              <w:bottom w:val="single" w:sz="8" w:color="0000EE"/>
            </w:tcBorders>
          </w:tcPr>
          <w:p>
            <w:pPr>
              <w:spacing w:after="0"/>
              <w:rPr>
                <w:sz w:val="17"/>
                <w:szCs w:val="17"/>
                <w:color w:val="auto"/>
              </w:rPr>
            </w:pPr>
          </w:p>
        </w:tc>
        <w:tc>
          <w:tcPr>
            <w:tcW w:w="146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10.58</w:t>
            </w:r>
          </w:p>
        </w:tc>
        <w:tc>
          <w:tcPr>
            <w:tcW w:w="94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Supplemental Indenture, dated as of April 24, 2018, among Domino’s Pizza Master Issuer LLC, Domino’s SPV Canadian Holding</w:t>
              </w:r>
            </w:hyperlink>
          </w:p>
        </w:tc>
        <w:tc>
          <w:tcPr>
            <w:tcW w:w="5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Company Inc., Domino’s Pizza Distribution LLC and Domino’s IP Holder LLC, each as Co-Issuer of Series 2018-1 4.116% Fixed Rate</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5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Senior Secured Notes, Class A-2-I and Series 2018-1 4.328% Fixed Rate Senior Secured Notes, Class A-2-II, and Citibank, N.A., as</w:t>
              </w:r>
            </w:hyperlink>
          </w:p>
        </w:tc>
        <w:tc>
          <w:tcPr>
            <w:tcW w:w="4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Trustee and Securities Intermediary (Incorporated by reference to Exhibit 4.1 to the registrant’s current report on Form 8-K filed on April</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4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25, 2018 (the “April 2018 8-K”)).</w:t>
              </w:r>
            </w:hyperlink>
          </w:p>
        </w:tc>
        <w:tc>
          <w:tcPr>
            <w:tcW w:w="20" w:type="dxa"/>
            <w:vAlign w:val="bottom"/>
            <w:tcBorders>
              <w:bottom w:val="single" w:sz="8" w:color="0000EE"/>
            </w:tcBorders>
          </w:tcPr>
          <w:p>
            <w:pPr>
              <w:spacing w:after="0"/>
              <w:rPr>
                <w:sz w:val="17"/>
                <w:szCs w:val="17"/>
                <w:color w:val="auto"/>
              </w:rPr>
            </w:pPr>
          </w:p>
        </w:tc>
        <w:tc>
          <w:tcPr>
            <w:tcW w:w="756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10.59</w:t>
            </w:r>
          </w:p>
        </w:tc>
        <w:tc>
          <w:tcPr>
            <w:tcW w:w="94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Supplemental Indenture, dated November 19, 2019, among Domino’s Pizza Master Issuer LLC, Domino’s SPV Canadian Holding</w:t>
              </w:r>
            </w:hyperlink>
          </w:p>
        </w:tc>
        <w:tc>
          <w:tcPr>
            <w:tcW w:w="5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Company Inc., Domino’s Pizza Distribution LLC and Domino’s IP Holder LLC, each as Co-Issuer of Series 2019-1 3.668% Fixed Rate</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Senior Secured Notes, Class A-2, and Citibank, N.A., as Trustee and Securities Intermediary (Incorporated by reference to Exhibit 4.1 to</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3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the registrant’s current report on Form 8-K filed on November 19, 2019 (the “November 2019 8-K”)).</w:t>
              </w:r>
            </w:hyperlink>
          </w:p>
        </w:tc>
        <w:tc>
          <w:tcPr>
            <w:tcW w:w="20" w:type="dxa"/>
            <w:vAlign w:val="bottom"/>
            <w:tcBorders>
              <w:bottom w:val="single" w:sz="8" w:color="0000EE"/>
            </w:tcBorders>
          </w:tcPr>
          <w:p>
            <w:pPr>
              <w:spacing w:after="0"/>
              <w:rPr>
                <w:sz w:val="17"/>
                <w:szCs w:val="17"/>
                <w:color w:val="auto"/>
              </w:rPr>
            </w:pPr>
          </w:p>
        </w:tc>
        <w:tc>
          <w:tcPr>
            <w:tcW w:w="264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10.60</w:t>
            </w:r>
          </w:p>
        </w:tc>
        <w:tc>
          <w:tcPr>
            <w:tcW w:w="98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Supplemental Indenture, dated April 16, 2021, among Domino’s Pizza Master Issuer LLC, Domino’s SPV Canadian Holding Company</w:t>
              </w:r>
            </w:hyperlink>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6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Inc., Domino’s Pizza Distribution LLC and Domino’s IP Holder LLC, each as Co-Issuer of Series 2021-1 2.662% Fixed Rate Senior</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Secured Notes, Class A-2-I and Series 2021-1 3.151% Fixed Rate Senior Secured Notes, Class A-2-II, and Citibank, N.A., as Trustee and</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4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Securities Intermediary (Incorporated by reference to Exhibit 4.2 to the April 2021 8-K).</w:t>
              </w:r>
            </w:hyperlink>
          </w:p>
        </w:tc>
        <w:tc>
          <w:tcPr>
            <w:tcW w:w="35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3"/>
              </w:rPr>
              <w:t>10.61</w:t>
            </w:r>
          </w:p>
        </w:tc>
        <w:tc>
          <w:tcPr>
            <w:tcW w:w="99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Series 2022-1 Supplement to the Amended and Restated Base Indenture, dated as of September 16, 2022, by and among Domino’s Pizza</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Master Issuer LLC, Domino’s SPV Canadian Holding Company Inc., Domino’s Pizza Distribution LLC and Domino’s IP Holder LLC,</w:t>
              </w:r>
            </w:hyperlink>
          </w:p>
        </w:tc>
        <w:tc>
          <w:tcPr>
            <w:tcW w:w="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each as Co-Issuer, and Citibank, N.A., as Trustee and Securities Intermediary (Incorporated by reference to Exhibit 4.1 to the registrant's</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bl>
    <w:p>
      <w:pPr>
        <w:spacing w:after="0" w:line="9" w:lineRule="exact"/>
        <w:rPr>
          <w:sz w:val="20"/>
          <w:szCs w:val="20"/>
          <w:color w:val="auto"/>
        </w:rPr>
      </w:pPr>
    </w:p>
    <w:p>
      <w:pPr>
        <w:ind w:left="1120"/>
        <w:spacing w:after="0"/>
        <w:rPr>
          <w:rFonts w:ascii="Times New Roman" w:cs="Times New Roman" w:eastAsia="Times New Roman" w:hAnsi="Times New Roman"/>
          <w:sz w:val="18"/>
          <w:szCs w:val="18"/>
          <w:u w:val="single" w:color="auto"/>
          <w:color w:val="0000FF"/>
        </w:rPr>
      </w:pPr>
      <w:hyperlink r:id="rId439">
        <w:r>
          <w:rPr>
            <w:rFonts w:ascii="Times New Roman" w:cs="Times New Roman" w:eastAsia="Times New Roman" w:hAnsi="Times New Roman"/>
            <w:sz w:val="18"/>
            <w:szCs w:val="18"/>
            <w:u w:val="single" w:color="auto"/>
            <w:color w:val="0000FF"/>
          </w:rPr>
          <w:t>current report on Form 8-K filed on September 16, 2022 (the “September 2022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-7620</wp:posOffset>
            </wp:positionV>
            <wp:extent cx="396938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0">
                      <a:extLst>
                        <a:ext uri="{28A0092B-C50C-407E-A947-70E740481C1C}"/>
                      </a:extLst>
                    </a:blip>
                    <a:srcRect/>
                    <a:stretch>
                      <a:fillRect/>
                    </a:stretch>
                  </pic:blipFill>
                  <pic:spPr bwMode="auto">
                    <a:xfrm>
                      <a:off x="0" y="0"/>
                      <a:ext cx="396938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473075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72" w:right="3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10.62</w:t>
            </w:r>
          </w:p>
        </w:tc>
        <w:tc>
          <w:tcPr>
            <w:tcW w:w="100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Purchase Agreement dated as of October 14, 2015 among Domino’s Pizza Master Issuer LLC, Domino’s IP Holder LLC, Domino’s Pizza</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Distribution LLC and Domino’s SPV Canadian Holding Company Inc. for the Series 2015-1 3.484% Fixed Rate Senior Secured Notes,</w:t>
              </w:r>
            </w:hyperlink>
          </w:p>
        </w:tc>
        <w:tc>
          <w:tcPr>
            <w:tcW w:w="28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Class A-2-I and the Series 2015-1 4.474% Fixed Rate Senior Secured Notes, Class A-2-II (Incorporated by reference to Exhibit 10.1 to the</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42">
              <w:r>
                <w:rPr>
                  <w:rFonts w:ascii="Times New Roman" w:cs="Times New Roman" w:eastAsia="Times New Roman" w:hAnsi="Times New Roman"/>
                  <w:sz w:val="18"/>
                  <w:szCs w:val="18"/>
                  <w:color w:val="0000FF"/>
                  <w:w w:val="98"/>
                </w:rPr>
                <w:t>October 2015 8-K).</w:t>
              </w:r>
            </w:hyperlink>
          </w:p>
        </w:tc>
        <w:tc>
          <w:tcPr>
            <w:tcW w:w="20" w:type="dxa"/>
            <w:vAlign w:val="bottom"/>
            <w:tcBorders>
              <w:bottom w:val="single" w:sz="8" w:color="0000EE"/>
            </w:tcBorders>
          </w:tcPr>
          <w:p>
            <w:pPr>
              <w:spacing w:after="0"/>
              <w:rPr>
                <w:sz w:val="17"/>
                <w:szCs w:val="17"/>
                <w:color w:val="auto"/>
              </w:rPr>
            </w:pPr>
          </w:p>
        </w:tc>
        <w:tc>
          <w:tcPr>
            <w:tcW w:w="8660" w:type="dxa"/>
            <w:vAlign w:val="bottom"/>
            <w:gridSpan w:val="38"/>
          </w:tcPr>
          <w:p>
            <w:pPr>
              <w:spacing w:after="0"/>
              <w:rPr>
                <w:sz w:val="17"/>
                <w:szCs w:val="17"/>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10.63</w:t>
            </w:r>
          </w:p>
        </w:tc>
        <w:tc>
          <w:tcPr>
            <w:tcW w:w="98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Purchase Agreement dated as of June 12, 2017 among Domino’s Pizza Master Issuer LLC, Domino’s SPV Canadian Holding Company</w:t>
              </w:r>
            </w:hyperlink>
          </w:p>
        </w:tc>
        <w:tc>
          <w:tcPr>
            <w:tcW w:w="26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Inc., Domino’s Pizza Distribution LLC and Domino’s IP Holder LLC, each as Co-Issuer, Domino’s SPV Guarantor LLC, Domino’s Pizza</w:t>
              </w:r>
            </w:hyperlink>
          </w:p>
        </w:tc>
        <w:tc>
          <w:tcPr>
            <w:tcW w:w="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Franchising LLC, Domino’s Pizza International Franchising Inc., Domino’s Pizza Canadian Distribution ULC, Domino’s RE LLC and</w:t>
              </w:r>
            </w:hyperlink>
          </w:p>
        </w:tc>
        <w:tc>
          <w:tcPr>
            <w:tcW w:w="32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Domino’s EQ LLC, each as Guarantor, Domino’s Pizza LLC, as manager, Domino’s Pizza, Inc. and Domino’s Inc., as parent companies,</w:t>
              </w:r>
            </w:hyperlink>
          </w:p>
        </w:tc>
        <w:tc>
          <w:tcPr>
            <w:tcW w:w="14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and Guggenheim Securities, LLC and Barclays Capital Inc., as initial purchasers (Incorporated by reference to Exhibit 10.1 to the</w:t>
              </w:r>
            </w:hyperlink>
          </w:p>
        </w:tc>
        <w:tc>
          <w:tcPr>
            <w:tcW w:w="720" w:type="dxa"/>
            <w:vAlign w:val="bottom"/>
            <w:gridSpan w:val="2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Domino’s Pizza, Inc. Current Report on Form 8-K, filed on June 14, 2017 (the “June 2017 8-K”)).</w:t>
              </w:r>
            </w:hyperlink>
          </w:p>
        </w:tc>
      </w:tr>
      <w:tr>
        <w:trPr>
          <w:trHeight w:val="20"/>
        </w:trPr>
        <w:tc>
          <w:tcPr>
            <w:tcW w:w="1140" w:type="dxa"/>
            <w:vAlign w:val="bottom"/>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10.64</w:t>
            </w:r>
          </w:p>
        </w:tc>
        <w:tc>
          <w:tcPr>
            <w:tcW w:w="1008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444">
              <w:r>
                <w:rPr>
                  <w:rFonts w:ascii="Times New Roman" w:cs="Times New Roman" w:eastAsia="Times New Roman" w:hAnsi="Times New Roman"/>
                  <w:sz w:val="18"/>
                  <w:szCs w:val="18"/>
                  <w:color w:val="0000FF"/>
                  <w:w w:val="99"/>
                </w:rPr>
                <w:t>Purchase Agreement, dated April 18, 2018, by and among Domino’s Pizza Master Issuer LLC, Domino’s SPV Canadian Holding Company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Inc., Domino’s Pizza Distribution LLC, Domino’s IP Holder LLC, Domino’s Pizza, Inc., Domino’s Pizza LLC, Domino’s, Inc., the</w:t>
              </w:r>
            </w:hyperlink>
          </w:p>
        </w:tc>
        <w:tc>
          <w:tcPr>
            <w:tcW w:w="54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guarantors party thereto and Guggenheim Securities, LLC, as representative of the initial purchasers named in Schedule I thereto</w:t>
              </w:r>
            </w:hyperlink>
          </w:p>
        </w:tc>
        <w:tc>
          <w:tcPr>
            <w:tcW w:w="780" w:type="dxa"/>
            <w:vAlign w:val="bottom"/>
            <w:gridSpan w:val="2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44">
              <w:r>
                <w:rPr>
                  <w:rFonts w:ascii="Times New Roman" w:cs="Times New Roman" w:eastAsia="Times New Roman" w:hAnsi="Times New Roman"/>
                  <w:sz w:val="18"/>
                  <w:szCs w:val="18"/>
                  <w:color w:val="0000FF"/>
                  <w:w w:val="99"/>
                </w:rPr>
                <w:t>(Incorporated by reference to Exhibit 1.1 to the April 2018 8-K).</w:t>
              </w:r>
            </w:hyperlink>
          </w:p>
        </w:tc>
        <w:tc>
          <w:tcPr>
            <w:tcW w:w="20" w:type="dxa"/>
            <w:vAlign w:val="bottom"/>
            <w:tcBorders>
              <w:bottom w:val="single" w:sz="8" w:color="0000EE"/>
            </w:tcBorders>
          </w:tcPr>
          <w:p>
            <w:pPr>
              <w:spacing w:after="0"/>
              <w:rPr>
                <w:sz w:val="17"/>
                <w:szCs w:val="17"/>
                <w:color w:val="auto"/>
              </w:rPr>
            </w:pPr>
          </w:p>
        </w:tc>
        <w:tc>
          <w:tcPr>
            <w:tcW w:w="5420" w:type="dxa"/>
            <w:vAlign w:val="bottom"/>
            <w:gridSpan w:val="32"/>
          </w:tcPr>
          <w:p>
            <w:pPr>
              <w:spacing w:after="0"/>
              <w:rPr>
                <w:sz w:val="17"/>
                <w:szCs w:val="17"/>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10.65</w:t>
            </w:r>
          </w:p>
        </w:tc>
        <w:tc>
          <w:tcPr>
            <w:tcW w:w="98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Purchase Agreement, dated November 6, 2019, among Domino’s Pizza Master Issuer LLC, Domino’s SPV Canadian Holding Company</w:t>
              </w:r>
            </w:hyperlink>
          </w:p>
        </w:tc>
        <w:tc>
          <w:tcPr>
            <w:tcW w:w="2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Inc., Domino’s Pizza Distribution LLC and Domino’s IP Holder LLC, each as Co-Issuer, Domino’s SPV Guarantor LLC, Domino’s Pizza</w:t>
              </w:r>
            </w:hyperlink>
          </w:p>
        </w:tc>
        <w:tc>
          <w:tcPr>
            <w:tcW w:w="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Franchising LLC, Domino’s Pizza International Franchising Inc., Domino’s Pizza Canadian Distribution ULC, Domino’s RE LLC and</w:t>
              </w:r>
            </w:hyperlink>
          </w:p>
        </w:tc>
        <w:tc>
          <w:tcPr>
            <w:tcW w:w="32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Domino’s EQ LLC, each as Guarantor, Domino’s Pizza LLC, as manager, the Company and Domino’s Inc., as parent companies, and</w:t>
              </w:r>
            </w:hyperlink>
          </w:p>
        </w:tc>
        <w:tc>
          <w:tcPr>
            <w:tcW w:w="40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Guggenheim Securities, LLC and Barclays Capital Inc., as initial purchasers (Incorporated by reference to Exhibit 99.1 to the registrant’s</w:t>
              </w:r>
            </w:hyperlink>
          </w:p>
        </w:tc>
        <w:tc>
          <w:tcPr>
            <w:tcW w:w="1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Current Report on Form 8-K filed on November 7, 2019).</w:t>
              </w:r>
            </w:hyperlink>
          </w:p>
        </w:tc>
      </w:tr>
      <w:tr>
        <w:trPr>
          <w:trHeight w:val="20"/>
        </w:trPr>
        <w:tc>
          <w:tcPr>
            <w:tcW w:w="1140" w:type="dxa"/>
            <w:vAlign w:val="bottom"/>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10.66</w:t>
            </w:r>
          </w:p>
        </w:tc>
        <w:tc>
          <w:tcPr>
            <w:tcW w:w="98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Purchase Agreement, dated April 8, 2021, among Domino’s Pizza Master Issuer LLC, Domino’s SPV Canadian Holding Company Inc.,</w:t>
              </w:r>
            </w:hyperlink>
          </w:p>
        </w:tc>
        <w:tc>
          <w:tcPr>
            <w:tcW w:w="24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Domino’s Pizza Distribution LLC and Domino’s IP Holder LLC, each as Co-Issuer, Domino’s SPV Guarantor LLC, Domino’s Pizza</w:t>
              </w:r>
            </w:hyperlink>
          </w:p>
        </w:tc>
        <w:tc>
          <w:tcPr>
            <w:tcW w:w="44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Franchising LLC, Domino’s Pizza International Franchising Inc., Domino’s Pizza Canadian Distribution ULC, Domino’s RE LLC and</w:t>
              </w:r>
            </w:hyperlink>
          </w:p>
        </w:tc>
        <w:tc>
          <w:tcPr>
            <w:tcW w:w="32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Domino’s EQ LLC, each as Guarantor, Domino’s Pizza LLC, as manager, the Company and Domino’s Inc., as parent companies, and</w:t>
              </w:r>
            </w:hyperlink>
          </w:p>
        </w:tc>
        <w:tc>
          <w:tcPr>
            <w:tcW w:w="40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Guggenheim Securities, LLC and Barclays Capital Inc., as initial purchasers (Incorporated by reference to Exhibit 99.1 to the registrant’s</w:t>
              </w:r>
            </w:hyperlink>
          </w:p>
        </w:tc>
        <w:tc>
          <w:tcPr>
            <w:tcW w:w="1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Current Report on Form 8-K filed on April 9, 2021).</w:t>
              </w:r>
            </w:hyperlink>
          </w:p>
        </w:tc>
      </w:tr>
      <w:tr>
        <w:trPr>
          <w:trHeight w:val="20"/>
        </w:trPr>
        <w:tc>
          <w:tcPr>
            <w:tcW w:w="1140" w:type="dxa"/>
            <w:vAlign w:val="bottom"/>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10.67</w:t>
            </w:r>
          </w:p>
        </w:tc>
        <w:tc>
          <w:tcPr>
            <w:tcW w:w="100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Class A-1 Note Purchase Agreement, dated April 16, 2021, among Domino’s Pizza Master Issuer LLC, Domino’s SPV Canadian Holding</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Company Inc., Domino’s Pizza Distribution LLC and Domino’s IP Holder LLC, each as Co-Issuer, Domino’s SPV Guarantor LLC,</w:t>
              </w:r>
            </w:hyperlink>
          </w:p>
        </w:tc>
        <w:tc>
          <w:tcPr>
            <w:tcW w:w="54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Domino’s Pizza Franchising LLC, Domino’s Pizza International Franchising Inc., Domino’s Pizza Canadian Distribution ULC, Domino’s</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RE LLC and Domino’s EQ LLC, each as Guarantor, Domino’s Pizza LLC, as manager, certain conduit investors, financial institutions and</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funding agents, and Coöperatieve Rabobank U.A., New York Branch, as provider of letters of credit, as swingline lender and as</w:t>
              </w:r>
            </w:hyperlink>
          </w:p>
        </w:tc>
        <w:tc>
          <w:tcPr>
            <w:tcW w:w="860" w:type="dxa"/>
            <w:vAlign w:val="bottom"/>
            <w:gridSpan w:val="2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2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47">
              <w:r>
                <w:rPr>
                  <w:rFonts w:ascii="Times New Roman" w:cs="Times New Roman" w:eastAsia="Times New Roman" w:hAnsi="Times New Roman"/>
                  <w:sz w:val="18"/>
                  <w:szCs w:val="18"/>
                  <w:color w:val="0000FF"/>
                  <w:w w:val="99"/>
                </w:rPr>
                <w:t>administrative agent (Incorporated by reference to Exhibit 10.1 to the April 2021 8-K).</w:t>
              </w:r>
            </w:hyperlink>
          </w:p>
        </w:tc>
        <w:tc>
          <w:tcPr>
            <w:tcW w:w="20" w:type="dxa"/>
            <w:vAlign w:val="bottom"/>
            <w:tcBorders>
              <w:bottom w:val="single" w:sz="8" w:color="0000EE"/>
            </w:tcBorders>
          </w:tcPr>
          <w:p>
            <w:pPr>
              <w:spacing w:after="0"/>
              <w:rPr>
                <w:sz w:val="17"/>
                <w:szCs w:val="17"/>
                <w:color w:val="auto"/>
              </w:rPr>
            </w:pPr>
          </w:p>
        </w:tc>
        <w:tc>
          <w:tcPr>
            <w:tcW w:w="3820" w:type="dxa"/>
            <w:vAlign w:val="bottom"/>
            <w:gridSpan w:val="29"/>
          </w:tcPr>
          <w:p>
            <w:pPr>
              <w:spacing w:after="0"/>
              <w:rPr>
                <w:sz w:val="17"/>
                <w:szCs w:val="17"/>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10.68</w:t>
            </w:r>
          </w:p>
        </w:tc>
        <w:tc>
          <w:tcPr>
            <w:tcW w:w="95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First Amendment dated as of May 15, 2023 to the Class A-1 Note Purchase Agreement, dated as of April 16, 2021, by and between</w:t>
              </w:r>
            </w:hyperlink>
          </w:p>
        </w:tc>
        <w:tc>
          <w:tcPr>
            <w:tcW w:w="560" w:type="dxa"/>
            <w:vAlign w:val="bottom"/>
            <w:gridSpan w:val="1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Domino’s Pizza Master Issuer LLC, Domino’s SPV Canadian Holding Company Inc., Domino’s Pizza Distribution LLC and Domino’s IP</w:t>
              </w:r>
            </w:hyperlink>
          </w:p>
        </w:tc>
        <w:tc>
          <w:tcPr>
            <w:tcW w:w="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Holder LLC, each as Co-Issuer, Domino’s Pizza Franchising LLC, Domino’s Pizza International Franchising Inc., Domino’s Pizza</w:t>
              </w:r>
            </w:hyperlink>
          </w:p>
        </w:tc>
        <w:tc>
          <w:tcPr>
            <w:tcW w:w="600" w:type="dxa"/>
            <w:vAlign w:val="bottom"/>
            <w:gridSpan w:val="2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Canadian Distribution ULC, Domino’s RE LLC, Domino’s EQ LLC and Domino’s SPV Guarantor LLC, each as Guarantor, Domino’s</w:t>
              </w:r>
            </w:hyperlink>
          </w:p>
        </w:tc>
        <w:tc>
          <w:tcPr>
            <w:tcW w:w="30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Pizza LLC, as manager, and Coöperatieve Rabobank U.A., New York Branch, as administrative agent ((Incorporated by reference to</w:t>
              </w:r>
            </w:hyperlink>
          </w:p>
        </w:tc>
        <w:tc>
          <w:tcPr>
            <w:tcW w:w="48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Exhibit 10.1 to the registrant’s quarterly report on Form 10-Q for the quarter ended June 18, 2023).</w:t>
              </w:r>
            </w:hyperlink>
          </w:p>
        </w:tc>
      </w:tr>
      <w:tr>
        <w:trPr>
          <w:trHeight w:val="20"/>
        </w:trPr>
        <w:tc>
          <w:tcPr>
            <w:tcW w:w="1140" w:type="dxa"/>
            <w:vAlign w:val="bottom"/>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4"/>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10.69</w:t>
            </w:r>
          </w:p>
        </w:tc>
        <w:tc>
          <w:tcPr>
            <w:tcW w:w="95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Second Amendment dated as of September 19, 2023 to the Class A-1 Note Purchase Agreement, dated as of April 16, 2021, by and</w:t>
              </w:r>
            </w:hyperlink>
          </w:p>
        </w:tc>
        <w:tc>
          <w:tcPr>
            <w:tcW w:w="580" w:type="dxa"/>
            <w:vAlign w:val="bottom"/>
            <w:gridSpan w:val="2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between Domino’s Pizza Master Issuer LLC, Domino’s SPV Canadian Holding Company Inc., Domino’s Pizza Distribution LLC and</w:t>
              </w:r>
            </w:hyperlink>
          </w:p>
        </w:tc>
        <w:tc>
          <w:tcPr>
            <w:tcW w:w="40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Domino’s IP Holder LLC, each as Co-Issuer, Domino’s Pizza Franchising LLC, Domino’s Pizza International Franchising Inc., Domino’s</w:t>
              </w:r>
            </w:hyperlink>
          </w:p>
        </w:tc>
        <w:tc>
          <w:tcPr>
            <w:tcW w:w="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Pizza Canadian Distribution ULC, Domino’s RE LLC, Domino’s EQ LLC and Domino’s SPV Guarantor LLC, each as Guarantor,</w:t>
              </w:r>
            </w:hyperlink>
          </w:p>
        </w:tc>
        <w:tc>
          <w:tcPr>
            <w:tcW w:w="620" w:type="dxa"/>
            <w:vAlign w:val="bottom"/>
            <w:gridSpan w:val="2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Domino’s Pizza LLC, as manager, and Coöperatieve Rabobank U.A., New York Branch, as administrative agent. (Incorporated by</w:t>
              </w:r>
            </w:hyperlink>
          </w:p>
        </w:tc>
        <w:tc>
          <w:tcPr>
            <w:tcW w:w="640" w:type="dxa"/>
            <w:vAlign w:val="bottom"/>
            <w:gridSpan w:val="2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49">
              <w:r>
                <w:rPr>
                  <w:rFonts w:ascii="Times New Roman" w:cs="Times New Roman" w:eastAsia="Times New Roman" w:hAnsi="Times New Roman"/>
                  <w:sz w:val="18"/>
                  <w:szCs w:val="18"/>
                  <w:color w:val="0000FF"/>
                  <w:w w:val="99"/>
                </w:rPr>
                <w:t>reference to Exhibit 10.78 to the 2023 10-K).</w:t>
              </w:r>
            </w:hyperlink>
          </w:p>
        </w:tc>
        <w:tc>
          <w:tcPr>
            <w:tcW w:w="20" w:type="dxa"/>
            <w:vAlign w:val="bottom"/>
            <w:tcBorders>
              <w:bottom w:val="single" w:sz="8" w:color="0000EE"/>
            </w:tcBorders>
          </w:tcPr>
          <w:p>
            <w:pPr>
              <w:spacing w:after="0"/>
              <w:rPr>
                <w:sz w:val="17"/>
                <w:szCs w:val="17"/>
                <w:color w:val="auto"/>
              </w:rPr>
            </w:pPr>
          </w:p>
        </w:tc>
        <w:tc>
          <w:tcPr>
            <w:tcW w:w="6820" w:type="dxa"/>
            <w:vAlign w:val="bottom"/>
            <w:gridSpan w:val="36"/>
          </w:tcPr>
          <w:p>
            <w:pPr>
              <w:spacing w:after="0"/>
              <w:rPr>
                <w:sz w:val="17"/>
                <w:szCs w:val="17"/>
                <w:color w:val="auto"/>
              </w:rPr>
            </w:pPr>
          </w:p>
        </w:tc>
      </w:tr>
      <w:tr>
        <w:trPr>
          <w:trHeight w:val="196"/>
        </w:trPr>
        <w:tc>
          <w:tcPr>
            <w:tcW w:w="11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8"/>
              </w:rPr>
              <w:t>10.70</w:t>
            </w:r>
          </w:p>
        </w:tc>
        <w:tc>
          <w:tcPr>
            <w:tcW w:w="97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Class A-1 Note Purchase Agreement, dated September 16, 2022, among Domino’s Pizza Master Issuer LLC, Domino’s SPV Canadian</w:t>
              </w:r>
            </w:hyperlink>
          </w:p>
        </w:tc>
        <w:tc>
          <w:tcPr>
            <w:tcW w:w="34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Holding Company Inc., Domino’s Pizza Distribution LLC and Domino’s</w:t>
              </w:r>
            </w:hyperlink>
          </w:p>
        </w:tc>
      </w:tr>
      <w:tr>
        <w:trPr>
          <w:trHeight w:val="237"/>
        </w:trPr>
        <w:tc>
          <w:tcPr>
            <w:tcW w:w="1140" w:type="dxa"/>
            <w:vAlign w:val="bottom"/>
          </w:tcPr>
          <w:p>
            <w:pPr>
              <w:spacing w:after="0"/>
              <w:rPr>
                <w:sz w:val="20"/>
                <w:szCs w:val="20"/>
                <w:color w:val="auto"/>
              </w:rPr>
            </w:pPr>
          </w:p>
        </w:tc>
        <w:tc>
          <w:tcPr>
            <w:tcW w:w="4660" w:type="dxa"/>
            <w:vAlign w:val="bottom"/>
            <w:tcBorders>
              <w:top w:val="single" w:sz="8" w:color="0000EE"/>
            </w:tcBorders>
            <w:gridSpan w:val="7"/>
          </w:tcPr>
          <w:p>
            <w:pPr>
              <w:ind w:left="440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IP Holder LLC, each as Co-Issuer, Domino’s SPV Guarantor LLC, Domino’s Pizza Franchising LLC, Domino’s Pizza International</w:t>
              </w:r>
            </w:hyperlink>
          </w:p>
        </w:tc>
        <w:tc>
          <w:tcPr>
            <w:tcW w:w="5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Franchising Inc., Domino’s Pizza Canadian Distribution ULC, Domino’s RE LLC and Domino’s EQ LLC, each as Guarantor, Domino’s</w:t>
              </w:r>
            </w:hyperlink>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Pizza LLC, as manager, certain conduit investors, financial institutions and funding agents, and Barclays Bank PLC, as provider of letters</w:t>
              </w:r>
            </w:hyperlink>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of credit, as swingline lender and as administrative agent (Incorporated by reference to Exhibit 10.1 to the September 2022 8-K).</w:t>
              </w:r>
            </w:hyperlink>
          </w:p>
        </w:tc>
        <w:tc>
          <w:tcPr>
            <w:tcW w:w="820" w:type="dxa"/>
            <w:vAlign w:val="bottom"/>
            <w:gridSpan w:val="16"/>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10.71</w:t>
            </w: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Amended and Restated Guarantee and Collateral Agreement dated as of March 15, 2012 among Domino’s SPV Guarantor LLC, Domino’s</w:t>
              </w:r>
            </w:hyperlink>
          </w:p>
        </w:tc>
      </w:tr>
      <w:tr>
        <w:trPr>
          <w:trHeight w:val="20"/>
        </w:trPr>
        <w:tc>
          <w:tcPr>
            <w:tcW w:w="11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Pizza Franchising LLC, Domino’s Pizza International Franchising Inc., Domino’s Pizza Canadian Distribution ULC, Domino’s RE LLC</w:t>
              </w:r>
            </w:hyperlink>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and Domino’s EQ LLC, each as a Guarantor, in favor of Citibank, N.A., as Trustee (Incorporated by reference to Exhibit 10.2 to the March</w:t>
              </w:r>
            </w:hyperlink>
          </w:p>
        </w:tc>
      </w:tr>
      <w:tr>
        <w:trPr>
          <w:trHeight w:val="196"/>
        </w:trPr>
        <w:tc>
          <w:tcPr>
            <w:tcW w:w="1140" w:type="dxa"/>
            <w:vAlign w:val="bottom"/>
          </w:tcPr>
          <w:p>
            <w:pPr>
              <w:spacing w:after="0"/>
              <w:rPr>
                <w:sz w:val="17"/>
                <w:szCs w:val="17"/>
                <w:color w:val="auto"/>
              </w:rPr>
            </w:pPr>
          </w:p>
        </w:tc>
        <w:tc>
          <w:tcPr>
            <w:tcW w:w="800" w:type="dxa"/>
            <w:vAlign w:val="bottom"/>
            <w:tcBorders>
              <w:top w:val="single" w:sz="8" w:color="0000EE"/>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53">
              <w:r>
                <w:rPr>
                  <w:rFonts w:ascii="Times New Roman" w:cs="Times New Roman" w:eastAsia="Times New Roman" w:hAnsi="Times New Roman"/>
                  <w:sz w:val="18"/>
                  <w:szCs w:val="18"/>
                  <w:color w:val="0000FF"/>
                  <w:w w:val="98"/>
                </w:rPr>
                <w:t>2012 8-K).</w:t>
              </w:r>
            </w:hyperlink>
          </w:p>
        </w:tc>
        <w:tc>
          <w:tcPr>
            <w:tcW w:w="20" w:type="dxa"/>
            <w:vAlign w:val="bottom"/>
            <w:tcBorders>
              <w:top w:val="single" w:sz="8" w:color="0000EE"/>
              <w:bottom w:val="single" w:sz="8" w:color="0000EE"/>
            </w:tcBorders>
          </w:tcPr>
          <w:p>
            <w:pPr>
              <w:spacing w:after="0"/>
              <w:rPr>
                <w:sz w:val="17"/>
                <w:szCs w:val="17"/>
                <w:color w:val="auto"/>
              </w:rPr>
            </w:pPr>
          </w:p>
        </w:tc>
        <w:tc>
          <w:tcPr>
            <w:tcW w:w="5220" w:type="dxa"/>
            <w:vAlign w:val="bottom"/>
            <w:tcBorders>
              <w:top w:val="single" w:sz="8" w:color="0000EE"/>
            </w:tcBorders>
            <w:gridSpan w:val="12"/>
          </w:tcPr>
          <w:p>
            <w:pPr>
              <w:spacing w:after="0"/>
              <w:rPr>
                <w:sz w:val="17"/>
                <w:szCs w:val="17"/>
                <w:color w:val="auto"/>
              </w:rPr>
            </w:pPr>
          </w:p>
        </w:tc>
        <w:tc>
          <w:tcPr>
            <w:tcW w:w="404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10.72</w:t>
            </w: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Amended and Restated Management Agreement dated as of March 15, 2012 among Domino’s Pizza Master Issuer LLC, certain</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subsidiaries of Domino’s Pizza Master Issuer LLC party thereto, Domino’s Pizza LLC, as Manager and in its individual capacity,</w:t>
              </w:r>
            </w:hyperlink>
          </w:p>
        </w:tc>
        <w:tc>
          <w:tcPr>
            <w:tcW w:w="72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Domino’s Pizza NS Co., and Citibank, N.A. as Trustee (Incorporated by reference to Exhibit 10.3 to the March 2012 8-K).</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10.73</w:t>
            </w:r>
          </w:p>
        </w:tc>
        <w:tc>
          <w:tcPr>
            <w:tcW w:w="5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Amendment No. 1 dated as of October 21, 2015 to the Amended and Restated</w:t>
              </w:r>
            </w:hyperlink>
          </w:p>
        </w:tc>
        <w:tc>
          <w:tcPr>
            <w:tcW w:w="4440" w:type="dxa"/>
            <w:vAlign w:val="bottom"/>
            <w:gridSpan w:val="2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Management Agreement dated as of March 15, 2012 among Domino’s Pizza Master Issuer LLC, certain subsidiaries of Domino’s Pizza</w:t>
              </w:r>
            </w:hyperlink>
          </w:p>
        </w:tc>
        <w:tc>
          <w:tcPr>
            <w:tcW w:w="2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Master Issuer LLC party thereto, Domino’s Pizza LLC, as Manager and in its individual capacity, Domino’s Pizza NS Co., and Citibank,</w:t>
              </w:r>
            </w:hyperlink>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N.A. as Trustee (Incorporated by reference to Exhibit 10.3 to the October 2015 8-K).</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10.74</w:t>
            </w:r>
          </w:p>
        </w:tc>
        <w:tc>
          <w:tcPr>
            <w:tcW w:w="97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Amendment No. 2 dated as of July 24, 2017 to the Amended and Restated Management Agreement dated as of March 15, 2012 by and</w:t>
              </w:r>
            </w:hyperlink>
          </w:p>
        </w:tc>
        <w:tc>
          <w:tcPr>
            <w:tcW w:w="3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among Domino’s Pizza Master Issuer LLC, certain subsidiaries of Domino’s Pizza Master Issuer LLC party thereto, Domino’s SPV</w:t>
              </w:r>
            </w:hyperlink>
          </w:p>
        </w:tc>
        <w:tc>
          <w:tcPr>
            <w:tcW w:w="5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Guarantor LLC, Domino’s Pizza LLC, as manager and in its individual capacity, Domino’s Pizza NS Co., and Citibank, N.A., as Trustee</w:t>
              </w:r>
            </w:hyperlink>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(Incorporated by reference to Exhibit 10.1 to the July 2017 8-K)).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10.75</w:t>
            </w:r>
          </w:p>
        </w:tc>
        <w:tc>
          <w:tcPr>
            <w:tcW w:w="100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457">
              <w:r>
                <w:rPr>
                  <w:rFonts w:ascii="Times New Roman" w:cs="Times New Roman" w:eastAsia="Times New Roman" w:hAnsi="Times New Roman"/>
                  <w:sz w:val="18"/>
                  <w:szCs w:val="18"/>
                  <w:color w:val="0000FF"/>
                  <w:w w:val="99"/>
                </w:rPr>
                <w:t>Amendment No. 3 dated as of April 16, 2021 to the Amended and Restated Management Agreement by and among Domino’s Pizza Master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457">
              <w:r>
                <w:rPr>
                  <w:rFonts w:ascii="Times New Roman" w:cs="Times New Roman" w:eastAsia="Times New Roman" w:hAnsi="Times New Roman"/>
                  <w:sz w:val="18"/>
                  <w:szCs w:val="18"/>
                  <w:color w:val="0000FF"/>
                  <w:w w:val="99"/>
                </w:rPr>
                <w:t>Issuer LLC, certain subsidiaries of Domino’s Pizza Master Issuer LLC party thereto, Domino’s SPV Guarantor LLC, Domino’s Pizza LLC,</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as manager and in its individual capacity, Domino’s Pizza NS Co., and Citibank, N.A., as Trustee (Incorporated by reference to Exhibit</w:t>
              </w:r>
            </w:hyperlink>
          </w:p>
        </w:tc>
        <w:tc>
          <w:tcPr>
            <w:tcW w:w="3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April 2021 8-K).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10.76</w:t>
            </w:r>
          </w:p>
        </w:tc>
        <w:tc>
          <w:tcPr>
            <w:tcW w:w="99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Amendment No. 4 dated as of December 30, 2021 to the Amended and Restated Management Agreement dated as of March 15, 2012 by</w:t>
              </w:r>
            </w:hyperlink>
          </w:p>
        </w:tc>
        <w:tc>
          <w:tcPr>
            <w:tcW w:w="2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and among Domino’s Pizza Master Issuer LLC, certain subsidiaries of Domino’s Pizza Master Issuer LLC party thereto, Domino’s SPV</w:t>
              </w:r>
            </w:hyperlink>
          </w:p>
        </w:tc>
        <w:tc>
          <w:tcPr>
            <w:tcW w:w="2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Guarantor LLC, Domino’s Pizza LLC, as manager and in its individual capacity, Domino’s Pizza NS Co., and Citibank, N.A., as Trustee</w:t>
              </w:r>
            </w:hyperlink>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(Incorporated by reference to Exhibit 10.79 to the 2021 10-K).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10.77</w:t>
            </w:r>
          </w:p>
        </w:tc>
        <w:tc>
          <w:tcPr>
            <w:tcW w:w="99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Amendment No. 5 dated as of September 16, 2022 to the Amended and Restated Management Agreement dated as of March 15, 2012 by</w:t>
              </w:r>
            </w:hyperlink>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and among Domino’s Pizza Master Issuer LLC, certain subsidiaries of Domino’s Pizza Master Issuer LLC party thereto, Domino’s SPV</w:t>
              </w:r>
            </w:hyperlink>
          </w:p>
        </w:tc>
        <w:tc>
          <w:tcPr>
            <w:tcW w:w="2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Guarantor LLC, Domino’s Pizza LLC, as manager and in its individual capacity, Domino’s Pizza NS Co., and Citibank, N.A., as Trustee</w:t>
              </w:r>
            </w:hyperlink>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1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59">
              <w:r>
                <w:rPr>
                  <w:rFonts w:ascii="Times New Roman" w:cs="Times New Roman" w:eastAsia="Times New Roman" w:hAnsi="Times New Roman"/>
                  <w:sz w:val="18"/>
                  <w:szCs w:val="18"/>
                  <w:color w:val="0000FF"/>
                  <w:w w:val="99"/>
                </w:rPr>
                <w:t>(Incorporated by reference to Exhibit 10.2 to the September 2022 8-K).</w:t>
              </w:r>
            </w:hyperlink>
          </w:p>
        </w:tc>
        <w:tc>
          <w:tcPr>
            <w:tcW w:w="4960" w:type="dxa"/>
            <w:vAlign w:val="bottom"/>
            <w:gridSpan w:val="23"/>
          </w:tcPr>
          <w:p>
            <w:pPr>
              <w:spacing w:after="0"/>
              <w:rPr>
                <w:sz w:val="17"/>
                <w:szCs w:val="17"/>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10.78</w:t>
            </w:r>
          </w:p>
        </w:tc>
        <w:tc>
          <w:tcPr>
            <w:tcW w:w="96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Parent Company Support Agreement dated as of March 15, 2012 made by Domino’s Pizza, Inc. in favor of Citibank, N.A., as Trustee</w:t>
              </w:r>
            </w:hyperlink>
          </w:p>
        </w:tc>
        <w:tc>
          <w:tcPr>
            <w:tcW w:w="42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(Incorporated by reference to Exhibit 10.4 to the October 2015 8-K).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10.79</w:t>
            </w:r>
          </w:p>
        </w:tc>
        <w:tc>
          <w:tcPr>
            <w:tcW w:w="100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461">
              <w:r>
                <w:rPr>
                  <w:rFonts w:ascii="Times New Roman" w:cs="Times New Roman" w:eastAsia="Times New Roman" w:hAnsi="Times New Roman"/>
                  <w:sz w:val="18"/>
                  <w:szCs w:val="18"/>
                  <w:color w:val="0000FF"/>
                  <w:w w:val="99"/>
                </w:rPr>
                <w:t>Amendment No. 1 dated as of October 21, 2015 to the Parent Company Support Agreement dated as of March 15, 2012 made by Domino’s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Pizza, Inc. in favor of Citibank, N.A., as Trustee (Incorporated by reference to Exhibit 10.5 to the October 2015 8-K).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10.80</w:t>
            </w:r>
          </w:p>
        </w:tc>
        <w:tc>
          <w:tcPr>
            <w:tcW w:w="100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Amendment No. 2 dated April 16, 2021 to the Parent Company Support Agreement dated as of March 15, 2012 made by Domino’s Pizza,</w:t>
              </w:r>
            </w:hyperlink>
          </w:p>
        </w:tc>
        <w:tc>
          <w:tcPr>
            <w:tcW w:w="1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Inc. in favor of Citibank, N.A., as Trustee (Incorporated by reference to Exhibit 10.3 to the April 2021 8-K).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440" w:type="dxa"/>
            <w:vAlign w:val="bottom"/>
            <w:tcBorders>
              <w:right w:val="single" w:sz="8" w:color="0000EE"/>
            </w:tcBorders>
            <w:gridSpan w:val="8"/>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10.81</w:t>
            </w:r>
          </w:p>
        </w:tc>
        <w:tc>
          <w:tcPr>
            <w:tcW w:w="97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Omnibus Amendment No. 1, dated December 15, 2017, among Domino’s Pizza Master Issuer LLC, Domino’s SPV Canadian Holding</w:t>
              </w:r>
            </w:hyperlink>
          </w:p>
        </w:tc>
        <w:tc>
          <w:tcPr>
            <w:tcW w:w="3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Company Inc., Domino’s Pizza Distribution LLC and Domino’s IP Holder LLC, each as Co-Issuer, Domino’s SPV Guarantor LLC,</w:t>
              </w:r>
            </w:hyperlink>
          </w:p>
        </w:tc>
        <w:tc>
          <w:tcPr>
            <w:tcW w:w="5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Domino’s Pizza Franchising LLC, Domino’s Pizza International Franchising Inc., Domino’s Pizza Canadian Distribution ULC, Domino’s</w:t>
              </w:r>
            </w:hyperlink>
          </w:p>
        </w:tc>
        <w:tc>
          <w:tcPr>
            <w:tcW w:w="1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RE LLC and Domino’s EQ LLC, each as Guarantor, Domino’s Pizza LLC, as manager, certain conduit investors, financial institutions and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funding agents, and Coöperatieve Rabobank U.A., New York Branch, as provider of letters of credit, as swingline lender and as</w:t>
              </w:r>
            </w:hyperlink>
          </w:p>
        </w:tc>
        <w:tc>
          <w:tcPr>
            <w:tcW w:w="82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administrative agent (Incorporated by reference to Exhibit 10.1 to the Domino’s Pizza, Inc. Current Report on Form 8-K, filed on</w:t>
              </w:r>
            </w:hyperlink>
          </w:p>
        </w:tc>
        <w:tc>
          <w:tcPr>
            <w:tcW w:w="74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December 19, 2017).</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720" w:type="dxa"/>
            <w:vAlign w:val="bottom"/>
            <w:gridSpan w:val="27"/>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10.82</w:t>
            </w:r>
          </w:p>
        </w:tc>
        <w:tc>
          <w:tcPr>
            <w:tcW w:w="101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Board of Directors’ Compensation.</w:t>
            </w:r>
          </w:p>
        </w:tc>
      </w:tr>
      <w:tr>
        <w:trPr>
          <w:trHeight w:val="20"/>
        </w:trPr>
        <w:tc>
          <w:tcPr>
            <w:tcW w:w="1140" w:type="dxa"/>
            <w:vAlign w:val="bottom"/>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720" w:type="dxa"/>
            <w:vAlign w:val="bottom"/>
            <w:gridSpan w:val="27"/>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3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Domino’s Pizza, Inc. Insider Trading Policy and Addendum.</w:t>
            </w:r>
          </w:p>
        </w:tc>
        <w:tc>
          <w:tcPr>
            <w:tcW w:w="5720" w:type="dxa"/>
            <w:vAlign w:val="bottom"/>
            <w:gridSpan w:val="27"/>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740" w:type="dxa"/>
            <w:vAlign w:val="bottom"/>
            <w:gridSpan w:val="10"/>
          </w:tcPr>
          <w:p>
            <w:pPr>
              <w:ind w:left="440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Subsidiaries of Domino’s Pizza, Inc.</w:t>
            </w:r>
          </w:p>
        </w:tc>
      </w:tr>
      <w:tr>
        <w:trPr>
          <w:trHeight w:val="20"/>
        </w:trPr>
        <w:tc>
          <w:tcPr>
            <w:tcW w:w="112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0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PricewaterhouseCoopers LLP.</w:t>
            </w:r>
          </w:p>
        </w:tc>
        <w:tc>
          <w:tcPr>
            <w:tcW w:w="6700" w:type="dxa"/>
            <w:vAlign w:val="bottom"/>
            <w:gridSpan w:val="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5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relating to Domino’s Pizza, Inc.</w:t>
            </w:r>
          </w:p>
        </w:tc>
        <w:tc>
          <w:tcPr>
            <w:tcW w:w="160" w:type="dxa"/>
            <w:vAlign w:val="bottom"/>
            <w:gridSpan w:val="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relating to Domino’s Pizza, Inc.</w:t>
            </w:r>
          </w:p>
        </w:tc>
      </w:tr>
      <w:tr>
        <w:trPr>
          <w:trHeight w:val="20"/>
        </w:trPr>
        <w:tc>
          <w:tcPr>
            <w:tcW w:w="112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3"/>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1350, Chapter 63 of Title 18, United States Code, as adopted pursuant to</w:t>
            </w:r>
          </w:p>
        </w:tc>
        <w:tc>
          <w:tcPr>
            <w:tcW w:w="1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 relating to Domino’s Pizza, Inc.</w:t>
            </w:r>
          </w:p>
        </w:tc>
      </w:tr>
      <w:tr>
        <w:trPr>
          <w:trHeight w:val="20"/>
        </w:trPr>
        <w:tc>
          <w:tcPr>
            <w:tcW w:w="112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EE"/>
            </w:tcBorders>
            <w:gridSpan w:val="3"/>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w:t>
            </w:r>
          </w:p>
        </w:tc>
        <w:tc>
          <w:tcPr>
            <w:tcW w:w="16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 relating to Domino’s Pizza, Inc.</w:t>
            </w:r>
          </w:p>
        </w:tc>
      </w:tr>
      <w:tr>
        <w:trPr>
          <w:trHeight w:val="20"/>
        </w:trPr>
        <w:tc>
          <w:tcPr>
            <w:tcW w:w="112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EE"/>
            </w:tcBorders>
            <w:gridSpan w:val="3"/>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7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Domino's Pizza, Inc. Policy for Recoupment of Incentive Compensation Effective as of October 2, 2023. (Incorporated by reference to</w:t>
              </w:r>
            </w:hyperlink>
          </w:p>
        </w:tc>
      </w:tr>
      <w:tr>
        <w:trPr>
          <w:trHeight w:val="196"/>
        </w:trPr>
        <w:tc>
          <w:tcPr>
            <w:tcW w:w="1120" w:type="dxa"/>
            <w:vAlign w:val="bottom"/>
          </w:tcPr>
          <w:p>
            <w:pPr>
              <w:spacing w:after="0"/>
              <w:rPr>
                <w:sz w:val="17"/>
                <w:szCs w:val="17"/>
                <w:color w:val="auto"/>
              </w:rPr>
            </w:pPr>
          </w:p>
        </w:tc>
        <w:tc>
          <w:tcPr>
            <w:tcW w:w="9740" w:type="dxa"/>
            <w:vAlign w:val="bottom"/>
            <w:gridSpan w:val="8"/>
          </w:tcPr>
          <w:p>
            <w:pPr>
              <w:spacing w:after="0" w:line="196" w:lineRule="exact"/>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Exhibit 97.1 to the 2023 10-K).</w:t>
              </w:r>
            </w:hyperlink>
          </w:p>
        </w:tc>
      </w:tr>
      <w:tr>
        <w:trPr>
          <w:trHeight w:val="20"/>
        </w:trPr>
        <w:tc>
          <w:tcPr>
            <w:tcW w:w="1120" w:type="dxa"/>
            <w:vAlign w:val="bottom"/>
          </w:tcPr>
          <w:p>
            <w:pPr>
              <w:spacing w:after="0" w:line="20" w:lineRule="exact"/>
              <w:rPr>
                <w:sz w:val="1"/>
                <w:szCs w:val="1"/>
                <w:color w:val="auto"/>
              </w:rPr>
            </w:pPr>
          </w:p>
        </w:tc>
        <w:tc>
          <w:tcPr>
            <w:tcW w:w="228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1120" w:type="dxa"/>
            <w:vAlign w:val="bottom"/>
          </w:tcPr>
          <w:p>
            <w:pPr>
              <w:spacing w:after="0"/>
              <w:rPr>
                <w:sz w:val="18"/>
                <w:szCs w:val="18"/>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1120" w:hanging="11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2" w:lineRule="exact"/>
        <w:rPr>
          <w:rFonts w:ascii="Times New Roman" w:cs="Times New Roman" w:eastAsia="Times New Roman" w:hAnsi="Times New Roman"/>
          <w:sz w:val="18"/>
          <w:szCs w:val="18"/>
          <w:color w:val="auto"/>
        </w:rPr>
      </w:pPr>
    </w:p>
    <w:p>
      <w:pPr>
        <w:jc w:val="center"/>
        <w:ind w:left="5520" w:right="180" w:hanging="552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management contract or compensatory plan or arrangement required to be filed as an exhibit to this report pursuant to Item 15(b) of Form 10-K.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444500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972" w:right="6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THE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0"/>
        </w:trPr>
        <w:tc>
          <w:tcPr>
            <w:tcW w:w="1800" w:type="dxa"/>
            <w:vAlign w:val="bottom"/>
            <w:shd w:val="clear" w:color="auto" w:fill="CFF0FC"/>
          </w:tcPr>
          <w:p>
            <w:pPr>
              <w:spacing w:after="0"/>
              <w:rPr>
                <w:sz w:val="16"/>
                <w:szCs w:val="16"/>
                <w:color w:val="auto"/>
              </w:rPr>
            </w:pPr>
          </w:p>
        </w:tc>
        <w:tc>
          <w:tcPr>
            <w:tcW w:w="5920" w:type="dxa"/>
            <w:vAlign w:val="bottom"/>
            <w:gridSpan w:val="4"/>
            <w:shd w:val="clear" w:color="auto" w:fill="CFF0FC"/>
          </w:tcPr>
          <w:p>
            <w:pPr>
              <w:jc w:val="center"/>
              <w:ind w:right="19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440" w:type="dxa"/>
            <w:vAlign w:val="bottom"/>
            <w:tcBorders>
              <w:top w:val="single" w:sz="8" w:color="CFF0FC"/>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60" w:type="dxa"/>
            <w:vAlign w:val="bottom"/>
            <w:tcBorders>
              <w:top w:val="single" w:sz="8" w:color="auto"/>
              <w:bottom w:val="single" w:sz="8" w:color="CFF0FC"/>
            </w:tcBorders>
          </w:tcPr>
          <w:p>
            <w:pPr>
              <w:spacing w:after="0"/>
              <w:rPr>
                <w:sz w:val="18"/>
                <w:szCs w:val="18"/>
                <w:color w:val="auto"/>
              </w:rPr>
            </w:pPr>
          </w:p>
        </w:tc>
        <w:tc>
          <w:tcPr>
            <w:tcW w:w="3620" w:type="dxa"/>
            <w:vAlign w:val="bottom"/>
            <w:tcBorders>
              <w:top w:val="single" w:sz="8" w:color="CFF0FC"/>
              <w:bottom w:val="single" w:sz="8" w:color="CFF0FC"/>
            </w:tcBorders>
            <w:gridSpan w:val="2"/>
          </w:tcPr>
          <w:p>
            <w:pPr>
              <w:spacing w:after="0"/>
              <w:rPr>
                <w:sz w:val="18"/>
                <w:szCs w:val="18"/>
                <w:color w:val="auto"/>
              </w:rPr>
            </w:pPr>
          </w:p>
        </w:tc>
        <w:tc>
          <w:tcPr>
            <w:tcW w:w="220" w:type="dxa"/>
            <w:vAlign w:val="bottom"/>
            <w:tcBorders>
              <w:top w:val="single" w:sz="8" w:color="CFF0FC"/>
              <w:bottom w:val="single" w:sz="8" w:color="auto"/>
            </w:tcBorders>
          </w:tcPr>
          <w:p>
            <w:pPr>
              <w:spacing w:after="0"/>
              <w:rPr>
                <w:sz w:val="18"/>
                <w:szCs w:val="18"/>
                <w:color w:val="auto"/>
              </w:rPr>
            </w:pPr>
          </w:p>
        </w:tc>
        <w:tc>
          <w:tcPr>
            <w:tcW w:w="1340" w:type="dxa"/>
            <w:vAlign w:val="bottom"/>
            <w:tcBorders>
              <w:top w:val="single" w:sz="8" w:color="CFF0FC"/>
              <w:bottom w:val="single" w:sz="8" w:color="auto"/>
            </w:tcBorders>
          </w:tcPr>
          <w:p>
            <w:pPr>
              <w:spacing w:after="0"/>
              <w:rPr>
                <w:sz w:val="18"/>
                <w:szCs w:val="18"/>
                <w:color w:val="auto"/>
              </w:rPr>
            </w:pPr>
          </w:p>
        </w:tc>
        <w:tc>
          <w:tcPr>
            <w:tcW w:w="280" w:type="dxa"/>
            <w:vAlign w:val="bottom"/>
            <w:tcBorders>
              <w:top w:val="single" w:sz="8" w:color="CFF0FC"/>
              <w:bottom w:val="single" w:sz="8" w:color="CFF0FC"/>
            </w:tcBorders>
          </w:tcPr>
          <w:p>
            <w:pPr>
              <w:spacing w:after="0"/>
              <w:rPr>
                <w:sz w:val="18"/>
                <w:szCs w:val="18"/>
                <w:color w:val="auto"/>
              </w:rPr>
            </w:pPr>
          </w:p>
        </w:tc>
        <w:tc>
          <w:tcPr>
            <w:tcW w:w="240" w:type="dxa"/>
            <w:vAlign w:val="bottom"/>
            <w:tcBorders>
              <w:top w:val="single" w:sz="8" w:color="CFF0FC"/>
              <w:bottom w:val="single" w:sz="8" w:color="auto"/>
            </w:tcBorders>
          </w:tcPr>
          <w:p>
            <w:pPr>
              <w:spacing w:after="0"/>
              <w:rPr>
                <w:sz w:val="18"/>
                <w:szCs w:val="18"/>
                <w:color w:val="auto"/>
              </w:rPr>
            </w:pPr>
          </w:p>
        </w:tc>
        <w:tc>
          <w:tcPr>
            <w:tcW w:w="1340" w:type="dxa"/>
            <w:vAlign w:val="bottom"/>
            <w:tcBorders>
              <w:top w:val="single" w:sz="8" w:color="CFF0FC"/>
              <w:bottom w:val="single" w:sz="8" w:color="auto"/>
            </w:tcBorders>
          </w:tcPr>
          <w:p>
            <w:pPr>
              <w:spacing w:after="0"/>
              <w:rPr>
                <w:sz w:val="18"/>
                <w:szCs w:val="18"/>
                <w:color w:val="auto"/>
              </w:rPr>
            </w:pPr>
          </w:p>
        </w:tc>
        <w:tc>
          <w:tcPr>
            <w:tcW w:w="100" w:type="dxa"/>
            <w:vAlign w:val="bottom"/>
            <w:tcBorders>
              <w:top w:val="single" w:sz="8" w:color="CFF0FC"/>
              <w:bottom w:val="single" w:sz="8" w:color="CFF0FC"/>
            </w:tcBorders>
          </w:tcPr>
          <w:p>
            <w:pPr>
              <w:spacing w:after="0"/>
              <w:rPr>
                <w:sz w:val="18"/>
                <w:szCs w:val="18"/>
                <w:color w:val="auto"/>
              </w:rPr>
            </w:pPr>
          </w:p>
        </w:tc>
      </w:tr>
      <w:tr>
        <w:trPr>
          <w:trHeight w:val="249"/>
        </w:trPr>
        <w:tc>
          <w:tcPr>
            <w:tcW w:w="772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56"/>
        </w:trPr>
        <w:tc>
          <w:tcPr>
            <w:tcW w:w="7720" w:type="dxa"/>
            <w:vAlign w:val="bottom"/>
            <w:gridSpan w:val="5"/>
          </w:tcPr>
          <w:p>
            <w:pPr>
              <w:jc w:val="center"/>
              <w:ind w:right="180"/>
              <w:spacing w:after="0" w:line="15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DEFICIT</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180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Equity in net deficit of subsidiaries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3,962,291</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4,070,367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3,962,291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4,070,367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20" w:type="dxa"/>
            <w:vAlign w:val="bottom"/>
            <w:gridSpan w:val="5"/>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170,000,000 shares authorized;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gridSpan w:val="5"/>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34,281,927 in 2024 and 34,726,182 in 2023 issued and outstanding</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none issued</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(3,956,474 )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(4,069,648 )</w:t>
            </w:r>
          </w:p>
        </w:tc>
      </w:tr>
      <w:tr>
        <w:trPr>
          <w:trHeight w:val="216"/>
        </w:trPr>
        <w:tc>
          <w:tcPr>
            <w:tcW w:w="772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(7,432 )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r>
      <w:tr>
        <w:trPr>
          <w:trHeight w:val="20"/>
        </w:trPr>
        <w:tc>
          <w:tcPr>
            <w:tcW w:w="180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(3,962,291 )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(4,070,367 )</w:t>
            </w:r>
          </w:p>
        </w:tc>
      </w:tr>
      <w:tr>
        <w:trPr>
          <w:trHeight w:val="250"/>
        </w:trPr>
        <w:tc>
          <w:tcPr>
            <w:tcW w:w="772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-1859280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-1842135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-2005330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-1285240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earnings in subsidiaries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584,170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584,170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584,170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580,605</w:t>
            </w:r>
          </w:p>
        </w:tc>
        <w:tc>
          <w:tcPr>
            <w:tcW w:w="42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519,945</w:t>
            </w:r>
          </w:p>
        </w:tc>
        <w:tc>
          <w:tcPr>
            <w:tcW w:w="46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450,389</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-1748155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-1748155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-1456690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-1456690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-599440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-582295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-599440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-582295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3"/>
                <w:szCs w:val="13"/>
                <w:color w:val="auto"/>
              </w:rPr>
            </w:pPr>
          </w:p>
        </w:tc>
        <w:tc>
          <w:tcPr>
            <w:tcW w:w="1420" w:type="dxa"/>
            <w:vAlign w:val="bottom"/>
            <w:gridSpan w:val="2"/>
          </w:tcPr>
          <w:p>
            <w:pPr>
              <w:jc w:val="right"/>
              <w:ind w:right="5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2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73"/>
        </w:trPr>
        <w:tc>
          <w:tcPr>
            <w:tcW w:w="6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512,014</w:t>
            </w:r>
          </w:p>
        </w:tc>
        <w:tc>
          <w:tcPr>
            <w:tcW w:w="26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435,551</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458,679</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(209,945 )</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(169,772 )</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(157,531 )</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(326,995 )</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(269,025 )</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(293,740 )</w:t>
            </w: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(7,408 )</w:t>
            </w:r>
          </w:p>
        </w:tc>
      </w:tr>
      <w:tr>
        <w:trPr>
          <w:trHeight w:val="20"/>
        </w:trPr>
        <w:tc>
          <w:tcPr>
            <w:tcW w:w="6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(512,014 )</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(435,551 )</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(458,679 )</w:t>
            </w:r>
          </w:p>
        </w:tc>
      </w:tr>
      <w:tr>
        <w:trPr>
          <w:trHeight w:val="20"/>
        </w:trPr>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CASH</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-1156970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-1156970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-599440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PARENT COMPANY CONDENSED FINANCIAL STATEMENTS</w:t>
      </w:r>
    </w:p>
    <w:p>
      <w:pPr>
        <w:spacing w:after="0" w:line="203"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and Basis of Presentation</w:t>
      </w:r>
    </w:p>
    <w:p>
      <w:pPr>
        <w:spacing w:after="0" w:line="135"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5" w:lineRule="exact"/>
        <w:rPr>
          <w:sz w:val="20"/>
          <w:szCs w:val="20"/>
          <w:color w:val="auto"/>
        </w:r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The use of estimates is inherent in the preparation of financial statements in accordance with generally accepted accounting principles. Actual results could differ from those estimates.</w:t>
      </w:r>
    </w:p>
    <w:p>
      <w:pPr>
        <w:spacing w:after="0" w:line="63" w:lineRule="exact"/>
        <w:rPr>
          <w:sz w:val="20"/>
          <w:szCs w:val="20"/>
          <w:color w:val="auto"/>
        </w:rPr>
      </w:pPr>
    </w:p>
    <w:p>
      <w:pPr>
        <w:ind w:left="560" w:hanging="552"/>
        <w:spacing w:after="0"/>
        <w:tabs>
          <w:tab w:leader="none" w:pos="5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135" w:lineRule="exact"/>
        <w:rPr>
          <w:sz w:val="20"/>
          <w:szCs w:val="20"/>
          <w:color w:val="auto"/>
        </w:rPr>
      </w:pPr>
    </w:p>
    <w:p>
      <w:pPr>
        <w:ind w:right="400" w:firstLine="562"/>
        <w:spacing w:after="0" w:line="282" w:lineRule="auto"/>
        <w:rPr>
          <w:sz w:val="20"/>
          <w:szCs w:val="20"/>
          <w:color w:val="auto"/>
        </w:rPr>
      </w:pPr>
      <w:r>
        <w:rPr>
          <w:rFonts w:ascii="Times New Roman" w:cs="Times New Roman" w:eastAsia="Times New Roman" w:hAnsi="Times New Roman"/>
          <w:sz w:val="18"/>
          <w:szCs w:val="18"/>
          <w:color w:val="auto"/>
        </w:rPr>
        <w:t>During 2024, 2023 and 2022, the Parent Company received dividends from its subsidiaries primarily consisting of amounts received to pay dividends and repurchase common stock.</w:t>
      </w:r>
    </w:p>
    <w:p>
      <w:pPr>
        <w:spacing w:after="0" w:line="6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During 2024, the Company repurchased and retired $327.0 million in shares of its common stock under the Company’s Board of Directors-approved share repurchase program. During 2024, Domino’s Pizza LLC, a subsidiary of the Parent Company, made $2.6 million in excise tax payments related to this share repurchase program.</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1" w:right="5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Sandeep Reddy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0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Russell J. Weiner</w:t>
            </w:r>
          </w:p>
        </w:tc>
        <w:tc>
          <w:tcPr>
            <w:tcW w:w="6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4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Russell J. Weiner</w:t>
            </w:r>
          </w:p>
        </w:tc>
        <w:tc>
          <w:tcPr>
            <w:tcW w:w="6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Sandeep Reddy</w:t>
            </w:r>
          </w:p>
        </w:tc>
        <w:tc>
          <w:tcPr>
            <w:tcW w:w="6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4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Sandeep Reddy</w:t>
            </w:r>
          </w:p>
        </w:tc>
        <w:tc>
          <w:tcPr>
            <w:tcW w:w="6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Jessica L. Parrish</w:t>
            </w:r>
          </w:p>
        </w:tc>
        <w:tc>
          <w:tcPr>
            <w:tcW w:w="6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Vice President, Chief Accounting Officer and Treasurer</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4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Jessica L. Parrish</w:t>
            </w:r>
          </w:p>
        </w:tc>
        <w:tc>
          <w:tcPr>
            <w:tcW w:w="6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Brandon</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A. Brandon</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 Andrew Ballard</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 Andrew Ballard</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Andrew B. Balson</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Andrew B. Balson</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Corie S. Barry</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Corie S. Barry</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Diana F. Cantor</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Diana F. Cantor</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Richard L. Federico</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Richard L. Federico</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A. Goldman</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James A. Goldman</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Patricia E. Lopez</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Patricia E. Lopez</w:t>
            </w:r>
          </w:p>
        </w:tc>
        <w:tc>
          <w:tcPr>
            <w:tcW w:w="20" w:type="dxa"/>
            <w:vAlign w:val="bottom"/>
          </w:tcPr>
          <w:p>
            <w:pPr>
              <w:spacing w:after="0"/>
              <w:rPr>
                <w:sz w:val="17"/>
                <w:szCs w:val="17"/>
                <w:color w:val="auto"/>
              </w:rPr>
            </w:pPr>
          </w:p>
        </w:tc>
        <w:tc>
          <w:tcPr>
            <w:tcW w:w="6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securities of Domino’s Pizza, Inc. (the “Company” or “our”) is a summary and does not purport to be complete. It is subject to and qualified in its entirety by reference to our second restated certificate of incorporation, as amended (“certificate of incorporation”), our fourth amended and restated by-laws (“by-laws”), our Annual Report on Form 10-K and the applicable provisions of the Delaware General Corporation Law, as amended (the “DGCL”).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total amount of our authorized capital stock consists of 160,000,000 shares of common stock, $0.01 par value per share, 10,000,000 shares of non-voting common stock, $0.01 par value per share, and 5,000,000 shares of undesignated preferred stock, $0.01 par value per share (the “Preferred Stock”). The Preferred Stock is issuable in one or more classes and series, with powers, preferences, rights, restrictions and qualifications as may be established by the board of directors of the Company without stockholder approval, including without limitation thereof, dividend rights, conversion rights, redemption privileges and liquidation preferences, any or all of which may be greater than the rights of the common stock. No shares of Preferred Stock are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Each outstanding share of common stock (other than shares of non-voting common stock held by certain securityholders that acquired these shares, or options exercisable for such shares, prior to the Company’s initial public offering in 2004) entitles its holder to one vote on all matters submitted to a vote of our stockholders, including the election of directors. There are no cumulative voting rights. Our voting common stock votes together as one class on all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 of Non-Voting Common Stock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shares of non-voting common stock are convertible into shares of our common stock upon transfer to a non-affiliate of the holder or otherwise in a brokerage transaction. We do not expect to issue any additional shares of our non-voting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any Preferred Stock which may be outstanding from time to time, the holders of common stock are entitled to receive dividends as, when and if dividends are declared by our board of directors out of assets legally available for the payment of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our affairs, whether voluntary or involuntary, after payment of our liabilities and obligations to creditors and any holders of Preferred Stock, our remaining assets will be distributed ratably among the holders of shares of common stock on a per share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common stock has no preemptive, redemption, conversion or subscription rights. No sinking fund provisions are applicable to our common stock. The rights, powers, preferences and privileges of holders of our common stock are subject to, and may be adversely affected by, the rights of the holders of shares of any series of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2" w:name="page103"/>
    <w:bookmarkEnd w:id="10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trading symbol “DPZ.”</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Provisions of our Certificate of Incorporation and By-laws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our board of directors. These provisions include elimination of stockholder action by written consents, elimination of the ability of stockholders to call special meetings, advance notice procedures for stockholder proposals and supermajority vote requirements for amendments to our certificate of incorporation and by-laws.</w:t>
      </w:r>
    </w:p>
    <w:p>
      <w:pPr>
        <w:spacing w:after="0" w:line="18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Our certificate of incorporation provides for each member of our board of directors to be elected annually and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removed, with or without cause, upon the affirmative vote of the holders of a majority of our then outstanding capital stock entitled to vote at an election of directors.</w:t>
      </w:r>
    </w:p>
    <w:p>
      <w:pPr>
        <w:spacing w:after="0" w:line="173"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Through Written Consent</w:t>
      </w:r>
      <w:r>
        <w:rPr>
          <w:rFonts w:ascii="Times New Roman" w:cs="Times New Roman" w:eastAsia="Times New Roman" w:hAnsi="Times New Roman"/>
          <w:sz w:val="18"/>
          <w:szCs w:val="18"/>
          <w:color w:val="auto"/>
        </w:rPr>
        <w:t>. Our by-laws provide that stockholder action can be taken only at an annual or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and cannot be taken by written consent in lieu of a meeting.</w:t>
      </w:r>
    </w:p>
    <w:p>
      <w:pPr>
        <w:spacing w:after="0" w:line="158" w:lineRule="exact"/>
        <w:rPr>
          <w:sz w:val="20"/>
          <w:szCs w:val="20"/>
          <w:color w:val="auto"/>
        </w:rPr>
      </w:pPr>
    </w:p>
    <w:p>
      <w:pPr>
        <w:jc w:val="both"/>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Elimination of the Ability to Call Special Meetings</w:t>
      </w:r>
      <w:r>
        <w:rPr>
          <w:rFonts w:ascii="Times New Roman" w:cs="Times New Roman" w:eastAsia="Times New Roman" w:hAnsi="Times New Roman"/>
          <w:sz w:val="18"/>
          <w:szCs w:val="18"/>
          <w:color w:val="auto"/>
        </w:rPr>
        <w:t>. Our certificate of incorporation and by-laws provide that, except as otherwise required by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meetings of our stockholders can only be called pursuant to a resolution adopted by a majority of our board of directors or by our chief executive officer or the chairman of our board of directors. Stockholders are not permitted to call a special meeting or to require our board to call a special meeting.</w:t>
      </w:r>
    </w:p>
    <w:p>
      <w:pPr>
        <w:spacing w:after="0" w:line="17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Advanced Notice Procedures for Stockholder Proposals</w:t>
      </w:r>
      <w:r>
        <w:rPr>
          <w:rFonts w:ascii="Times New Roman" w:cs="Times New Roman" w:eastAsia="Times New Roman" w:hAnsi="Times New Roman"/>
          <w:sz w:val="18"/>
          <w:szCs w:val="18"/>
          <w:color w:val="auto"/>
        </w:rPr>
        <w:t>. Our by-laws establish an advance notice procedure for stockholder proposals to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an annual meeting of our stockholders, including proposed nominations of persons for election to our board.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has provided us with the other information required under our by-laws. Although our by-laws do not give our board the power to approve or disapprove stockholder nominations of candidates or proposals regarding other business to be conducted at a special or annual meeting, our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us.</w:t>
      </w:r>
    </w:p>
    <w:p>
      <w:pPr>
        <w:spacing w:after="0" w:line="188"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Amendments to the Certificate of Incorporation or By-laws</w:t>
      </w:r>
      <w:r>
        <w:rPr>
          <w:rFonts w:ascii="Times New Roman" w:cs="Times New Roman" w:eastAsia="Times New Roman" w:hAnsi="Times New Roman"/>
          <w:sz w:val="18"/>
          <w:szCs w:val="18"/>
          <w:color w:val="auto"/>
        </w:rPr>
        <w:t>. Our certificate of incorporation and by-laws provide that the affirmative vote of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at least 75% of the total votes eligible to be cast in the election of directors is required to amend, alter, change or repeal some of their provisions, unless, in certain circumstances, such amendment or change has been approved by a majority of those directors who are not affiliated or associated with any person or entity holding 10% or more of the voting power of our outstanding capital stock or who have been determined by us to be independent. This requirement of a super-majority vote to approve amendments to our certificate of incorporation and by-laws could enable a minority of our stockholders to exercise veto power over any such amendments.</w:t>
      </w:r>
    </w:p>
    <w:p>
      <w:pPr>
        <w:spacing w:after="0" w:line="182" w:lineRule="exact"/>
        <w:rPr>
          <w:sz w:val="20"/>
          <w:szCs w:val="20"/>
          <w:color w:val="auto"/>
        </w:rPr>
      </w:pPr>
    </w:p>
    <w:p>
      <w:pPr>
        <w:ind w:right="3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will be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These additional shares may be utilized for a variety of corporate purposes, including future public offerings to raise additional capital, corporate acquisitions and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6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Proxy Access. </w:t>
      </w:r>
      <w:r>
        <w:rPr>
          <w:rFonts w:ascii="Times New Roman" w:cs="Times New Roman" w:eastAsia="Times New Roman" w:hAnsi="Times New Roman"/>
          <w:sz w:val="18"/>
          <w:szCs w:val="18"/>
          <w:color w:val="auto"/>
        </w:rPr>
        <w:t>Pursuant to our by-laws, a stockholder, or a group of up to 20 stockholders, owning 3% or more of the Company’s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continuously for at least three years may nominate, and the Company will include in its proxy materials for any annual meeting of stockholders, nominees for director constituting up to 20% of the Company’s board (rounded down to the nearest whole number, but not less than two individuals). To nominate an individual for director, an eligible stockholder’s notice must be received by the Secretary of the Company at the Company’s principal executive offices no earlier than 120 days and no later than 90 days before the first anniversary of the date that the Company issued its proxy statement to stockholders for the previous year’s annual meeting of stockholders. The by-laws also specify disclosures, agreements and representations required to be submitted to the Company by each nominating stockholder and each proxy access nominee and circumstances in which (i) the maximum number of proxy access nominees shall be reduced or (ii) the board will not be required to include any proxy access nominees in the Company’s proxy statement for a particular annual meeting of stockholders. The stockholder(s) and the nominee(s) are also required to satisfy the other requirements specified in the by-laws.</w:t>
      </w:r>
    </w:p>
    <w:p>
      <w:pPr>
        <w:spacing w:after="0" w:line="18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We are subject to the “business combination” provisions of the DGCL. In general,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prohibit a publicly-held Delaware corporation from engaging in any “business combination” transactions with any “interested stockholder” for a period of three years after the date on which the person became an “interested stockholder,” unless:</w:t>
      </w:r>
    </w:p>
    <w:p>
      <w:pPr>
        <w:spacing w:after="0" w:line="81" w:lineRule="exact"/>
        <w:rPr>
          <w:sz w:val="20"/>
          <w:szCs w:val="20"/>
          <w:color w:val="auto"/>
        </w:rPr>
      </w:pPr>
    </w:p>
    <w:p>
      <w:pPr>
        <w:ind w:left="1040" w:right="420" w:hanging="452"/>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approved either the “business combination” or the transaction which resulted in the “interested stockholder” obtaining such status;</w:t>
      </w:r>
    </w:p>
    <w:p>
      <w:pPr>
        <w:spacing w:after="0" w:line="67" w:lineRule="exact"/>
        <w:rPr>
          <w:rFonts w:ascii="Times New Roman" w:cs="Times New Roman" w:eastAsia="Times New Roman" w:hAnsi="Times New Roman"/>
          <w:sz w:val="18"/>
          <w:szCs w:val="18"/>
          <w:color w:val="auto"/>
        </w:rPr>
      </w:pPr>
    </w:p>
    <w:p>
      <w:pPr>
        <w:ind w:left="1040" w:hanging="452"/>
        <w:spacing w:after="0" w:line="272" w:lineRule="auto"/>
        <w:tabs>
          <w:tab w:leader="none" w:pos="10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w:t>
      </w:r>
    </w:p>
    <w:p>
      <w:pPr>
        <w:spacing w:after="0" w:line="1" w:lineRule="exact"/>
        <w:rPr>
          <w:rFonts w:ascii="Times New Roman" w:cs="Times New Roman" w:eastAsia="Times New Roman" w:hAnsi="Times New Roman"/>
          <w:sz w:val="17"/>
          <w:szCs w:val="17"/>
          <w:color w:val="auto"/>
        </w:rPr>
      </w:pPr>
    </w:p>
    <w:p>
      <w:pPr>
        <w:ind w:left="1040" w:right="6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86" w:lineRule="exact"/>
        <w:rPr>
          <w:rFonts w:ascii="Times New Roman" w:cs="Times New Roman" w:eastAsia="Times New Roman" w:hAnsi="Times New Roman"/>
          <w:sz w:val="17"/>
          <w:szCs w:val="17"/>
          <w:color w:val="auto"/>
        </w:rPr>
      </w:pPr>
    </w:p>
    <w:p>
      <w:pPr>
        <w:ind w:left="1040" w:right="240" w:hanging="452"/>
        <w:spacing w:after="0" w:line="25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66 </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the outstanding voting stock which is not owned by the “interested stockholder.”</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However, Bain Capital, LLC and its affiliates will not be deemed to be “interested stockholders” regardless of the percentage of our voting stock owned by them. The statute could prohibit or delay mergers or other takeover or change in control attempts with respect to us and, accordingly, may discourage attempts to acquire us.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Domino’s Pizza®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October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b w:val="1"/>
          <w:bCs w:val="1"/>
          <w:color w:val="auto"/>
        </w:rPr>
        <w:t>PREAMBLE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Domino’s Pizza Deferred Compensation Plan is amended and restated by Domino’s Pizza LLC for the benefit of the directors and certain executive Employees of Domino’s Pizza LLC and its affiliates, effective as of October 8, 2024. The purpose of this amendment and restatement is to provide for an increase to the base salary deferral percentage maximum under the Plan. The Plan was last amended and restated effective as of October 11, 2022.</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purpose of the Plan is to provide supplemental retirement income and to permit Eligible Persons the option to defer receipt of certain compensation, pursuant to the terms of the Plan. The Plan insofar as it may benefit employees of Domino’s Pizza LLC and its affiliates is intended to be an unfunded deferred compensation plan maintained for the benefit of a select group of management or highly compensated employees under sections 201(2), 301(a)(3), 401(a)(1) and 4021(b)(6)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86"/>
        </w:trPr>
        <w:tc>
          <w:tcPr>
            <w:tcW w:w="600" w:type="dxa"/>
            <w:vAlign w:val="bottom"/>
          </w:tcPr>
          <w:p>
            <w:pPr>
              <w:spacing w:after="0"/>
              <w:rPr>
                <w:sz w:val="24"/>
                <w:szCs w:val="24"/>
                <w:color w:val="auto"/>
              </w:rPr>
            </w:pPr>
          </w:p>
        </w:tc>
        <w:tc>
          <w:tcPr>
            <w:tcW w:w="8980" w:type="dxa"/>
            <w:vAlign w:val="bottom"/>
          </w:tcPr>
          <w:p>
            <w:pPr>
              <w:ind w:left="38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620" w:type="dxa"/>
            <w:vAlign w:val="bottom"/>
          </w:tcPr>
          <w:p>
            <w:pPr>
              <w:spacing w:after="0"/>
              <w:rPr>
                <w:sz w:val="24"/>
                <w:szCs w:val="24"/>
                <w:color w:val="auto"/>
              </w:rPr>
            </w:pPr>
          </w:p>
        </w:tc>
      </w:tr>
      <w:tr>
        <w:trPr>
          <w:trHeight w:val="675"/>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Definitions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Participation.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of Participation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Initial Election Period</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Amount of Deferrals (and Employer Credits if any).</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Salary Deferrals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Bonus Deferrals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 Remuneration Deferrals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Timing</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Employer Credits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Time of Transfer of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Participants’ Accounts.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Individual Accounts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Accounting for Distributions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Designation of Notional Investment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7"/>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Earnings Credits.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Manner of Determination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Notional Investment Decisions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Right to Benefits.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 General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Distributions Upon a Separation From Service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Distributions Upon Death</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Distributions Upon a Change in Control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Payments at a Specified Time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Distributions Due to an Unforeseeable Emergency</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Adjustment for Investment Experience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Distribution of Benefits.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Time and Form of Distribution Upon a Separation From Service or at a Specified Time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Delay of Payment to Specified Employees Upon a Separation From Service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Change in Time or Method of Distribution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8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Notice to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82"/>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7.5.</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Withholding; Employment Taxes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8. Amendment and 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8.1.</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Amendment by Employer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8.2.</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Retroactive Amendments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8.3.</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Plan 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8.4.</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Distribution Upon Termination of the Plan</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9. The Rabbi Trust.</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9.1.</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Establishment of Rabbi Trust</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10. Miscellaneous.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10.1.</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Communication to Participants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10.2.</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Limitation of Rights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10.3.</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Spendthrift Provision</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10.4.</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Facility of Payment</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10.5.</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Implied Rights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10.6.</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Right to Employer Assets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10.7.</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Employment Rights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10.8.</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Offset</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10.9.</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10.10. Governing Law</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7"/>
        </w:trPr>
        <w:tc>
          <w:tcPr>
            <w:tcW w:w="7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11. Plan Administration.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11.1.</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Powers and Responsibilities of the Administrator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11.2.</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Effect of Interpretation or Determination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11.3.</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Claims and Review Procedures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11.4.</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Plan’s Administrative Costs</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38"/>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11.5.</w:t>
            </w:r>
          </w:p>
        </w:tc>
        <w:tc>
          <w:tcPr>
            <w:tcW w:w="7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409A of the Code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auto"/>
        </w:rPr>
        <w:t>Plan Provisions for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Domino’s Pizza® Deferred</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Wherever used herein, the following terms have the meanings set forth below, unless a different meaning is clearly required by the context. Wherever appropriate, the masculine may mean the feminine and the singular may mean the plural or vice versa.</w:t>
      </w:r>
    </w:p>
    <w:p>
      <w:pPr>
        <w:spacing w:after="0" w:line="167" w:lineRule="exact"/>
        <w:rPr>
          <w:sz w:val="20"/>
          <w:szCs w:val="20"/>
          <w:color w:val="auto"/>
        </w:rPr>
      </w:pPr>
    </w:p>
    <w:p>
      <w:pPr>
        <w:ind w:right="20" w:firstLine="1505"/>
        <w:spacing w:after="0" w:line="286" w:lineRule="auto"/>
        <w:tabs>
          <w:tab w:leader="none" w:pos="192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means an account established on the books of the Company for the purpose of recording amounts credited on behalf of a Participant and any adjustments related thereto, which may consist of one or more sub-accounts.</w:t>
      </w:r>
    </w:p>
    <w:p>
      <w:pPr>
        <w:spacing w:after="0" w:line="126" w:lineRule="exact"/>
        <w:rPr>
          <w:rFonts w:ascii="Times New Roman" w:cs="Times New Roman" w:eastAsia="Times New Roman" w:hAnsi="Times New Roman"/>
          <w:sz w:val="21"/>
          <w:szCs w:val="21"/>
          <w:color w:val="auto"/>
        </w:rPr>
      </w:pPr>
    </w:p>
    <w:p>
      <w:pPr>
        <w:jc w:val="both"/>
        <w:ind w:firstLine="1505"/>
        <w:spacing w:after="0" w:line="250" w:lineRule="auto"/>
        <w:tabs>
          <w:tab w:leader="none" w:pos="192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Administrator</w:t>
      </w:r>
      <w:r>
        <w:rPr>
          <w:rFonts w:ascii="Times New Roman" w:cs="Times New Roman" w:eastAsia="Times New Roman" w:hAnsi="Times New Roman"/>
          <w:sz w:val="21"/>
          <w:szCs w:val="21"/>
          <w:color w:val="auto"/>
        </w:rPr>
        <w:t>” means the Company or such other person or persons as may be designated by the Company to be responsible for the administration of the Plan. For purposes of interaction between the Company and any third party administrator, the person that holds the title of Director – Compensation &amp; Benefits (or such similar position) for the Company shall be charged with communicating the Company’s direction regarding the Plan to such third party administrator. As it relates to any matters concerning executive officers of Domino’s Pizza, Inc. or members of the Board, other than ministerial and administrative matters, the Administrator shall mean the Compensation Committee of the Board or the Board, as applicable.</w:t>
      </w:r>
    </w:p>
    <w:p>
      <w:pPr>
        <w:spacing w:after="0" w:line="164" w:lineRule="exact"/>
        <w:rPr>
          <w:rFonts w:ascii="Times New Roman" w:cs="Times New Roman" w:eastAsia="Times New Roman" w:hAnsi="Times New Roman"/>
          <w:sz w:val="21"/>
          <w:szCs w:val="21"/>
          <w:color w:val="auto"/>
        </w:rPr>
      </w:pPr>
    </w:p>
    <w:p>
      <w:pPr>
        <w:ind w:firstLine="1505"/>
        <w:spacing w:after="0" w:line="262" w:lineRule="auto"/>
        <w:tabs>
          <w:tab w:leader="none" w:pos="19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the salary earned by an Employee Participant before employee elective deferrals into the Domino’s Pizza 401(k) Savings Plan and any salary reductions under the Domino’s Employee Benefits Program.</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Beneficiary</w:t>
      </w:r>
      <w:r>
        <w:rPr>
          <w:rFonts w:ascii="Times New Roman" w:cs="Times New Roman" w:eastAsia="Times New Roman" w:hAnsi="Times New Roman"/>
          <w:sz w:val="22"/>
          <w:szCs w:val="22"/>
          <w:color w:val="auto"/>
        </w:rPr>
        <w:t>” means the person or persons entitled under Section 7.1 to receive benefits under the Plan upon the death of a Participant.</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means any bonus amount earned by an Employee Participant.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Domino’s Pizza, Inc.</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Bonus Deferral</w:t>
      </w:r>
      <w:r>
        <w:rPr>
          <w:rFonts w:ascii="Times New Roman" w:cs="Times New Roman" w:eastAsia="Times New Roman" w:hAnsi="Times New Roman"/>
          <w:sz w:val="22"/>
          <w:szCs w:val="22"/>
          <w:color w:val="auto"/>
        </w:rPr>
        <w:t>” means the Bonus amount elected by an Employee Participant to be deferred as part of a Compensation reduction agreement pursuant to Section 3.2 of the Plan.</w:t>
      </w:r>
    </w:p>
    <w:p>
      <w:pPr>
        <w:spacing w:after="0" w:line="149"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a change in the ownership or effective control of Domino’s Pizza, Inc. or in the ownership of a substantial portion of the assets of Domino’s Pizza, Inc., as those terms are defined in Treasury Regulations Section 1.409A-3(i)(5).</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Domino’s Pizza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9" w:name="page110"/>
    <w:bookmarkEnd w:id="109"/>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means Base Salary, Bonus, and/or Director Remuneration.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any member of the Board of Directors.</w:t>
      </w:r>
    </w:p>
    <w:p>
      <w:pPr>
        <w:spacing w:after="0" w:line="206"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 Remuneration</w:t>
      </w:r>
      <w:r>
        <w:rPr>
          <w:rFonts w:ascii="Times New Roman" w:cs="Times New Roman" w:eastAsia="Times New Roman" w:hAnsi="Times New Roman"/>
          <w:sz w:val="22"/>
          <w:szCs w:val="22"/>
          <w:color w:val="auto"/>
        </w:rPr>
        <w:t>” means (i) the retainer and fees earned by a Director from Domino’s Pizza, Inc., the publicly traded corporation of which the Company is a subsidiary, and (ii) the annual or other equity or equity-based award granted to a Director under the Domino’s Pizza, Inc. 2004 Equity Incentive Plan (or any successor thereto, the “EIP”) in respect of his or her Board service (the “Director Equity Grant”).</w:t>
      </w:r>
    </w:p>
    <w:p>
      <w:pPr>
        <w:spacing w:after="0" w:line="171"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 Remuneration Deferral</w:t>
      </w:r>
      <w:r>
        <w:rPr>
          <w:rFonts w:ascii="Times New Roman" w:cs="Times New Roman" w:eastAsia="Times New Roman" w:hAnsi="Times New Roman"/>
          <w:sz w:val="22"/>
          <w:szCs w:val="22"/>
          <w:color w:val="auto"/>
        </w:rPr>
        <w:t>” means the Director Remuneration amount elected by a Director to be deferred as part of a Compensation reduction agreement pursuant to Section 3.3 of the Plan.</w:t>
      </w:r>
    </w:p>
    <w:p>
      <w:pPr>
        <w:spacing w:after="0" w:line="149"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Eligible Person</w:t>
      </w:r>
      <w:r>
        <w:rPr>
          <w:rFonts w:ascii="Times New Roman" w:cs="Times New Roman" w:eastAsia="Times New Roman" w:hAnsi="Times New Roman"/>
          <w:sz w:val="22"/>
          <w:szCs w:val="22"/>
          <w:color w:val="auto"/>
        </w:rPr>
        <w:t>” means (i) a Director, or (ii) an Employee designated for participation by the Compensation Committee of the Board of Directors who is a member of a “select group of management or highly compensated employees” of the Employer.</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employee of the Employer.</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means Domino’s Pizza LLC and any successors and assigns, unless otherwise provided herein, and shall include any Related Employers adopting this Plan.</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Employer Credit</w:t>
      </w:r>
      <w:r>
        <w:rPr>
          <w:rFonts w:ascii="Times New Roman" w:cs="Times New Roman" w:eastAsia="Times New Roman" w:hAnsi="Times New Roman"/>
          <w:sz w:val="21"/>
          <w:szCs w:val="21"/>
          <w:color w:val="auto"/>
        </w:rPr>
        <w:t>” means that portion of an Account that is comprised of any credits described in Section</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3.5 of the Plan.</w:t>
      </w:r>
    </w:p>
    <w:p>
      <w:pPr>
        <w:spacing w:after="0" w:line="178"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any Eligible Person who elects to defer Compensation, who receives an Employer Credit, and/or for whose benefit an Account is maintained under the Plan.</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the plan established by the Employer as set forth herein, as from time to time in effect.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 Year</w:t>
      </w:r>
      <w:r>
        <w:rPr>
          <w:rFonts w:ascii="Times New Roman" w:cs="Times New Roman" w:eastAsia="Times New Roman" w:hAnsi="Times New Roman"/>
          <w:sz w:val="22"/>
          <w:szCs w:val="22"/>
          <w:color w:val="auto"/>
        </w:rPr>
        <w:t>” means the 12-consecutive month period beginning January 1 and ending December 31.</w:t>
      </w:r>
    </w:p>
    <w:p>
      <w:pPr>
        <w:spacing w:after="0" w:line="206"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Employer</w:t>
      </w:r>
      <w:r>
        <w:rPr>
          <w:rFonts w:ascii="Times New Roman" w:cs="Times New Roman" w:eastAsia="Times New Roman" w:hAnsi="Times New Roman"/>
          <w:sz w:val="22"/>
          <w:szCs w:val="22"/>
          <w:color w:val="auto"/>
        </w:rPr>
        <w:t>” means any employer, other than the Employer named herein, if the Employer and such other employer are members of a controlled group of corporations (as defined in Section 414(b) of the Code) or an affiliated service group (as defined in Section 414(m)), or are trades or businesses (whether or not incorporated) which are under common control (as defined in Section 414(c)).</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0" w:name="page111"/>
    <w:bookmarkEnd w:id="110"/>
    <w:p>
      <w:pPr>
        <w:ind w:firstLine="1505"/>
        <w:spacing w:after="0" w:line="262"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Salary Deferral</w:t>
      </w:r>
      <w:r>
        <w:rPr>
          <w:rFonts w:ascii="Times New Roman" w:cs="Times New Roman" w:eastAsia="Times New Roman" w:hAnsi="Times New Roman"/>
          <w:sz w:val="22"/>
          <w:szCs w:val="22"/>
          <w:color w:val="auto"/>
        </w:rPr>
        <w:t>” means the Base Salary amount elected by an Employee Participant to be deferred as part of a Compensation reduction agreement pursuant to Section 3.1 of the Plan.</w:t>
      </w:r>
    </w:p>
    <w:p>
      <w:pPr>
        <w:spacing w:after="0" w:line="149"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means a separation from service, within the meaning of Treasury Regulations Section 1.409A-1(h), with the Employer and any other company that would be treated as a single employer with the Employer under the first sentence of Treasury Regulations Section 1.409A-1(h)(3); correlative terms shall be construed to have a corresponding meaning. The Company may, but need not, elect in writing, subject to the applicable limitations under Section 409A, any of the special elective rules prescribed in Treasury Regulations Section 1.409A-1(h) for purposes of determining whether a “separation from service” has occurred. Any such written election will be deemed a part of the Plan. As applied to any deferral under the Plan, the term “Separation from Service” shall be construed and applied without regard to any later modifications of such term that if applied to such deferral would result in an impermissible acceleration or other impermissible change in payment timing under Section 409A of the Code, as determined by the Administrator.</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means an individual who is determined by the Administrator to be a specified employee as defined in subsection (a)(2)(B)(i) of Section 409A of the Code. The Administrator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Plan.</w:t>
      </w:r>
    </w:p>
    <w:p>
      <w:pPr>
        <w:spacing w:after="0" w:line="177" w:lineRule="exact"/>
        <w:rPr>
          <w:sz w:val="20"/>
          <w:szCs w:val="20"/>
          <w:color w:val="auto"/>
        </w:rPr>
      </w:pPr>
    </w:p>
    <w:p>
      <w:pPr>
        <w:ind w:left="1940" w:hanging="435"/>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Time</w:t>
      </w:r>
      <w:r>
        <w:rPr>
          <w:rFonts w:ascii="Times New Roman" w:cs="Times New Roman" w:eastAsia="Times New Roman" w:hAnsi="Times New Roman"/>
          <w:sz w:val="22"/>
          <w:szCs w:val="22"/>
          <w:color w:val="auto"/>
        </w:rPr>
        <w:t>” has the meaning set forth in Section 6.5.</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w:t>
      </w:r>
      <w:r>
        <w:rPr>
          <w:rFonts w:ascii="Times New Roman" w:cs="Times New Roman" w:eastAsia="Times New Roman" w:hAnsi="Times New Roman"/>
          <w:sz w:val="22"/>
          <w:szCs w:val="22"/>
          <w:color w:val="auto"/>
        </w:rPr>
        <w:t>means the common stock of Domino’s Pizza, Inc. or any other equity security of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successor) designated by the Administrator from time to time.</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Unit” </w:t>
      </w:r>
      <w:r>
        <w:rPr>
          <w:rFonts w:ascii="Times New Roman" w:cs="Times New Roman" w:eastAsia="Times New Roman" w:hAnsi="Times New Roman"/>
          <w:sz w:val="22"/>
          <w:szCs w:val="22"/>
          <w:color w:val="auto"/>
        </w:rPr>
        <w:t>means a unit that is equivalent in value to one share of Stock.</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Unit Fund” </w:t>
      </w:r>
      <w:r>
        <w:rPr>
          <w:rFonts w:ascii="Times New Roman" w:cs="Times New Roman" w:eastAsia="Times New Roman" w:hAnsi="Times New Roman"/>
          <w:sz w:val="22"/>
          <w:szCs w:val="22"/>
          <w:color w:val="auto"/>
        </w:rPr>
        <w:t>means the measurement fund for notional investment in Stock.</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w:t>
      </w:r>
      <w:r>
        <w:rPr>
          <w:rFonts w:ascii="Times New Roman" w:cs="Times New Roman" w:eastAsia="Times New Roman" w:hAnsi="Times New Roman"/>
          <w:sz w:val="22"/>
          <w:szCs w:val="22"/>
          <w:color w:val="auto"/>
        </w:rPr>
        <w:t>” means the irrevocable trust established pursuant to Article 9 of the Plan.</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corporation or individuals named in the agreement establishing the Trust and such successor and/or additional trustees as may be named in accordance with the provisions of such agreement.</w:t>
      </w:r>
    </w:p>
    <w:p>
      <w:pPr>
        <w:spacing w:after="0" w:line="149"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Unforeseeable Emergency</w:t>
      </w:r>
      <w:r>
        <w:rPr>
          <w:rFonts w:ascii="Times New Roman" w:cs="Times New Roman" w:eastAsia="Times New Roman" w:hAnsi="Times New Roman"/>
          <w:sz w:val="22"/>
          <w:szCs w:val="22"/>
          <w:color w:val="auto"/>
        </w:rPr>
        <w:t>” means a severe financial hardship to the Participant resulting from an illness or accident of the Participant, the Participant’s spouse, or a dependent (as defined in Treasury Regulations Section 1.409A-3(i)(3) (i)) of the Participant,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1" w:name="page112"/>
    <w:bookmarkEnd w:id="111"/>
    <w:p>
      <w:pPr>
        <w:jc w:val="both"/>
        <w:spacing w:after="0" w:line="234" w:lineRule="auto"/>
        <w:rPr>
          <w:sz w:val="20"/>
          <w:szCs w:val="20"/>
          <w:color w:val="auto"/>
        </w:rPr>
      </w:pPr>
      <w:r>
        <w:rPr>
          <w:rFonts w:ascii="Times New Roman" w:cs="Times New Roman" w:eastAsia="Times New Roman" w:hAnsi="Times New Roman"/>
          <w:sz w:val="22"/>
          <w:szCs w:val="22"/>
          <w:color w:val="auto"/>
        </w:rPr>
        <w:t>events beyond the control of the Participant. Some examples may include the imminent foreclosure of or eviction from the Participant’s primary residence, the need to pay for medical expenses, including nonrefundable deductibles, as well as for the costs of prescription drug medication and finally, the need to pay for the funeral expenses of a spouse, a beneficiary or a dependent (as defined in Treasury Regulations Section 1.409A-3(i)(3)(i)). Except as otherwise provided in this Section 1.1(dd), the purchase of a home and the payment of college tuition are not unforeseeable emergencies. The foregoing requirements shall be met only if, as determined under regulations of the U.S. Secretary of the Treasury, the amounts distributed with respect to such an emergency do not exceed the amounts necessary to satisfy such emergency plus amounts necessary to pay taxes reasonably anticipated as a result of the distribution, after taking into account the extent to which such emergency is or may be relieved through reimbursement or compensation by insurance or otherwise or by liquidation of the Participant’s assets (to the extent the liquidation of such assets would not itself cause severe financial hardship).</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(hh) “</w:t>
      </w:r>
      <w:r>
        <w:rPr>
          <w:rFonts w:ascii="Times New Roman" w:cs="Times New Roman" w:eastAsia="Times New Roman" w:hAnsi="Times New Roman"/>
          <w:sz w:val="22"/>
          <w:szCs w:val="22"/>
          <w:b w:val="1"/>
          <w:bCs w:val="1"/>
          <w:color w:val="auto"/>
        </w:rPr>
        <w:t>Valuation Date</w:t>
      </w:r>
      <w:r>
        <w:rPr>
          <w:rFonts w:ascii="Times New Roman" w:cs="Times New Roman" w:eastAsia="Times New Roman" w:hAnsi="Times New Roman"/>
          <w:sz w:val="22"/>
          <w:szCs w:val="22"/>
          <w:color w:val="auto"/>
        </w:rPr>
        <w:t>” means the last day of the Plan Year and such other date(s) as may be designated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u w:val="single" w:color="auto"/>
          <w:color w:val="auto"/>
        </w:rPr>
        <w:t>Participation.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Date of Participation</w:t>
      </w:r>
      <w:r>
        <w:rPr>
          <w:rFonts w:ascii="Times New Roman" w:cs="Times New Roman" w:eastAsia="Times New Roman" w:hAnsi="Times New Roman"/>
          <w:sz w:val="22"/>
          <w:szCs w:val="22"/>
          <w:color w:val="auto"/>
        </w:rPr>
        <w:t>. Except as provided in Section 2.2, an Eligible Person will generally be eligible to defer Compensation with respect to any amounts earned in a subsequent Plan Year (and, in limited circumstances, certain Bonus amounts that constitute “performance-based compensation” earned in the current Plan Year as further described in Section 3.4 below) provided a timely election to defer such amounts is made in accordance with Section 3.4. The Administrator in its discretion may permit separate deferral elections under this Article 2 for separate types of Compensation (including, without limitation, in the case of a Director, separate elections for cash retainers and fees, including an election to receive such cash retainers and fees in the form of Deferred RSUs (as defined below), and Director Equity Grants).</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u w:val="single" w:color="auto"/>
          <w:color w:val="auto"/>
        </w:rPr>
        <w:t>Initial Election Period</w:t>
      </w:r>
      <w:r>
        <w:rPr>
          <w:rFonts w:ascii="Times New Roman" w:cs="Times New Roman" w:eastAsia="Times New Roman" w:hAnsi="Times New Roman"/>
          <w:sz w:val="22"/>
          <w:szCs w:val="22"/>
          <w:color w:val="auto"/>
        </w:rPr>
        <w:t>. For any individual who first becomes an Eligible Person after the normal deferral election deadline under the Plan, the Administrator, in its sole discretion, may permit such Employee or Director to make an initial election within 30 days after the date he becomes an Eligible Person, to defer Compensation earned subsequent to the election. Other than as provided in the last sentence of Section 3.4 below, any election under this Section 2.2 will apply (i) (A) with respect to any Director retainer, only to retainers for calendar quarters beginning after the election, (B) with respect to any Director Equity Grant, only to the portion of such award that relates to services performed following the date on which such Director executes such election, and (ii) with respect to any Bonus, only to that portion of the Bonus which equals the total amount of the Bonus for the performance measurement period multiplied by the ratio of the number of days remaining in the performance measurement period after the election, over the total number of days in the performance measurement period. An initial deferral election under this Section 2.2 shall only be available to the extent it complies with Treasury Regulations Section 1.409A-2(a)(7).</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u w:val="single" w:color="auto"/>
          <w:color w:val="auto"/>
        </w:rPr>
        <w:t>Amount of Deferrals (and Employer Credits if any).</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u w:val="single" w:color="auto"/>
          <w:color w:val="auto"/>
        </w:rPr>
        <w:t>Salary Deferrals</w:t>
      </w:r>
      <w:r>
        <w:rPr>
          <w:rFonts w:ascii="Times New Roman" w:cs="Times New Roman" w:eastAsia="Times New Roman" w:hAnsi="Times New Roman"/>
          <w:sz w:val="22"/>
          <w:szCs w:val="22"/>
          <w:color w:val="auto"/>
        </w:rPr>
        <w:t>. Each Participant who is an Employee may elect to execute a Compensation reduction agreement with the Employer to reduce his or her Base Salary for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spacing w:after="0" w:line="258" w:lineRule="auto"/>
        <w:rPr>
          <w:sz w:val="20"/>
          <w:szCs w:val="20"/>
          <w:color w:val="auto"/>
        </w:rPr>
      </w:pPr>
      <w:r>
        <w:rPr>
          <w:rFonts w:ascii="Times New Roman" w:cs="Times New Roman" w:eastAsia="Times New Roman" w:hAnsi="Times New Roman"/>
          <w:sz w:val="22"/>
          <w:szCs w:val="22"/>
          <w:color w:val="auto"/>
        </w:rPr>
        <w:t>Plan Year by a specified percentage determined by the Administrator, not to exceed fifty percent (50%) of his or her Base Salary in whole number multiples of one percent (1%).</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u w:val="single" w:color="auto"/>
          <w:color w:val="auto"/>
        </w:rPr>
        <w:t>Bonus Deferrals</w:t>
      </w:r>
      <w:r>
        <w:rPr>
          <w:rFonts w:ascii="Times New Roman" w:cs="Times New Roman" w:eastAsia="Times New Roman" w:hAnsi="Times New Roman"/>
          <w:sz w:val="22"/>
          <w:szCs w:val="22"/>
          <w:color w:val="auto"/>
        </w:rPr>
        <w:t>. Each Participant who is an Employee may also elect to execute a Compensation reduction agreement with the Employer to reduce his or her Bonus by a specified percentage determined by the Administrator, not to exceed eighty percent (80%) of his or her Bonus in whole number multiples of one percent (1%).</w:t>
      </w:r>
    </w:p>
    <w:p>
      <w:pPr>
        <w:spacing w:after="0" w:line="16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u w:val="single" w:color="auto"/>
          <w:color w:val="auto"/>
        </w:rPr>
        <w:t>Director Remuneration Deferrals</w:t>
      </w:r>
      <w:r>
        <w:rPr>
          <w:rFonts w:ascii="Times New Roman" w:cs="Times New Roman" w:eastAsia="Times New Roman" w:hAnsi="Times New Roman"/>
          <w:sz w:val="21"/>
          <w:szCs w:val="21"/>
          <w:color w:val="auto"/>
        </w:rPr>
        <w:t>. Each Participant who is a Director may elect to execute a Compensation reduction agreement with the Employer to reduce his or her Director Remuneration for the Plan Year as follows: (i) with respect to that portion of Director Remuneration consisting of cash retainers and fees (including that portion of such cash retainers and fees, if any, elected by a Director to be received as Deferred RSUs), by a specified percentage determined by the Administrator, not to exceed one-hundred percent (100%) of such cash retainers and fees in whole number multiples of ten percent (10%) and</w:t>
      </w:r>
    </w:p>
    <w:p>
      <w:pPr>
        <w:jc w:val="both"/>
        <w:ind w:firstLine="8"/>
        <w:spacing w:after="0" w:line="233" w:lineRule="auto"/>
        <w:tabs>
          <w:tab w:leader="none" w:pos="34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that portion of Director Remuneration consisting of the Director Equity Grant, by a specified percentage determined by the Administrator, not to exceed one-hundred percent (100%), of the number of shares to be delivered in connection with the vesting or settlement of the Director Equity Grant, which for the avoidance of doubt, except as otherwise provided by the Administrator, shall be granted to such Director in the form of a restricted stock unit award under the EIP (the “Deferred RSU”).</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u w:val="single" w:color="auto"/>
          <w:color w:val="auto"/>
        </w:rPr>
        <w:t>Timing</w:t>
      </w:r>
      <w:r>
        <w:rPr>
          <w:rFonts w:ascii="Times New Roman" w:cs="Times New Roman" w:eastAsia="Times New Roman" w:hAnsi="Times New Roman"/>
          <w:sz w:val="22"/>
          <w:szCs w:val="22"/>
          <w:color w:val="auto"/>
        </w:rPr>
        <w:t>. Except as otherwise permitted under Section 2.2 for initial elections or as otherwise permitted under this Section 3.4, a Participant’s Compensation reduction agreement must be executed and shall become irrevocable by no later than the December 31 preceding the Plan Year for Compensation payable with respect to services rendered after such date through the following December 31. Notwithstanding the foregoing, to the extent a deferral election relates to any portion of a Bonus that constitutes “performance-based compensation” within the meaning of Treasury Regulations Section 1.409A-1(e), the Participant may make the irrevocable election to defer such performance-based compensation on or before the date that is six months before the end of the performance period, provided that the Participant performs services continuously from (i) the later of (x) the beginning of the performance period and (y) the date the performance criteria are established through (ii) the date such election is made, and provided further that in no event may an election to defer performance-based compensation be made after such compensation is readily ascertainable (as determined in accordance with Treasury Regulations Section 1.409A-2(a)(8)). Subject to such rules as the Administrator may prescribe, any election may be made electronically or in writing.</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An agreement to defer Compensation for a Plan Year may be changed at any time prior to the applicable deferral deadline, subject to such additional limitations as the Administrator may prescribe. If a Participant fails to make an election for any Plan Year, the Participant’s election for the prior Plan Year will be cancelled and will not apply for the following Plan Year.</w:t>
      </w:r>
    </w:p>
    <w:p>
      <w:pPr>
        <w:spacing w:after="0" w:line="153"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b w:val="1"/>
          <w:bCs w:val="1"/>
          <w:u w:val="single" w:color="auto"/>
          <w:color w:val="auto"/>
        </w:rPr>
        <w:t>Employer Credits</w:t>
      </w:r>
      <w:r>
        <w:rPr>
          <w:rFonts w:ascii="Times New Roman" w:cs="Times New Roman" w:eastAsia="Times New Roman" w:hAnsi="Times New Roman"/>
          <w:sz w:val="21"/>
          <w:szCs w:val="21"/>
          <w:color w:val="auto"/>
        </w:rPr>
        <w:t>. From time to time the Employer may, but is not required to, credit (an “</w:t>
      </w:r>
      <w:r>
        <w:rPr>
          <w:rFonts w:ascii="Times New Roman" w:cs="Times New Roman" w:eastAsia="Times New Roman" w:hAnsi="Times New Roman"/>
          <w:sz w:val="21"/>
          <w:szCs w:val="21"/>
          <w:b w:val="1"/>
          <w:bCs w:val="1"/>
          <w:color w:val="auto"/>
        </w:rPr>
        <w:t>Employer Credit</w:t>
      </w:r>
      <w:r>
        <w:rPr>
          <w:rFonts w:ascii="Times New Roman" w:cs="Times New Roman" w:eastAsia="Times New Roman" w:hAnsi="Times New Roman"/>
          <w:sz w:val="21"/>
          <w:szCs w:val="21"/>
          <w:color w:val="auto"/>
        </w:rPr>
        <w:t>”) to a Participant’s Account for a Plan Year an amount (determined in the sole discretion of the Employer by written action of its Board of Directors) in addition to any credits in respect of deferrals under Section 3.1, Section 3.2 and/or Section 3.3. The portion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22"/>
          <w:szCs w:val="22"/>
          <w:color w:val="auto"/>
        </w:rPr>
        <w:t>of a Participant’s Account reflecting vested Employer Credits shall be distributed to the Participant in the form and at the time elected by the Participant in accordance with Article 7.</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u w:val="single" w:color="auto"/>
          <w:color w:val="auto"/>
        </w:rPr>
        <w:t>Time of Transfer of Assets</w:t>
      </w:r>
      <w:r>
        <w:rPr>
          <w:rFonts w:ascii="Times New Roman" w:cs="Times New Roman" w:eastAsia="Times New Roman" w:hAnsi="Times New Roman"/>
          <w:sz w:val="22"/>
          <w:szCs w:val="22"/>
          <w:color w:val="auto"/>
        </w:rPr>
        <w:t>. The Company will from time to time transfer assets to the Trustee to be held in trust for the purposes and subject to the rules set forth in the trust agreement.</w:t>
      </w:r>
    </w:p>
    <w:p>
      <w:pPr>
        <w:spacing w:after="0" w:line="1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u w:val="single" w:color="auto"/>
          <w:color w:val="auto"/>
        </w:rPr>
        <w:t>Participants’ Accounts.</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u w:val="single" w:color="auto"/>
          <w:color w:val="auto"/>
        </w:rPr>
        <w:t>Individual Accounts</w:t>
      </w:r>
      <w:r>
        <w:rPr>
          <w:rFonts w:ascii="Times New Roman" w:cs="Times New Roman" w:eastAsia="Times New Roman" w:hAnsi="Times New Roman"/>
          <w:sz w:val="21"/>
          <w:szCs w:val="21"/>
          <w:color w:val="auto"/>
        </w:rPr>
        <w:t>. The Administrator will establish and maintain an Account for each Participant which will reflect Salary Deferrals, Bonus Deferrals, Director Remuneration Deferrals consisting of cash retainers and fees (“Retainer Deferral Account”), Director Remuneration Deferrals consisting of Deferred RSUs and any Stock Units credited with respect thereto as provided under Section 5.3 of the Plan (“Stock Unit Account”), and any Employer Credits credited to the Account in respect of the Participant plus credits as described in Article 5 below, as applicable. The Administrator will establish and maintain such other accounts and records as it decides in its discretion to be reasonably required or appropriate to discharge its duties under the Plan. Participants will be furnished statements of their Account values at least quarterly during each Plan Year. A Participant shall at all times have a nonforfeitable right to that portion of his or her Account attributable to Salary Deferrals, Bonus Deferrals or Director Remuneration Deferrals, as adjusted for notional investment return and distributions, provided that, with respect to that portion of Director Remuneration Deferrals consisting of the Deferred RSUs and any Stock Units credited with respect thereto, such nonforfeitable right shall commence as of the applicable vesting date of the underlying restricted stock unit. The Administrator shall determine the vesting terms that apply to any Employer Credits and related adjustments.</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u w:val="single" w:color="auto"/>
          <w:color w:val="auto"/>
        </w:rPr>
        <w:t>Accounting for Distributions</w:t>
      </w:r>
      <w:r>
        <w:rPr>
          <w:rFonts w:ascii="Times New Roman" w:cs="Times New Roman" w:eastAsia="Times New Roman" w:hAnsi="Times New Roman"/>
          <w:sz w:val="22"/>
          <w:szCs w:val="22"/>
          <w:color w:val="auto"/>
        </w:rPr>
        <w:t>. A distribution to a Participant or to a Participant’s Beneficiary(ies) shall be charged to the Participant’s Account as of that date.</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u w:val="single" w:color="auto"/>
          <w:color w:val="auto"/>
        </w:rPr>
        <w:t>Designation of Notional Investment Options</w:t>
      </w:r>
      <w:r>
        <w:rPr>
          <w:rFonts w:ascii="Times New Roman" w:cs="Times New Roman" w:eastAsia="Times New Roman" w:hAnsi="Times New Roman"/>
          <w:sz w:val="22"/>
          <w:szCs w:val="22"/>
          <w:color w:val="auto"/>
        </w:rPr>
        <w:t>. The Administrator shall have the discretion to designate the range of investment options that shall be available for purposes of determining how Account balances are to be adjusted for notional investment experience; it being understood that all Deferred RSUs shall be allocated to the Stock Unit Fund. The Administrator may change the notional investment options available to Participants at any time and from time to time, without approval from the Participants. Any such change of notional investment options shall become effective as determined by the Administrator in its sole discretion.</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u w:val="single" w:color="auto"/>
          <w:color w:val="auto"/>
        </w:rPr>
        <w:t>Earnings Credits.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Manner of Determination</w:t>
      </w:r>
      <w:r>
        <w:rPr>
          <w:rFonts w:ascii="Times New Roman" w:cs="Times New Roman" w:eastAsia="Times New Roman" w:hAnsi="Times New Roman"/>
          <w:sz w:val="22"/>
          <w:szCs w:val="22"/>
          <w:color w:val="auto"/>
        </w:rPr>
        <w:t>. Notional earnings and other notional investment-related adjustments with respect to the Accounts of Participants shall be determined as though the Accounts were invested and reinvested in the eligible investments selected by the Administrator in the proportions designated by the Participant pursuant to Section 5.2 and adjusted at least quarterly based on the current fair market value.</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Notional Investment Decisions</w:t>
      </w:r>
      <w:r>
        <w:rPr>
          <w:rFonts w:ascii="Times New Roman" w:cs="Times New Roman" w:eastAsia="Times New Roman" w:hAnsi="Times New Roman"/>
          <w:sz w:val="22"/>
          <w:szCs w:val="22"/>
          <w:color w:val="auto"/>
        </w:rPr>
        <w:t>. The notional investments of Accounts shall be as directed by the Administrator except to the extent the Administrator authorizes Participants to direct the notional investment of their respective Accounts. In each case the adjustment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spacing w:after="0" w:line="258" w:lineRule="auto"/>
        <w:rPr>
          <w:sz w:val="20"/>
          <w:szCs w:val="20"/>
          <w:color w:val="auto"/>
        </w:rPr>
      </w:pPr>
      <w:r>
        <w:rPr>
          <w:rFonts w:ascii="Times New Roman" w:cs="Times New Roman" w:eastAsia="Times New Roman" w:hAnsi="Times New Roman"/>
          <w:sz w:val="22"/>
          <w:szCs w:val="22"/>
          <w:color w:val="auto"/>
        </w:rPr>
        <w:t>Accounts for notional investment experience shall be subject to such rules, restrictions and limitations as the Administrator may determine.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Notional Investment in Stock Unit Fund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8"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credited to the Stock Unit Account with respect to a Director will be notionally invested in the Stock Unit Fund. Except to the extent permitted by the Administrator, amounts credited for notional investment in the Stock Unit Fund shall not be permitted to be subsequently reallocated to any other investment option. Except as otherwise determined by the Administrator or as provided below with respect to fractional Stock Units, amounts allocated to the Stock Unit Account shall be distributable in the form of Stock.</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Notional earnings credited to the Stock Unit Fund, including dividends declared with respect to Stock, shall remain allocated to the Stock Unit Fund and deemed to be reinvested in additional Stock Units until such amounts are distributed to the Participant, except as otherwise determined by the Administrator. In the case of a stock dividend, the number of additional Stock Units credited to the Stock Unit Fund shall be equal to the number of Stock Units multiplied by the per share Stock dividend (including fractional shares) declared by Domino’s Pizza, Inc., rounded down to the nearest whole share. In the case of a cash dividend, the number of additional Stock Units credited to the Stock Unit Fund shall be equal to the cash dividend times the number of Stock Units previously credited for notional investment in the Stock Unit Fund, divided by the fair market value of a share of Stock as determined by the Administrator in its sole discretion (with any fractional shares accumulated and, to the extent a fractional Stock Unit exists at the time the Stock Units are settled hereunder, such fractional Stock Unit will be settled in cash). Any Stock Units that are so credited related to a Director Equity Award shall be subject to the same vesting terms and conditions as such Director Equity Award.</w:t>
      </w:r>
    </w:p>
    <w:p>
      <w:pPr>
        <w:spacing w:after="0" w:line="187"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Stock Units credited to the Participant’s Stock Unit Account shall be adjusted by the Administrator, in its sole discretion, to prevent dilution or enlargement of Participants’ rights with respect to the portion of his or her Account balance credited to the Stock Unit Account in the event of any reorganization, reclassification, stock split, or other corporate transaction or event which, in the Administrator’s determination, affects the value of the Stock.</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to the extent required under applicable law, including applicable listing standards, any Stock Units settled in shares of Stock shall reduce the number of shares available for grant under the EIP. To the extent required under applicable law, including applicable listing standards, if the Administrator determines that settlement of Stock Units in shares of Stock could reasonably be expected to result in an issuance of shares of Stock in excess of the limit set forth under such plan (as the same may from time to time be increased by amendment, subject to shareholder approval to the extent required), the Administrator may require that a portion or all of the Stock Units in affected Participants’ Accounts be settled in cash.</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u w:val="single" w:color="auto"/>
          <w:color w:val="auto"/>
        </w:rPr>
        <w:t>Right to Benefits.</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Each Participant who is an Employee will receive a distribution of his or her vested Account, to the extent not previously distributed, on the earliest to occur of 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both"/>
        <w:spacing w:after="0" w:line="238" w:lineRule="auto"/>
        <w:rPr>
          <w:sz w:val="20"/>
          <w:szCs w:val="20"/>
          <w:color w:val="auto"/>
        </w:rPr>
      </w:pPr>
      <w:r>
        <w:rPr>
          <w:rFonts w:ascii="Times New Roman" w:cs="Times New Roman" w:eastAsia="Times New Roman" w:hAnsi="Times New Roman"/>
          <w:sz w:val="22"/>
          <w:szCs w:val="22"/>
          <w:color w:val="auto"/>
        </w:rPr>
        <w:t>Separation From Service, death, a Change in Control, and a Specified Time (if a Specified Time is so elected by the Participant pursuant to Section 6.5). Each Participant who is a Director will receive a distribution of his or her vested Account on the earliest to occur of (i) the later of (a) a Separation From Service and (b) a Specified Time (if a Specified Time is so elected by the Participant pursuant to Section 6.5), (ii) death, and (iii) a Change in Control. Distributions will also be available in the event of an Unforeseeable Emergency pursuant to Section 6.6.</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u w:val="single" w:color="auto"/>
          <w:color w:val="auto"/>
        </w:rPr>
        <w:t>Distributions Upon a Separation From Service</w:t>
      </w:r>
      <w:r>
        <w:rPr>
          <w:rFonts w:ascii="Times New Roman" w:cs="Times New Roman" w:eastAsia="Times New Roman" w:hAnsi="Times New Roman"/>
          <w:sz w:val="22"/>
          <w:szCs w:val="22"/>
          <w:color w:val="auto"/>
        </w:rPr>
        <w:t>. If a Participant who is an Employee has a Separation From Service, or if a Participant who is a Director has a Separation From Service that occurs at or after any Specified Time elected by the Director pursuant to Section 6.5, the balance of the Participant’s vested Account will be distributed to him in accordance with Article 7. If a Participant who is a Director has a Separation From Service that occurs before any Specified Time elected by the Director pursuant to Section 6.5, the balance of the Participant’s vested Account will not be distributed to him until the Specified Time in accordance with Article 7 (or, if earlier, until death or a Change of Control).</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u w:val="single" w:color="auto"/>
          <w:color w:val="auto"/>
        </w:rPr>
        <w:t>Distributions Upon Death</w:t>
      </w:r>
      <w:r>
        <w:rPr>
          <w:rFonts w:ascii="Times New Roman" w:cs="Times New Roman" w:eastAsia="Times New Roman" w:hAnsi="Times New Roman"/>
          <w:sz w:val="22"/>
          <w:szCs w:val="22"/>
          <w:color w:val="auto"/>
        </w:rPr>
        <w:t>. If a Participant dies, his or her designated Beneficiary or Beneficiaries will be entitled to receive the balance of his or her vested Account, calculated as of the date of the distribution due to death. Distribution to the Beneficiary or Beneficiaries will be made in a lump sum payment within sixty (60) days of the Participant’s death.</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Participant may designate a Beneficiary or Beneficiaries, or change any prior designation of Beneficiary or Beneficiaries by giving notice to the Administrator on a form prescribed by or acceptable to the Administrator. If more than one person is designated as the Beneficiary, their respective interests shall be as indicated on the designation form.</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the Administrator may otherwise determine, a copy of the death certificate or other sufficient documentation must be filed with and approved by the Administrator. If upon the death of the Participant there is, in the opinion of the Administrator, no designated Beneficiary, the balance of the vested Account will be paid to his or her surviving spouse or, if none, to his or her estate (such spouse or estate shall be deemed to be the Beneficiary for purposes of the Plan).</w:t>
      </w:r>
    </w:p>
    <w:p>
      <w:pPr>
        <w:spacing w:after="0" w:line="17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b w:val="1"/>
          <w:bCs w:val="1"/>
          <w:u w:val="single" w:color="auto"/>
          <w:color w:val="auto"/>
        </w:rPr>
        <w:t>Distributions Upon a Change in Control</w:t>
      </w:r>
      <w:r>
        <w:rPr>
          <w:rFonts w:ascii="Times New Roman" w:cs="Times New Roman" w:eastAsia="Times New Roman" w:hAnsi="Times New Roman"/>
          <w:sz w:val="21"/>
          <w:szCs w:val="21"/>
          <w:color w:val="auto"/>
        </w:rPr>
        <w:t>. Upon a Change in Control, the Employer shall pay to the Participant in a lump sum payment the balance of the Participant’s vested Account, calculated as of the date of the distribution due to a Change in Control. Such lump sum payment shall be made within sixty (60) days of the Change in Control, and any adjustments to the Participant’s Account as a result of the application of Paragraph 5.2 above, shall be made based upon the distribution date. Amounts credited to a Stock Unit Account may be settled in cash in the event of a distribution following a Change in Control.</w:t>
      </w:r>
    </w:p>
    <w:p>
      <w:pPr>
        <w:spacing w:after="0" w:line="16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u w:val="single" w:color="auto"/>
          <w:color w:val="auto"/>
        </w:rPr>
        <w:t>Payments at a Specified Time</w:t>
      </w:r>
      <w:r>
        <w:rPr>
          <w:rFonts w:ascii="Times New Roman" w:cs="Times New Roman" w:eastAsia="Times New Roman" w:hAnsi="Times New Roman"/>
          <w:sz w:val="22"/>
          <w:szCs w:val="22"/>
          <w:color w:val="auto"/>
        </w:rPr>
        <w:t>. A Participant may elect to have all or a portion of his or her vested Account distributed or commence to be distributed on a specified date or pursuant to a fixed schedule designated by the Participant in accordance with Article 7 (each, a “</w:t>
      </w:r>
      <w:r>
        <w:rPr>
          <w:rFonts w:ascii="Times New Roman" w:cs="Times New Roman" w:eastAsia="Times New Roman" w:hAnsi="Times New Roman"/>
          <w:sz w:val="22"/>
          <w:szCs w:val="22"/>
          <w:b w:val="1"/>
          <w:bCs w:val="1"/>
          <w:color w:val="auto"/>
        </w:rPr>
        <w:t>Specified Time</w:t>
      </w:r>
      <w:r>
        <w:rPr>
          <w:rFonts w:ascii="Times New Roman" w:cs="Times New Roman" w:eastAsia="Times New Roman" w:hAnsi="Times New Roman"/>
          <w:sz w:val="22"/>
          <w:szCs w:val="22"/>
          <w:color w:val="auto"/>
        </w:rPr>
        <w:t>”); provided, however, that should a Separation From Service (in the case of a Participant who is an Employee), the Participant’s death, or a Change in Control occur before the payments commence or before commenced payments have completed, the distribution provisions under Section 6.2, 6.3 or 6.4, as applicable, shall control. Amounts are payable at a Specified Time if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22"/>
          <w:szCs w:val="22"/>
          <w:color w:val="auto"/>
        </w:rPr>
        <w:t>objectively determinable amounts are payable at a date or dates that are objectively determinable at the time the amount is deferred, in accordance with Treasury Regulations Section 1.409A-3(i)(1).</w:t>
      </w:r>
    </w:p>
    <w:p>
      <w:pPr>
        <w:spacing w:after="0" w:line="15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u w:val="single" w:color="auto"/>
          <w:color w:val="auto"/>
        </w:rPr>
        <w:t>Distributions Due to an Unforeseeable Emergency</w:t>
      </w:r>
      <w:r>
        <w:rPr>
          <w:rFonts w:ascii="Times New Roman" w:cs="Times New Roman" w:eastAsia="Times New Roman" w:hAnsi="Times New Roman"/>
          <w:sz w:val="22"/>
          <w:szCs w:val="22"/>
          <w:color w:val="auto"/>
        </w:rPr>
        <w:t>. A Participant may request a distribution from his or her vested Account in the event of an Unforeseeable Emergency. The request to take a distribution shall be made by completing a form provided by and filed with the Administrator. If the Administrator determines in its sole discretion that an Unforeseeable Emergency has arisen, prior to any distributions, the Administrator will first require that all outstanding Salary Deferrals, Bonus Deferrals, and/or Director Remuneration Deferrals deferred pursuant to Sections 3.1, 3.2, or 3.3 be cancelled. If the Administrator determines that the requested distribution is for the purpose of meeting an Unforeseeable Emergency in accordance with Section 1.1(dd) of the Plan, and that the requested distribution is necessary to relieve the Unforeseeable Emergency even after the cancellation of outstanding deferral election(s), then the amount determined by the Administrator, sufficient to meet the Unforeseeable Emergency in accordance with Section 1.1(dd) of the Plan, shall be paid in a single cash lump sum as soon as practicable. Once a Participant’s deferral election(s) is cancelled under this Section 6.6, a Participant may not elect to again defer Compensation with respect to the Plan Year in which the cancellation occurs, but may elect deferrals with respect to the next Plan Year’s Compensation in accordance with Section 3.4.</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b w:val="1"/>
          <w:bCs w:val="1"/>
          <w:u w:val="single" w:color="auto"/>
          <w:color w:val="auto"/>
        </w:rPr>
        <w:t>Adjustment for Investment Experience</w:t>
      </w:r>
      <w:r>
        <w:rPr>
          <w:rFonts w:ascii="Times New Roman" w:cs="Times New Roman" w:eastAsia="Times New Roman" w:hAnsi="Times New Roman"/>
          <w:sz w:val="22"/>
          <w:szCs w:val="22"/>
          <w:color w:val="auto"/>
        </w:rPr>
        <w:t>. If any distribution under this Article 6 is not made in a single payment, the amount remaining in the Account after the distribution will continue to be subject to adjustment for notional investment experience until distributed.</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u w:val="single" w:color="auto"/>
          <w:color w:val="auto"/>
        </w:rPr>
        <w:t>Distribution of Benefits.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u w:val="single" w:color="auto"/>
          <w:color w:val="auto"/>
        </w:rPr>
        <w:t>Time and Form of Distribution Upon a Separation From Service or at a Specified Time</w:t>
      </w:r>
      <w:r>
        <w:rPr>
          <w:rFonts w:ascii="Times New Roman" w:cs="Times New Roman" w:eastAsia="Times New Roman" w:hAnsi="Times New Roman"/>
          <w:sz w:val="22"/>
          <w:szCs w:val="22"/>
          <w:color w:val="auto"/>
        </w:rPr>
        <w:t>. To the extent a payment will be made upon a Separation From Service or at a Specified Time, the Participant, other than a Participant who is a Director and with respect to whom a Stock Unit Account is maintained, shall be paid in the form he elected at the time of deferral pursuant to Article 3, from the options below:</w:t>
      </w:r>
    </w:p>
    <w:p>
      <w:pPr>
        <w:spacing w:after="0" w:line="176" w:lineRule="exact"/>
        <w:rPr>
          <w:sz w:val="20"/>
          <w:szCs w:val="20"/>
          <w:color w:val="auto"/>
        </w:rPr>
      </w:pPr>
    </w:p>
    <w:p>
      <w:pPr>
        <w:ind w:left="1940" w:hanging="435"/>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within sixty (60) days of such event;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payment within sixty (60) days of the beginning of the calendar year following the occurrence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such event; or</w:t>
      </w:r>
    </w:p>
    <w:p>
      <w:pPr>
        <w:spacing w:after="0" w:line="182" w:lineRule="exact"/>
        <w:rPr>
          <w:sz w:val="20"/>
          <w:szCs w:val="20"/>
          <w:color w:val="auto"/>
        </w:rPr>
      </w:pPr>
    </w:p>
    <w:p>
      <w:pPr>
        <w:jc w:val="both"/>
        <w:ind w:firstLine="1505"/>
        <w:spacing w:after="0" w:line="235" w:lineRule="auto"/>
        <w:tabs>
          <w:tab w:leader="none" w:pos="19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or quarterly installments commencing on the first day of the next calendar year following the applicable event described above, payable over a period of not less than one (1) year or more than ten (10) years. The Administrator shall determine the amount of each installment by multiplying the balance of the Participant’s vested Account on the date it is scheduled to be paid by a fraction, the numerator of which is one (1) and denominator of which is the number of unpaid installments (e.g., the Employer or Trustee shall distribute 1/10th of the amounts credited to the Participant for the first annual installment, and 1/9th of the amounts credited to the Participant for the second installment, and so on). For these purposes, the right to a series of installment payments shall be treated as a right to a single payment.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the case of a Participant who is a Director and who has amounts allocated to a Stock Unit Account, such Director shall receive that number of shares of Stock equal to the number of Stock Units credited to the Stock Unit Account within sixty (60) days of the occurrence of a Separation From Service or at a Specified Time, as elected by the Director.</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Subject to Section 7.2 below, and absent the earlier death of the Participant or a Change in Control, (i) if a Participant does not elect a Specified Time, the balance of the Participant’s vested Account will be distributed in cash, in a lump sum payment within sixty (60) days following his or her Separation From Service; (ii) if a Participant who is an Employee elects a Specified Time, but fails to elect a form of payment described in clauses (a), (b), and (c) above, the balance of the Participant’s vested Account will be distributed in cash, in a lump sum payment within sixty (60) days following the earlier of his or her Separation From Service and the Specified Time; and (iii) if a Participant who is a Director elects a Specified Time, but fails to elect a form of payment described in clauses (a), (b), and (c) above, the balance of the Participant’s vested Retainer Deferral Account will be distributed in cash, in a lump sum payment within sixty (60) days following the later of his or her Separation From Service and the Specified Time. The amount of any distribution pursuant to this paragraph will be calculated as of the date of the distribution.</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u w:val="single" w:color="auto"/>
          <w:color w:val="auto"/>
        </w:rPr>
        <w:t>Delay of Payment to Specified Employees Upon a Separation From Service</w:t>
      </w:r>
      <w:r>
        <w:rPr>
          <w:rFonts w:ascii="Times New Roman" w:cs="Times New Roman" w:eastAsia="Times New Roman" w:hAnsi="Times New Roman"/>
          <w:sz w:val="22"/>
          <w:szCs w:val="22"/>
          <w:color w:val="auto"/>
        </w:rPr>
        <w:t>. A distribution (or commencement of installments) to a Specified Employee that is to be paid upon a Separation From Service shall be delayed until the first day of the seventh month following the month containing the date of Separation From Service (or until death, if earlier). In the case of installments, the second installment will be paid on the anniversary of the first installment (and, in the case of quarterly payments, the second installment shall be delayed by three months), and each subsequent installment will be paid on each such anniversary thereafter (i.e., as originally scheduled).</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u w:val="single" w:color="auto"/>
          <w:color w:val="auto"/>
        </w:rPr>
        <w:t>Change in Time or Method of Distribution</w:t>
      </w:r>
      <w:r>
        <w:rPr>
          <w:rFonts w:ascii="Times New Roman" w:cs="Times New Roman" w:eastAsia="Times New Roman" w:hAnsi="Times New Roman"/>
          <w:sz w:val="22"/>
          <w:szCs w:val="22"/>
          <w:color w:val="auto"/>
        </w:rPr>
        <w:t>. A Participant’s election with respect to the time and manner of distribution may be modified and/or delayed by the Participant according to the following rules:</w:t>
      </w:r>
    </w:p>
    <w:p>
      <w:pPr>
        <w:spacing w:after="0" w:line="154" w:lineRule="exact"/>
        <w:rPr>
          <w:sz w:val="20"/>
          <w:szCs w:val="20"/>
          <w:color w:val="auto"/>
        </w:rPr>
      </w:pPr>
    </w:p>
    <w:p>
      <w:pPr>
        <w:ind w:right="20" w:firstLine="1505"/>
        <w:spacing w:after="0" w:line="258" w:lineRule="auto"/>
        <w:tabs>
          <w:tab w:leader="none" w:pos="19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subsequent election shall take effect not earlier than twelve (12) months after the date on which the subsequent election is made;</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the Participant’s death, the payment with respect to which an election is made must be deferred for a period of at least five (5) years from the date the payment otherwise would have been made;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distribution made on account of a Specified Time under Section 6.5, such election may not be made less than twelve (12) months prior to the date of the first scheduled payment.</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u w:val="single" w:color="auto"/>
          <w:color w:val="auto"/>
        </w:rPr>
        <w:t>Notice to Trustee</w:t>
      </w:r>
      <w:r>
        <w:rPr>
          <w:rFonts w:ascii="Times New Roman" w:cs="Times New Roman" w:eastAsia="Times New Roman" w:hAnsi="Times New Roman"/>
          <w:sz w:val="22"/>
          <w:szCs w:val="22"/>
          <w:color w:val="auto"/>
        </w:rPr>
        <w:t>. The Administrator will notify the Trustee in writing whenever any Participant or Beneficiary is entitled to receive benefits under the Plan. The Administrator’s notice shall indicate the form, amount and frequency of benefits that such Participant or Beneficiary shall receive.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u w:val="single" w:color="auto"/>
          <w:color w:val="auto"/>
        </w:rPr>
        <w:t>Withholding; Employment Taxes</w:t>
      </w:r>
      <w:r>
        <w:rPr>
          <w:rFonts w:ascii="Times New Roman" w:cs="Times New Roman" w:eastAsia="Times New Roman" w:hAnsi="Times New Roman"/>
          <w:sz w:val="22"/>
          <w:szCs w:val="22"/>
          <w:color w:val="auto"/>
        </w:rPr>
        <w:t>. To the extent required by the law in effect at the time payments are made, the Employer shall withhold any taxes required to be withheld by any Federal, state or local government. Pursuant to Code Section 3121(v), FICA taxes are due and payable at the time of deferral rather than at the time of distribution to the Participant. Accordingly, at the time of deferral, each Participant will be required to pay to the Employer, either by payroll deduction or check, the Participant’s share of FICA taxes due and payable. In the event of any Employer Credit under Section 3.5, the Administrator may satisfy any FICA withholding (at the time of such Credit or in connection with any later vesting) either by reducing other wage payments made to the Participant or by reducing the Account in a manner consistent with the Treasury Regulations under Section 409A of the Code.</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u w:val="single" w:color="auto"/>
          <w:color w:val="auto"/>
        </w:rPr>
        <w:t>Amendment and Termination.</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u w:val="single" w:color="auto"/>
          <w:color w:val="auto"/>
        </w:rPr>
        <w:t>Amendment by Employer</w:t>
      </w:r>
      <w:r>
        <w:rPr>
          <w:rFonts w:ascii="Times New Roman" w:cs="Times New Roman" w:eastAsia="Times New Roman" w:hAnsi="Times New Roman"/>
          <w:sz w:val="22"/>
          <w:szCs w:val="22"/>
          <w:color w:val="auto"/>
        </w:rPr>
        <w:t>. The Company reserves the authority to amend or restate the Plan. Any changes are to be effective on the effective date of such amendment or restatement. Notwithstanding any such change, no Participant’s Account shall be reduced below the amount to which the Participant would have been entitled if he had voluntarily left the employ of the Employer immediately prior to the date of the change. The Company may from time to time make any amendment to the Plan that may be necessary to satisfy the Code or ERISA. Except as the Compensation Committee of the Board may otherwise determine, and subject to such restrictions and limitations as the aforesaid Compensation Committee or the Board may impose, the Chief Executive Officer, the Executive Vice President and Chief Financial Officer, the Executive Vice President and General Counsel, or the Executive Vice President and Chief Human Resources Officer of the Company may exercise the Company’s authority and powers under this Section 8.1 on behalf of the Company; provided, that except upon authorization from the aforesaid Compensation Committee, or the Board, no such officer may amend the Plan (i) in any way that affects such officer’s own rights or benefits except as incidental to a nondiscriminatory change affecting all similarly situated Participants, or (ii) to increase materially the benefits under, or the costs to the Company of, the Plan.</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u w:val="single" w:color="auto"/>
          <w:color w:val="auto"/>
        </w:rPr>
        <w:t>Retroactive Amendments</w:t>
      </w:r>
      <w:r>
        <w:rPr>
          <w:rFonts w:ascii="Times New Roman" w:cs="Times New Roman" w:eastAsia="Times New Roman" w:hAnsi="Times New Roman"/>
          <w:sz w:val="22"/>
          <w:szCs w:val="22"/>
          <w:color w:val="auto"/>
        </w:rPr>
        <w:t>. An amendment made by the Company in accordance with this Section may be made effective on a date prior to the first day of the Plan Year in which it is adopted if such amendment is necessary or appropriate to enable the Plan and Trust to satisfy the applicable requirements of the Code or ERISA or to conform the Plan to any change in federal law or to any regulations or ruling thereunder. Any retroactive amendment by the Company shall be subject to the provisions of Section 8.1.</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u w:val="single" w:color="auto"/>
          <w:color w:val="auto"/>
        </w:rPr>
        <w:t>Plan Termination</w:t>
      </w:r>
      <w:r>
        <w:rPr>
          <w:rFonts w:ascii="Times New Roman" w:cs="Times New Roman" w:eastAsia="Times New Roman" w:hAnsi="Times New Roman"/>
          <w:sz w:val="22"/>
          <w:szCs w:val="22"/>
          <w:color w:val="auto"/>
        </w:rPr>
        <w:t>. The Company has adopted the Plan with the intention and expectation that it will be continued indefinitely. However, the Company has no obligation or liability whatsoever to maintain the Plan for any length of time and may discontinue or terminate the Plan at any time by written notice delivered to the Participants without any liability hereunder for any such discontinuance or termination.</w:t>
      </w:r>
    </w:p>
    <w:p>
      <w:pPr>
        <w:spacing w:after="0" w:line="172"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b w:val="1"/>
          <w:bCs w:val="1"/>
          <w:u w:val="single" w:color="auto"/>
          <w:color w:val="auto"/>
        </w:rPr>
        <w:t>Distribution Upon Termination of the Plan</w:t>
      </w:r>
      <w:r>
        <w:rPr>
          <w:rFonts w:ascii="Times New Roman" w:cs="Times New Roman" w:eastAsia="Times New Roman" w:hAnsi="Times New Roman"/>
          <w:sz w:val="21"/>
          <w:szCs w:val="21"/>
          <w:color w:val="auto"/>
        </w:rPr>
        <w:t>. Upon termination of the Plan, no further contributions shall be made to the Plan. Accounts of Participants shall not be distributed at the time of termination but shall be maintained and continue to be governed by the Plan until paid out in accordance with the terms of the Plan, provided, however, that the Employer may elect to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9" w:name="page120"/>
    <w:bookmarkEnd w:id="119"/>
    <w:p>
      <w:pPr>
        <w:jc w:val="both"/>
        <w:spacing w:after="0" w:line="258" w:lineRule="auto"/>
        <w:rPr>
          <w:sz w:val="20"/>
          <w:szCs w:val="20"/>
          <w:color w:val="auto"/>
        </w:rPr>
      </w:pPr>
      <w:r>
        <w:rPr>
          <w:rFonts w:ascii="Times New Roman" w:cs="Times New Roman" w:eastAsia="Times New Roman" w:hAnsi="Times New Roman"/>
          <w:sz w:val="22"/>
          <w:szCs w:val="22"/>
          <w:color w:val="auto"/>
        </w:rPr>
        <w:t>accelerate the time and form of payment, or make a payment under the Plan, where the acceleration of the payment is made pursuant to a termination and liquidation of the Plan in accordance with Treasury Regulations Section 1.409A-3(j)(4)(ix).</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u w:val="single" w:color="auto"/>
          <w:color w:val="auto"/>
        </w:rPr>
        <w:t>The Rabbi Trust.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u w:val="single" w:color="auto"/>
          <w:color w:val="auto"/>
        </w:rPr>
        <w:t>Establishment of Rabbi Trust</w:t>
      </w:r>
      <w:r>
        <w:rPr>
          <w:rFonts w:ascii="Times New Roman" w:cs="Times New Roman" w:eastAsia="Times New Roman" w:hAnsi="Times New Roman"/>
          <w:sz w:val="22"/>
          <w:szCs w:val="22"/>
          <w:color w:val="auto"/>
        </w:rPr>
        <w:t>. The Company has established the Trust, in accordance with the terms and conditions as set forth in the Trust Agreement between the Company and Fidelity Management Trust Company, dated as of February 1, 1999, as from time to time in effect, under which assets are held, administered and managed, subject to the claims of the Company’s creditors in the event of its insolvency, until paid to Participants and their Beneficiaries as specified in the Plan. The Trust is intended to be treated as a grantor trust under the Code, and the establishment of the Trust is not intended to cause Participants to realize current income on amounts contributed thereto.</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u w:val="single" w:color="auto"/>
          <w:color w:val="auto"/>
        </w:rPr>
        <w:t>Communication to Participants</w:t>
      </w:r>
      <w:r>
        <w:rPr>
          <w:rFonts w:ascii="Times New Roman" w:cs="Times New Roman" w:eastAsia="Times New Roman" w:hAnsi="Times New Roman"/>
          <w:sz w:val="22"/>
          <w:szCs w:val="22"/>
          <w:color w:val="auto"/>
        </w:rPr>
        <w:t>. The Plan, along with any amendments, will be provided to each Participant by the Administrator upon request. Participants shall have no right to receive Plan documentation or information that is not applicable to their participation in the Plan.</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u w:val="single" w:color="auto"/>
          <w:color w:val="auto"/>
        </w:rPr>
        <w:t>Limitation of Rights</w:t>
      </w:r>
      <w:r>
        <w:rPr>
          <w:rFonts w:ascii="Times New Roman" w:cs="Times New Roman" w:eastAsia="Times New Roman" w:hAnsi="Times New Roman"/>
          <w:sz w:val="22"/>
          <w:szCs w:val="22"/>
          <w:color w:val="auto"/>
        </w:rPr>
        <w:t>. None of the establishment of the Plan and the Trust, any amendment thereof, the creation of any fund or account, or the payment of any benefits will be construed as giving to any Participant or other person any legal or equitable right against the Employer, Administrator or Trustee, except as provided herein; and in no event will the terms of employment or service of any Participant be modified or in any way affected hereby.</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u w:val="single" w:color="auto"/>
          <w:color w:val="auto"/>
        </w:rPr>
        <w:t>Spendthrift Provision</w:t>
      </w:r>
      <w:r>
        <w:rPr>
          <w:rFonts w:ascii="Times New Roman" w:cs="Times New Roman" w:eastAsia="Times New Roman" w:hAnsi="Times New Roman"/>
          <w:sz w:val="22"/>
          <w:szCs w:val="22"/>
          <w:color w:val="auto"/>
        </w:rPr>
        <w:t>. The benefits provided hereunder will not be subject to alienation, assignment, garnishment, attachment, execution or levy of any kind, either voluntarily or involuntarily, and any attempt to cause such benefits to be so subjected will not be recognized, except to such extent as may be required by law.</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u w:val="single" w:color="auto"/>
          <w:color w:val="auto"/>
        </w:rPr>
        <w:t>Facility of Payment</w:t>
      </w:r>
      <w:r>
        <w:rPr>
          <w:rFonts w:ascii="Times New Roman" w:cs="Times New Roman" w:eastAsia="Times New Roman" w:hAnsi="Times New Roman"/>
          <w:sz w:val="22"/>
          <w:szCs w:val="22"/>
          <w:color w:val="auto"/>
        </w:rPr>
        <w:t>. In the event the Administrator determines, on the basis of medical reports or other evidence satisfactory to the Administrator, that the recipient of any benefit payments under the Plan is incapable of handling his or her affairs by reason of minority, illness, infirmity or other incapacity, the Administrator may direct the Trustee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Trust for the payment of benefits hereunder to such recipient.</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u w:val="single" w:color="auto"/>
          <w:color w:val="auto"/>
        </w:rPr>
        <w:t>No Implied Rights</w:t>
      </w:r>
      <w:r>
        <w:rPr>
          <w:rFonts w:ascii="Times New Roman" w:cs="Times New Roman" w:eastAsia="Times New Roman" w:hAnsi="Times New Roman"/>
          <w:sz w:val="22"/>
          <w:szCs w:val="22"/>
          <w:color w:val="auto"/>
        </w:rPr>
        <w:t>. Neither the establishment of the Plan nor any amendment or restatement thereof shall be construed as giving any Participant, Beneficiary, or any other person any legal or equitable right unless such right shall be specifically provided for in the Plan or conferred by specific action of the Employer in accordance with the terms and provisions of the Plan. Except as expressly provided in this Plan, the Employer shall not be required or be liable to make any payment under this Plan.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b w:val="1"/>
          <w:bCs w:val="1"/>
          <w:u w:val="single" w:color="auto"/>
          <w:color w:val="auto"/>
        </w:rPr>
        <w:t>No Right to Employer Assets</w:t>
      </w:r>
      <w:r>
        <w:rPr>
          <w:rFonts w:ascii="Times New Roman" w:cs="Times New Roman" w:eastAsia="Times New Roman" w:hAnsi="Times New Roman"/>
          <w:sz w:val="22"/>
          <w:szCs w:val="22"/>
          <w:color w:val="auto"/>
        </w:rPr>
        <w:t>. Neither the Participant nor any other person shall acquire by reason of the Plan any right in or title to any assets, funds or property of the Employer whatsoever including, without limiting the generality of the foregoing, any specific funds, assets, or other property which the Employer, in its sole discretion, may set aside in anticipation of a liability hereunder. Any benefits which become payable hereunder shall be paid from the general assets of the Employer. Participants and Beneficiaries shall have the status of general unsecured creditors of the Employer. The Participant shall have only a contractual right to the amounts, if any, payable hereunder unsecured by any asset of the Employer. Nothing herein contained in the Plan constitutes a guarantee by the Employer that the assets of the Employer shall be sufficient to pay any benefit to any person.</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b w:val="1"/>
          <w:bCs w:val="1"/>
          <w:u w:val="single" w:color="auto"/>
          <w:color w:val="auto"/>
        </w:rPr>
        <w:t>No Employment Rights</w:t>
      </w:r>
      <w:r>
        <w:rPr>
          <w:rFonts w:ascii="Times New Roman" w:cs="Times New Roman" w:eastAsia="Times New Roman" w:hAnsi="Times New Roman"/>
          <w:sz w:val="22"/>
          <w:szCs w:val="22"/>
          <w:color w:val="auto"/>
        </w:rPr>
        <w:t>. Nothing herein shall constitute a contract of employment or of continuing service or in any manner obligate the Employer to continue the services of the Participant, or obligate the Participant to continue in the service of the Employer, or as a limitation of the right of the Employer to discharge any of its employees, with or without cause. Nothing herein shall be construed as fixing or regulating the compensation payable to the Participant.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b w:val="1"/>
          <w:bCs w:val="1"/>
          <w:u w:val="single" w:color="auto"/>
          <w:color w:val="auto"/>
        </w:rPr>
        <w:t>Offset</w:t>
      </w:r>
      <w:r>
        <w:rPr>
          <w:rFonts w:ascii="Times New Roman" w:cs="Times New Roman" w:eastAsia="Times New Roman" w:hAnsi="Times New Roman"/>
          <w:sz w:val="22"/>
          <w:szCs w:val="22"/>
          <w:color w:val="auto"/>
        </w:rPr>
        <w:t>. If, at the time payments or installments of payments are to be made hereunder, the Participant or the Beneficiary or both are indebted or obligated to the Employer, then the payments remaining to be made to the Participant or the Beneficiary or both may, at the discretion of the Employer in a manner intended to comply with the requirements of Section 409A, as applicable, be reduced by the amount of such indebtedness or obligation, provided, however, that an election by the Employer not to reduce any such payment or payments shall not constitute a waiver of its claim for such indebtedness or obligations.</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or other communication in connection with this Plan shall be deemed delivered in writing if addressed as provided below and if either actually delivered at said address or, in the case of a letter, three business days shall have elapsed after the same shall have been deposited in the United States mails, first-class postage prepaid and registered or certified:</w:t>
      </w:r>
    </w:p>
    <w:p>
      <w:pPr>
        <w:spacing w:after="0" w:line="176"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it is sent to the Employer or Administrator, it will be at the address specified by the Employer;</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30 Frank Lloyd Wright Drive</w:t>
      </w:r>
    </w:p>
    <w:p>
      <w:pPr>
        <w:ind w:left="2260"/>
        <w:spacing w:after="0" w:line="230" w:lineRule="auto"/>
        <w:rPr>
          <w:sz w:val="20"/>
          <w:szCs w:val="20"/>
          <w:color w:val="auto"/>
        </w:rPr>
      </w:pPr>
      <w:r>
        <w:rPr>
          <w:rFonts w:ascii="Times New Roman" w:cs="Times New Roman" w:eastAsia="Times New Roman" w:hAnsi="Times New Roman"/>
          <w:sz w:val="22"/>
          <w:szCs w:val="22"/>
          <w:color w:val="auto"/>
        </w:rPr>
        <w:t>Ann Arbor, MI 48105</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Benefit Manager</w:t>
      </w:r>
    </w:p>
    <w:p>
      <w:pPr>
        <w:spacing w:after="0" w:line="182" w:lineRule="exact"/>
        <w:rPr>
          <w:sz w:val="20"/>
          <w:szCs w:val="20"/>
          <w:color w:val="auto"/>
        </w:rPr>
      </w:pPr>
    </w:p>
    <w:p>
      <w:pPr>
        <w:jc w:val="both"/>
        <w:ind w:firstLine="1505"/>
        <w:spacing w:after="0" w:line="244" w:lineRule="auto"/>
        <w:tabs>
          <w:tab w:leader="none" w:pos="19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sent to the Trustee, it will be sent to the address set forth in the Trust Agreement; or, in each case at such other address as the addressee shall have specified by written notice delivered in accordance with the foregoing to the addresser’s then effective notice address.</w:t>
      </w:r>
    </w:p>
    <w:p>
      <w:pPr>
        <w:spacing w:after="0" w:line="169"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Plan will be construed, administered and enforced according to applicable provisions of ERISA, and to the extent not preempted thereby, the laws of the State of Michigan.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1" w:name="page122"/>
    <w:bookmarkEnd w:id="121"/>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11.</w:t>
      </w:r>
      <w:r>
        <w:rPr>
          <w:sz w:val="20"/>
          <w:szCs w:val="20"/>
          <w:color w:val="auto"/>
        </w:rPr>
        <w:tab/>
      </w:r>
      <w:r>
        <w:rPr>
          <w:rFonts w:ascii="Times New Roman" w:cs="Times New Roman" w:eastAsia="Times New Roman" w:hAnsi="Times New Roman"/>
          <w:sz w:val="21"/>
          <w:szCs w:val="21"/>
          <w:b w:val="1"/>
          <w:bCs w:val="1"/>
          <w:u w:val="single" w:color="auto"/>
          <w:color w:val="auto"/>
        </w:rPr>
        <w:t>Plan Administration.</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u w:val="single" w:color="auto"/>
          <w:color w:val="auto"/>
        </w:rPr>
        <w:t>Powers and Responsibilities of the Administrator</w:t>
      </w:r>
      <w:r>
        <w:rPr>
          <w:rFonts w:ascii="Times New Roman" w:cs="Times New Roman" w:eastAsia="Times New Roman" w:hAnsi="Times New Roman"/>
          <w:sz w:val="22"/>
          <w:szCs w:val="22"/>
          <w:color w:val="auto"/>
        </w:rPr>
        <w:t>. The Administrator has the full power and authority and the full responsibility to administer the Plan in all of its details. The Administrator’s powers and responsibilities include, but are not limited to, the following:</w:t>
      </w:r>
    </w:p>
    <w:p>
      <w:pPr>
        <w:spacing w:after="0" w:line="171" w:lineRule="exact"/>
        <w:rPr>
          <w:sz w:val="20"/>
          <w:szCs w:val="20"/>
          <w:color w:val="auto"/>
        </w:rPr>
      </w:pPr>
    </w:p>
    <w:p>
      <w:pPr>
        <w:ind w:right="6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and enforce such rules and regulations as it deems necessary or proper for the efficient administration of the Plan;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interpret the Plan;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decide all questions concerning the Plan and the eligibility of any person to participate in the Plan;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administer the claims and review procedures specified in Section 11.3;</w:t>
      </w:r>
    </w:p>
    <w:p>
      <w:pPr>
        <w:spacing w:after="0" w:line="206"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compute the amount of benefits which will be payable to any Participant, former Participant or Beneficiary in accordance with the provisions of the Plan;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person or persons to whom such benefits will be paid;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the payment of benefits;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reporting and disclosure requirements of Part 1 of Subtitle B of Title I of ERISA;</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administer the Plan as necessary to comply with the requirements of Section 409A of the Code and the Treasury Regulations thereunder and guidance related thereto, subject to Section 11.5 below;</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appoint such agents, counsel, accountants, and consultants as may be required to assist in administering</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Plan; and</w:t>
      </w:r>
    </w:p>
    <w:p>
      <w:pPr>
        <w:spacing w:after="0" w:line="182" w:lineRule="exact"/>
        <w:rPr>
          <w:rFonts w:ascii="Times New Roman" w:cs="Times New Roman" w:eastAsia="Times New Roman" w:hAnsi="Times New Roman"/>
          <w:sz w:val="21"/>
          <w:szCs w:val="21"/>
          <w:color w:val="auto"/>
        </w:rPr>
      </w:pPr>
    </w:p>
    <w:p>
      <w:pPr>
        <w:ind w:right="8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instrument, to allocate and delegate its responsibilities, including the formation of an Administrative Committee to administer the Plan.</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u w:val="single" w:color="auto"/>
          <w:color w:val="auto"/>
        </w:rPr>
        <w:t>Effect of Interpretation or Determination</w:t>
      </w:r>
      <w:r>
        <w:rPr>
          <w:rFonts w:ascii="Times New Roman" w:cs="Times New Roman" w:eastAsia="Times New Roman" w:hAnsi="Times New Roman"/>
          <w:sz w:val="22"/>
          <w:szCs w:val="22"/>
          <w:color w:val="auto"/>
        </w:rPr>
        <w:t>. Any interpretation or determination by the Administrator with respect to the Plan shall be final, binding and conclusive upon all persons in the absence of clear and convincing evidence that the Administrator acted arbitrarily and capriciously.</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u w:val="single" w:color="auto"/>
          <w:color w:val="auto"/>
        </w:rPr>
        <w:t>Claims and Review Procedures</w:t>
      </w:r>
      <w:r>
        <w:rPr>
          <w:rFonts w:ascii="Times New Roman" w:cs="Times New Roman" w:eastAsia="Times New Roman" w:hAnsi="Times New Roman"/>
          <w:sz w:val="22"/>
          <w:szCs w:val="22"/>
          <w:color w:val="auto"/>
        </w:rPr>
        <w:t>. The Administrator will prescribe procedures under Section 503 of ERISA for the administration of claims for benefits and appeals from denials of claims, which procedures (as from time to time amended and in effect) will be deemed a part of the Plan and incorporated herein.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2" w:name="page123"/>
    <w:bookmarkEnd w:id="122"/>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u w:val="single" w:color="auto"/>
          <w:color w:val="auto"/>
        </w:rPr>
        <w:t>Plan’s Administrative Costs</w:t>
      </w:r>
      <w:r>
        <w:rPr>
          <w:rFonts w:ascii="Times New Roman" w:cs="Times New Roman" w:eastAsia="Times New Roman" w:hAnsi="Times New Roman"/>
          <w:sz w:val="22"/>
          <w:szCs w:val="22"/>
          <w:color w:val="auto"/>
        </w:rPr>
        <w:t xml:space="preserve"> . The Employer shall pay all reasonable costs and expenses (including legal, accounting, and employee communication fees) incurred by the Administrator and the Trustee in administering the Plan and Trust Fund.</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The Company intends that the Plan comply with the requirements of Section 409A of the Code (including all applicable transition relief, regulations, and other IRS guidance thereunder) and shall be operated and interpreted consistent with that intent. Notwithstanding the foregoing, the Company makes no representation that the Plan complies with Section 409A of the Code and none of the Company, the Employer, or any employee or director acting on behalf of the Employer under the Plan shall have any liability to any Participant or Beneficiary for any failure to comply with Section 409A of the Code.</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Employer by its duly authorized officer(s), has caused this Plan to be adopted on the 8th day of October, 2024.</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1391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5">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Sandeep Reddy</w:t>
      </w:r>
    </w:p>
    <w:p>
      <w:pPr>
        <w:ind w:left="524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color w:val="111111"/>
        </w:rPr>
        <w:t>February 24, 2022</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0"/>
          <w:szCs w:val="20"/>
          <w:color w:val="111111"/>
        </w:rPr>
        <w:t>Dear Art D'Elia,</w:t>
      </w:r>
    </w:p>
    <w:p>
      <w:pPr>
        <w:spacing w:after="0" w:line="256"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111111"/>
        </w:rPr>
        <w:t>On behalf of Domino's Pizza, I am happy to offer you the position of EVP - International reporting to me. Your new base salary will be $19,230.77 per bi-weekly pay period equivalent to $500,000 annualized. You will continue to be eligible for TAD and for Domino's Equity Incentive Plan (EIP).</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0"/>
          <w:szCs w:val="20"/>
          <w:color w:val="111111"/>
        </w:rPr>
        <w:t>Below is a summary of your new compensation:</w:t>
      </w:r>
    </w:p>
    <w:p>
      <w:pPr>
        <w:sectPr>
          <w:pgSz w:w="11900" w:h="16838" w:orient="portrait"/>
          <w:cols w:equalWidth="0" w:num="1">
            <w:col w:w="11120"/>
          </w:cols>
          <w:pgMar w:left="320" w:top="765" w:right="459" w:bottom="1440" w:gutter="0" w:footer="0" w:header="0"/>
        </w:sectPr>
      </w:pP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Title:</w:t>
      </w:r>
    </w:p>
    <w:p>
      <w:pPr>
        <w:ind w:left="1760"/>
        <w:spacing w:after="0"/>
        <w:rPr>
          <w:sz w:val="20"/>
          <w:szCs w:val="20"/>
          <w:color w:val="auto"/>
        </w:rPr>
      </w:pPr>
      <w:r>
        <w:rPr>
          <w:rFonts w:ascii="Times New Roman" w:cs="Times New Roman" w:eastAsia="Times New Roman" w:hAnsi="Times New Roman"/>
          <w:sz w:val="20"/>
          <w:szCs w:val="20"/>
          <w:color w:val="auto"/>
        </w:rPr>
        <w:t>Salary Band:</w:t>
      </w:r>
    </w:p>
    <w:p>
      <w:pPr>
        <w:ind w:left="1760"/>
        <w:spacing w:after="0"/>
        <w:rPr>
          <w:sz w:val="20"/>
          <w:szCs w:val="20"/>
          <w:color w:val="auto"/>
        </w:rPr>
      </w:pPr>
      <w:r>
        <w:rPr>
          <w:rFonts w:ascii="Times New Roman" w:cs="Times New Roman" w:eastAsia="Times New Roman" w:hAnsi="Times New Roman"/>
          <w:sz w:val="20"/>
          <w:szCs w:val="20"/>
          <w:color w:val="auto"/>
        </w:rPr>
        <w:t>Base Pay:</w:t>
      </w:r>
    </w:p>
    <w:p>
      <w:pPr>
        <w:spacing w:after="0" w:line="200" w:lineRule="exact"/>
        <w:rPr>
          <w:sz w:val="20"/>
          <w:szCs w:val="20"/>
          <w:color w:val="auto"/>
        </w:rPr>
      </w:pPr>
    </w:p>
    <w:p>
      <w:pPr>
        <w:spacing w:after="0" w:line="23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TAD Target%</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EIP Target%</w:t>
      </w:r>
    </w:p>
    <w:p>
      <w:pPr>
        <w:spacing w:after="0" w:line="2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EVP - International</w:t>
      </w:r>
    </w:p>
    <w:p>
      <w:pPr>
        <w:spacing w:after="0"/>
        <w:rPr>
          <w:sz w:val="20"/>
          <w:szCs w:val="20"/>
          <w:color w:val="auto"/>
        </w:rPr>
      </w:pPr>
      <w:r>
        <w:rPr>
          <w:rFonts w:ascii="Times New Roman" w:cs="Times New Roman" w:eastAsia="Times New Roman" w:hAnsi="Times New Roman"/>
          <w:sz w:val="20"/>
          <w:szCs w:val="20"/>
          <w:color w:val="auto"/>
        </w:rPr>
        <w:t>G</w:t>
      </w:r>
    </w:p>
    <w:p>
      <w:pPr>
        <w:spacing w:after="0"/>
        <w:rPr>
          <w:sz w:val="20"/>
          <w:szCs w:val="20"/>
          <w:color w:val="auto"/>
        </w:rPr>
      </w:pPr>
      <w:r>
        <w:rPr>
          <w:rFonts w:ascii="Times New Roman" w:cs="Times New Roman" w:eastAsia="Times New Roman" w:hAnsi="Times New Roman"/>
          <w:sz w:val="19"/>
          <w:szCs w:val="19"/>
          <w:color w:val="auto"/>
        </w:rPr>
        <w:t xml:space="preserve">$500,000 </w:t>
      </w:r>
      <w:r>
        <w:rPr>
          <w:rFonts w:ascii="Times New Roman" w:cs="Times New Roman" w:eastAsia="Times New Roman" w:hAnsi="Times New Roman"/>
          <w:sz w:val="19"/>
          <w:szCs w:val="19"/>
          <w:i w:val="1"/>
          <w:iCs w:val="1"/>
          <w:color w:val="auto"/>
        </w:rPr>
        <w:t>(base pay increase will go into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 as part of upcoming PFP cycle on</w:t>
      </w:r>
    </w:p>
    <w:p>
      <w:pPr>
        <w:spacing w:after="0"/>
        <w:rPr>
          <w:sz w:val="20"/>
          <w:szCs w:val="20"/>
          <w:color w:val="auto"/>
        </w:rPr>
      </w:pPr>
      <w:r>
        <w:rPr>
          <w:rFonts w:ascii="Times New Roman" w:cs="Times New Roman" w:eastAsia="Times New Roman" w:hAnsi="Times New Roman"/>
          <w:sz w:val="20"/>
          <w:szCs w:val="20"/>
          <w:i w:val="1"/>
          <w:iCs w:val="1"/>
          <w:color w:val="auto"/>
        </w:rPr>
        <w:t>3/21/22)</w:t>
      </w:r>
    </w:p>
    <w:p>
      <w:pPr>
        <w:spacing w:after="0"/>
        <w:rPr>
          <w:sz w:val="20"/>
          <w:szCs w:val="20"/>
          <w:color w:val="auto"/>
        </w:rPr>
      </w:pPr>
      <w:r>
        <w:rPr>
          <w:rFonts w:ascii="Times New Roman" w:cs="Times New Roman" w:eastAsia="Times New Roman" w:hAnsi="Times New Roman"/>
          <w:sz w:val="20"/>
          <w:szCs w:val="20"/>
          <w:color w:val="auto"/>
        </w:rPr>
        <w:t>100%</w:t>
      </w:r>
    </w:p>
    <w:p>
      <w:pPr>
        <w:spacing w:after="0"/>
        <w:rPr>
          <w:sz w:val="20"/>
          <w:szCs w:val="20"/>
          <w:color w:val="auto"/>
        </w:rPr>
      </w:pPr>
      <w:r>
        <w:rPr>
          <w:rFonts w:ascii="Times New Roman" w:cs="Times New Roman" w:eastAsia="Times New Roman" w:hAnsi="Times New Roman"/>
          <w:sz w:val="20"/>
          <w:szCs w:val="20"/>
          <w:color w:val="auto"/>
        </w:rPr>
        <w:t xml:space="preserve">200% </w:t>
      </w:r>
      <w:r>
        <w:rPr>
          <w:rFonts w:ascii="Times New Roman" w:cs="Times New Roman" w:eastAsia="Times New Roman" w:hAnsi="Times New Roman"/>
          <w:sz w:val="20"/>
          <w:szCs w:val="20"/>
          <w:i w:val="1"/>
          <w:iCs w:val="1"/>
          <w:color w:val="auto"/>
        </w:rPr>
        <w:t>(March 2022 grant will be</w:t>
      </w:r>
    </w:p>
    <w:p>
      <w:pPr>
        <w:spacing w:after="0"/>
        <w:rPr>
          <w:sz w:val="20"/>
          <w:szCs w:val="20"/>
          <w:color w:val="auto"/>
        </w:rPr>
      </w:pPr>
      <w:r>
        <w:rPr>
          <w:rFonts w:ascii="Times New Roman" w:cs="Times New Roman" w:eastAsia="Times New Roman" w:hAnsi="Times New Roman"/>
          <w:sz w:val="20"/>
          <w:szCs w:val="20"/>
          <w:i w:val="1"/>
          <w:iCs w:val="1"/>
          <w:color w:val="auto"/>
        </w:rPr>
        <w:t>awarded at new base/EIP target%)</w:t>
      </w:r>
    </w:p>
    <w:p>
      <w:pPr>
        <w:spacing w:after="0"/>
        <w:rPr>
          <w:sz w:val="20"/>
          <w:szCs w:val="20"/>
          <w:color w:val="auto"/>
        </w:rPr>
      </w:pPr>
      <w:r>
        <w:rPr>
          <w:rFonts w:ascii="Times New Roman" w:cs="Times New Roman" w:eastAsia="Times New Roman" w:hAnsi="Times New Roman"/>
          <w:sz w:val="20"/>
          <w:szCs w:val="20"/>
          <w:color w:val="auto"/>
        </w:rPr>
        <w:t>May 1, 2022</w:t>
      </w:r>
    </w:p>
    <w:p>
      <w:pPr>
        <w:spacing w:after="0" w:line="200" w:lineRule="exact"/>
        <w:rPr>
          <w:sz w:val="20"/>
          <w:szCs w:val="20"/>
          <w:color w:val="auto"/>
        </w:rPr>
      </w:pPr>
    </w:p>
    <w:p>
      <w:pPr>
        <w:sectPr>
          <w:pgSz w:w="11900" w:h="16838" w:orient="portrait"/>
          <w:cols w:equalWidth="0" w:num="2">
            <w:col w:w="5440" w:space="720"/>
            <w:col w:w="4960"/>
          </w:cols>
          <w:pgMar w:left="320" w:top="765"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9"/>
          <w:szCs w:val="19"/>
          <w:color w:val="111111"/>
        </w:rPr>
        <w:t>Art, I appreciate your continued leadership! If you have any questions, please don't hesitate to reach out to me or Lisa Price.</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0"/>
          <w:szCs w:val="20"/>
          <w:color w:val="111111"/>
        </w:rPr>
        <w:t>Sincerely,</w:t>
      </w:r>
    </w:p>
    <w:p>
      <w:pPr>
        <w:spacing w:after="0" w:line="200" w:lineRule="exact"/>
        <w:rPr>
          <w:sz w:val="20"/>
          <w:szCs w:val="20"/>
          <w:color w:val="auto"/>
        </w:rPr>
      </w:pPr>
    </w:p>
    <w:p>
      <w:pPr>
        <w:spacing w:after="0" w:line="367" w:lineRule="exact"/>
        <w:rPr>
          <w:sz w:val="20"/>
          <w:szCs w:val="20"/>
          <w:color w:val="auto"/>
        </w:rPr>
      </w:pPr>
    </w:p>
    <w:p>
      <w:pPr>
        <w:jc w:val="right"/>
        <w:ind w:right="9460"/>
        <w:spacing w:after="0"/>
        <w:rPr>
          <w:sz w:val="20"/>
          <w:szCs w:val="20"/>
          <w:color w:val="auto"/>
        </w:rPr>
      </w:pPr>
      <w:r>
        <w:rPr>
          <w:rFonts w:ascii="Arial" w:cs="Arial" w:eastAsia="Arial" w:hAnsi="Arial"/>
          <w:sz w:val="19"/>
          <w:szCs w:val="19"/>
          <w:color w:val="auto"/>
        </w:rPr>
        <w:t>/s/ Russell Weiner</w:t>
      </w:r>
    </w:p>
    <w:p>
      <w:pPr>
        <w:spacing w:after="0" w:line="16" w:lineRule="exact"/>
        <w:rPr>
          <w:sz w:val="20"/>
          <w:szCs w:val="20"/>
          <w:color w:val="auto"/>
        </w:rPr>
      </w:pPr>
    </w:p>
    <w:p>
      <w:pPr>
        <w:jc w:val="right"/>
        <w:ind w:right="9520"/>
        <w:spacing w:after="0"/>
        <w:rPr>
          <w:sz w:val="20"/>
          <w:szCs w:val="20"/>
          <w:color w:val="auto"/>
        </w:rPr>
      </w:pPr>
      <w:r>
        <w:rPr>
          <w:rFonts w:ascii="Arial" w:cs="Arial" w:eastAsia="Arial" w:hAnsi="Arial"/>
          <w:sz w:val="20"/>
          <w:szCs w:val="20"/>
          <w:color w:val="212121"/>
        </w:rPr>
        <w:t xml:space="preserve">Russell </w:t>
      </w:r>
      <w:r>
        <w:rPr>
          <w:rFonts w:ascii="Arial" w:cs="Arial" w:eastAsia="Arial" w:hAnsi="Arial"/>
          <w:sz w:val="20"/>
          <w:szCs w:val="20"/>
          <w:color w:val="111111"/>
        </w:rPr>
        <w:t>Weiner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color w:val="111111"/>
        </w:rPr>
        <w:t>COO &amp; President of Americas</w:t>
      </w:r>
    </w:p>
    <w:p>
      <w:pPr>
        <w:spacing w:after="0" w:line="259" w:lineRule="exact"/>
        <w:rPr>
          <w:sz w:val="20"/>
          <w:szCs w:val="20"/>
          <w:color w:val="auto"/>
        </w:rPr>
      </w:pPr>
    </w:p>
    <w:p>
      <w:pPr>
        <w:ind w:left="120" w:right="220" w:hanging="2"/>
        <w:spacing w:after="0" w:line="286" w:lineRule="auto"/>
        <w:rPr>
          <w:sz w:val="20"/>
          <w:szCs w:val="20"/>
          <w:color w:val="auto"/>
        </w:rPr>
      </w:pPr>
      <w:r>
        <w:rPr>
          <w:rFonts w:ascii="Arial" w:cs="Arial" w:eastAsia="Arial" w:hAnsi="Arial"/>
          <w:sz w:val="16"/>
          <w:szCs w:val="16"/>
          <w:color w:val="111111"/>
        </w:rPr>
        <w:t>Domino's is an at-will employer. The employment relationship between you and Domino's may be terminated at any time by either you or Domino's, for any reason or no reason, with or without notice.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111111"/>
        </w:rPr>
        <w:t>Please initial and return one copy to Lisa Price: /s/ ADP</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6"/>
          <w:szCs w:val="16"/>
          <w:color w:val="111111"/>
        </w:rPr>
        <w:t>I am in agreement with the contents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AGREEMENT AND GENERAL RELEASE</w:t>
      </w:r>
    </w:p>
    <w:p>
      <w:pPr>
        <w:spacing w:after="0" w:line="1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Separation Agreement and General Release (“Agreement”) is entered into between Art D’Elia (“Employee”) and Domino’s Pizza LLC (“Company”). Employee and the Company are “the parties” to this Agreement.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 FACTS:</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Employee has been employed by the Company as its Executive Vice President, International and previously executed an Employment Agreement with the Company effective as of July 30, 2020 (as amended by that certain letter agreement dated February 24, 2022, the “Employment Agreement”). Capitalized terms used but not otherwise defined herein shall have the respective meanings set forth in the Employment Agreement.</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parties desire to document certain understandings regarding Employee’s resignation from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LEGAL OBLIGATIONS:</w:t>
      </w:r>
    </w:p>
    <w:p>
      <w:pPr>
        <w:spacing w:after="0" w:line="10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In consideration of the mutual promises in this Agreement, and other good and valuable consideration, the parties agree to be legally bound by the following promises and acknowledgements:</w:t>
      </w:r>
    </w:p>
    <w:p>
      <w:pPr>
        <w:spacing w:after="0" w:line="50" w:lineRule="exact"/>
        <w:rPr>
          <w:sz w:val="20"/>
          <w:szCs w:val="20"/>
          <w:color w:val="auto"/>
        </w:rPr>
      </w:pPr>
    </w:p>
    <w:p>
      <w:pPr>
        <w:jc w:val="both"/>
        <w:ind w:firstLine="757"/>
        <w:spacing w:after="0" w:line="234" w:lineRule="auto"/>
        <w:tabs>
          <w:tab w:leader="none" w:pos="11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Date and Immediate Cessation of Title and Signing Authority</w:t>
      </w:r>
      <w:r>
        <w:rPr>
          <w:rFonts w:ascii="Times New Roman" w:cs="Times New Roman" w:eastAsia="Times New Roman" w:hAnsi="Times New Roman"/>
          <w:sz w:val="22"/>
          <w:szCs w:val="22"/>
          <w:color w:val="auto"/>
        </w:rPr>
        <w:t>: Employee’s voluntary resignation as the Company’s Executive Vice President, International shall become effective at 11:59 p.m. ET on October 16, 2024, at which point, Employee’s title as Executive Vice President, International and signing authority on behalf of the Company by virtue of his position as Executive Vice President, International shall be rescinded. Notwithstanding the foregoing, Employee shall remain an employee of the Company subject to the terms and conditions of his Employment Agreement (except as otherwise specified to the contrary herein) as a special advisor until 11:59 p.m. ET on March 31, 2025 (“Separation Date”). Effective on October 31, 2024, Employee will no longer report to work and will cease performing any work-related duties. Notwithstanding the foregoing, the Company retains the right to terminate Employee’s employment at any time for Cause prior to October 31, 2024, in which event the effective date of termination shall be the “Separation Date” for all purposes under this Agreement and Employee will no longer be entitled to the 2024 bonus or health insurance coverage subsidy described in Paragraph 2 below.</w:t>
      </w:r>
    </w:p>
    <w:p>
      <w:pPr>
        <w:spacing w:after="0" w:line="71" w:lineRule="exact"/>
        <w:rPr>
          <w:rFonts w:ascii="Times New Roman" w:cs="Times New Roman" w:eastAsia="Times New Roman" w:hAnsi="Times New Roman"/>
          <w:sz w:val="22"/>
          <w:szCs w:val="22"/>
          <w:color w:val="auto"/>
        </w:rPr>
      </w:pPr>
    </w:p>
    <w:p>
      <w:pPr>
        <w:jc w:val="both"/>
        <w:ind w:firstLine="757"/>
        <w:spacing w:after="0" w:line="233" w:lineRule="auto"/>
        <w:tabs>
          <w:tab w:leader="none" w:pos="120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and Benefits to Employee</w:t>
      </w:r>
      <w:r>
        <w:rPr>
          <w:rFonts w:ascii="Times New Roman" w:cs="Times New Roman" w:eastAsia="Times New Roman" w:hAnsi="Times New Roman"/>
          <w:sz w:val="22"/>
          <w:szCs w:val="22"/>
          <w:color w:val="auto"/>
        </w:rPr>
        <w:t>: Based upon the agreement of the parties, the Company shall continue to provide Employee the following components of her/his compensation payable to him/her under her/his Employment Agreement through the Separation Date: (a) Employee’s Base Salary earned through the Separation Date, less lawfully required taxes, deductions, and withholdings, payable to Employee on the regular payroll dates established by the Company; (b) an amount equal to that portion of any bonus earned in accordance with Section 4.2 of the Employment Agreement, to be paid at the time the Company pays its executives bonuses generally, but no later than 2.5 months after the end of 2024 fiscal year, provided, however, that Employee acknowledges and agrees that s/he will not be entitled to any bonus for the 2025 fiscal year; and (c) outstanding equity grants that Employee holds shall continue to vest from the date hereof through the Separation Date in accordance with the terms of the Company’s 2004 Equity Incentive Plan (the “Stock Plan”) and any applicable award agreements and vested, outstanding equity grants that Employee holds as of the Separation Date shall be governed by the terms of the Stock Plan and any applicable awards agreements (with any unvested equity awards that Employee holds on the Separation Date being cancelled for no consideration), provided, however, that Employee acknowledges and agrees that s/he will not be entitled to any additional equity grants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Additionally, if Employee elects continuation of health insurance coverage pursuant to Section 601 through 608 of the Employee Retirement Income Security Act of 1974, as amended (“COBRA”), the Company shall also pay Employee on a monthly basis an amount equal to the monthly COBRA premiums payable by Employee for up to 12 months following the Separation Date, provided that such payment will cease upon Employee’s entitlement to other health insurance without charge. Employee agrees to notify the Company if s/he becomes entitled to other health insurance without charge during the 12-month period following the Separation Date.</w:t>
      </w:r>
    </w:p>
    <w:p>
      <w:pPr>
        <w:spacing w:after="0" w:line="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shall pay any personal income tax liability (on an grossed up basis if and only if such payment by the Company is considered to be taxable income for Employee in the United States) that Employee has or may incur as a result of her/his service on the Board of Directors of DPC Dash Ltd. as well as any costs of Ernst &amp; Young to provide tax consultation with respect to such tax liability and to prepare and make any necessary filings.</w:t>
      </w:r>
    </w:p>
    <w:p>
      <w:pPr>
        <w:spacing w:after="0" w:line="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Employee acknowledges and agrees that s/he is not and will not be entitled to severance or any additional payments or benefits of any kind under the Employment Agreement or this Agreement, or otherwise, as a consequence of her/his voluntary termination of her/his employment with the Company.</w:t>
      </w:r>
    </w:p>
    <w:p>
      <w:pPr>
        <w:spacing w:after="0" w:line="65" w:lineRule="exact"/>
        <w:rPr>
          <w:sz w:val="20"/>
          <w:szCs w:val="20"/>
          <w:color w:val="auto"/>
        </w:rPr>
      </w:pPr>
    </w:p>
    <w:p>
      <w:pPr>
        <w:jc w:val="both"/>
        <w:ind w:firstLine="757"/>
        <w:spacing w:after="0" w:line="233" w:lineRule="auto"/>
        <w:tabs>
          <w:tab w:leader="none" w:pos="11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Employee acknowledges that the consideration set forth in this Agreement represents full and final payment of all claims by Employee against the Company, and is in excess of what Employee would otherwise be entitled by virtue of her/his employment. By signing this Agreement, Employee completely and forever releases the Company and any other persons, firms, corporations, or entities with which the Company has been, is now, or may hereafter be affiliated, and any past, present, or future direct or indirect owners, shareholders, directors, officers, employees, attorneys, agents, insurers, partners, employee benefit plans, predecessors and successors in interest, beneficiaries, executors, administrators, personal representatives, heirs, parents, subsidiaries, successors, and assigns of the Company and any other persons, firms, corporations, or entities with which the Company has been, is now, or may hereafter be affiliated (collectively, the “Released Parties”), from any and all known or unknown claims, causes of action, rights, demands, grievances, or lawsuits (collectively, “Claims”) arising out of or in any way relating to any event, matter, or occurrence existing or occurring before Employee signs this Agreement including, but not limited to, Claims that involve or arise from the employment relationship between Employee and the Company, or the termination of that relationship.</w:t>
      </w:r>
    </w:p>
    <w:p>
      <w:pPr>
        <w:spacing w:after="0" w:line="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This general release includes, but is not limited to, Claims that arise under any of the following: Title VII of the Civil Rights Act of 1964; 42 U.S.C. § 1981; the Age Discrimination in Employment Act of 1967; the Pregnancy Discrimination Act; the Employee Retirement Income Security Act; the Americans with Disabilities Act; the Family and Medical Leave Act; the Equal Pay Act; the Genetic Information Non-Discrimination Act; the Worker Adjustment and Retraining Notification Act; the Sarbanes-Oxley Act; the Health Insurance Portability and Accountability Act; the Fair Credit Reporting Act; the False Claims Act; the Occupational Safety and Health Act; the Uniformed Services Employment and Reemployment Rights Act; any amendments to the foregoing laws; any other federal, state, local, or foreign constitution, statute, ordinance, or regulation; or any other theory of recovery including, but not limited to, claims of discrimination, harassment, or retaliation of any kind, wrongful discharge, breach of contract, breach of the covenant of good faith and fair dealing, unfair business practices, wage and hour claims of any kind, whether for non-payment, late payment, overtime, misclassification, rest breaks, meal periods, bonuses, reimbursements, deductions, and/or penalties, tort claims of any kind, whether for intentional or negligent infliction of emotional distress, personal injury, defamation, and/or invasion of privacy, and any other common law legal or equitable claims.</w:t>
      </w:r>
    </w:p>
    <w:p>
      <w:pPr>
        <w:spacing w:after="0" w:line="6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release includes any and all of Employee’s Claims against the Released Parties that exist as of Employee’s execution of this Agreement, even if the facts and/or legal theories supporting those Claims are unknown to Employee at this time. This release binds Employee as well as her/his marital community,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6" w:name="page127"/>
    <w:bookmarkEnd w:id="126"/>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heirs, executors, administrators, beneficiaries, and assigns. Excluded from this release are any Claims which cannot be waived by law, including Employee’s right to seek unemployment or workers’ compensation benefits. Also excluded from this release is Employee’s right to enforce his rights under this Agreement and any obligation for Company to indemnify Employee or provide applicable coverage under the Company’s Directors and Officers insurance.</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Within 21 days of the Separation Date (and in no event prior to the Separation Date), Employee will execute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Release of Claims attached hereto as Attachment A and return it to the Company representative identified below:</w:t>
      </w:r>
    </w:p>
    <w:p>
      <w:pPr>
        <w:spacing w:after="0" w:line="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Attention: Kevin Morris, Executive Vice President, General Counsel &amp; Corporate Secretary</w:t>
      </w:r>
    </w:p>
    <w:p>
      <w:pPr>
        <w:ind w:left="760"/>
        <w:spacing w:after="0" w:line="230" w:lineRule="auto"/>
        <w:rPr>
          <w:sz w:val="20"/>
          <w:szCs w:val="20"/>
          <w:color w:val="auto"/>
        </w:rPr>
      </w:pPr>
      <w:r>
        <w:rPr>
          <w:rFonts w:ascii="Times New Roman" w:cs="Times New Roman" w:eastAsia="Times New Roman" w:hAnsi="Times New Roman"/>
          <w:sz w:val="22"/>
          <w:szCs w:val="22"/>
          <w:color w:val="auto"/>
        </w:rPr>
        <w:t>30 Frank Lloyd Wright Drive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Ann Arbor, Michigan 48105</w:t>
      </w:r>
    </w:p>
    <w:p>
      <w:pPr>
        <w:spacing w:after="0" w:line="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Employee understands and agrees that her/his right to receive and retain any of the payments otherwise payable pursuant to or described in the Employment Agreement and this Agreement to which s/he is not currently entitled is expressly conditioned upon the Additional Release of Claims becoming fully effective and Employee complying in full with her/his obligations under this Agreement and under the Employment Agreement including, but not limited to, the post-employment obligations in Sections 7 and 8 of the Employment Agreement. If the Additional Release of Claims does not become fully effective in accordance with its terms or Employee fails to comply in full with her/his obligations under this Agreement or the Employment Agreement, Employee shall not be entitled to any amounts set forth in the Employment Agreement or this Agreement to which s/he is not currently entitled.</w:t>
      </w:r>
    </w:p>
    <w:p>
      <w:pPr>
        <w:spacing w:after="0" w:line="66" w:lineRule="exact"/>
        <w:rPr>
          <w:sz w:val="20"/>
          <w:szCs w:val="20"/>
          <w:color w:val="auto"/>
        </w:rPr>
      </w:pPr>
    </w:p>
    <w:p>
      <w:pPr>
        <w:ind w:left="1180" w:hanging="423"/>
        <w:spacing w:after="0"/>
        <w:tabs>
          <w:tab w:leader="none" w:pos="11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Participate in Governmental Agency Proceedings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NOTHING IN THIS AGREEMENT IS INTENDED</w:t>
      </w:r>
    </w:p>
    <w:p>
      <w:pPr>
        <w:spacing w:after="0" w:line="29" w:lineRule="exact"/>
        <w:rPr>
          <w:rFonts w:ascii="Times New Roman" w:cs="Times New Roman" w:eastAsia="Times New Roman" w:hAnsi="Times New Roman"/>
          <w:sz w:val="21"/>
          <w:szCs w:val="21"/>
          <w:color w:val="auto"/>
        </w:rPr>
      </w:pPr>
    </w:p>
    <w:p>
      <w:pPr>
        <w:jc w:val="both"/>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TO LIMIT OR IMPAIR IN ANY WAY EMPLOYEE’S RIGHT TO FILE A CHARGE OR COMPLAINT WITH ANY GOVERNMENTAL AGENCY INCLUDING, BUT NOT LIMITED TO, THE U.S. SECURITIES AND EXCHANGE COMMISSION (“SEC”), NATIONAL LABOR RELATIONS BOARD (“NLRB”), U.S. EQUAL EMPLOYMENT OPPORTUNITY COMMISSION (“EEOC”), OR COMPARABLE STATE AND LOCAL AGENCIES, OR EMPLOYEE’S RIGHT TO PARTICIPATE IN ANY INVESTIGATION OR PROCEEDING CONDUCTED BY ANY GOVERNMENTAL AGENCY AND TO RECOVER ANY APPROPRIATE RELIEF IN ANY SUCH ACTION. </w:t>
      </w:r>
      <w:r>
        <w:rPr>
          <w:rFonts w:ascii="Times New Roman" w:cs="Times New Roman" w:eastAsia="Times New Roman" w:hAnsi="Times New Roman"/>
          <w:sz w:val="22"/>
          <w:szCs w:val="22"/>
          <w:color w:val="auto"/>
        </w:rPr>
        <w:t xml:space="preserve">However, the parties agree that appropriate relief may not include remedies that personally benefit Employee and which s/he has released and waived under this Agreement, including all legal relief, equitable relief, statutory relief, reinstatement, back pay, front pay, and all other damages, benefits, remedies, or relief to which Employee may be entitled as a result of the filing or prosecution of any such charge or complaint against the Released Parties by Employee, or any resulting civil proceeding or lawsuit brought on behalf of Employee and which arises out of any matters that are released or waived by this Agreement. Employee expressly assigns to the Company any such remedies that personally benefit her/him. This Agreement shall not preclude Employee from bringing a charge or complaint to challenge the validity or enforceability of this Agreement under the Age Discrimination in Employment Act of 1967, as amended by the Older Workers Benefit Protection Act. </w:t>
      </w:r>
      <w:r>
        <w:rPr>
          <w:rFonts w:ascii="Times New Roman" w:cs="Times New Roman" w:eastAsia="Times New Roman" w:hAnsi="Times New Roman"/>
          <w:sz w:val="22"/>
          <w:szCs w:val="22"/>
          <w:b w:val="1"/>
          <w:bCs w:val="1"/>
          <w:color w:val="auto"/>
        </w:rPr>
        <w:t>NOTHING IN</w:t>
      </w:r>
    </w:p>
    <w:p>
      <w:pPr>
        <w:spacing w:after="0" w:line="7" w:lineRule="exact"/>
        <w:rPr>
          <w:rFonts w:ascii="Times New Roman" w:cs="Times New Roman" w:eastAsia="Times New Roman" w:hAnsi="Times New Roman"/>
          <w:sz w:val="21"/>
          <w:szCs w:val="21"/>
          <w:color w:val="auto"/>
        </w:rPr>
      </w:pPr>
    </w:p>
    <w:p>
      <w:pPr>
        <w:jc w:val="both"/>
        <w:ind w:right="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THIS AGREEMENT PROHIBITS EMPLOYEE’S ACCEPTANCE OF A WHISTLEBLOWER AWARD FROM THE SEC PURSUANT TO § 21F OF THE FEDERAL SECURITIES EXCHANGE ACT OR OTHER FINANCIAL INCENTIVE AWARD FOR ANY INFORMATION EMPLOYEE PROVIDES TO A GOVERNMENT AGENCY.</w:t>
      </w:r>
    </w:p>
    <w:p>
      <w:pPr>
        <w:spacing w:after="0" w:line="69" w:lineRule="exact"/>
        <w:rPr>
          <w:rFonts w:ascii="Times New Roman" w:cs="Times New Roman" w:eastAsia="Times New Roman" w:hAnsi="Times New Roman"/>
          <w:sz w:val="21"/>
          <w:szCs w:val="21"/>
          <w:color w:val="auto"/>
        </w:rPr>
      </w:pPr>
    </w:p>
    <w:p>
      <w:pPr>
        <w:jc w:val="both"/>
        <w:ind w:firstLine="757"/>
        <w:spacing w:after="0" w:line="244" w:lineRule="auto"/>
        <w:tabs>
          <w:tab w:leader="none" w:pos="120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Rights and Claims</w:t>
      </w:r>
      <w:r>
        <w:rPr>
          <w:rFonts w:ascii="Times New Roman" w:cs="Times New Roman" w:eastAsia="Times New Roman" w:hAnsi="Times New Roman"/>
          <w:sz w:val="22"/>
          <w:szCs w:val="22"/>
          <w:color w:val="auto"/>
        </w:rPr>
        <w:t>: Employee represents and warrants that: (a) no other person or entity has any interest in the claims, obligations, or damages referred to in this Agreement; (b) s/he has the sole right and exclusive authority to execute this Agreement and receive the consideration set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7" w:name="page128"/>
    <w:bookmarkEnd w:id="127"/>
    <w:p>
      <w:pPr>
        <w:spacing w:after="0" w:line="258" w:lineRule="auto"/>
        <w:rPr>
          <w:sz w:val="20"/>
          <w:szCs w:val="20"/>
          <w:color w:val="auto"/>
        </w:rPr>
      </w:pPr>
      <w:r>
        <w:rPr>
          <w:rFonts w:ascii="Times New Roman" w:cs="Times New Roman" w:eastAsia="Times New Roman" w:hAnsi="Times New Roman"/>
          <w:sz w:val="22"/>
          <w:szCs w:val="22"/>
          <w:color w:val="auto"/>
        </w:rPr>
        <w:t>forth herein; and (c) s/he has not sold, assigned, transferred, conveyed, or otherwise disposed of the right to pursue any claims referred to in this Agreement or damages associated with any such claims.</w:t>
      </w:r>
    </w:p>
    <w:p>
      <w:pPr>
        <w:spacing w:after="0" w:line="50" w:lineRule="exact"/>
        <w:rPr>
          <w:sz w:val="20"/>
          <w:szCs w:val="20"/>
          <w:color w:val="auto"/>
        </w:rPr>
      </w:pPr>
    </w:p>
    <w:p>
      <w:pPr>
        <w:jc w:val="both"/>
        <w:ind w:firstLine="757"/>
        <w:spacing w:after="0" w:line="238" w:lineRule="auto"/>
        <w:tabs>
          <w:tab w:leader="none" w:pos="118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Beneficiaries</w:t>
      </w:r>
      <w:r>
        <w:rPr>
          <w:rFonts w:ascii="Times New Roman" w:cs="Times New Roman" w:eastAsia="Times New Roman" w:hAnsi="Times New Roman"/>
          <w:sz w:val="22"/>
          <w:szCs w:val="22"/>
          <w:color w:val="auto"/>
        </w:rPr>
        <w:t>: The parties agree that the rights and benefits to the Company created by this Agreement are intended to apply to any past, present, or future owners, shareholders, directors, officers, employees, attorneys, agents, partners, predecessors and successors in interest, beneficiaries, executors, administrators, personal representatives, heirs, successors, and assigns of the Company and any other persons, firms, corporations, or entities with which the Company has been, is now, or may hereafter be affiliated.</w:t>
      </w:r>
    </w:p>
    <w:p>
      <w:pPr>
        <w:spacing w:after="0" w:line="68" w:lineRule="exact"/>
        <w:rPr>
          <w:rFonts w:ascii="Times New Roman" w:cs="Times New Roman" w:eastAsia="Times New Roman" w:hAnsi="Times New Roman"/>
          <w:sz w:val="22"/>
          <w:szCs w:val="22"/>
          <w:color w:val="auto"/>
        </w:rPr>
      </w:pPr>
    </w:p>
    <w:p>
      <w:pPr>
        <w:jc w:val="both"/>
        <w:ind w:firstLine="757"/>
        <w:spacing w:after="0" w:line="246" w:lineRule="auto"/>
        <w:tabs>
          <w:tab w:leader="none" w:pos="119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 Concerning Compensation/Leave/On-the-Job Injury</w:t>
      </w:r>
      <w:r>
        <w:rPr>
          <w:rFonts w:ascii="Times New Roman" w:cs="Times New Roman" w:eastAsia="Times New Roman" w:hAnsi="Times New Roman"/>
          <w:sz w:val="21"/>
          <w:szCs w:val="21"/>
          <w:color w:val="auto"/>
        </w:rPr>
        <w:t>: Employee acknowledges and agrees that the consideration set forth in this Agreement shall constitute the total amount owed by the Company to Employee and that s/he has: (a) been paid by the Company for all hours s/he has worked for the Company; (b) received all amounts due from the Company through the date Employee executes this Agreement including, but not limited to, compensation, wages, payments, bonuses, benefits, pay in lieu of notice, salary continuation or severance, reimbursements, or any other remuneration of whatever kind arising from or relating to the employment relationship with the Company, or the termination of that relationship, except for the payments and benefits expressly provided for under this Agreement; (c) received any leave (paid or unpaid) and accommodations to which s/he was entitled through the date Employee executes this Agreement; and (d) not suffered any on-the-job injury or occupational illness while working for the Company for which s/he has not already filed a claim.</w:t>
      </w:r>
    </w:p>
    <w:p>
      <w:pPr>
        <w:spacing w:after="0" w:line="67" w:lineRule="exact"/>
        <w:rPr>
          <w:rFonts w:ascii="Times New Roman" w:cs="Times New Roman" w:eastAsia="Times New Roman" w:hAnsi="Times New Roman"/>
          <w:sz w:val="21"/>
          <w:szCs w:val="21"/>
          <w:color w:val="auto"/>
        </w:rPr>
      </w:pPr>
    </w:p>
    <w:p>
      <w:pPr>
        <w:jc w:val="both"/>
        <w:ind w:firstLine="757"/>
        <w:spacing w:after="0" w:line="236" w:lineRule="auto"/>
        <w:tabs>
          <w:tab w:leader="none" w:pos="119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w:t>
      </w:r>
      <w:r>
        <w:rPr>
          <w:rFonts w:ascii="Times New Roman" w:cs="Times New Roman" w:eastAsia="Times New Roman" w:hAnsi="Times New Roman"/>
          <w:sz w:val="22"/>
          <w:szCs w:val="22"/>
          <w:color w:val="auto"/>
        </w:rPr>
        <w:t>: Employee is not aware, to the best of her/his knowledge, of any conduct on Employee’s part or on the part of another past or present employee of the Company that violated the law or otherwise exposed the Company to any liability, whether criminal or civil, whether to any government, individual, or other entity. Further, Employee acknowledges that s/he is not aware of any material violations by the Company and/or its employees, officers, directors, and agents of any constitution, statute, ordinance, regulation, or other rules that have not been addressed by the Company through appropriate compliance and/or corrective action.</w:t>
      </w:r>
    </w:p>
    <w:p>
      <w:pPr>
        <w:spacing w:after="0" w:line="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9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Agreement</w:t>
      </w:r>
      <w:r>
        <w:rPr>
          <w:rFonts w:ascii="Times New Roman" w:cs="Times New Roman" w:eastAsia="Times New Roman" w:hAnsi="Times New Roman"/>
          <w:sz w:val="22"/>
          <w:szCs w:val="22"/>
          <w:color w:val="auto"/>
        </w:rPr>
        <w:t xml:space="preserve">: Employee agrees that s/he has and will hold in strict confidence the negotiations resulting in, contents, and terms of this Agreement, except: (a) as required by law; (b) to secure advice from a legal or tax advisor; (c) to her/his spouse; or (d) in a legal action to enforce the terms of this Agreement. Employee further agrees that s/he has and will use every effort to prevent disclosure of the negotiations resulting in, contents, and terms of this Agreement by any of the persons referred to in (b) and (c) of this Paragraph. Employee agrees that the contents of this Paragraph are material terms of the Agreement. </w:t>
      </w:r>
      <w:r>
        <w:rPr>
          <w:rFonts w:ascii="Times New Roman" w:cs="Times New Roman" w:eastAsia="Times New Roman" w:hAnsi="Times New Roman"/>
          <w:sz w:val="22"/>
          <w:szCs w:val="22"/>
          <w:b w:val="1"/>
          <w:bCs w:val="1"/>
          <w:color w:val="auto"/>
        </w:rPr>
        <w:t>NOTHING IN THIS PARAGRAPH IS INTENDED TO LIMIT OR IMPAIR IN ANY WAY</w:t>
      </w:r>
    </w:p>
    <w:p>
      <w:pPr>
        <w:spacing w:after="0" w:line="2" w:lineRule="exact"/>
        <w:rPr>
          <w:rFonts w:ascii="Times New Roman" w:cs="Times New Roman" w:eastAsia="Times New Roman" w:hAnsi="Times New Roman"/>
          <w:sz w:val="22"/>
          <w:szCs w:val="22"/>
          <w:color w:val="auto"/>
        </w:rPr>
      </w:pPr>
    </w:p>
    <w:p>
      <w:pPr>
        <w:jc w:val="both"/>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EMPLOYEE’S RIGHT TO PROVIDE INFORMATION TO ANY GOVERNMENTAL AGENCY INCLUDING, BUT NOT LIMITED TO, THE SEC, NLRB, EEOC, OR COMPARABLE STATE AND LOCAL AGENCIES. NOTHING IN THIS PARAGRAPH IS INTENDED TO LIMIT OR IMPAIR IN ANY WAY EMPLOYEE FROM DISCLOSING OR DISCUSSING A SEXUAL ASSAULT OR SEXUAL HARASSMENT DISPUTE ARISING AFTER THE DATE OF THIS AGREEMENT THAT IS ALLEGED TO HAVE VIOLATED APPLICABLE FEDERAL, TRIBAL, OR STATE LAW.</w:t>
      </w:r>
    </w:p>
    <w:p>
      <w:pPr>
        <w:spacing w:after="0" w:line="74" w:lineRule="exact"/>
        <w:rPr>
          <w:rFonts w:ascii="Times New Roman" w:cs="Times New Roman" w:eastAsia="Times New Roman" w:hAnsi="Times New Roman"/>
          <w:sz w:val="22"/>
          <w:szCs w:val="22"/>
          <w:color w:val="auto"/>
        </w:rPr>
      </w:pPr>
    </w:p>
    <w:p>
      <w:pPr>
        <w:jc w:val="both"/>
        <w:ind w:firstLine="757"/>
        <w:spacing w:after="0" w:line="236" w:lineRule="auto"/>
        <w:tabs>
          <w:tab w:leader="none" w:pos="123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Violation of the Agreement</w:t>
      </w:r>
      <w:r>
        <w:rPr>
          <w:rFonts w:ascii="Times New Roman" w:cs="Times New Roman" w:eastAsia="Times New Roman" w:hAnsi="Times New Roman"/>
          <w:sz w:val="22"/>
          <w:szCs w:val="22"/>
          <w:color w:val="auto"/>
        </w:rPr>
        <w:t>: Employee understands that any violation or breach of a material term of this Agreement or his/her Employment Agreement by her/him shall give rise to a claim against her/him by the Company and/or the Released Parties for a refund of the consideration paid pursuant to the Employment Agreement and this Agreement and shall forever release and discharge these entities from the performance of any obligations arising from the Employment Agreement and this Agreement but shall not release Employee from performance of her/his obligations under the Employment Agreement and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8" w:name="page129"/>
    <w:bookmarkEnd w:id="128"/>
    <w:p>
      <w:pPr>
        <w:jc w:val="both"/>
        <w:ind w:firstLine="757"/>
        <w:spacing w:after="0" w:line="233" w:lineRule="auto"/>
        <w:tabs>
          <w:tab w:leader="none" w:pos="120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Assistance and Cooperation</w:t>
      </w:r>
      <w:r>
        <w:rPr>
          <w:rFonts w:ascii="Times New Roman" w:cs="Times New Roman" w:eastAsia="Times New Roman" w:hAnsi="Times New Roman"/>
          <w:sz w:val="22"/>
          <w:szCs w:val="22"/>
          <w:color w:val="auto"/>
        </w:rPr>
        <w:t xml:space="preserve">: Upon request by the Company, Employee agrees to personally provide her/his full assistance and cooperation to the Company in activities related to any past, present, or future lawsuits, claims, or other matters involving the Company including, but not limited to, full assistance and cooperation solely to the Company and not to any other party in the matter captioned </w:t>
      </w:r>
      <w:r>
        <w:rPr>
          <w:rFonts w:ascii="Times New Roman" w:cs="Times New Roman" w:eastAsia="Times New Roman" w:hAnsi="Times New Roman"/>
          <w:sz w:val="22"/>
          <w:szCs w:val="22"/>
          <w:b w:val="1"/>
          <w:bCs w:val="1"/>
          <w:color w:val="auto"/>
        </w:rPr>
        <w:t>Scott Bender v. Domino’s Pizza, Inc., Russell J. Weiner, and Sandeep Reddy (Case No. 2:24-CV-12477-LVP-APP, United States District Court for the Eastern District of Michigan)</w:t>
      </w:r>
      <w:r>
        <w:rPr>
          <w:rFonts w:ascii="Times New Roman" w:cs="Times New Roman" w:eastAsia="Times New Roman" w:hAnsi="Times New Roman"/>
          <w:sz w:val="22"/>
          <w:szCs w:val="22"/>
          <w:color w:val="auto"/>
        </w:rPr>
        <w:t>, and any related or similar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reimburse Employee for any reasonable out-of-pocket costs and expenses incurred in connection with providing such assistance and cooperation, provided such costs and expenses are approved in advance by the Company. The Company’s reimbursement obligation shall include Employee’s reasonable attorney’s fees if (and only if) the Company’s outside counsel determines that a conflict of interest exists between the Company and Employee necessitating Employee to retain separate counsel, assuming the Company wants Employee to continue providing its assistance and cooperation under this provision.</w:t>
      </w:r>
    </w:p>
    <w:p>
      <w:pPr>
        <w:spacing w:after="0" w:line="79" w:lineRule="exact"/>
        <w:rPr>
          <w:rFonts w:ascii="Times New Roman" w:cs="Times New Roman" w:eastAsia="Times New Roman" w:hAnsi="Times New Roman"/>
          <w:sz w:val="22"/>
          <w:szCs w:val="22"/>
          <w:color w:val="auto"/>
        </w:rPr>
      </w:pPr>
    </w:p>
    <w:p>
      <w:pPr>
        <w:jc w:val="both"/>
        <w:ind w:firstLine="757"/>
        <w:spacing w:after="0" w:line="232" w:lineRule="auto"/>
        <w:tabs>
          <w:tab w:leader="none" w:pos="120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External Representations or Agreements</w:t>
      </w:r>
      <w:r>
        <w:rPr>
          <w:rFonts w:ascii="Times New Roman" w:cs="Times New Roman" w:eastAsia="Times New Roman" w:hAnsi="Times New Roman"/>
          <w:sz w:val="22"/>
          <w:szCs w:val="22"/>
          <w:color w:val="auto"/>
        </w:rPr>
        <w:t>: With the exception of Employee’s ongoing obligations under the Employment Agreement that Employee previously executed with the Company and the Stock Plan and any applicable awards agreements, in each case, governing Employee’s equity grants, this Agreement constitutes the sole and entire agreement between the parties regarding the subject matter addressed herein, and supersedes any and all understandings and agreements that may have been reached earlier on this subject matter. Employee understands and agrees that her/his obligations under the Employment Agreement including, but not limited to, the post-employment obligations in Sections 7 and 8 of the Employment Agreement (the “Continuing Obligations”), remain in effect, with the limited exception that the Company agrees not to enforce Section 8.1(iii) against Employee after the Separation Date. There are no understandings, representations, or agreements other than those set forth in this Agreement, the Continuing Obligations set forth in the Employment Agreement (as modified above in this Paragraph) and the Stock Plan and any applicable awards agreements, in each case, governing Employee’s equity grants. No provision of this Agreement shall be amended, waived, or modified except in writing signed by the parties that specifically refers to this Agreement. The Company agrees that its current Leadership Team (comprised of those officers of the Company with a title of Executive Vice President and above) will not publicly make comments or statements to any third party that are disparaging of Employee (provided, however, that nothing in this Paragraph shall impair or interfere with the Company’s ability to engage in business-related intra-corporate communications or to communicate with its shareholders, investors, auditors, and/or legal advisors). A disparaging comment or statement is any communication, oral or written (including any online, social media, or digital communications) which would cause or tend to cause the recipient of the communication to question the business condition, reputation, integrity, competence, fairness, or good character of the person or entity to whom the communication relates.</w:t>
      </w:r>
    </w:p>
    <w:p>
      <w:pPr>
        <w:spacing w:after="0" w:line="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in all respects, whether as to validity, construction, capacity, performance, or otherwise, by the laws of the State of Michigan, without regard to choice of law principles, and except as preempted by federal law.</w:t>
      </w:r>
    </w:p>
    <w:p>
      <w:pPr>
        <w:spacing w:after="0" w:line="65"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Admissibility of the Agreement</w:t>
      </w:r>
      <w:r>
        <w:rPr>
          <w:rFonts w:ascii="Times New Roman" w:cs="Times New Roman" w:eastAsia="Times New Roman" w:hAnsi="Times New Roman"/>
          <w:sz w:val="22"/>
          <w:szCs w:val="22"/>
          <w:color w:val="auto"/>
        </w:rPr>
        <w:t>: The parties agree that this Agreement may not be introduced in any proceeding, except to establish conclusively the settlement and release of the claims it encompasses or to otherwise ensure rights created by this Agreement. This Agreement is not to be interpreted as an admission of any liability or other obligation to Employee.</w:t>
      </w:r>
    </w:p>
    <w:p>
      <w:pPr>
        <w:spacing w:after="0" w:line="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by a court, arbitrator, or other adjudicative body of competent jurisdiction to be invalid, void, or unenforceable for whatever reason, the remaining provisions of this Agreement shall nevertheless continue in full force and effect without being impaired in any manner whatsoever.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9" w:name="page130"/>
    <w:bookmarkEnd w:id="129"/>
    <w:p>
      <w:pPr>
        <w:ind w:firstLine="757"/>
        <w:spacing w:after="0" w:line="258" w:lineRule="auto"/>
        <w:tabs>
          <w:tab w:leader="none" w:pos="118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 and Costs</w:t>
      </w:r>
      <w:r>
        <w:rPr>
          <w:rFonts w:ascii="Times New Roman" w:cs="Times New Roman" w:eastAsia="Times New Roman" w:hAnsi="Times New Roman"/>
          <w:sz w:val="22"/>
          <w:szCs w:val="22"/>
          <w:color w:val="auto"/>
        </w:rPr>
        <w:t>: In any proceeding or action to enforce this Agreement or to recover damages arising out of its breach, the prevailing party shall be awarded its reasonable attorneys’ fees and costs.</w:t>
      </w:r>
    </w:p>
    <w:p>
      <w:pPr>
        <w:spacing w:after="0" w:line="50"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Acknowledgements</w:t>
      </w:r>
      <w:r>
        <w:rPr>
          <w:rFonts w:ascii="Times New Roman" w:cs="Times New Roman" w:eastAsia="Times New Roman" w:hAnsi="Times New Roman"/>
          <w:sz w:val="22"/>
          <w:szCs w:val="22"/>
          <w:color w:val="auto"/>
        </w:rPr>
        <w:t>: Employee, by her/his execution of this Agreement, acknowledges and agrees that the following statements are true:</w:t>
      </w:r>
    </w:p>
    <w:p>
      <w:pPr>
        <w:spacing w:after="0" w:line="50" w:lineRule="exact"/>
        <w:rPr>
          <w:rFonts w:ascii="Times New Roman" w:cs="Times New Roman" w:eastAsia="Times New Roman" w:hAnsi="Times New Roman"/>
          <w:sz w:val="22"/>
          <w:szCs w:val="22"/>
          <w:color w:val="auto"/>
        </w:rPr>
      </w:pPr>
    </w:p>
    <w:p>
      <w:pPr>
        <w:ind w:left="1500" w:hanging="690"/>
        <w:spacing w:after="0" w:line="258" w:lineRule="auto"/>
        <w:tabs>
          <w:tab w:leader="none" w:pos="12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has carefully read this entire Agreement and has had any and all questions regarding its meaning answered to her/his satisfaction;</w:t>
      </w:r>
    </w:p>
    <w:p>
      <w:pPr>
        <w:spacing w:after="0" w:line="50"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written in language that s/he understands;</w:t>
      </w:r>
    </w:p>
    <w:p>
      <w:pPr>
        <w:spacing w:after="0" w:line="98" w:lineRule="exact"/>
        <w:rPr>
          <w:rFonts w:ascii="Times New Roman" w:cs="Times New Roman" w:eastAsia="Times New Roman" w:hAnsi="Times New Roman"/>
          <w:sz w:val="22"/>
          <w:szCs w:val="22"/>
          <w:color w:val="auto"/>
        </w:rPr>
      </w:pPr>
    </w:p>
    <w:p>
      <w:pPr>
        <w:ind w:left="1500" w:right="40" w:hanging="690"/>
        <w:spacing w:after="0" w:line="258" w:lineRule="auto"/>
        <w:tabs>
          <w:tab w:leader="none" w:pos="12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is hereby advised to seek independent legal advice and/or counsel of her/his own choosing prior to the execution of this Agreement;</w:t>
      </w:r>
    </w:p>
    <w:p>
      <w:pPr>
        <w:spacing w:after="0" w:line="50" w:lineRule="exact"/>
        <w:rPr>
          <w:rFonts w:ascii="Times New Roman" w:cs="Times New Roman" w:eastAsia="Times New Roman" w:hAnsi="Times New Roman"/>
          <w:sz w:val="22"/>
          <w:szCs w:val="22"/>
          <w:color w:val="auto"/>
        </w:rPr>
      </w:pPr>
    </w:p>
    <w:p>
      <w:pPr>
        <w:ind w:left="1500" w:right="20" w:hanging="690"/>
        <w:spacing w:after="0" w:line="258" w:lineRule="auto"/>
        <w:tabs>
          <w:tab w:leader="none" w:pos="12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fully understands that this Agreement is a waiver of any and all claims, known and unknown, that s/he may have against the Released Parties;</w:t>
      </w:r>
    </w:p>
    <w:p>
      <w:pPr>
        <w:spacing w:after="0" w:line="50" w:lineRule="exact"/>
        <w:rPr>
          <w:rFonts w:ascii="Times New Roman" w:cs="Times New Roman" w:eastAsia="Times New Roman" w:hAnsi="Times New Roman"/>
          <w:sz w:val="22"/>
          <w:szCs w:val="22"/>
          <w:color w:val="auto"/>
        </w:rPr>
      </w:pPr>
    </w:p>
    <w:p>
      <w:pPr>
        <w:ind w:left="1500" w:right="20" w:hanging="690"/>
        <w:spacing w:after="0" w:line="258" w:lineRule="auto"/>
        <w:tabs>
          <w:tab w:leader="none" w:pos="12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willingly waives any and all claims in exchange for the promises of the Company in this Agreement, which s/he acknowledges constitute valuable consideration that s/he is not otherwise entitled to receive;</w:t>
      </w:r>
    </w:p>
    <w:p>
      <w:pPr>
        <w:spacing w:after="0" w:line="50" w:lineRule="exact"/>
        <w:rPr>
          <w:sz w:val="20"/>
          <w:szCs w:val="20"/>
          <w:color w:val="auto"/>
        </w:rPr>
      </w:pPr>
    </w:p>
    <w:p>
      <w:pPr>
        <w:ind w:left="1500" w:right="20" w:hanging="743"/>
        <w:spacing w:after="0" w:line="258" w:lineRule="auto"/>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enters into this Agreement knowingly and voluntarily and is under no coercion or duress whatsoever in considering or agreeing to the provisions of this Agreement; and</w:t>
      </w:r>
    </w:p>
    <w:p>
      <w:pPr>
        <w:spacing w:after="0" w:line="50"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understands that this Agreement is a contract and that either party may enforce it.</w:t>
      </w:r>
    </w:p>
    <w:p>
      <w:pPr>
        <w:spacing w:after="0" w:line="98" w:lineRule="exact"/>
        <w:rPr>
          <w:sz w:val="20"/>
          <w:szCs w:val="20"/>
          <w:color w:val="auto"/>
        </w:rPr>
      </w:pPr>
    </w:p>
    <w:p>
      <w:pPr>
        <w:jc w:val="both"/>
        <w:ind w:firstLine="757"/>
        <w:spacing w:after="0" w:line="234" w:lineRule="auto"/>
        <w:tabs>
          <w:tab w:leader="none" w:pos="118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Periods for Considering and Revoking the Agreement</w:t>
      </w:r>
      <w:r>
        <w:rPr>
          <w:rFonts w:ascii="Times New Roman" w:cs="Times New Roman" w:eastAsia="Times New Roman" w:hAnsi="Times New Roman"/>
          <w:sz w:val="22"/>
          <w:szCs w:val="22"/>
          <w:color w:val="auto"/>
        </w:rPr>
        <w:t>: Employee acknowledges that s/he has been given at least 21 days to consider this Agreement. Employee agrees that, if s/he signs and returns this Agreement to the Company representative identified below before the end of the above 21-day period, her/his signature is intended to waive her/his right to consider the Agreement for 21 days. This proposed Agreement shall be deemed withdrawn if Employee fails to sign and return it to the Company representative identified below within 21 days of her/his receipt of the Agreement. The parties agree that Employee may revoke this Agreement at any time within 7 days after signing the Agreement by written notice delivered by certified mail to the Company representative identified below. The parties acknowledge and agree that this Agreement will become effective and enforceable once Employee signs and returns it to the Company representative identified below within 21 days of her/his receipt of the Agreement and following the expiration without exercise of the 7-day revocation period.</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Attention: Kevin Morris, Executive Vice President, General Counsel &amp; Corporate Secretary</w:t>
      </w:r>
    </w:p>
    <w:p>
      <w:pPr>
        <w:ind w:left="760"/>
        <w:spacing w:after="0" w:line="230" w:lineRule="auto"/>
        <w:rPr>
          <w:sz w:val="20"/>
          <w:szCs w:val="20"/>
          <w:color w:val="auto"/>
        </w:rPr>
      </w:pPr>
      <w:r>
        <w:rPr>
          <w:rFonts w:ascii="Times New Roman" w:cs="Times New Roman" w:eastAsia="Times New Roman" w:hAnsi="Times New Roman"/>
          <w:sz w:val="22"/>
          <w:szCs w:val="22"/>
          <w:color w:val="auto"/>
        </w:rPr>
        <w:t>30 Frank Lloyd Wright Drive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Ann Arbor, Michigan 48105</w:t>
      </w:r>
    </w:p>
    <w:p>
      <w:pPr>
        <w:spacing w:after="0" w:line="74" w:lineRule="exact"/>
        <w:rPr>
          <w:sz w:val="20"/>
          <w:szCs w:val="20"/>
          <w:color w:val="auto"/>
        </w:rPr>
      </w:pPr>
    </w:p>
    <w:p>
      <w:pPr>
        <w:jc w:val="both"/>
        <w:ind w:firstLine="757"/>
        <w:spacing w:after="0" w:line="236"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Approval/Enforcement/Copies</w:t>
      </w:r>
      <w:r>
        <w:rPr>
          <w:rFonts w:ascii="Times New Roman" w:cs="Times New Roman" w:eastAsia="Times New Roman" w:hAnsi="Times New Roman"/>
          <w:sz w:val="22"/>
          <w:szCs w:val="22"/>
          <w:color w:val="auto"/>
        </w:rPr>
        <w:t>: Employee agrees to cooperate with the Company in seeking and obtaining approval of this Agreement from any governmental agency, court, arbitrator, or other adjudicative body. This Agreement shall be deemed drafted equally by the parties. The language of all parts of this Agreement shall be construed as a whole, according to its fair meaning, and any presumption or other principle that the language herein is to be construed against any party shall not apply. This Agreement may be executed in counterparts or by electronic means such as facsimile or electronic portable document format (pdf), and copies of the Agreement shall be considered as enforceable as if they were the original.</w:t>
      </w:r>
    </w:p>
    <w:p>
      <w:pPr>
        <w:spacing w:after="0" w:line="73" w:lineRule="exact"/>
        <w:rPr>
          <w:rFonts w:ascii="Times New Roman" w:cs="Times New Roman" w:eastAsia="Times New Roman" w:hAnsi="Times New Roman"/>
          <w:sz w:val="22"/>
          <w:szCs w:val="22"/>
          <w:color w:val="auto"/>
        </w:rPr>
      </w:pPr>
    </w:p>
    <w:p>
      <w:pPr>
        <w:ind w:firstLine="757"/>
        <w:spacing w:after="0" w:line="258" w:lineRule="auto"/>
        <w:tabs>
          <w:tab w:leader="none" w:pos="120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Irrelevant</w:t>
      </w:r>
      <w:r>
        <w:rPr>
          <w:rFonts w:ascii="Times New Roman" w:cs="Times New Roman" w:eastAsia="Times New Roman" w:hAnsi="Times New Roman"/>
          <w:sz w:val="22"/>
          <w:szCs w:val="22"/>
          <w:color w:val="auto"/>
        </w:rPr>
        <w:t>: The headings in this Agreement are intended as a convenience to the reader and are not intended to convey any legal meaning.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30" w:name="page131"/>
    <w:bookmarkEnd w:id="130"/>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EMPLOYEE ACKNOWLEDGES THAT S/HE HAS CAREFULLY READ THIS ENTIRE AGREEMENT CAREFULLY. EMPLOYEE IS HEREBY ADVISED BY THE COMPANY TO CONSULT AN ATTORNEY PRIOR TO EXECUTING THIS AGREEMENT, AND FULLY UNDERSTANDS THAT BY SIGNING BELOW, S/HE IS GIVING UP CERTAIN RIGHTS WHICH S/HE MAY HAVE TO SUE OR ASSERT A CLAIM AGAINST ANY OF THE RELEASED PARTIES AS DESCRIBED HEREIN AND THE OTHER PROVISIONS HEREOF. EMPLOYEE ACKNOWLEDGES THAT S/HE HAS NOT BEEN FORCED OR PRESSURED IN ANY MANNER WHATSOEVER TO SIGN THIS AGREEMENT AND S/HE AGREES TO ALL OF ITS TERMS VOLUNTARILY.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5"/>
          </w:tcPr>
          <w:p>
            <w:pPr>
              <w:ind w:left="640"/>
              <w:spacing w:after="0"/>
              <w:rPr>
                <w:sz w:val="20"/>
                <w:szCs w:val="20"/>
                <w:color w:val="auto"/>
              </w:rPr>
            </w:pPr>
            <w:r>
              <w:rPr>
                <w:rFonts w:ascii="Times New Roman" w:cs="Times New Roman" w:eastAsia="Times New Roman" w:hAnsi="Times New Roman"/>
                <w:sz w:val="22"/>
                <w:szCs w:val="22"/>
                <w:color w:val="auto"/>
              </w:rPr>
              <w:t>DOMINO’S PIZZA LLC</w:t>
            </w:r>
          </w:p>
        </w:tc>
      </w:tr>
      <w:tr>
        <w:trPr>
          <w:trHeight w:val="29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Employee:</w:t>
            </w:r>
          </w:p>
        </w:tc>
        <w:tc>
          <w:tcPr>
            <w:tcW w:w="34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_/s/ Art D’Elia_________________</w:t>
            </w:r>
          </w:p>
        </w:tc>
        <w:tc>
          <w:tcPr>
            <w:tcW w:w="398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9"/>
              </w:rPr>
              <w:t>By: _/s/ Kevin S. Morris_______________</w:t>
            </w: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3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4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_October 21, 2024______________</w:t>
            </w:r>
          </w:p>
        </w:tc>
        <w:tc>
          <w:tcPr>
            <w:tcW w:w="398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9"/>
              </w:rPr>
              <w:t>Its:  _EVP, GC &amp; Corporate Secretary____</w:t>
            </w: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31"/>
        </w:trPr>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4880" w:type="dxa"/>
            <w:vAlign w:val="bottom"/>
            <w:gridSpan w:val="7"/>
          </w:tcPr>
          <w:p>
            <w:pPr>
              <w:ind w:left="200"/>
              <w:spacing w:after="0"/>
              <w:rPr>
                <w:sz w:val="20"/>
                <w:szCs w:val="20"/>
                <w:color w:val="auto"/>
              </w:rPr>
            </w:pPr>
            <w:r>
              <w:rPr>
                <w:rFonts w:ascii="Times New Roman" w:cs="Times New Roman" w:eastAsia="Times New Roman" w:hAnsi="Times New Roman"/>
                <w:sz w:val="22"/>
                <w:szCs w:val="22"/>
                <w:color w:val="auto"/>
              </w:rPr>
              <w:t>____October 21, 2024_____________</w:t>
            </w: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Release of Claims (“Additional Release”)</w:t>
      </w:r>
    </w:p>
    <w:p>
      <w:pPr>
        <w:spacing w:after="0" w:line="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explained in Paragraph 3 of the Separation Agreement and General Release (“Agreement”), this Additional Release is for Employee to release and waive any and all claims that may have arisen since the effective date of the Agreement. This Additional Release is intended to supplement, but not to replace, the Agreement. Capitalized terms used but not otherwise defined herein shall have the respective meanings set forth in the Agreement.</w:t>
      </w:r>
    </w:p>
    <w:p>
      <w:pPr>
        <w:spacing w:after="0" w:line="7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Employee acknowledges that the consideration set forth in the Agreement represents full and final payment of all claims by Employee against the Company, and is in excess of what Employee would otherwise be entitled by virtue of her/his employment. By signing this Additional Release, Employee completely and forever releases the Company and any other persons, firms, corporations, or entities with which the Company has been, is now, or may hereafter be affiliated, and any past, present, or future direct or indirect owners, shareholders, directors, officers, employees, attorneys, agents, insurers, partners, employee benefit plans, predecessors and successors in interest, beneficiaries, executors, administrators, personal representatives, heirs, parents, subsidiaries, successors, and assigns of the Company and any other persons, firms, corporations, or entities with which the Company has been, is now, or may hereafter be affiliated (collectively, the “Released Parties”), from any and all known or unknown claims, causes of action, rights, demands, grievances, or lawsuits (collectively, “Claims”) arising out of or in any way relating to any event, matter, or occurrence existing or occurring before Employee signs this Additional Release including, but not limited to, Claims that involve or arise from the employment relationship between Employee and the Company, or the termination of that relationship.</w:t>
      </w:r>
    </w:p>
    <w:p>
      <w:pPr>
        <w:spacing w:after="0" w:line="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This general release includes, but is not limited to, Claims that arise under any of the following: Title VII of the Civil Rights Act of 1964; 42 U.S.C. § 1981; the Age Discrimination in Employment Act of 1967; the Pregnancy Discrimination Act; the Employee Retirement Income Security Act; the Americans with Disabilities Act; the Family and Medical Leave Act; the Equal Pay Act; the Genetic Information Non-Discrimination Act; the Worker Adjustment and Retraining Notification Act; the Sarbanes-Oxley Act; the Health Insurance Portability and Accountability Act; the Fair Credit Reporting Act; the False Claims Act; the Occupational Safety and Health Act; the Uniformed Services Employment and Reemployment Rights Act; any amendments to the foregoing laws; any other federal, state, local, or foreign constitution, statute, ordinance, or regulation; or any other theory of recovery including, but not limited to, claims of discrimination, harassment, or retaliation of any kind, wrongful discharge, breach of contract, breach of the covenant of good faith and fair dealing, unfair business practices, wage and hour claims of any kind, whether for non-payment, late payment, overtime, misclassification, rest breaks, meal periods, bonuses, reimbursements, deductions, and/or penalties, tort claims of any kind, whether for intentional or negligent infliction of emotional distress, personal injury, defamation, and/or invasion of privacy, and any other common law legal or equitable claims.</w:t>
      </w:r>
    </w:p>
    <w:p>
      <w:pPr>
        <w:spacing w:after="0" w:line="6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release includes any and all Employee’s Claims against the Released Parties that exist as of Employee’s execution of this Additional Release, even if the facts and/or legal theories supporting those Claims are unknown to Employee at this time. This release binds Employee as well as her/his marital community, heirs, executors, administrators, beneficiaries and assigns. Excluded from this release are any Claims which cannot be waived by law, including Employee’s right to seek unemployment or workers’ compensation benefits. Also excluded from this release is Employee’s right to enforce his rights under this Agreement and any obligations for Company to indemnify Employee or provide applicable coverage under the Company’s Directors and Officers insurance.</w:t>
      </w:r>
    </w:p>
    <w:p>
      <w:pPr>
        <w:spacing w:after="0" w:line="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u w:val="single" w:color="auto"/>
          <w:color w:val="auto"/>
        </w:rPr>
        <w:t>Right to Participate in Governmental Agency Proceedings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NOTHING IN THIS ADDITIONAL RELEASE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INTENDED TO LIMIT OR IMPAIR IN ANY WAY EMPLOYEE’S RIGHT TO FILE A CHARGE OR COMPLAINT WITH ANY GOVERNMENTAL AGENCY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2" w:name="page133"/>
    <w:bookmarkEnd w:id="132"/>
    <w:p>
      <w:pPr>
        <w:jc w:val="both"/>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BUT NOT LIMITED TO, THE U.S. SECURITIES AND EXCHANGE COMMISSION (“SEC”), NATIONAL LABOR RELATIONS BOARD (“NLRB”), U.S. EQUAL EMPLOYMENT OPPORTUNITY COMMISSION (“EEOC”), OR COMPARABLE STATE AND LOCAL AGENCIES, OR EMPLOYEE’S RIGHT TO PARTICIPATE IN ANY INVESTIGATION OR PROCEEDING CONDUCTED BY ANY GOVERNMENTAL AGENCY AND TO RECOVER ANY APPROPRIATE RELIEF IN ANY SUCH ACTION. </w:t>
      </w:r>
      <w:r>
        <w:rPr>
          <w:rFonts w:ascii="Times New Roman" w:cs="Times New Roman" w:eastAsia="Times New Roman" w:hAnsi="Times New Roman"/>
          <w:sz w:val="21"/>
          <w:szCs w:val="21"/>
          <w:color w:val="auto"/>
        </w:rPr>
        <w:t>However, the parties agree that appropriate relief may not include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remedies that personally benefit Employee and which s/he has released and waived under this Additional Release including all legal relief, equitable relief, statutory relief, reinstatement, back pay, front pay, and all other damages, benefits, remedies, or relief to which Employee may be entitled as a result of the filing or prosecution of any such charge or complaint against the Released Parties by Employee, or any resulting civil proceeding or lawsuit brought on behalf of Employee and which arises out of any matters that are released or waived by this Additional Release. Employee expressly assigns to the Company any such remedies that personally benefit her/him. This Additional Release shall not preclude Employee from bringing a charge or complaint to challenge the validity or enforceability of this Additional Release under the Age Discrimination in Employment Act of 1967, as amended by the Older Workers Benefit Protection Act. </w:t>
      </w:r>
      <w:r>
        <w:rPr>
          <w:rFonts w:ascii="Times New Roman" w:cs="Times New Roman" w:eastAsia="Times New Roman" w:hAnsi="Times New Roman"/>
          <w:sz w:val="21"/>
          <w:szCs w:val="21"/>
          <w:b w:val="1"/>
          <w:bCs w:val="1"/>
          <w:color w:val="auto"/>
        </w:rPr>
        <w:t>NOTHING IN THIS ADDITIONAL RELEASE</w:t>
      </w:r>
    </w:p>
    <w:p>
      <w:pPr>
        <w:spacing w:after="0" w:line="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PROHIBITS EMPLOYEE’S ACCEPTANCE OF A WHISTLEBLOWER AWARD FROM THE SEC PURSUANT TO § 21F OF THE FEDERAL SECURITIES EXCHANGE ACT OR OTHER FINANCIAL INCENTIVE AWARD FOR ANY INFORMATION EMPLOYEE PROVIDES TO A GOVERNMENT AGENCY.</w:t>
      </w:r>
    </w:p>
    <w:p>
      <w:pPr>
        <w:spacing w:after="0" w:line="7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Acknowledgements Concerning Compensation/Leave/On-the-Job Injury</w:t>
      </w:r>
      <w:r>
        <w:rPr>
          <w:rFonts w:ascii="Times New Roman" w:cs="Times New Roman" w:eastAsia="Times New Roman" w:hAnsi="Times New Roman"/>
          <w:sz w:val="22"/>
          <w:szCs w:val="22"/>
          <w:color w:val="auto"/>
        </w:rPr>
        <w:t>: Employee acknowledges and agrees that the consideration set forth in the Agreement shall constitute the total amount owed by the Company to Employee and that s/he has:</w:t>
      </w:r>
    </w:p>
    <w:p>
      <w:pPr>
        <w:spacing w:after="0" w:line="2" w:lineRule="exact"/>
        <w:rPr>
          <w:sz w:val="20"/>
          <w:szCs w:val="20"/>
          <w:color w:val="auto"/>
        </w:rPr>
      </w:pPr>
    </w:p>
    <w:p>
      <w:pPr>
        <w:jc w:val="both"/>
        <w:ind w:firstLine="8"/>
        <w:spacing w:after="0" w:line="232" w:lineRule="auto"/>
        <w:tabs>
          <w:tab w:leader="none" w:pos="30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paid by the Company for all hours s/he has worked for the Company; (b) received all amounts due from the Company through the Separation Date including, but not limited to, compensation, wages, payments, bonuses, benefits, pay in lieu of notice, salary continuation or severance, reimbursements, or any other remuneration of whatever kind arising from or relating to the employment relationship with the Company, or the termination of that relationship, except for the payments and benefits expressly provided for under the Agreement; (c) received any leave (paid or unpaid) and accommodations to which s/he was entitled through the Separation Date; and (d) not suffered any on-the-job injury or occupational illness while working for the Company for which s/he has not already filed a claim.</w:t>
      </w:r>
    </w:p>
    <w:p>
      <w:pPr>
        <w:spacing w:after="0" w:line="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Employee Acknowledgements</w:t>
      </w:r>
      <w:r>
        <w:rPr>
          <w:rFonts w:ascii="Times New Roman" w:cs="Times New Roman" w:eastAsia="Times New Roman" w:hAnsi="Times New Roman"/>
          <w:sz w:val="22"/>
          <w:szCs w:val="22"/>
          <w:color w:val="auto"/>
        </w:rPr>
        <w:t>: Employee, by her/his execution of this Additional Release, acknowledges and agrees that the following statements are true:</w:t>
      </w:r>
    </w:p>
    <w:p>
      <w:pPr>
        <w:spacing w:after="0" w:line="50" w:lineRule="exact"/>
        <w:rPr>
          <w:sz w:val="20"/>
          <w:szCs w:val="20"/>
          <w:color w:val="auto"/>
        </w:rPr>
      </w:pPr>
    </w:p>
    <w:p>
      <w:pPr>
        <w:ind w:left="1500" w:right="20" w:hanging="690"/>
        <w:spacing w:after="0" w:line="258" w:lineRule="auto"/>
        <w:tabs>
          <w:tab w:leader="none" w:pos="123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has carefully read this entire Additional Release and has had any and all questions regarding its meaning answered to her/his satisfaction;</w:t>
      </w:r>
    </w:p>
    <w:p>
      <w:pPr>
        <w:spacing w:after="0" w:line="50"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Release is written in language that s/he understands;</w:t>
      </w:r>
    </w:p>
    <w:p>
      <w:pPr>
        <w:spacing w:after="0" w:line="98" w:lineRule="exact"/>
        <w:rPr>
          <w:rFonts w:ascii="Times New Roman" w:cs="Times New Roman" w:eastAsia="Times New Roman" w:hAnsi="Times New Roman"/>
          <w:sz w:val="22"/>
          <w:szCs w:val="22"/>
          <w:color w:val="auto"/>
        </w:rPr>
      </w:pPr>
    </w:p>
    <w:p>
      <w:pPr>
        <w:ind w:left="1500" w:right="40" w:hanging="690"/>
        <w:spacing w:after="0" w:line="258" w:lineRule="auto"/>
        <w:tabs>
          <w:tab w:leader="none" w:pos="123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is hereby advised to seek independent legal advice and/or counsel of her/his own choosing prior to the execution of this Additional Release;</w:t>
      </w:r>
    </w:p>
    <w:p>
      <w:pPr>
        <w:spacing w:after="0" w:line="50" w:lineRule="exact"/>
        <w:rPr>
          <w:rFonts w:ascii="Times New Roman" w:cs="Times New Roman" w:eastAsia="Times New Roman" w:hAnsi="Times New Roman"/>
          <w:sz w:val="22"/>
          <w:szCs w:val="22"/>
          <w:color w:val="auto"/>
        </w:rPr>
      </w:pPr>
    </w:p>
    <w:p>
      <w:pPr>
        <w:ind w:left="1500" w:hanging="690"/>
        <w:spacing w:after="0" w:line="258" w:lineRule="auto"/>
        <w:tabs>
          <w:tab w:leader="none" w:pos="123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fully understands that this Additional Release is a waiver of any and all claims, known and unknown, that s/he may have against the Released Parties;</w:t>
      </w:r>
    </w:p>
    <w:p>
      <w:pPr>
        <w:spacing w:after="0" w:line="50" w:lineRule="exact"/>
        <w:rPr>
          <w:rFonts w:ascii="Times New Roman" w:cs="Times New Roman" w:eastAsia="Times New Roman" w:hAnsi="Times New Roman"/>
          <w:sz w:val="22"/>
          <w:szCs w:val="22"/>
          <w:color w:val="auto"/>
        </w:rPr>
      </w:pPr>
    </w:p>
    <w:p>
      <w:pPr>
        <w:ind w:left="1500" w:right="20" w:hanging="690"/>
        <w:spacing w:after="0" w:line="258" w:lineRule="auto"/>
        <w:tabs>
          <w:tab w:leader="none" w:pos="123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willingly waives any and all claims in exchange for the promises of the Company in the Agreement, which s/he acknowledges constitute valuable consideration that s/he is not otherwise entitled to receive;</w:t>
      </w:r>
    </w:p>
    <w:p>
      <w:pPr>
        <w:spacing w:after="0" w:line="50"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 enters into this Additional Release knowingly and voluntarily and is under no coercion or duress whatsoever in considering or agreeing to the provisions of this Additional Release;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3" w:name="page134"/>
    <w:bookmarkEnd w:id="133"/>
    <w:p>
      <w:pPr>
        <w:ind w:left="820"/>
        <w:spacing w:after="0"/>
        <w:tabs>
          <w:tab w:leader="none" w:pos="122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S/he understands that this Additional Release is a contract and that either party may enforce it.</w:t>
      </w:r>
    </w:p>
    <w:p>
      <w:pPr>
        <w:spacing w:after="0" w:line="9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Periods for Considering and Revoking the Additional Release</w:t>
      </w:r>
      <w:r>
        <w:rPr>
          <w:rFonts w:ascii="Times New Roman" w:cs="Times New Roman" w:eastAsia="Times New Roman" w:hAnsi="Times New Roman"/>
          <w:sz w:val="22"/>
          <w:szCs w:val="22"/>
          <w:color w:val="auto"/>
        </w:rPr>
        <w:t>: Employee acknowledges that s/he has been given at least 21 days to consider this Additional Release. Employee agrees that, if s/he signs and returns this Additional Release to the Company representative identified below before the end of the above 21-day period, her/his signature is intended to waive her/his right to consider the Additional Release for 21 days. This proposed Additional Release shall be deemed withdrawn if Employee fails to sign and return it to the Company representative identified below within 21 days of her/his receipt of the Additional Release. The parties agree that Employee may revoke this Additional Release at any time within 7 days after signing the Additional Release by written notice delivered by certified mail to the Company representative identified below. The parties acknowledge and agree that this Additional Release will become effective and enforceable once Employee signs and returns it to the Company representative identified below within 21 days of her/his receipt of the Additional Release and following the expiration without exercise of the 7-day revocation period.</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Attention: Kevin Morris, Executive Vice President, General Counsel &amp; Corporate Secretary</w:t>
      </w:r>
    </w:p>
    <w:p>
      <w:pPr>
        <w:ind w:left="760"/>
        <w:spacing w:after="0" w:line="230" w:lineRule="auto"/>
        <w:rPr>
          <w:sz w:val="20"/>
          <w:szCs w:val="20"/>
          <w:color w:val="auto"/>
        </w:rPr>
      </w:pPr>
      <w:r>
        <w:rPr>
          <w:rFonts w:ascii="Times New Roman" w:cs="Times New Roman" w:eastAsia="Times New Roman" w:hAnsi="Times New Roman"/>
          <w:sz w:val="22"/>
          <w:szCs w:val="22"/>
          <w:color w:val="auto"/>
        </w:rPr>
        <w:t>30 Frank Lloyd Wright Drive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Ann Arbor, Michigan 48105</w:t>
      </w:r>
    </w:p>
    <w:p>
      <w:pPr>
        <w:spacing w:after="0" w:line="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EMPLOYEE ACKNOWLEDGES THAT S/HE HAS CAREFULLY READ THIS ENTIRE ADDITIONAL RELEASE CAREFULLY. EMPLOYEE IS HEREBY ADVISED BY THE COMPANY TO CONSULT AN ATTORNEY PRIOR TO EXECUTING THIS ADDITIONAL RELEASE, AND FULLY UNDERSTANDS THAT BY SIGNING BELOW, S/HE IS GIVING UP CERTAIN RIGHTS WHICH S/HE MAY HAVE TO SUE OR ASSERT A CLAIM AGAINST ANY OF THE RELEASED PARTIES AS DESCRIBED HEREIN AND THE OTHER PROVISIONS HEREOF. EMPLOYEE ACKNOWLEDGES THAT S/HE HAS NOT BEEN FORCED OR PRESSURED IN ANY MANNER WHATSOEVER TO SIGN THIS ADDITIONAL RELEASE AND S/HE AGREES TO ALL OF ITS TERMS VOLUNTARILY.</w:t>
      </w:r>
    </w:p>
    <w:p>
      <w:pPr>
        <w:spacing w:after="0" w:line="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PIZZA LLC</w:t>
      </w:r>
    </w:p>
    <w:p>
      <w:pPr>
        <w:sectPr>
          <w:pgSz w:w="11900" w:h="16838" w:orient="portrait"/>
          <w:cols w:equalWidth="0" w:num="1">
            <w:col w:w="11240"/>
          </w:cols>
          <w:pgMar w:left="320" w:top="1084" w:right="339" w:bottom="1440" w:gutter="0" w:footer="0" w:header="0"/>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110" w:lineRule="exact"/>
        <w:rPr>
          <w:sz w:val="20"/>
          <w:szCs w:val="20"/>
          <w:color w:val="auto"/>
        </w:rPr>
      </w:pPr>
    </w:p>
    <w:p>
      <w:pPr>
        <w:sectPr>
          <w:pgSz w:w="11900" w:h="16838" w:orient="portrait"/>
          <w:cols w:equalWidth="0" w:num="3">
            <w:col w:w="940" w:space="360"/>
            <w:col w:w="3140" w:space="320"/>
            <w:col w:w="6480"/>
          </w:cols>
          <w:pgMar w:left="320" w:top="10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109" w:lineRule="exact"/>
        <w:rPr>
          <w:sz w:val="20"/>
          <w:szCs w:val="20"/>
          <w:color w:val="auto"/>
        </w:rPr>
      </w:pPr>
    </w:p>
    <w:p>
      <w:pPr>
        <w:sectPr>
          <w:pgSz w:w="11900" w:h="16838" w:orient="portrait"/>
          <w:cols w:equalWidth="0" w:num="4">
            <w:col w:w="580" w:space="720"/>
            <w:col w:w="3140" w:space="320"/>
            <w:col w:w="280" w:space="160"/>
            <w:col w:w="6040"/>
          </w:cols>
          <w:pgMar w:left="320" w:top="1084" w:right="33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00" w:lineRule="exact"/>
        <w:rPr>
          <w:sz w:val="20"/>
          <w:szCs w:val="20"/>
          <w:color w:val="auto"/>
        </w:rPr>
      </w:pPr>
    </w:p>
    <w:p>
      <w:pPr>
        <w:sectPr>
          <w:pgSz w:w="11900" w:h="16838" w:orient="portrait"/>
          <w:cols w:equalWidth="0" w:num="2">
            <w:col w:w="3500" w:space="400"/>
            <w:col w:w="7340"/>
          </w:cols>
          <w:pgMar w:left="320" w:top="1084" w:right="339"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10.82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2024 Director Compensation Summary</w:t>
      </w:r>
    </w:p>
    <w:p>
      <w:pPr>
        <w:spacing w:after="0" w:line="2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table sets forth the compensation received by directors of Domino’s Pizza, Inc. (excluding the Company’s Chief Executive Officer) for service on the Board of Directors, Audit Committee, Compensation Committee, Nominating &amp; Corporate Governance Committee and Inclusion &amp; Diversity Committee: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Retainer</w:t>
            </w:r>
          </w:p>
        </w:tc>
        <w:tc>
          <w:tcPr>
            <w:tcW w:w="30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Amount</w:t>
            </w:r>
          </w:p>
        </w:tc>
      </w:tr>
      <w:tr>
        <w:trPr>
          <w:trHeight w:val="232"/>
        </w:trPr>
        <w:tc>
          <w:tcPr>
            <w:tcW w:w="662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386"/>
        </w:trPr>
        <w:tc>
          <w:tcPr>
            <w:tcW w:w="6620" w:type="dxa"/>
            <w:vAlign w:val="bottom"/>
          </w:tcPr>
          <w:p>
            <w:pPr>
              <w:ind w:left="20"/>
              <w:spacing w:after="0"/>
              <w:rPr>
                <w:sz w:val="20"/>
                <w:szCs w:val="20"/>
                <w:color w:val="auto"/>
              </w:rPr>
            </w:pPr>
            <w:r>
              <w:rPr>
                <w:rFonts w:ascii="Arial" w:cs="Arial" w:eastAsia="Arial" w:hAnsi="Arial"/>
                <w:sz w:val="18"/>
                <w:szCs w:val="18"/>
                <w:color w:val="auto"/>
              </w:rPr>
              <w:t>Presiding Director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369"/>
        </w:trPr>
        <w:tc>
          <w:tcPr>
            <w:tcW w:w="662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r>
      <w:tr>
        <w:trPr>
          <w:trHeight w:val="239"/>
        </w:trPr>
        <w:tc>
          <w:tcPr>
            <w:tcW w:w="6620" w:type="dxa"/>
            <w:vAlign w:val="bottom"/>
          </w:tcPr>
          <w:p>
            <w:pPr>
              <w:ind w:left="24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369"/>
        </w:trPr>
        <w:tc>
          <w:tcPr>
            <w:tcW w:w="6620" w:type="dxa"/>
            <w:vAlign w:val="bottom"/>
          </w:tcPr>
          <w:p>
            <w:pPr>
              <w:ind w:left="20"/>
              <w:spacing w:after="0"/>
              <w:rPr>
                <w:sz w:val="20"/>
                <w:szCs w:val="20"/>
                <w:color w:val="auto"/>
              </w:rPr>
            </w:pPr>
            <w:r>
              <w:rPr>
                <w:rFonts w:ascii="Arial" w:cs="Arial" w:eastAsia="Arial" w:hAnsi="Arial"/>
                <w:sz w:val="18"/>
                <w:szCs w:val="18"/>
                <w:color w:val="auto"/>
              </w:rPr>
              <w:t>Compensation Committee</w:t>
            </w:r>
          </w:p>
        </w:tc>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25,000</w:t>
            </w:r>
          </w:p>
        </w:tc>
      </w:tr>
      <w:tr>
        <w:trPr>
          <w:trHeight w:val="239"/>
        </w:trPr>
        <w:tc>
          <w:tcPr>
            <w:tcW w:w="6620" w:type="dxa"/>
            <w:vAlign w:val="bottom"/>
          </w:tcPr>
          <w:p>
            <w:pPr>
              <w:ind w:left="24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369"/>
        </w:trPr>
        <w:tc>
          <w:tcPr>
            <w:tcW w:w="6620" w:type="dxa"/>
            <w:vAlign w:val="bottom"/>
          </w:tcPr>
          <w:p>
            <w:pPr>
              <w:ind w:left="20"/>
              <w:spacing w:after="0"/>
              <w:rPr>
                <w:sz w:val="20"/>
                <w:szCs w:val="20"/>
                <w:color w:val="auto"/>
              </w:rPr>
            </w:pPr>
            <w:r>
              <w:rPr>
                <w:rFonts w:ascii="Arial" w:cs="Arial" w:eastAsia="Arial" w:hAnsi="Arial"/>
                <w:sz w:val="18"/>
                <w:szCs w:val="18"/>
                <w:color w:val="auto"/>
              </w:rPr>
              <w:t>Inclusion &amp; Diversity Committee</w:t>
            </w:r>
          </w:p>
        </w:tc>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39"/>
        </w:trPr>
        <w:tc>
          <w:tcPr>
            <w:tcW w:w="6620" w:type="dxa"/>
            <w:vAlign w:val="bottom"/>
          </w:tcPr>
          <w:p>
            <w:pPr>
              <w:ind w:left="24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369"/>
        </w:trPr>
        <w:tc>
          <w:tcPr>
            <w:tcW w:w="6620" w:type="dxa"/>
            <w:vAlign w:val="bottom"/>
          </w:tcPr>
          <w:p>
            <w:pPr>
              <w:ind w:left="20"/>
              <w:spacing w:after="0"/>
              <w:rPr>
                <w:sz w:val="20"/>
                <w:szCs w:val="20"/>
                <w:color w:val="auto"/>
              </w:rPr>
            </w:pPr>
            <w:r>
              <w:rPr>
                <w:rFonts w:ascii="Arial" w:cs="Arial" w:eastAsia="Arial" w:hAnsi="Arial"/>
                <w:sz w:val="18"/>
                <w:szCs w:val="18"/>
                <w:color w:val="auto"/>
              </w:rPr>
              <w:t>Nominating &amp; Corporate Governance Committee</w:t>
            </w:r>
          </w:p>
        </w:tc>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39"/>
        </w:trPr>
        <w:tc>
          <w:tcPr>
            <w:tcW w:w="6620" w:type="dxa"/>
            <w:vAlign w:val="bottom"/>
          </w:tcPr>
          <w:p>
            <w:pPr>
              <w:ind w:left="24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Equity Award</w:t>
            </w:r>
          </w:p>
        </w:tc>
        <w:tc>
          <w:tcPr>
            <w:tcW w:w="30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r>
      <w:tr>
        <w:trPr>
          <w:trHeight w:val="177"/>
        </w:trPr>
        <w:tc>
          <w:tcPr>
            <w:tcW w:w="6640" w:type="dxa"/>
            <w:vAlign w:val="bottom"/>
          </w:tcPr>
          <w:p>
            <w:pPr>
              <w:ind w:left="20"/>
              <w:spacing w:after="0" w:line="177" w:lineRule="exact"/>
              <w:rPr>
                <w:sz w:val="20"/>
                <w:szCs w:val="20"/>
                <w:color w:val="auto"/>
              </w:rPr>
            </w:pPr>
            <w:r>
              <w:rPr>
                <w:rFonts w:ascii="Arial" w:cs="Arial" w:eastAsia="Arial" w:hAnsi="Arial"/>
                <w:sz w:val="18"/>
                <w:szCs w:val="18"/>
                <w:color w:val="auto"/>
              </w:rPr>
              <w:t>Target grant date fair value</w:t>
            </w:r>
          </w:p>
        </w:tc>
        <w:tc>
          <w:tcPr>
            <w:tcW w:w="3080" w:type="dxa"/>
            <w:vAlign w:val="bottom"/>
          </w:tcPr>
          <w:p>
            <w:pPr>
              <w:jc w:val="right"/>
              <w:ind w:right="190"/>
              <w:spacing w:after="0" w:line="177"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77" w:lineRule="exact"/>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5"/>
                <w:szCs w:val="15"/>
                <w:color w:val="auto"/>
              </w:rPr>
            </w:pPr>
          </w:p>
        </w:tc>
      </w:tr>
      <w:tr>
        <w:trPr>
          <w:trHeight w:val="239"/>
        </w:trPr>
        <w:tc>
          <w:tcPr>
            <w:tcW w:w="6640" w:type="dxa"/>
            <w:vAlign w:val="bottom"/>
          </w:tcPr>
          <w:p>
            <w:pPr>
              <w:ind w:left="20"/>
              <w:spacing w:after="0"/>
              <w:rPr>
                <w:sz w:val="20"/>
                <w:szCs w:val="20"/>
                <w:color w:val="auto"/>
              </w:rPr>
            </w:pPr>
            <w:r>
              <w:rPr>
                <w:rFonts w:ascii="Arial" w:cs="Arial" w:eastAsia="Arial" w:hAnsi="Arial"/>
                <w:sz w:val="18"/>
                <w:szCs w:val="18"/>
                <w:color w:val="auto"/>
              </w:rPr>
              <w:t>Award vests on first anniversary of the grant date</w:t>
            </w:r>
          </w:p>
        </w:tc>
        <w:tc>
          <w:tcPr>
            <w:tcW w:w="3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7"/>
        </w:trPr>
        <w:tc>
          <w:tcPr>
            <w:tcW w:w="66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D</w:t>
      </w:r>
      <w:r>
        <w:rPr>
          <w:rFonts w:ascii="Times New Roman" w:cs="Times New Roman" w:eastAsia="Times New Roman" w:hAnsi="Times New Roman"/>
          <w:sz w:val="20"/>
          <w:szCs w:val="20"/>
          <w:b w:val="1"/>
          <w:bCs w:val="1"/>
          <w:color w:val="auto"/>
        </w:rPr>
        <w:t>omino</w:t>
      </w:r>
      <w:r>
        <w:rPr>
          <w:rFonts w:ascii="Times New Roman" w:cs="Times New Roman" w:eastAsia="Times New Roman" w:hAnsi="Times New Roman"/>
          <w:sz w:val="29"/>
          <w:szCs w:val="29"/>
          <w:b w:val="1"/>
          <w:bCs w:val="1"/>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0"/>
          <w:szCs w:val="20"/>
          <w:b w:val="1"/>
          <w:bCs w:val="1"/>
          <w:color w:val="auto"/>
        </w:rPr>
        <w:t>izza</w:t>
      </w:r>
      <w:r>
        <w:rPr>
          <w:rFonts w:ascii="Times New Roman" w:cs="Times New Roman" w:eastAsia="Times New Roman" w:hAnsi="Times New Roman"/>
          <w:sz w:val="29"/>
          <w:szCs w:val="29"/>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Amended and Restated as of May 16, 2023</w:t>
      </w:r>
    </w:p>
    <w:p>
      <w:pPr>
        <w:spacing w:after="0" w:line="251" w:lineRule="exact"/>
        <w:rPr>
          <w:sz w:val="20"/>
          <w:szCs w:val="20"/>
          <w:color w:val="auto"/>
        </w:rPr>
      </w:pPr>
    </w:p>
    <w:p>
      <w:pPr>
        <w:ind w:left="40" w:right="380"/>
        <w:spacing w:after="0" w:line="239" w:lineRule="auto"/>
        <w:rPr>
          <w:sz w:val="20"/>
          <w:szCs w:val="20"/>
          <w:color w:val="auto"/>
        </w:rPr>
      </w:pPr>
      <w:r>
        <w:rPr>
          <w:rFonts w:ascii="Times New Roman" w:cs="Times New Roman" w:eastAsia="Times New Roman" w:hAnsi="Times New Roman"/>
          <w:sz w:val="22"/>
          <w:szCs w:val="22"/>
          <w:color w:val="auto"/>
        </w:rPr>
        <w:t>This policy applies to all Team Members, Officers and Directors and certain Consultants, as further described herein. This policy is designed to prevent insider trading or allegations of insider trading, and to protect the Company’s reputation for integrity and ethical conduct. It is your obligation to understand and comply with this policy. Should you have any questions regarding this policy, please contact [***].</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143" w:lineRule="exact"/>
        <w:rPr>
          <w:sz w:val="20"/>
          <w:szCs w:val="20"/>
          <w:color w:val="auto"/>
        </w:rPr>
      </w:pPr>
    </w:p>
    <w:p>
      <w:pPr>
        <w:ind w:left="160" w:right="180"/>
        <w:spacing w:after="0" w:line="244" w:lineRule="auto"/>
        <w:rPr>
          <w:sz w:val="20"/>
          <w:szCs w:val="20"/>
          <w:color w:val="auto"/>
        </w:rPr>
      </w:pPr>
      <w:r>
        <w:rPr>
          <w:rFonts w:ascii="Times New Roman" w:cs="Times New Roman" w:eastAsia="Times New Roman" w:hAnsi="Times New Roman"/>
          <w:sz w:val="22"/>
          <w:szCs w:val="22"/>
          <w:color w:val="auto"/>
        </w:rPr>
        <w:t>Domino’s Pizza, Inc.’s Board of Directors has adopted this Insider Trading Policy for our directors, officers, team members and consultants with respect to the trading of the Company’s securities, as well as the securities of publicly-traded companies with whom we have a business relationship.</w:t>
      </w:r>
    </w:p>
    <w:p>
      <w:pPr>
        <w:spacing w:after="0" w:line="106" w:lineRule="exact"/>
        <w:rPr>
          <w:sz w:val="20"/>
          <w:szCs w:val="20"/>
          <w:color w:val="auto"/>
        </w:rPr>
      </w:pPr>
    </w:p>
    <w:p>
      <w:pPr>
        <w:ind w:left="160" w:right="200"/>
        <w:spacing w:after="0" w:line="238" w:lineRule="auto"/>
        <w:rPr>
          <w:sz w:val="20"/>
          <w:szCs w:val="20"/>
          <w:color w:val="auto"/>
        </w:rPr>
      </w:pPr>
      <w:r>
        <w:rPr>
          <w:rFonts w:ascii="Times New Roman" w:cs="Times New Roman" w:eastAsia="Times New Roman" w:hAnsi="Times New Roman"/>
          <w:sz w:val="22"/>
          <w:szCs w:val="22"/>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may also be subject to liability if they fail to take reasonable steps to prevent insider trading by company personnel.</w:t>
      </w:r>
    </w:p>
    <w:p>
      <w:pPr>
        <w:spacing w:after="0" w:line="96" w:lineRule="exact"/>
        <w:rPr>
          <w:sz w:val="20"/>
          <w:szCs w:val="20"/>
          <w:color w:val="auto"/>
        </w:rPr>
      </w:pPr>
    </w:p>
    <w:p>
      <w:pPr>
        <w:ind w:left="160" w:right="220"/>
        <w:spacing w:after="0" w:line="238" w:lineRule="auto"/>
        <w:rPr>
          <w:sz w:val="20"/>
          <w:szCs w:val="20"/>
          <w:color w:val="auto"/>
        </w:rPr>
      </w:pPr>
      <w:r>
        <w:rPr>
          <w:rFonts w:ascii="Times New Roman" w:cs="Times New Roman" w:eastAsia="Times New Roman" w:hAnsi="Times New Roman"/>
          <w:sz w:val="22"/>
          <w:szCs w:val="22"/>
          <w:color w:val="auto"/>
        </w:rPr>
        <w:t>It is important that you understand the breadth of activities that constitute illegal insider trading and the consequences, which can be severe. The U.S. Securities and Exchange Commission (the “SEC”) and the Financial Industry Regulatory Authority investigate and are very effective at detecting insider trading. The SEC, together with the U.S. Attorneys, pursue insider trading violations vigorously. Cases have been successfully prosecuted against trading by team members through foreign accounts, trading by family members and friends, and trading involving only a small number of shares.</w:t>
      </w:r>
    </w:p>
    <w:p>
      <w:pPr>
        <w:spacing w:after="0" w:line="1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PENALTIES FOR NONCOMPLIANCE</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i w:val="1"/>
          <w:iCs w:val="1"/>
          <w:color w:val="auto"/>
        </w:rPr>
        <w:t xml:space="preserve">Civil and Criminal Penalties. </w:t>
      </w:r>
      <w:r>
        <w:rPr>
          <w:rFonts w:ascii="Times New Roman" w:cs="Times New Roman" w:eastAsia="Times New Roman" w:hAnsi="Times New Roman"/>
          <w:sz w:val="22"/>
          <w:szCs w:val="22"/>
          <w:color w:val="auto"/>
        </w:rPr>
        <w:t>Potential penalties for insider trading violations include</w:t>
      </w:r>
    </w:p>
    <w:p>
      <w:pPr>
        <w:spacing w:after="0" w:line="18" w:lineRule="exact"/>
        <w:rPr>
          <w:sz w:val="20"/>
          <w:szCs w:val="20"/>
          <w:color w:val="auto"/>
        </w:rPr>
      </w:pPr>
    </w:p>
    <w:p>
      <w:pPr>
        <w:ind w:left="160" w:right="500" w:hanging="7"/>
        <w:spacing w:after="0" w:line="237" w:lineRule="auto"/>
        <w:tabs>
          <w:tab w:leader="none" w:pos="46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 (2) criminal fines of up to $5 million and (3) civil fines of up to three times the profit gained or loss avoided.</w:t>
      </w:r>
    </w:p>
    <w:p>
      <w:pPr>
        <w:spacing w:after="0" w:line="93" w:lineRule="exact"/>
        <w:rPr>
          <w:sz w:val="20"/>
          <w:szCs w:val="20"/>
          <w:color w:val="auto"/>
        </w:rPr>
      </w:pPr>
    </w:p>
    <w:p>
      <w:pPr>
        <w:ind w:left="160"/>
        <w:spacing w:after="0" w:line="246" w:lineRule="auto"/>
        <w:rPr>
          <w:sz w:val="20"/>
          <w:szCs w:val="20"/>
          <w:color w:val="auto"/>
        </w:rPr>
      </w:pPr>
      <w:r>
        <w:rPr>
          <w:rFonts w:ascii="Times New Roman" w:cs="Times New Roman" w:eastAsia="Times New Roman" w:hAnsi="Times New Roman"/>
          <w:sz w:val="22"/>
          <w:szCs w:val="22"/>
          <w:i w:val="1"/>
          <w:iCs w:val="1"/>
          <w:color w:val="auto"/>
        </w:rPr>
        <w:t>Controlling Person Liability</w:t>
      </w:r>
      <w:r>
        <w:rPr>
          <w:rFonts w:ascii="Times New Roman" w:cs="Times New Roman" w:eastAsia="Times New Roman" w:hAnsi="Times New Roman"/>
          <w:sz w:val="22"/>
          <w:szCs w:val="22"/>
          <w:color w:val="auto"/>
        </w:rPr>
        <w:t>. If the Company fails to take appropriate steps to prevent illegal insider trading, the Company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“controlling person” liability for a trading violation, with civil penalties of up to the greater of $1 million and three times the profit gained or loss avoided,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136" w:name="page137"/>
    <w:bookmarkEnd w:id="136"/>
    <w:p>
      <w:pPr>
        <w:ind w:left="80" w:right="140"/>
        <w:spacing w:after="0" w:line="258" w:lineRule="auto"/>
        <w:rPr>
          <w:sz w:val="20"/>
          <w:szCs w:val="20"/>
          <w:color w:val="auto"/>
        </w:rPr>
      </w:pPr>
      <w:r>
        <w:rPr>
          <w:rFonts w:ascii="Times New Roman" w:cs="Times New Roman" w:eastAsia="Times New Roman" w:hAnsi="Times New Roman"/>
          <w:sz w:val="22"/>
          <w:szCs w:val="22"/>
          <w:color w:val="auto"/>
        </w:rPr>
        <w:t>as well as criminal penalty of up to $25 million. The civil penalties can extend personal liability to the Company’s directors, officers and other supervisory personnel if they fail to take appropriate steps to prevent insider trading.</w:t>
      </w:r>
    </w:p>
    <w:p>
      <w:pPr>
        <w:spacing w:after="0" w:line="87" w:lineRule="exact"/>
        <w:rPr>
          <w:sz w:val="20"/>
          <w:szCs w:val="20"/>
          <w:color w:val="auto"/>
        </w:rPr>
      </w:pPr>
    </w:p>
    <w:p>
      <w:pPr>
        <w:ind w:left="80" w:right="500"/>
        <w:spacing w:after="0" w:line="262" w:lineRule="auto"/>
        <w:rPr>
          <w:sz w:val="20"/>
          <w:szCs w:val="20"/>
          <w:color w:val="auto"/>
        </w:rPr>
      </w:pPr>
      <w:r>
        <w:rPr>
          <w:rFonts w:ascii="Times New Roman" w:cs="Times New Roman" w:eastAsia="Times New Roman" w:hAnsi="Times New Roman"/>
          <w:sz w:val="22"/>
          <w:szCs w:val="22"/>
          <w:i w:val="1"/>
          <w:iCs w:val="1"/>
          <w:color w:val="auto"/>
        </w:rPr>
        <w:t>Company Sanctions</w:t>
      </w:r>
      <w:r>
        <w:rPr>
          <w:rFonts w:ascii="Times New Roman" w:cs="Times New Roman" w:eastAsia="Times New Roman" w:hAnsi="Times New Roman"/>
          <w:sz w:val="22"/>
          <w:szCs w:val="22"/>
          <w:color w:val="auto"/>
        </w:rPr>
        <w:t>. Failure to comply with this policy may also subject you to Company- imposed sanctions,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dismissal for cause, whether or not your failure to comply with this policy results in a violation of law.</w:t>
      </w:r>
    </w:p>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SCOPE OF POLICY</w:t>
      </w:r>
    </w:p>
    <w:p>
      <w:pPr>
        <w:spacing w:after="0" w:line="125" w:lineRule="exact"/>
        <w:rPr>
          <w:sz w:val="20"/>
          <w:szCs w:val="20"/>
          <w:color w:val="auto"/>
        </w:rPr>
      </w:pPr>
    </w:p>
    <w:p>
      <w:pPr>
        <w:ind w:left="80" w:right="120"/>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Persons Covered. </w:t>
      </w:r>
      <w:r>
        <w:rPr>
          <w:rFonts w:ascii="Times New Roman" w:cs="Times New Roman" w:eastAsia="Times New Roman" w:hAnsi="Times New Roman"/>
          <w:sz w:val="22"/>
          <w:szCs w:val="22"/>
          <w:color w:val="auto"/>
        </w:rPr>
        <w:t>As a director, officer, team member or consultant of the Company or its subsidiaries, this policy applies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 The same restrictions that apply to you apply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the actions of such individuals and for making sure that the purchase or sale of any security covered by this policy by any such person complies with this policy.</w:t>
      </w:r>
    </w:p>
    <w:p>
      <w:pPr>
        <w:spacing w:after="0" w:line="108" w:lineRule="exact"/>
        <w:rPr>
          <w:sz w:val="20"/>
          <w:szCs w:val="20"/>
          <w:color w:val="auto"/>
        </w:rPr>
      </w:pPr>
    </w:p>
    <w:p>
      <w:pPr>
        <w:ind w:left="80" w:right="12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Companies Covered. </w:t>
      </w:r>
      <w:r>
        <w:rPr>
          <w:rFonts w:ascii="Times New Roman" w:cs="Times New Roman" w:eastAsia="Times New Roman" w:hAnsi="Times New Roman"/>
          <w:sz w:val="22"/>
          <w:szCs w:val="22"/>
          <w:color w:val="auto"/>
        </w:rPr>
        <w:t>The prohibition on insider trading in this policy is not limited to trading in the Company’s securities.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trading in the securities of other firms, such as customers or suppliers of the Company and those with which the Company may be negotiating major transactions, such as an acquisition, investment, sale or material contract. Information that is not material to the Company may nevertheless be material to one of those other firms.</w:t>
      </w:r>
    </w:p>
    <w:p>
      <w:pPr>
        <w:spacing w:after="0" w:line="91" w:lineRule="exact"/>
        <w:rPr>
          <w:sz w:val="20"/>
          <w:szCs w:val="20"/>
          <w:color w:val="auto"/>
        </w:rPr>
      </w:pPr>
    </w:p>
    <w:p>
      <w:pPr>
        <w:jc w:val="both"/>
        <w:ind w:left="80" w:right="280"/>
        <w:spacing w:after="0" w:line="246" w:lineRule="auto"/>
        <w:rPr>
          <w:sz w:val="20"/>
          <w:szCs w:val="20"/>
          <w:color w:val="auto"/>
        </w:rPr>
      </w:pPr>
      <w:r>
        <w:rPr>
          <w:rFonts w:ascii="Times New Roman" w:cs="Times New Roman" w:eastAsia="Times New Roman" w:hAnsi="Times New Roman"/>
          <w:sz w:val="22"/>
          <w:szCs w:val="22"/>
          <w:i w:val="1"/>
          <w:iCs w:val="1"/>
          <w:color w:val="auto"/>
        </w:rPr>
        <w:t>Transactions Covered</w:t>
      </w:r>
      <w:r>
        <w:rPr>
          <w:rFonts w:ascii="Times New Roman" w:cs="Times New Roman" w:eastAsia="Times New Roman" w:hAnsi="Times New Roman"/>
          <w:sz w:val="22"/>
          <w:szCs w:val="22"/>
          <w:color w:val="auto"/>
        </w:rPr>
        <w:t>. Trading includes purchases and sales of stock, derivative securities such as put and call options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convertible debentures or preferred stock, and debt securities (debentures, bonds and notes). Trading also includes certain transactions under Company plans, as follows:</w:t>
      </w:r>
    </w:p>
    <w:p>
      <w:pPr>
        <w:spacing w:after="0" w:line="100" w:lineRule="exact"/>
        <w:rPr>
          <w:sz w:val="20"/>
          <w:szCs w:val="20"/>
          <w:color w:val="auto"/>
        </w:rPr>
      </w:pPr>
    </w:p>
    <w:p>
      <w:pPr>
        <w:ind w:left="1180" w:right="580" w:hanging="354"/>
        <w:spacing w:after="0" w:line="262" w:lineRule="auto"/>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Sale of Vested Performance Shares and Restricted Stock</w:t>
      </w:r>
      <w:r>
        <w:rPr>
          <w:rFonts w:ascii="Times New Roman" w:cs="Times New Roman" w:eastAsia="Times New Roman" w:hAnsi="Times New Roman"/>
          <w:sz w:val="22"/>
          <w:szCs w:val="22"/>
          <w:color w:val="auto"/>
        </w:rPr>
        <w:t>. This policy’s trading restrictions generally apply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sale of vested performance shares and restricted stock.</w:t>
      </w:r>
    </w:p>
    <w:p>
      <w:pPr>
        <w:spacing w:after="0" w:line="82" w:lineRule="exact"/>
        <w:rPr>
          <w:rFonts w:ascii="Times New Roman" w:cs="Times New Roman" w:eastAsia="Times New Roman" w:hAnsi="Times New Roman"/>
          <w:sz w:val="18"/>
          <w:szCs w:val="18"/>
          <w:color w:val="auto"/>
        </w:rPr>
      </w:pPr>
    </w:p>
    <w:p>
      <w:pPr>
        <w:ind w:left="1200" w:hanging="374"/>
        <w:spacing w:after="0" w:line="263" w:lineRule="auto"/>
        <w:tabs>
          <w:tab w:leader="none" w:pos="12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i w:val="1"/>
          <w:iCs w:val="1"/>
          <w:color w:val="auto"/>
        </w:rPr>
        <w:t xml:space="preserve">Stock Option Exercises. </w:t>
      </w:r>
      <w:r>
        <w:rPr>
          <w:rFonts w:ascii="Times New Roman" w:cs="Times New Roman" w:eastAsia="Times New Roman" w:hAnsi="Times New Roman"/>
          <w:sz w:val="21"/>
          <w:szCs w:val="21"/>
          <w:color w:val="auto"/>
        </w:rPr>
        <w:t>This policy’s trading restrictions generally do not apply to the exercise of a stock option.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trading restrictions do apply, however, to any sale of the underlying stock or to a cashless exercise of the option through a broker, as this entails selling a portion of the underlying stock to cover the costs of exercise.</w:t>
      </w:r>
    </w:p>
    <w:p>
      <w:pPr>
        <w:spacing w:after="0" w:line="70" w:lineRule="exact"/>
        <w:rPr>
          <w:rFonts w:ascii="Times New Roman" w:cs="Times New Roman" w:eastAsia="Times New Roman" w:hAnsi="Times New Roman"/>
          <w:sz w:val="17"/>
          <w:szCs w:val="17"/>
          <w:color w:val="auto"/>
        </w:rPr>
      </w:pPr>
    </w:p>
    <w:p>
      <w:pPr>
        <w:ind w:left="1200" w:right="140" w:hanging="374"/>
        <w:spacing w:after="0" w:line="241" w:lineRule="auto"/>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 xml:space="preserve">Team Member Stock Purchase Plan. </w:t>
      </w:r>
      <w:r>
        <w:rPr>
          <w:rFonts w:ascii="Times New Roman" w:cs="Times New Roman" w:eastAsia="Times New Roman" w:hAnsi="Times New Roman"/>
          <w:sz w:val="22"/>
          <w:szCs w:val="22"/>
          <w:color w:val="auto"/>
        </w:rPr>
        <w:t>This policy’s trading restrictions do not apply to purchases of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in the team member stock purchase plan resulting from your periodic payroll contributions to the plan under an election you made at the time of enrollment in the plan. The trading restrictions do apply to your sales of Company stock purchased under the plan.</w:t>
      </w:r>
    </w:p>
    <w:p>
      <w:pPr>
        <w:spacing w:after="0" w:line="104" w:lineRule="exact"/>
        <w:rPr>
          <w:rFonts w:ascii="Times New Roman" w:cs="Times New Roman" w:eastAsia="Times New Roman" w:hAnsi="Times New Roman"/>
          <w:sz w:val="18"/>
          <w:szCs w:val="18"/>
          <w:color w:val="auto"/>
        </w:rPr>
      </w:pPr>
    </w:p>
    <w:p>
      <w:pPr>
        <w:ind w:left="1200" w:right="100" w:hanging="374"/>
        <w:spacing w:after="0" w:line="241" w:lineRule="auto"/>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 xml:space="preserve">401(k) Plan. </w:t>
      </w:r>
      <w:r>
        <w:rPr>
          <w:rFonts w:ascii="Times New Roman" w:cs="Times New Roman" w:eastAsia="Times New Roman" w:hAnsi="Times New Roman"/>
          <w:sz w:val="22"/>
          <w:szCs w:val="22"/>
          <w:color w:val="auto"/>
        </w:rPr>
        <w:t>This policy’s trading restrictions do not apply to contribution of Company stock fund in the 401(k)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from your periodic contribution of money to the plan pursuant to your payroll deduction election. The trading restrictions do apply, however, to elections you may make under the 401(k) plan to (a) make an intra-plan transfer of an existing account balance into or out of Company stock or the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408" w:right="539" w:bottom="1440" w:gutter="0" w:footer="0" w:header="0"/>
        </w:sectPr>
      </w:pPr>
    </w:p>
    <w:bookmarkStart w:id="137" w:name="page138"/>
    <w:bookmarkEnd w:id="137"/>
    <w:p>
      <w:pPr>
        <w:ind w:left="1200" w:right="340"/>
        <w:spacing w:after="0" w:line="244" w:lineRule="auto"/>
        <w:rPr>
          <w:sz w:val="20"/>
          <w:szCs w:val="20"/>
          <w:color w:val="auto"/>
        </w:rPr>
      </w:pPr>
      <w:r>
        <w:rPr>
          <w:rFonts w:ascii="Times New Roman" w:cs="Times New Roman" w:eastAsia="Times New Roman" w:hAnsi="Times New Roman"/>
          <w:sz w:val="22"/>
          <w:szCs w:val="22"/>
          <w:color w:val="auto"/>
        </w:rPr>
        <w:t>Company stock fund, (b) borrow money against your 401(k) plan account if the loan will result in a liquidation of some or all of your Company stock or Company stock fund balance, and (c) pre-pay a plan loan if the pre-payment will result in allocation of loan proceeds to the Company stock fund.</w:t>
      </w:r>
    </w:p>
    <w:p>
      <w:pPr>
        <w:spacing w:after="0" w:line="102" w:lineRule="exact"/>
        <w:rPr>
          <w:sz w:val="20"/>
          <w:szCs w:val="20"/>
          <w:color w:val="auto"/>
        </w:rPr>
      </w:pPr>
    </w:p>
    <w:p>
      <w:pPr>
        <w:ind w:left="1200" w:right="280" w:hanging="374"/>
        <w:spacing w:after="0" w:line="237" w:lineRule="auto"/>
        <w:tabs>
          <w:tab w:leader="none" w:pos="1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 xml:space="preserve">Dividend Reinvestment Plan. </w:t>
      </w:r>
      <w:r>
        <w:rPr>
          <w:rFonts w:ascii="Times New Roman" w:cs="Times New Roman" w:eastAsia="Times New Roman" w:hAnsi="Times New Roman"/>
          <w:sz w:val="22"/>
          <w:szCs w:val="22"/>
          <w:color w:val="auto"/>
        </w:rPr>
        <w:t>This policy’s trading restrictions do not apply to purchases of Company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Company’s dividend reinvestment plan resulting from your reinvestment of dividends paid on Company securities. The trading restrictions do apply, however, to voluntary purchases of Company stock resulting from additional contributions you choose to make to the plan, and to your election to participate in the plan or increase your level of participation in the plan. This policy also applies to your sale of any Company stock purchased pursuant to the plan</w:t>
      </w:r>
      <w:r>
        <w:rPr>
          <w:rFonts w:ascii="Times New Roman" w:cs="Times New Roman" w:eastAsia="Times New Roman" w:hAnsi="Times New Roman"/>
          <w:sz w:val="22"/>
          <w:szCs w:val="22"/>
          <w:b w:val="1"/>
          <w:bCs w:val="1"/>
          <w:color w:val="auto"/>
        </w:rPr>
        <w:t>.</w:t>
      </w:r>
    </w:p>
    <w:p>
      <w:pPr>
        <w:spacing w:after="0" w:line="94" w:lineRule="exact"/>
        <w:rPr>
          <w:sz w:val="20"/>
          <w:szCs w:val="20"/>
          <w:color w:val="auto"/>
        </w:rPr>
      </w:pPr>
    </w:p>
    <w:p>
      <w:pPr>
        <w:ind w:left="80" w:right="14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Transaction Not Covered. </w:t>
      </w:r>
      <w:r>
        <w:rPr>
          <w:rFonts w:ascii="Times New Roman" w:cs="Times New Roman" w:eastAsia="Times New Roman" w:hAnsi="Times New Roman"/>
          <w:sz w:val="22"/>
          <w:szCs w:val="22"/>
          <w:color w:val="auto"/>
        </w:rPr>
        <w:t>If you own shares of a mutual fund that invests in the Company’s securities there are no restrictions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trading the shares of the mutual fund at any time.</w:t>
      </w:r>
    </w:p>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STATEMENT OF POLICY</w:t>
      </w:r>
    </w:p>
    <w:p>
      <w:pPr>
        <w:spacing w:after="0" w:line="139" w:lineRule="exact"/>
        <w:rPr>
          <w:sz w:val="20"/>
          <w:szCs w:val="20"/>
          <w:color w:val="auto"/>
        </w:rPr>
      </w:pPr>
    </w:p>
    <w:p>
      <w:pPr>
        <w:ind w:left="80" w:right="2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No Trading on Insider Information. </w:t>
      </w:r>
      <w:r>
        <w:rPr>
          <w:rFonts w:ascii="Times New Roman" w:cs="Times New Roman" w:eastAsia="Times New Roman" w:hAnsi="Times New Roman"/>
          <w:sz w:val="22"/>
          <w:szCs w:val="22"/>
          <w:color w:val="auto"/>
        </w:rPr>
        <w:t>You may not trade in the securities of the Company, directly or through family members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 persons or entities, if you are aware of any material nonpublic information relating to the Company. Similarly, you may not trade in the securities of any other company if you are aware of any material nonpublic information about that company which you obtained in the course of your employment with the Company.</w:t>
      </w:r>
    </w:p>
    <w:p>
      <w:pPr>
        <w:spacing w:after="0" w:line="91" w:lineRule="exact"/>
        <w:rPr>
          <w:sz w:val="20"/>
          <w:szCs w:val="20"/>
          <w:color w:val="auto"/>
        </w:rPr>
      </w:pPr>
    </w:p>
    <w:p>
      <w:pPr>
        <w:ind w:left="8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No Tipping. </w:t>
      </w:r>
      <w:r>
        <w:rPr>
          <w:rFonts w:ascii="Times New Roman" w:cs="Times New Roman" w:eastAsia="Times New Roman" w:hAnsi="Times New Roman"/>
          <w:sz w:val="22"/>
          <w:szCs w:val="22"/>
          <w:color w:val="auto"/>
        </w:rPr>
        <w:t>You may not pass material nonpublic information on to others or recommend to anyone the purchase or sale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when you are aware of such information. This practice, known as “tipping,” is a form of insider trading and also violates the federal securities laws and can result in the same civil and criminal penalties that apply to insider trading, even though you did not trade and did not gain any benefit from another’s trading.</w:t>
      </w:r>
    </w:p>
    <w:p>
      <w:pPr>
        <w:spacing w:after="0" w:line="104" w:lineRule="exact"/>
        <w:rPr>
          <w:sz w:val="20"/>
          <w:szCs w:val="20"/>
          <w:color w:val="auto"/>
        </w:rPr>
      </w:pPr>
    </w:p>
    <w:p>
      <w:pPr>
        <w:ind w:left="80" w:right="30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 Exception for Hardship. </w:t>
      </w:r>
      <w:r>
        <w:rPr>
          <w:rFonts w:ascii="Times New Roman" w:cs="Times New Roman" w:eastAsia="Times New Roman" w:hAnsi="Times New Roman"/>
          <w:sz w:val="22"/>
          <w:szCs w:val="22"/>
          <w:color w:val="auto"/>
        </w:rPr>
        <w:t>The existence of a personal financial emergency does not excuse you from compliance with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policy.</w:t>
      </w:r>
    </w:p>
    <w:p>
      <w:pPr>
        <w:spacing w:after="0" w:line="82" w:lineRule="exact"/>
        <w:rPr>
          <w:sz w:val="20"/>
          <w:szCs w:val="20"/>
          <w:color w:val="auto"/>
        </w:rPr>
      </w:pPr>
    </w:p>
    <w:p>
      <w:pPr>
        <w:ind w:left="80" w:right="220"/>
        <w:spacing w:after="0" w:line="250" w:lineRule="auto"/>
        <w:rPr>
          <w:sz w:val="20"/>
          <w:szCs w:val="20"/>
          <w:color w:val="auto"/>
        </w:rPr>
      </w:pPr>
      <w:r>
        <w:rPr>
          <w:rFonts w:ascii="Times New Roman" w:cs="Times New Roman" w:eastAsia="Times New Roman" w:hAnsi="Times New Roman"/>
          <w:sz w:val="21"/>
          <w:szCs w:val="21"/>
          <w:i w:val="1"/>
          <w:iCs w:val="1"/>
          <w:color w:val="auto"/>
        </w:rPr>
        <w:t>Blackout and Pre-Clearance Procedures</w:t>
      </w:r>
      <w:r>
        <w:rPr>
          <w:rFonts w:ascii="Times New Roman" w:cs="Times New Roman" w:eastAsia="Times New Roman" w:hAnsi="Times New Roman"/>
          <w:sz w:val="21"/>
          <w:szCs w:val="21"/>
          <w:color w:val="auto"/>
        </w:rPr>
        <w:t>. To help prevent inadvertent violations of the federal securities laws and to avoid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even the appearance of trading on the basis of inside information, the Company’s board of directors has adopted an Addendum to Insider Trading Policy (the “Addendum”) that applies to directors, executive officers subject to Section 16 of the Securities Exchange Act of 1934 (“executive officers”), and certain designated team members and consultants of the Company and its subsidiaries who have access to material nonpublic information about the Company. The Company reviews the individuals subject to the Addendum on a regular basis and will notify you if you are subject to the Addendum.</w:t>
      </w:r>
    </w:p>
    <w:p>
      <w:pPr>
        <w:spacing w:after="0" w:line="88" w:lineRule="exact"/>
        <w:rPr>
          <w:sz w:val="20"/>
          <w:szCs w:val="20"/>
          <w:color w:val="auto"/>
        </w:rPr>
      </w:pPr>
    </w:p>
    <w:p>
      <w:pPr>
        <w:ind w:left="80" w:right="280"/>
        <w:spacing w:after="0" w:line="238" w:lineRule="auto"/>
        <w:rPr>
          <w:sz w:val="20"/>
          <w:szCs w:val="20"/>
          <w:color w:val="auto"/>
        </w:rPr>
      </w:pPr>
      <w:r>
        <w:rPr>
          <w:rFonts w:ascii="Times New Roman" w:cs="Times New Roman" w:eastAsia="Times New Roman" w:hAnsi="Times New Roman"/>
          <w:sz w:val="22"/>
          <w:szCs w:val="22"/>
          <w:color w:val="auto"/>
        </w:rPr>
        <w:t>The Addendum generally prohibits persons covered by it from trading in the Company’s securities during quarterly blackout periods (beginning seven (7) days before the end of a quarter and ending after the second business day following the release of the Company’s earnings for that quarter) and during certain event-specific blackouts. Directors, executive officers and other covered persons also must pre-clear all transactions in the Company’s securities with the Company’s General Counsel or the Chief Executive Officer.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1408" w:right="379" w:bottom="1440" w:gutter="0" w:footer="0" w:header="0"/>
        </w:sectPr>
      </w:pPr>
    </w:p>
    <w:bookmarkStart w:id="138" w:name="page139"/>
    <w:bookmarkEnd w:id="138"/>
    <w:p>
      <w:pPr>
        <w:ind w:left="80"/>
        <w:spacing w:after="0"/>
        <w:rPr>
          <w:sz w:val="20"/>
          <w:szCs w:val="20"/>
          <w:color w:val="auto"/>
        </w:rPr>
      </w:pPr>
      <w:r>
        <w:rPr>
          <w:rFonts w:ascii="Times New Roman" w:cs="Times New Roman" w:eastAsia="Times New Roman" w:hAnsi="Times New Roman"/>
          <w:sz w:val="22"/>
          <w:szCs w:val="22"/>
          <w:b w:val="1"/>
          <w:bCs w:val="1"/>
          <w:color w:val="auto"/>
        </w:rPr>
        <w:t>DEFINITION OF MATERIAL NONPUBLIC INFORMATION</w:t>
      </w: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Note that inside information has two important elements--materiality and public availability.</w:t>
      </w:r>
    </w:p>
    <w:p>
      <w:pPr>
        <w:spacing w:after="0" w:line="121" w:lineRule="exact"/>
        <w:rPr>
          <w:sz w:val="20"/>
          <w:szCs w:val="20"/>
          <w:color w:val="auto"/>
        </w:rPr>
      </w:pPr>
    </w:p>
    <w:p>
      <w:pPr>
        <w:ind w:left="80" w:right="20"/>
        <w:spacing w:after="0" w:line="246" w:lineRule="auto"/>
        <w:rPr>
          <w:sz w:val="20"/>
          <w:szCs w:val="20"/>
          <w:color w:val="auto"/>
        </w:rPr>
      </w:pPr>
      <w:r>
        <w:rPr>
          <w:rFonts w:ascii="Times New Roman" w:cs="Times New Roman" w:eastAsia="Times New Roman" w:hAnsi="Times New Roman"/>
          <w:sz w:val="22"/>
          <w:szCs w:val="22"/>
          <w:i w:val="1"/>
          <w:iCs w:val="1"/>
          <w:color w:val="auto"/>
        </w:rPr>
        <w:t>Material Information</w:t>
      </w:r>
      <w:r>
        <w:rPr>
          <w:rFonts w:ascii="Times New Roman" w:cs="Times New Roman" w:eastAsia="Times New Roman" w:hAnsi="Times New Roman"/>
          <w:sz w:val="22"/>
          <w:szCs w:val="22"/>
          <w:color w:val="auto"/>
        </w:rPr>
        <w:t>. Information is material if there is a substantial likelihood that a reasonable investor would consider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important in deciding whether to buy, hold or sell a security. Any information that could reasonably be expected to affect the price of the security is material. Common examples of material information are:</w:t>
      </w:r>
    </w:p>
    <w:p>
      <w:pPr>
        <w:spacing w:after="0" w:line="104" w:lineRule="exact"/>
        <w:rPr>
          <w:sz w:val="20"/>
          <w:szCs w:val="20"/>
          <w:color w:val="auto"/>
        </w:rPr>
      </w:pPr>
    </w:p>
    <w:p>
      <w:pPr>
        <w:ind w:left="820" w:hanging="74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Company’s quarterly and annual financial results, prior to public announcement.</w:t>
      </w:r>
    </w:p>
    <w:p>
      <w:pPr>
        <w:spacing w:after="0" w:line="138" w:lineRule="exact"/>
        <w:rPr>
          <w:rFonts w:ascii="Times New Roman" w:cs="Times New Roman" w:eastAsia="Times New Roman" w:hAnsi="Times New Roman"/>
          <w:sz w:val="18"/>
          <w:szCs w:val="18"/>
          <w:color w:val="auto"/>
        </w:rPr>
      </w:pPr>
    </w:p>
    <w:p>
      <w:pPr>
        <w:ind w:left="820" w:hanging="74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125" w:lineRule="exact"/>
        <w:rPr>
          <w:rFonts w:ascii="Times New Roman" w:cs="Times New Roman" w:eastAsia="Times New Roman" w:hAnsi="Times New Roman"/>
          <w:sz w:val="18"/>
          <w:szCs w:val="18"/>
          <w:color w:val="auto"/>
        </w:rPr>
      </w:pPr>
    </w:p>
    <w:p>
      <w:pPr>
        <w:ind w:left="760" w:hanging="682"/>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Earnings that are inconsistent with the consensus expectations of the investment community.</w:t>
      </w:r>
    </w:p>
    <w:p>
      <w:pPr>
        <w:spacing w:after="0" w:line="138" w:lineRule="exact"/>
        <w:rPr>
          <w:rFonts w:ascii="Times New Roman" w:cs="Times New Roman" w:eastAsia="Times New Roman" w:hAnsi="Times New Roman"/>
          <w:sz w:val="18"/>
          <w:szCs w:val="18"/>
          <w:color w:val="auto"/>
        </w:rPr>
      </w:pPr>
    </w:p>
    <w:p>
      <w:pPr>
        <w:ind w:left="820" w:hanging="74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pending or proposed merger, acquisition or tender offer or an acquisition or disposition of significant assets.</w:t>
      </w:r>
    </w:p>
    <w:p>
      <w:pPr>
        <w:spacing w:after="0" w:line="138" w:lineRule="exact"/>
        <w:rPr>
          <w:rFonts w:ascii="Times New Roman" w:cs="Times New Roman" w:eastAsia="Times New Roman" w:hAnsi="Times New Roman"/>
          <w:sz w:val="18"/>
          <w:szCs w:val="18"/>
          <w:color w:val="auto"/>
        </w:rPr>
      </w:pPr>
    </w:p>
    <w:p>
      <w:pPr>
        <w:ind w:left="820" w:hanging="74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change in management.</w:t>
      </w:r>
    </w:p>
    <w:p>
      <w:pPr>
        <w:spacing w:after="0" w:line="125" w:lineRule="exact"/>
        <w:rPr>
          <w:rFonts w:ascii="Times New Roman" w:cs="Times New Roman" w:eastAsia="Times New Roman" w:hAnsi="Times New Roman"/>
          <w:sz w:val="18"/>
          <w:szCs w:val="18"/>
          <w:color w:val="auto"/>
        </w:rPr>
      </w:pPr>
    </w:p>
    <w:p>
      <w:pPr>
        <w:ind w:left="780" w:right="920" w:hanging="702"/>
        <w:spacing w:after="0" w:line="282" w:lineRule="auto"/>
        <w:tabs>
          <w:tab w:leader="none" w:pos="7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Major events regarding the Company’s securities, including the declaration of a stock split, the offering of additional securities or a significant change in the amount or the ratings of the Company’s indebtedness.</w:t>
      </w:r>
    </w:p>
    <w:p>
      <w:pPr>
        <w:spacing w:after="0" w:line="67" w:lineRule="exact"/>
        <w:rPr>
          <w:rFonts w:ascii="Times New Roman" w:cs="Times New Roman" w:eastAsia="Times New Roman" w:hAnsi="Times New Roman"/>
          <w:sz w:val="17"/>
          <w:szCs w:val="17"/>
          <w:color w:val="auto"/>
        </w:rPr>
      </w:pPr>
    </w:p>
    <w:p>
      <w:pPr>
        <w:ind w:left="820" w:hanging="74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Severe financial liquidity problems.</w:t>
      </w:r>
    </w:p>
    <w:p>
      <w:pPr>
        <w:spacing w:after="0" w:line="138" w:lineRule="exact"/>
        <w:rPr>
          <w:rFonts w:ascii="Times New Roman" w:cs="Times New Roman" w:eastAsia="Times New Roman" w:hAnsi="Times New Roman"/>
          <w:sz w:val="18"/>
          <w:szCs w:val="18"/>
          <w:color w:val="auto"/>
        </w:rPr>
      </w:pPr>
    </w:p>
    <w:p>
      <w:pPr>
        <w:ind w:left="800" w:right="540" w:hanging="722"/>
        <w:spacing w:after="0" w:line="258" w:lineRule="auto"/>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Actual or threatened major litigation or regulatory proceeding, or the resolution of such litigation or regulatory proceeding.</w:t>
      </w:r>
    </w:p>
    <w:p>
      <w:pPr>
        <w:spacing w:after="0" w:line="77" w:lineRule="exact"/>
        <w:rPr>
          <w:rFonts w:ascii="Times New Roman" w:cs="Times New Roman" w:eastAsia="Times New Roman" w:hAnsi="Times New Roman"/>
          <w:sz w:val="18"/>
          <w:szCs w:val="18"/>
          <w:color w:val="auto"/>
        </w:rPr>
      </w:pPr>
    </w:p>
    <w:p>
      <w:pPr>
        <w:ind w:left="820" w:hanging="74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cyber or food safety incidents.</w:t>
      </w:r>
    </w:p>
    <w:p>
      <w:pPr>
        <w:spacing w:after="0" w:line="138" w:lineRule="exact"/>
        <w:rPr>
          <w:rFonts w:ascii="Times New Roman" w:cs="Times New Roman" w:eastAsia="Times New Roman" w:hAnsi="Times New Roman"/>
          <w:sz w:val="18"/>
          <w:szCs w:val="18"/>
          <w:color w:val="auto"/>
        </w:rPr>
      </w:pPr>
    </w:p>
    <w:p>
      <w:pPr>
        <w:ind w:left="820" w:hanging="74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New major contracts, orders, suppliers, customers or finance sources, or the loss thereof.</w:t>
      </w:r>
    </w:p>
    <w:p>
      <w:pPr>
        <w:spacing w:after="0" w:line="139" w:lineRule="exact"/>
        <w:rPr>
          <w:sz w:val="20"/>
          <w:szCs w:val="20"/>
          <w:color w:val="auto"/>
        </w:rPr>
      </w:pPr>
    </w:p>
    <w:p>
      <w:pPr>
        <w:ind w:left="80" w:right="20"/>
        <w:spacing w:after="0" w:line="244" w:lineRule="auto"/>
        <w:rPr>
          <w:sz w:val="20"/>
          <w:szCs w:val="20"/>
          <w:color w:val="auto"/>
        </w:rPr>
      </w:pPr>
      <w:r>
        <w:rPr>
          <w:rFonts w:ascii="Times New Roman" w:cs="Times New Roman" w:eastAsia="Times New Roman" w:hAnsi="Times New Roman"/>
          <w:sz w:val="22"/>
          <w:szCs w:val="22"/>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88" w:lineRule="exact"/>
        <w:rPr>
          <w:sz w:val="20"/>
          <w:szCs w:val="20"/>
          <w:color w:val="auto"/>
        </w:rPr>
      </w:pPr>
    </w:p>
    <w:p>
      <w:pPr>
        <w:ind w:left="80"/>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Nonpublic Information. </w:t>
      </w:r>
      <w:r>
        <w:rPr>
          <w:rFonts w:ascii="Times New Roman" w:cs="Times New Roman" w:eastAsia="Times New Roman" w:hAnsi="Times New Roman"/>
          <w:sz w:val="21"/>
          <w:szCs w:val="21"/>
          <w:color w:val="auto"/>
        </w:rPr>
        <w:t>Nonpublic information is information that is not generally known or available to the public. One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w:t>
      </w:r>
      <w:r>
        <w:rPr>
          <w:rFonts w:ascii="Times New Roman" w:cs="Times New Roman" w:eastAsia="Times New Roman" w:hAnsi="Times New Roman"/>
          <w:sz w:val="21"/>
          <w:szCs w:val="21"/>
          <w:i w:val="1"/>
          <w:iCs w:val="1"/>
          <w:color w:val="auto"/>
        </w:rPr>
        <w:t>) and the investing public has had time to absorb the information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fully. </w:t>
      </w:r>
      <w:r>
        <w:rPr>
          <w:rFonts w:ascii="Times New Roman" w:cs="Times New Roman" w:eastAsia="Times New Roman" w:hAnsi="Times New Roman"/>
          <w:sz w:val="21"/>
          <w:szCs w:val="21"/>
          <w:color w:val="auto"/>
        </w:rPr>
        <w:t>As a general rule, information is considered nonpublic until the end of the second full trading day after the information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is released. For example, if the Company announces financial earnings before trading begins on a Tuesday, the first time you can buy or sell Company securities is the opening of the market on Thursday (assuming you are not aware of other material nonpublic information at that time). However, if the Company announces earnings after trading begins on that Tuesday, the first time you can buy or sell Company securities is the opening of the market on Friday.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04" w:right="599" w:bottom="1440" w:gutter="0" w:footer="0" w:header="0"/>
        </w:sectPr>
      </w:pPr>
    </w:p>
    <w:bookmarkStart w:id="139" w:name="page140"/>
    <w:bookmarkEnd w:id="139"/>
    <w:p>
      <w:pPr>
        <w:spacing w:after="0" w:line="3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ADDITIONAL GUIDANCE</w:t>
      </w:r>
    </w:p>
    <w:p>
      <w:pPr>
        <w:spacing w:after="0" w:line="143" w:lineRule="exact"/>
        <w:rPr>
          <w:sz w:val="20"/>
          <w:szCs w:val="20"/>
          <w:color w:val="auto"/>
        </w:rPr>
      </w:pPr>
    </w:p>
    <w:p>
      <w:pPr>
        <w:ind w:left="80" w:right="220"/>
        <w:spacing w:after="0" w:line="239" w:lineRule="auto"/>
        <w:rPr>
          <w:sz w:val="20"/>
          <w:szCs w:val="20"/>
          <w:color w:val="auto"/>
        </w:rPr>
      </w:pPr>
      <w:r>
        <w:rPr>
          <w:rFonts w:ascii="Times New Roman" w:cs="Times New Roman" w:eastAsia="Times New Roman" w:hAnsi="Times New Roman"/>
          <w:sz w:val="22"/>
          <w:szCs w:val="22"/>
          <w:color w:val="auto"/>
        </w:rPr>
        <w:t>The Company considers it improper and inappropriate for those employed by or associated with the Company to engage in short term or speculative transactions in the Company’s securities or in other transactions in the Company’s securities that may lead to inadvertent violations of the insider trading laws. Accordingly, your trading in Company securities is subject to the following additional guidance.</w:t>
      </w:r>
    </w:p>
    <w:p>
      <w:pPr>
        <w:spacing w:after="0" w:line="95" w:lineRule="exact"/>
        <w:rPr>
          <w:sz w:val="20"/>
          <w:szCs w:val="20"/>
          <w:color w:val="auto"/>
        </w:rPr>
      </w:pPr>
    </w:p>
    <w:p>
      <w:pPr>
        <w:ind w:left="80" w:right="5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Short Sales. </w:t>
      </w:r>
      <w:r>
        <w:rPr>
          <w:rFonts w:ascii="Times New Roman" w:cs="Times New Roman" w:eastAsia="Times New Roman" w:hAnsi="Times New Roman"/>
          <w:sz w:val="22"/>
          <w:szCs w:val="22"/>
          <w:color w:val="auto"/>
        </w:rPr>
        <w:t>You may not engage in short sales of the Company’s securities (sales of securities that are not then owned),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 “sale against the box” (a sale with delayed delivery).</w:t>
      </w:r>
    </w:p>
    <w:p>
      <w:pPr>
        <w:spacing w:after="0" w:line="82" w:lineRule="exact"/>
        <w:rPr>
          <w:sz w:val="20"/>
          <w:szCs w:val="20"/>
          <w:color w:val="auto"/>
        </w:rPr>
      </w:pPr>
    </w:p>
    <w:p>
      <w:pPr>
        <w:ind w:left="8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Hedging Transactions. </w:t>
      </w:r>
      <w:r>
        <w:rPr>
          <w:rFonts w:ascii="Times New Roman" w:cs="Times New Roman" w:eastAsia="Times New Roman" w:hAnsi="Times New Roman"/>
          <w:sz w:val="22"/>
          <w:szCs w:val="22"/>
          <w:color w:val="auto"/>
        </w:rPr>
        <w:t>Certain forms of hedging or monetization transactions, such as zero-cost collars and forward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contracts, involve the establishment of a short position in the Company’s securities and limit or eliminate your ability to profit from an increase in the value of the Company’s securities. Therefore, you are prohibited from engaging in any hedging or monetization transactions involving Company securities.</w:t>
      </w:r>
    </w:p>
    <w:p>
      <w:pPr>
        <w:spacing w:after="0" w:line="104" w:lineRule="exact"/>
        <w:rPr>
          <w:sz w:val="20"/>
          <w:szCs w:val="20"/>
          <w:color w:val="auto"/>
        </w:rPr>
      </w:pPr>
    </w:p>
    <w:p>
      <w:pPr>
        <w:ind w:left="80" w:right="740"/>
        <w:spacing w:after="0" w:line="262" w:lineRule="auto"/>
        <w:rPr>
          <w:sz w:val="20"/>
          <w:szCs w:val="20"/>
          <w:color w:val="auto"/>
        </w:rPr>
      </w:pPr>
      <w:r>
        <w:rPr>
          <w:rFonts w:ascii="Times New Roman" w:cs="Times New Roman" w:eastAsia="Times New Roman" w:hAnsi="Times New Roman"/>
          <w:sz w:val="22"/>
          <w:szCs w:val="22"/>
          <w:i w:val="1"/>
          <w:iCs w:val="1"/>
          <w:color w:val="auto"/>
        </w:rPr>
        <w:t>Publicly-Traded Options</w:t>
      </w:r>
      <w:r>
        <w:rPr>
          <w:rFonts w:ascii="Times New Roman" w:cs="Times New Roman" w:eastAsia="Times New Roman" w:hAnsi="Times New Roman"/>
          <w:sz w:val="22"/>
          <w:szCs w:val="22"/>
          <w:color w:val="auto"/>
        </w:rPr>
        <w:t>. You may not engage in transactions in publicly-traded options, such as puts, calls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securities, on an exchange or in any other organized market.</w:t>
      </w:r>
    </w:p>
    <w:p>
      <w:pPr>
        <w:spacing w:after="0" w:line="69" w:lineRule="exact"/>
        <w:rPr>
          <w:sz w:val="20"/>
          <w:szCs w:val="20"/>
          <w:color w:val="auto"/>
        </w:rPr>
      </w:pPr>
    </w:p>
    <w:p>
      <w:pPr>
        <w:ind w:left="80" w:right="220"/>
        <w:spacing w:after="0" w:line="241" w:lineRule="auto"/>
        <w:rPr>
          <w:sz w:val="20"/>
          <w:szCs w:val="20"/>
          <w:color w:val="auto"/>
        </w:rPr>
      </w:pPr>
      <w:r>
        <w:rPr>
          <w:rFonts w:ascii="Times New Roman" w:cs="Times New Roman" w:eastAsia="Times New Roman" w:hAnsi="Times New Roman"/>
          <w:sz w:val="22"/>
          <w:szCs w:val="22"/>
          <w:i w:val="1"/>
          <w:iCs w:val="1"/>
          <w:color w:val="auto"/>
        </w:rPr>
        <w:t>Standing Orders</w:t>
      </w:r>
      <w:r>
        <w:rPr>
          <w:rFonts w:ascii="Times New Roman" w:cs="Times New Roman" w:eastAsia="Times New Roman" w:hAnsi="Times New Roman"/>
          <w:sz w:val="22"/>
          <w:szCs w:val="22"/>
          <w:color w:val="auto"/>
        </w:rPr>
        <w:t>. Standing orders should be used only for a very brief period of time. A standing order placed with a broker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sell or purchase stock at a specified price leaves you without control over the timing of the transaction. A standing order transaction executed by the broker when you are aware of material nonpublic information may result in unlawful insider trading.</w:t>
      </w:r>
    </w:p>
    <w:p>
      <w:pPr>
        <w:spacing w:after="0" w:line="104" w:lineRule="exact"/>
        <w:rPr>
          <w:sz w:val="20"/>
          <w:szCs w:val="20"/>
          <w:color w:val="auto"/>
        </w:rPr>
      </w:pPr>
    </w:p>
    <w:p>
      <w:pPr>
        <w:ind w:left="80" w:right="80"/>
        <w:spacing w:after="0" w:line="235" w:lineRule="auto"/>
        <w:rPr>
          <w:sz w:val="20"/>
          <w:szCs w:val="20"/>
          <w:color w:val="auto"/>
        </w:rPr>
      </w:pPr>
      <w:r>
        <w:rPr>
          <w:rFonts w:ascii="Times New Roman" w:cs="Times New Roman" w:eastAsia="Times New Roman" w:hAnsi="Times New Roman"/>
          <w:sz w:val="22"/>
          <w:szCs w:val="22"/>
          <w:i w:val="1"/>
          <w:iCs w:val="1"/>
          <w:color w:val="auto"/>
        </w:rPr>
        <w:t>Margin Accounts and Pledges</w:t>
      </w:r>
      <w:r>
        <w:rPr>
          <w:rFonts w:ascii="Times New Roman" w:cs="Times New Roman" w:eastAsia="Times New Roman" w:hAnsi="Times New Roman"/>
          <w:sz w:val="22"/>
          <w:szCs w:val="22"/>
          <w:color w:val="auto"/>
        </w:rPr>
        <w:t>. Securities held in a margin account or pledged as collateral for a loan may be sold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your consent by the broker if you fail to meet a margin call or by the lender in foreclosure if you default on the loan. Because a margin or foreclosure sale may occur when you are aware of material nonpublic information or otherwise are not permitted to trade, you are prohibited from holding Company securities in a margin account or pledging Company securities as collateral for a loan. An exception may be granted where you wish to pledge Company securities as collateral for a loan (not including margin debt) and clearly demonstrate the financial capacity to repay the loan without resort to the pledged securities. If you wish to pledge Company securities as collateral for a loan, you must submit a request for approval to the Company’s General Counsel at least two weeks prior to the proposed execution of documents evidencing the proposed pledge.</w:t>
      </w:r>
    </w:p>
    <w:p>
      <w:pPr>
        <w:spacing w:after="0" w:line="1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129" w:lineRule="exact"/>
        <w:rPr>
          <w:sz w:val="20"/>
          <w:szCs w:val="20"/>
          <w:color w:val="auto"/>
        </w:rPr>
      </w:pPr>
    </w:p>
    <w:p>
      <w:pPr>
        <w:ind w:left="80" w:right="260"/>
        <w:spacing w:after="0" w:line="239" w:lineRule="auto"/>
        <w:rPr>
          <w:sz w:val="20"/>
          <w:szCs w:val="20"/>
          <w:color w:val="auto"/>
        </w:rPr>
      </w:pPr>
      <w:r>
        <w:rPr>
          <w:rFonts w:ascii="Times New Roman" w:cs="Times New Roman" w:eastAsia="Times New Roman" w:hAnsi="Times New Roman"/>
          <w:sz w:val="22"/>
          <w:szCs w:val="22"/>
          <w:color w:val="auto"/>
        </w:rPr>
        <w:t>This policy continues to apply to your transactions in Company securities even after you have terminated employment or other services to the Company or a subsidiary as follows: if you are aware of material nonpublic information when your employment or service relationship terminates, you may not trade in Company securities until that information has become public or is no longer material.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440" w:right="519" w:bottom="1440" w:gutter="0" w:footer="0" w:header="0"/>
        </w:sectPr>
      </w:pPr>
    </w:p>
    <w:bookmarkStart w:id="140" w:name="page141"/>
    <w:bookmarkEnd w:id="140"/>
    <w:p>
      <w:pPr>
        <w:ind w:left="80"/>
        <w:spacing w:after="0"/>
        <w:rPr>
          <w:sz w:val="20"/>
          <w:szCs w:val="20"/>
          <w:color w:val="auto"/>
        </w:rPr>
      </w:pPr>
      <w:r>
        <w:rPr>
          <w:rFonts w:ascii="Times New Roman" w:cs="Times New Roman" w:eastAsia="Times New Roman" w:hAnsi="Times New Roman"/>
          <w:sz w:val="22"/>
          <w:szCs w:val="22"/>
          <w:b w:val="1"/>
          <w:bCs w:val="1"/>
          <w:color w:val="auto"/>
        </w:rPr>
        <w:t>UNAUTHORIZED DISCLOSURE</w:t>
      </w:r>
    </w:p>
    <w:p>
      <w:pPr>
        <w:spacing w:after="0" w:line="143" w:lineRule="exact"/>
        <w:rPr>
          <w:sz w:val="20"/>
          <w:szCs w:val="20"/>
          <w:color w:val="auto"/>
        </w:rPr>
      </w:pPr>
    </w:p>
    <w:p>
      <w:pPr>
        <w:ind w:left="80" w:right="120"/>
        <w:spacing w:after="0" w:line="239" w:lineRule="auto"/>
        <w:rPr>
          <w:sz w:val="20"/>
          <w:szCs w:val="20"/>
          <w:color w:val="auto"/>
        </w:rPr>
      </w:pPr>
      <w:r>
        <w:rPr>
          <w:rFonts w:ascii="Times New Roman" w:cs="Times New Roman" w:eastAsia="Times New Roman" w:hAnsi="Times New Roman"/>
          <w:sz w:val="22"/>
          <w:szCs w:val="22"/>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as confidential and proprietary to the Company. Inadvertent disclosure of confidential or inside information may expose the Company and you to significant risk of investigation and litigation.</w:t>
      </w:r>
    </w:p>
    <w:p>
      <w:pPr>
        <w:spacing w:after="0" w:line="113" w:lineRule="exact"/>
        <w:rPr>
          <w:sz w:val="20"/>
          <w:szCs w:val="20"/>
          <w:color w:val="auto"/>
        </w:rPr>
      </w:pPr>
    </w:p>
    <w:p>
      <w:pPr>
        <w:ind w:left="80" w:right="60"/>
        <w:spacing w:after="0" w:line="238" w:lineRule="auto"/>
        <w:rPr>
          <w:sz w:val="20"/>
          <w:szCs w:val="20"/>
          <w:color w:val="auto"/>
        </w:rPr>
      </w:pPr>
      <w:r>
        <w:rPr>
          <w:rFonts w:ascii="Times New Roman" w:cs="Times New Roman" w:eastAsia="Times New Roman" w:hAnsi="Times New Roman"/>
          <w:sz w:val="22"/>
          <w:szCs w:val="22"/>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 and you should refer any such inquiries to the Company’s Investor Relations department.</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PERSONAL RESPONSIBILITY</w:t>
      </w: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You should remember that the ultimate responsibility for adhering to this policy and avoiding improper trading rests with you.</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If you violate this policy, the Company may take disciplinary action against you, including dismissal for cause.</w:t>
      </w:r>
    </w:p>
    <w:p>
      <w:pPr>
        <w:spacing w:after="0" w:line="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COMPANY ASSISTANCE</w:t>
      </w:r>
    </w:p>
    <w:p>
      <w:pPr>
        <w:spacing w:after="0" w:line="143" w:lineRule="exact"/>
        <w:rPr>
          <w:sz w:val="20"/>
          <w:szCs w:val="20"/>
          <w:color w:val="auto"/>
        </w:rPr>
      </w:pPr>
    </w:p>
    <w:p>
      <w:pPr>
        <w:ind w:left="80" w:right="120"/>
        <w:spacing w:after="0" w:line="239" w:lineRule="auto"/>
        <w:rPr>
          <w:sz w:val="20"/>
          <w:szCs w:val="20"/>
          <w:color w:val="auto"/>
        </w:rPr>
      </w:pPr>
      <w:r>
        <w:rPr>
          <w:rFonts w:ascii="Times New Roman" w:cs="Times New Roman" w:eastAsia="Times New Roman" w:hAnsi="Times New Roman"/>
          <w:sz w:val="22"/>
          <w:szCs w:val="22"/>
          <w:color w:val="auto"/>
        </w:rPr>
        <w:t>Your compliance with this policy is of the utmost importance both for you and for the Company. If you have any questions about this policy or its application to any proposed transaction, you may obtain additional guidance from [***]. Do not try to resolve uncertainties on your own, as the rules relating to insider trading are often complex, not always intuitive and carry severe consequences.</w:t>
      </w:r>
    </w:p>
    <w:p>
      <w:pPr>
        <w:spacing w:after="0" w:line="1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This policy is amended and restated as of May 16, 2023.</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404" w:right="499" w:bottom="1440" w:gutter="0" w:footer="0" w:header="0"/>
        </w:sectPr>
      </w:pPr>
    </w:p>
    <w:bookmarkStart w:id="141" w:name="page142"/>
    <w:bookmarkEnd w:id="141"/>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D</w:t>
      </w:r>
      <w:r>
        <w:rPr>
          <w:rFonts w:ascii="Times New Roman" w:cs="Times New Roman" w:eastAsia="Times New Roman" w:hAnsi="Times New Roman"/>
          <w:sz w:val="20"/>
          <w:szCs w:val="20"/>
          <w:b w:val="1"/>
          <w:bCs w:val="1"/>
          <w:color w:val="auto"/>
        </w:rPr>
        <w:t>omino</w:t>
      </w:r>
      <w:r>
        <w:rPr>
          <w:rFonts w:ascii="Times New Roman" w:cs="Times New Roman" w:eastAsia="Times New Roman" w:hAnsi="Times New Roman"/>
          <w:sz w:val="29"/>
          <w:szCs w:val="29"/>
          <w:b w:val="1"/>
          <w:bCs w:val="1"/>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0"/>
          <w:szCs w:val="20"/>
          <w:b w:val="1"/>
          <w:bCs w:val="1"/>
          <w:color w:val="auto"/>
        </w:rPr>
        <w:t>izza</w:t>
      </w:r>
      <w:r>
        <w:rPr>
          <w:rFonts w:ascii="Times New Roman" w:cs="Times New Roman" w:eastAsia="Times New Roman" w:hAnsi="Times New Roman"/>
          <w:sz w:val="29"/>
          <w:szCs w:val="29"/>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ADDENDUM TO INSIDER TRADING POLICY—PRE-CLEARANCE AND BLACKOUT PROCEDURES</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Amended and Restated as of May 16, 2023</w:t>
      </w:r>
    </w:p>
    <w:p>
      <w:pPr>
        <w:spacing w:after="0" w:line="200" w:lineRule="exact"/>
        <w:rPr>
          <w:sz w:val="20"/>
          <w:szCs w:val="20"/>
          <w:color w:val="auto"/>
        </w:rPr>
      </w:pPr>
    </w:p>
    <w:p>
      <w:pPr>
        <w:spacing w:after="0" w:line="30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To help prevent inadvertent violations of the federal securities laws and to avoid even the appearance of trading on inside information, the Company’s Board of Directors has adopted this Addendum to Insider Trading Policy (this “addendum”). This addendum applies to directors, executive officers subject to Section 16 of the Securities Exchange of 1934 (“executive officers”) and certain designated employees and consultants of the Company and its subsidiaries who have access to material nonpublic information about the Company. The positions of the covered persons subject to the pre-clearance and blackout procedures of this addendum are listed on the attached Schedule I and are reviewed by the Company on a regular basis. The Company may from time to time designate other positions that are subject to this addendum and will amend Schedule I from time to time as necessary to reflect such changes or the resignation or change of status of any individual.</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addendum is in addition to and supplements the Company’s Insider Trading Policy. Directors and executive officers are also subject to additional procedures designed to address the two-day Form 4 filing requirement under Section 16 of the Securities Exchange Act of 1934. These procedures are covered in a separate memorandum. Should you have any questions regarding this addendum, please contact [***].</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PROCEDURES</w:t>
      </w:r>
    </w:p>
    <w:p>
      <w:pPr>
        <w:spacing w:after="0" w:line="2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Company’s directors, executive officers and individuals designated as “Pre-Clearance Covered Persons” on Schedule I are covered by the following pre-clearance procedures.</w:t>
      </w:r>
    </w:p>
    <w:p>
      <w:pPr>
        <w:spacing w:after="0" w:line="18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Directors, executive officers and individuals designated as “Pre-Clearance Covered Persons” on Schedule I, together with their family members and other members of their household, may not engage in any transaction involving the Company’s securities (including a stock plan transaction such as an option exercise, or a gift, loan, pledge or hedge, contribution to a trust or any other transfer) without first obtaining pre-clearance of the transaction from the Company’s General Counsel or the Chief Executive Officer (each, the “compliance officer”). A request for pre-clearance should be submitted to the compliance officer at least two (2)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480" w:top="1440" w:right="719" w:bottom="1440" w:gutter="0" w:footer="0" w:header="0"/>
        </w:sectPr>
      </w:pPr>
    </w:p>
    <w:bookmarkStart w:id="142" w:name="page143"/>
    <w:bookmarkEnd w:id="142"/>
    <w:p>
      <w:pPr>
        <w:ind w:left="80" w:right="60"/>
        <w:spacing w:after="0" w:line="239" w:lineRule="auto"/>
        <w:rPr>
          <w:sz w:val="20"/>
          <w:szCs w:val="20"/>
          <w:color w:val="auto"/>
        </w:rPr>
      </w:pPr>
      <w:r>
        <w:rPr>
          <w:rFonts w:ascii="Times New Roman" w:cs="Times New Roman" w:eastAsia="Times New Roman" w:hAnsi="Times New Roman"/>
          <w:sz w:val="22"/>
          <w:szCs w:val="22"/>
          <w:color w:val="auto"/>
        </w:rPr>
        <w:t>in advance of the proposed transaction. The compliance officer is under no obligation to approve a trade submitted for pre-clearance, and may determine not to permit the trade. The compliance officer himself or herself may not trade in Company securities unless the other compliance officer has approved the trade(s) in accordance with the procedures set forth in this addendum.</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BLACKOUT PROCEDURES</w:t>
      </w:r>
    </w:p>
    <w:p>
      <w:pPr>
        <w:spacing w:after="0" w:line="237" w:lineRule="exact"/>
        <w:rPr>
          <w:sz w:val="20"/>
          <w:szCs w:val="20"/>
          <w:color w:val="auto"/>
        </w:rPr>
      </w:pPr>
    </w:p>
    <w:p>
      <w:pPr>
        <w:ind w:left="80" w:right="60"/>
        <w:spacing w:after="0" w:line="258" w:lineRule="auto"/>
        <w:rPr>
          <w:sz w:val="20"/>
          <w:szCs w:val="20"/>
          <w:color w:val="auto"/>
        </w:rPr>
      </w:pPr>
      <w:r>
        <w:rPr>
          <w:rFonts w:ascii="Times New Roman" w:cs="Times New Roman" w:eastAsia="Times New Roman" w:hAnsi="Times New Roman"/>
          <w:sz w:val="22"/>
          <w:szCs w:val="22"/>
          <w:color w:val="auto"/>
        </w:rPr>
        <w:t>All directors, executive officers and individuals designated as “Blackout Covered Persons” on Schedule I are subject to the following blackout procedures.</w:t>
      </w:r>
    </w:p>
    <w:p>
      <w:pPr>
        <w:spacing w:after="0" w:line="181" w:lineRule="exact"/>
        <w:rPr>
          <w:sz w:val="20"/>
          <w:szCs w:val="20"/>
          <w:color w:val="auto"/>
        </w:rPr>
      </w:pPr>
    </w:p>
    <w:p>
      <w:pPr>
        <w:ind w:left="80" w:right="40"/>
        <w:spacing w:after="0" w:line="226" w:lineRule="auto"/>
        <w:rPr>
          <w:sz w:val="20"/>
          <w:szCs w:val="20"/>
          <w:color w:val="auto"/>
        </w:rPr>
      </w:pPr>
      <w:r>
        <w:rPr>
          <w:rFonts w:ascii="Times New Roman" w:cs="Times New Roman" w:eastAsia="Times New Roman" w:hAnsi="Times New Roman"/>
          <w:sz w:val="22"/>
          <w:szCs w:val="22"/>
          <w:i w:val="1"/>
          <w:iCs w:val="1"/>
          <w:color w:val="auto"/>
        </w:rPr>
        <w:t>Quarterly Blackout Periods</w:t>
      </w:r>
      <w:r>
        <w:rPr>
          <w:rFonts w:ascii="Times New Roman" w:cs="Times New Roman" w:eastAsia="Times New Roman" w:hAnsi="Times New Roman"/>
          <w:sz w:val="22"/>
          <w:szCs w:val="22"/>
          <w:color w:val="auto"/>
        </w:rPr>
        <w:t>. The Company’s announcement of its quarterly financial results almost always has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potential to have a material effect on the market for the Company’s securities and the Company’s stock price. Therefore, to avoid even the appearance of trading on the basis of material nonpublic information, you may not trade in the Company’s securities during the period beginning seven (7) days prior to the end of the quarter and ending after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business day following the release of the Company’s earnings for the quarter.</w:t>
      </w:r>
    </w:p>
    <w:p>
      <w:pPr>
        <w:jc w:val="both"/>
        <w:ind w:left="80" w:right="180"/>
        <w:spacing w:after="0" w:line="235" w:lineRule="auto"/>
        <w:rPr>
          <w:sz w:val="20"/>
          <w:szCs w:val="20"/>
          <w:color w:val="auto"/>
        </w:rPr>
      </w:pPr>
      <w:r>
        <w:rPr>
          <w:rFonts w:ascii="Times New Roman" w:cs="Times New Roman" w:eastAsia="Times New Roman" w:hAnsi="Times New Roman"/>
          <w:sz w:val="22"/>
          <w:szCs w:val="22"/>
          <w:color w:val="auto"/>
        </w:rPr>
        <w:t>Persons subject to these quarterly blackout periods include the persons currently listed as “Blackout Covered Persons” on Schedule I attached to this addendum and all other persons who may be informed by the compliance officer that they are subject to the quarterly blackout periods.</w:t>
      </w:r>
    </w:p>
    <w:p>
      <w:pPr>
        <w:spacing w:after="0" w:line="201" w:lineRule="exact"/>
        <w:rPr>
          <w:sz w:val="20"/>
          <w:szCs w:val="20"/>
          <w:color w:val="auto"/>
        </w:rPr>
      </w:pPr>
    </w:p>
    <w:p>
      <w:pPr>
        <w:ind w:left="80" w:right="120"/>
        <w:spacing w:after="0" w:line="238" w:lineRule="auto"/>
        <w:rPr>
          <w:sz w:val="20"/>
          <w:szCs w:val="20"/>
          <w:color w:val="auto"/>
        </w:rPr>
      </w:pPr>
      <w:r>
        <w:rPr>
          <w:rFonts w:ascii="Times New Roman" w:cs="Times New Roman" w:eastAsia="Times New Roman" w:hAnsi="Times New Roman"/>
          <w:sz w:val="22"/>
          <w:szCs w:val="22"/>
          <w:i w:val="1"/>
          <w:iCs w:val="1"/>
          <w:color w:val="auto"/>
        </w:rPr>
        <w:t>Interim Earnings Guidance and Event Specific Blackouts</w:t>
      </w:r>
      <w:r>
        <w:rPr>
          <w:rFonts w:ascii="Times New Roman" w:cs="Times New Roman" w:eastAsia="Times New Roman" w:hAnsi="Times New Roman"/>
          <w:sz w:val="22"/>
          <w:szCs w:val="22"/>
          <w:color w:val="auto"/>
        </w:rPr>
        <w:t>. The Company may on occasion issue interim earnings guidance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 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spacing w:after="0" w:line="208" w:lineRule="exact"/>
        <w:rPr>
          <w:sz w:val="20"/>
          <w:szCs w:val="20"/>
          <w:color w:val="auto"/>
        </w:rPr>
      </w:pPr>
    </w:p>
    <w:p>
      <w:pPr>
        <w:ind w:left="80"/>
        <w:spacing w:after="0" w:line="246" w:lineRule="auto"/>
        <w:rPr>
          <w:sz w:val="20"/>
          <w:szCs w:val="20"/>
          <w:color w:val="auto"/>
        </w:rPr>
      </w:pPr>
      <w:r>
        <w:rPr>
          <w:rFonts w:ascii="Times New Roman" w:cs="Times New Roman" w:eastAsia="Times New Roman" w:hAnsi="Times New Roman"/>
          <w:sz w:val="21"/>
          <w:szCs w:val="21"/>
          <w:color w:val="auto"/>
        </w:rPr>
        <w:t>From time to time, an event may occur that is material to the Company and is known by only a few directors, executive officers or other designated individuals. So long as the event remains material and nonpublic, the persons who are aware of the event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period, the compliance officer will inform the requesting person of the existence of a blackout period, without disclosing the reason for the blackout. Any person made aware of the existence of an event-specific blackout should not disclose the existence of the blackout to any other person. The failure of the compliance officer to designate a person as being subject to an event-specific blackout will not relieve that person of the obligation not to trade while aware of material nonpublic information.</w:t>
      </w:r>
    </w:p>
    <w:p>
      <w:pPr>
        <w:spacing w:after="0" w:line="216" w:lineRule="exact"/>
        <w:rPr>
          <w:sz w:val="20"/>
          <w:szCs w:val="20"/>
          <w:color w:val="auto"/>
        </w:rPr>
      </w:pPr>
    </w:p>
    <w:p>
      <w:pPr>
        <w:ind w:left="80" w:right="20"/>
        <w:spacing w:after="0" w:line="244" w:lineRule="auto"/>
        <w:rPr>
          <w:sz w:val="20"/>
          <w:szCs w:val="20"/>
          <w:color w:val="auto"/>
        </w:rPr>
      </w:pPr>
      <w:r>
        <w:rPr>
          <w:rFonts w:ascii="Times New Roman" w:cs="Times New Roman" w:eastAsia="Times New Roman" w:hAnsi="Times New Roman"/>
          <w:sz w:val="22"/>
          <w:szCs w:val="22"/>
          <w:color w:val="auto"/>
        </w:rPr>
        <w:t>Directors and executive officers may also be subject to event-specific blackouts pursuant to the SEC’s Regulation Blackout Trading Restriction, which prohibits certain sales and other transfers by insiders during certain pension plan blackout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00" w:top="1408" w:right="739" w:bottom="1440" w:gutter="0" w:footer="0" w:header="0"/>
        </w:sectPr>
      </w:pPr>
    </w:p>
    <w:bookmarkStart w:id="143" w:name="page144"/>
    <w:bookmarkEnd w:id="143"/>
    <w:p>
      <w:pPr>
        <w:ind w:left="80" w:right="780"/>
        <w:spacing w:after="0" w:line="262" w:lineRule="auto"/>
        <w:rPr>
          <w:sz w:val="20"/>
          <w:szCs w:val="20"/>
          <w:color w:val="auto"/>
        </w:rPr>
      </w:pPr>
      <w:r>
        <w:rPr>
          <w:rFonts w:ascii="Times New Roman" w:cs="Times New Roman" w:eastAsia="Times New Roman" w:hAnsi="Times New Roman"/>
          <w:sz w:val="22"/>
          <w:szCs w:val="22"/>
          <w:b w:val="1"/>
          <w:bCs w:val="1"/>
          <w:color w:val="auto"/>
        </w:rPr>
        <w:t>Even if a blackout period is not in effect, at no time may you trade in Company securities if you are aware of material nonpublic information about the Company.</w:t>
      </w:r>
    </w:p>
    <w:p>
      <w:pPr>
        <w:spacing w:after="0" w:line="177" w:lineRule="exact"/>
        <w:rPr>
          <w:sz w:val="20"/>
          <w:szCs w:val="20"/>
          <w:color w:val="auto"/>
        </w:rPr>
      </w:pPr>
    </w:p>
    <w:p>
      <w:pPr>
        <w:ind w:left="80" w:right="180"/>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Hardship Exceptions. </w:t>
      </w:r>
      <w:r>
        <w:rPr>
          <w:rFonts w:ascii="Times New Roman" w:cs="Times New Roman" w:eastAsia="Times New Roman" w:hAnsi="Times New Roman"/>
          <w:sz w:val="22"/>
          <w:szCs w:val="22"/>
          <w:color w:val="auto"/>
        </w:rPr>
        <w:t>A “Blackout Covered Person” listed on Schedule I who is subject to a quarterly earnings blackout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 and who has an unexpected and urgent need to sell Company stock in order to generate cash may, in appropriate circumstances, be permitted to sell Company stock even during the quarterly blackout period. Hardship exceptions may be granted only by the compliance officer and must be requested at least two (2) days in advance of the proposed trade. A hardship exception may be granted only if the compliance officer concludes that the Company’s earnings information for the applicable quarter does not constitute material nonpublic information. Under no circumstances will a hardship exception be granted during an event-specific blackout period or to a director or executive officer.</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EXCEPTION FOR APPROVED 10b5-1 PLANS</w:t>
      </w:r>
    </w:p>
    <w:p>
      <w:pPr>
        <w:spacing w:after="0" w:line="237" w:lineRule="exact"/>
        <w:rPr>
          <w:sz w:val="20"/>
          <w:szCs w:val="20"/>
          <w:color w:val="auto"/>
        </w:rPr>
      </w:pPr>
    </w:p>
    <w:p>
      <w:pPr>
        <w:ind w:left="80" w:right="420"/>
        <w:spacing w:after="0" w:line="261" w:lineRule="auto"/>
        <w:rPr>
          <w:sz w:val="20"/>
          <w:szCs w:val="20"/>
          <w:color w:val="auto"/>
        </w:rPr>
      </w:pPr>
      <w:r>
        <w:rPr>
          <w:rFonts w:ascii="Times New Roman" w:cs="Times New Roman" w:eastAsia="Times New Roman" w:hAnsi="Times New Roman"/>
          <w:sz w:val="21"/>
          <w:szCs w:val="21"/>
          <w:color w:val="auto"/>
        </w:rPr>
        <w:t>Trades by individuals subject to this addendum in the Company’s securities that are executed pursuant to an approved 10b5-1 plan are not subject to the prohibition on trading on the basis of material nonpublic information contained in the Insider Trading Policy or to the restrictions set forth above relating to pre-clearance procedures and blackout periods.</w:t>
      </w:r>
    </w:p>
    <w:p>
      <w:pPr>
        <w:spacing w:after="0" w:line="184" w:lineRule="exact"/>
        <w:rPr>
          <w:sz w:val="20"/>
          <w:szCs w:val="20"/>
          <w:color w:val="auto"/>
        </w:rPr>
      </w:pPr>
    </w:p>
    <w:p>
      <w:pPr>
        <w:ind w:left="80" w:right="80"/>
        <w:spacing w:after="0" w:line="236" w:lineRule="auto"/>
        <w:rPr>
          <w:sz w:val="20"/>
          <w:szCs w:val="20"/>
          <w:color w:val="auto"/>
        </w:rPr>
      </w:pPr>
      <w:r>
        <w:rPr>
          <w:rFonts w:ascii="Times New Roman" w:cs="Times New Roman" w:eastAsia="Times New Roman" w:hAnsi="Times New Roman"/>
          <w:sz w:val="22"/>
          <w:szCs w:val="22"/>
          <w:color w:val="auto"/>
        </w:rPr>
        <w:t>Rule 10b5-1 provides an affirmative defense from insider trading liability under the federal securities laws for trading plans that meet certain requirements. In general, a 10b5-1 plan must be entered into before you are aware of material nonpublic information and may not be modified if the modifier possesses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spacing w:after="0" w:line="208" w:lineRule="exact"/>
        <w:rPr>
          <w:sz w:val="20"/>
          <w:szCs w:val="20"/>
          <w:color w:val="auto"/>
        </w:rPr>
      </w:pPr>
    </w:p>
    <w:p>
      <w:pPr>
        <w:ind w:left="80" w:right="460"/>
        <w:spacing w:after="0" w:line="236" w:lineRule="auto"/>
        <w:rPr>
          <w:sz w:val="20"/>
          <w:szCs w:val="20"/>
          <w:color w:val="auto"/>
        </w:rPr>
      </w:pPr>
      <w:r>
        <w:rPr>
          <w:rFonts w:ascii="Times New Roman" w:cs="Times New Roman" w:eastAsia="Times New Roman" w:hAnsi="Times New Roman"/>
          <w:sz w:val="22"/>
          <w:szCs w:val="22"/>
          <w:color w:val="auto"/>
        </w:rPr>
        <w:t>The Company requires that all 10b5-1 plans be approved in writing in advance by the compliance officer. 10b5-1 plans generally may not be adopted during a blackout period and may only be adopted if the person adopting the plan is unaware of material nonpublic information. Additionally, all 10b5-1 plans must comply with and be designed in accordance with all applicable laws and regulations, including but not limited to those applicable to Rule 10b5-1 promulgated by the SEC relating to required “cooling off” periods, limitations on overlapping plans and limitations on single-trade plans.</w:t>
      </w: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HEDGING TRANSACTIONS</w:t>
      </w:r>
    </w:p>
    <w:p>
      <w:pPr>
        <w:spacing w:after="0" w:line="237" w:lineRule="exact"/>
        <w:rPr>
          <w:sz w:val="20"/>
          <w:szCs w:val="20"/>
          <w:color w:val="auto"/>
        </w:rPr>
      </w:pPr>
    </w:p>
    <w:p>
      <w:pPr>
        <w:ind w:left="80"/>
        <w:spacing w:after="0" w:line="258" w:lineRule="auto"/>
        <w:rPr>
          <w:sz w:val="20"/>
          <w:szCs w:val="20"/>
          <w:color w:val="auto"/>
        </w:rPr>
      </w:pPr>
      <w:r>
        <w:rPr>
          <w:rFonts w:ascii="Times New Roman" w:cs="Times New Roman" w:eastAsia="Times New Roman" w:hAnsi="Times New Roman"/>
          <w:sz w:val="22"/>
          <w:szCs w:val="22"/>
          <w:color w:val="auto"/>
        </w:rPr>
        <w:t>In accordance with the Company’s Insider Trading Policy, you are prohibited from engaging in any hedging or monetization transactions involving Company securities.</w:t>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37" w:lineRule="exact"/>
        <w:rPr>
          <w:sz w:val="20"/>
          <w:szCs w:val="20"/>
          <w:color w:val="auto"/>
        </w:rPr>
      </w:pPr>
    </w:p>
    <w:p>
      <w:pPr>
        <w:ind w:left="80" w:right="260"/>
        <w:spacing w:after="0" w:line="258" w:lineRule="auto"/>
        <w:rPr>
          <w:sz w:val="20"/>
          <w:szCs w:val="20"/>
          <w:color w:val="auto"/>
        </w:rPr>
      </w:pPr>
      <w:r>
        <w:rPr>
          <w:rFonts w:ascii="Times New Roman" w:cs="Times New Roman" w:eastAsia="Times New Roman" w:hAnsi="Times New Roman"/>
          <w:sz w:val="22"/>
          <w:szCs w:val="22"/>
          <w:color w:val="auto"/>
        </w:rPr>
        <w:t>If you are aware of material nonpublic information when you terminate employment or services, you may not trade in the Company’s securities until that information has become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1404" w:right="659" w:bottom="1440" w:gutter="0" w:footer="0" w:header="0"/>
        </w:sectPr>
      </w:pPr>
    </w:p>
    <w:bookmarkStart w:id="144" w:name="page145"/>
    <w:bookmarkEnd w:id="144"/>
    <w:p>
      <w:pPr>
        <w:ind w:left="80"/>
        <w:spacing w:after="0" w:line="244" w:lineRule="auto"/>
        <w:rPr>
          <w:sz w:val="20"/>
          <w:szCs w:val="20"/>
          <w:color w:val="auto"/>
        </w:rPr>
      </w:pPr>
      <w:r>
        <w:rPr>
          <w:rFonts w:ascii="Times New Roman" w:cs="Times New Roman" w:eastAsia="Times New Roman" w:hAnsi="Times New Roman"/>
          <w:sz w:val="22"/>
          <w:szCs w:val="22"/>
          <w:color w:val="auto"/>
        </w:rPr>
        <w:t>public or is no longer material. In all other respects, the procedures set forth in this addendum will cease to apply to your transactions in Company securities upon the expiration of any ‘blackout period” that is applicable to your transactions at the time of your termination of employment or services.</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COMPANY ASSISTANCE</w:t>
      </w:r>
    </w:p>
    <w:p>
      <w:pPr>
        <w:spacing w:after="0" w:line="237" w:lineRule="exact"/>
        <w:rPr>
          <w:sz w:val="20"/>
          <w:szCs w:val="20"/>
          <w:color w:val="auto"/>
        </w:rPr>
      </w:pPr>
    </w:p>
    <w:p>
      <w:pPr>
        <w:ind w:left="80" w:right="60"/>
        <w:spacing w:after="0" w:line="244" w:lineRule="auto"/>
        <w:rPr>
          <w:sz w:val="20"/>
          <w:szCs w:val="20"/>
          <w:color w:val="auto"/>
        </w:rPr>
      </w:pPr>
      <w:r>
        <w:rPr>
          <w:rFonts w:ascii="Times New Roman" w:cs="Times New Roman" w:eastAsia="Times New Roman" w:hAnsi="Times New Roman"/>
          <w:sz w:val="22"/>
          <w:szCs w:val="22"/>
          <w:color w:val="auto"/>
        </w:rPr>
        <w:t>Your compliance with this addendum and the Company’s Insider Trading Policy is of the utmost importance both for you and for the Company. If you have any questions about this addendum, the Insider Trading Policy or their application to any proposed transaction, you may obtain additional guidance from the compliance officer.</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37" w:lineRule="exact"/>
        <w:rPr>
          <w:sz w:val="20"/>
          <w:szCs w:val="20"/>
          <w:color w:val="auto"/>
        </w:rPr>
      </w:pPr>
    </w:p>
    <w:p>
      <w:pPr>
        <w:ind w:left="80" w:right="40"/>
        <w:spacing w:after="0" w:line="244" w:lineRule="auto"/>
        <w:rPr>
          <w:sz w:val="20"/>
          <w:szCs w:val="20"/>
          <w:color w:val="auto"/>
        </w:rPr>
      </w:pPr>
      <w:r>
        <w:rPr>
          <w:rFonts w:ascii="Times New Roman" w:cs="Times New Roman" w:eastAsia="Times New Roman" w:hAnsi="Times New Roman"/>
          <w:sz w:val="22"/>
          <w:szCs w:val="22"/>
          <w:color w:val="auto"/>
        </w:rPr>
        <w:t>All directors, officers and other employees and consultants subject to the procedures set forth in this addendum must certify their understating of, and intent to comply with, the Company’s Insider Trading Policy and this addendum on the form attached to this addendum.</w:t>
      </w:r>
    </w:p>
    <w:p>
      <w:pPr>
        <w:spacing w:after="0" w:line="200" w:lineRule="exact"/>
        <w:rPr>
          <w:sz w:val="20"/>
          <w:szCs w:val="20"/>
          <w:color w:val="auto"/>
        </w:rPr>
      </w:pPr>
    </w:p>
    <w:p>
      <w:pPr>
        <w:ind w:left="80" w:right="340"/>
        <w:spacing w:after="0" w:line="244" w:lineRule="auto"/>
        <w:rPr>
          <w:sz w:val="20"/>
          <w:szCs w:val="20"/>
          <w:color w:val="auto"/>
        </w:rPr>
      </w:pPr>
      <w:r>
        <w:rPr>
          <w:rFonts w:ascii="Times New Roman" w:cs="Times New Roman" w:eastAsia="Times New Roman" w:hAnsi="Times New Roman"/>
          <w:sz w:val="22"/>
          <w:szCs w:val="22"/>
          <w:color w:val="auto"/>
        </w:rPr>
        <w:t>This addendum is amended and restated as of May 16, 2023 and, other than the Company’s Insider Trading Policy, supersedes any previous policy of the Company concerning insider trading restrictions applicable to directors, executive officers and other individuals subject to this addendum.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507365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00" w:top="1408" w:right="699" w:bottom="1440" w:gutter="0" w:footer="0" w:header="0"/>
        </w:sectPr>
      </w:pPr>
    </w:p>
    <w:bookmarkStart w:id="145" w:name="page146"/>
    <w:bookmarkEnd w:id="145"/>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Pre-Clearance Covered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Blackout Covered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360680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ADDENDUM TO INSIDER TRADING POLICY—PRE-CLEARANCE AND BLACKOUT PROCEDURES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Domino’s Pizza, Inc.:</w:t>
      </w:r>
    </w:p>
    <w:p>
      <w:pPr>
        <w:spacing w:after="0" w:line="23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 (name), have received and read a copy of the Domino’s Pizza, Inc. Insider Trading Policy dated May 16, 2023 and the Addendum to Insider Trading Policy—Pre-Clearance and Blackout Procedures dated May 16, 2023 regarding pre-clearance and blackout procedures. I hereby agree to comply with the specific requirements of the policy and the addendum in all applicable respects during my employment or other service relationship with Domino’s Pizza, Inc. I understand that my failure to comply in all applicable respects with the policy and the addendum is a basis for termination for cause of my employment or other service relationship with Domino’s Pizza,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-801370</wp:posOffset>
            </wp:positionV>
            <wp:extent cx="1600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61">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229870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480" w:top="1404" w:right="7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SIGNIFICANT SUBSIDIARIES OF DOMINO’S PIZZA,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Inc.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Michigan</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National Advertising Fund Inc.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Michigan</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Progressive Food Solutions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Michigan</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Overseas GP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Overseas LP Inc.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Canadian Holding Company Inc.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NS Co.</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Nova Scotia</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SPV Guarantor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Master Issuer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Distribution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EQ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SPV Canadian Holding Company Inc.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Canadian Distribution ULC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Nova Scotia</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Franchising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RE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Franchising Inc.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Franchising of Michigan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Michigan</w:t>
            </w:r>
          </w:p>
        </w:tc>
      </w:tr>
      <w:tr>
        <w:trPr>
          <w:trHeight w:val="258"/>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IP Holder LLC</w:t>
            </w:r>
          </w:p>
        </w:tc>
        <w:tc>
          <w:tcPr>
            <w:tcW w:w="490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Delaware</w:t>
            </w:r>
          </w:p>
        </w:tc>
      </w:tr>
      <w:tr>
        <w:trPr>
          <w:trHeight w:val="162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ind w:right="360"/>
        <w:spacing w:after="0" w:line="23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w:t>
      </w:r>
      <w:r>
        <w:rPr>
          <w:rFonts w:ascii="Georgia" w:cs="Georgia" w:eastAsia="Georgia" w:hAnsi="Georgia"/>
          <w:sz w:val="19"/>
          <w:szCs w:val="19"/>
          <w:color w:val="auto"/>
        </w:rPr>
        <w:t>Nos. 333-118486, 333-121923, 333-161972, and 333-174542</w:t>
      </w:r>
      <w:r>
        <w:rPr>
          <w:rFonts w:ascii="Georgia" w:cs="Georgia" w:eastAsia="Georgia" w:hAnsi="Georgia"/>
          <w:sz w:val="17"/>
          <w:szCs w:val="17"/>
          <w:color w:val="auto"/>
        </w:rPr>
        <w:t>) of Domino’s Pizza, Inc. of our report dated February 24, 2025 relating to the financial statements, financial</w:t>
      </w:r>
      <w:r>
        <w:rPr>
          <w:rFonts w:ascii="Georgia" w:cs="Georgia" w:eastAsia="Georgia" w:hAnsi="Georgia"/>
          <w:sz w:val="19"/>
          <w:szCs w:val="19"/>
          <w:color w:val="auto"/>
        </w:rPr>
        <w:t xml:space="preserve"> </w:t>
      </w:r>
      <w:r>
        <w:rPr>
          <w:rFonts w:ascii="Georgia" w:cs="Georgia" w:eastAsia="Georgia" w:hAnsi="Georgia"/>
          <w:sz w:val="17"/>
          <w:szCs w:val="17"/>
          <w:color w:val="auto"/>
        </w:rPr>
        <w:t>statement schedule and the effectiveness of internal control over financial reporting, which appears in this Form 10-K.</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Detroit, Michigan</w:t>
      </w:r>
    </w:p>
    <w:p>
      <w:pPr>
        <w:spacing w:after="0"/>
        <w:rPr>
          <w:sz w:val="20"/>
          <w:szCs w:val="20"/>
          <w:color w:val="auto"/>
        </w:rPr>
      </w:pPr>
      <w:r>
        <w:rPr>
          <w:rFonts w:ascii="Georgia" w:cs="Georgia" w:eastAsia="Georgia" w:hAnsi="Georgia"/>
          <w:sz w:val="18"/>
          <w:szCs w:val="18"/>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49" w:name="page150"/>
    <w:bookmarkEnd w:id="14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Domino’s Pizza, Inc.;</w:t>
      </w:r>
    </w:p>
    <w:p>
      <w:pPr>
        <w:spacing w:after="0" w:line="2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39"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378"/>
        <w:spacing w:after="0" w:line="246"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24, 2025</w:t>
            </w:r>
          </w:p>
        </w:tc>
        <w:tc>
          <w:tcPr>
            <w:tcW w:w="1020" w:type="dxa"/>
            <w:vAlign w:val="bottom"/>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Russell J. Weiner</w:t>
            </w:r>
          </w:p>
        </w:tc>
      </w:tr>
      <w:tr>
        <w:trPr>
          <w:trHeight w:val="191"/>
        </w:trPr>
        <w:tc>
          <w:tcPr>
            <w:tcW w:w="37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020" w:type="dxa"/>
            <w:vAlign w:val="bottom"/>
          </w:tcPr>
          <w:p>
            <w:pPr>
              <w:spacing w:after="0"/>
              <w:rPr>
                <w:sz w:val="16"/>
                <w:szCs w:val="16"/>
                <w:color w:val="auto"/>
              </w:rPr>
            </w:pPr>
          </w:p>
        </w:tc>
        <w:tc>
          <w:tcPr>
            <w:tcW w:w="6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Russell J. Weiner</w:t>
            </w:r>
          </w:p>
        </w:tc>
      </w:tr>
      <w:tr>
        <w:trPr>
          <w:trHeight w:val="234"/>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3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0" w:name="page151"/>
    <w:bookmarkEnd w:id="15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Domino’s Pizza, Inc.;</w:t>
      </w:r>
    </w:p>
    <w:p>
      <w:pPr>
        <w:spacing w:after="0" w:line="2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39"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378"/>
        <w:spacing w:after="0" w:line="246"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24, 2025</w:t>
            </w:r>
          </w:p>
        </w:tc>
        <w:tc>
          <w:tcPr>
            <w:tcW w:w="1120" w:type="dxa"/>
            <w:vAlign w:val="bottom"/>
          </w:tcPr>
          <w:p>
            <w:pPr>
              <w:spacing w:after="0"/>
              <w:rPr>
                <w:sz w:val="20"/>
                <w:szCs w:val="20"/>
                <w:color w:val="auto"/>
              </w:rPr>
            </w:pPr>
          </w:p>
        </w:tc>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Reddy</w:t>
            </w:r>
          </w:p>
        </w:tc>
      </w:tr>
      <w:tr>
        <w:trPr>
          <w:trHeight w:val="191"/>
        </w:trPr>
        <w:tc>
          <w:tcPr>
            <w:tcW w:w="37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spacing w:after="0"/>
              <w:rPr>
                <w:sz w:val="16"/>
                <w:szCs w:val="16"/>
                <w:color w:val="auto"/>
              </w:rPr>
            </w:pPr>
          </w:p>
        </w:tc>
        <w:tc>
          <w:tcPr>
            <w:tcW w:w="6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Sandeep Reddy</w:t>
            </w:r>
          </w:p>
        </w:tc>
      </w:tr>
      <w:tr>
        <w:trPr>
          <w:trHeight w:val="234"/>
        </w:trPr>
        <w:tc>
          <w:tcPr>
            <w:tcW w:w="3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Domino’s Pizza, Inc. (the “Company”) on Form 10-K for the period ended December 29, 2024, as filed with the Securities and Exchange Commission on the date hereof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hanging="378"/>
        <w:spacing w:after="0" w:line="258" w:lineRule="auto"/>
        <w:tabs>
          <w:tab w:leader="none" w:pos="7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7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Russell J. Weiner</w:t>
      </w:r>
    </w:p>
    <w:p>
      <w:pPr>
        <w:spacing w:after="0" w:line="2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14312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7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Domino’s Pizza, Inc. (the “Company”) on Form 10-K for the period ended December 29, 2024, as filed with the Securities and Exchange Commission on the date hereof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hanging="378"/>
        <w:spacing w:after="0" w:line="258"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7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Sandeep Reddy</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1140"/>
        <w:spacing w:after="0"/>
        <w:tabs>
          <w:tab w:leader="none" w:pos="1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17145</wp:posOffset>
            </wp:positionV>
            <wp:extent cx="13544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74">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3" w:name="page154"/>
    <w:bookmarkEnd w:id="1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lowerRoman"/>
      <w:start w:val="3"/>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2"/>
    </w:lvl>
  </w:abstractNum>
  <w:abstractNum w:abstractNumId="20">
    <w:nsid w:val="2CD89A32"/>
    <w:multiLevelType w:val="hybridMultilevel"/>
    <w:lvl w:ilvl="0">
      <w:lvlJc w:val="left"/>
      <w:lvlText w:val="(%1)"/>
      <w:numFmt w:val="decimal"/>
      <w:start w:val="3"/>
    </w:lvl>
  </w:abstractNum>
  <w:abstractNum w:abstractNumId="21">
    <w:nsid w:val="57E4CCAF"/>
    <w:multiLevelType w:val="hybridMultilevel"/>
    <w:lvl w:ilvl="0">
      <w:lvlJc w:val="left"/>
      <w:lvlText w:val="(%1)"/>
      <w:numFmt w:val="decimal"/>
      <w:start w:val="4"/>
    </w:lvl>
  </w:abstractNum>
  <w:abstractNum w:abstractNumId="22">
    <w:nsid w:val="7A6D8D3C"/>
    <w:multiLevelType w:val="hybridMultilevel"/>
    <w:lvl w:ilvl="0">
      <w:lvlJc w:val="left"/>
      <w:lvlText w:val="(%1)"/>
      <w:numFmt w:val="decimal"/>
      <w:start w:val="5"/>
    </w:lvl>
  </w:abstractNum>
  <w:abstractNum w:abstractNumId="23">
    <w:nsid w:val="4B588F54"/>
    <w:multiLevelType w:val="hybridMultilevel"/>
    <w:lvl w:ilvl="0">
      <w:lvlJc w:val="left"/>
      <w:lvlText w:val="(%1)"/>
      <w:numFmt w:val="decimal"/>
      <w:start w:val="6"/>
    </w:lvl>
  </w:abstractNum>
  <w:abstractNum w:abstractNumId="24">
    <w:nsid w:val="542289EC"/>
    <w:multiLevelType w:val="hybridMultilevel"/>
    <w:lvl w:ilvl="0">
      <w:lvlJc w:val="left"/>
      <w:lvlText w:val="(%1)"/>
      <w:numFmt w:val="decimal"/>
      <w:start w:val="7"/>
    </w:lvl>
  </w:abstractNum>
  <w:abstractNum w:abstractNumId="25">
    <w:nsid w:val="6DE91B18"/>
    <w:multiLevelType w:val="hybridMultilevel"/>
    <w:lvl w:ilvl="0">
      <w:lvlJc w:val="left"/>
      <w:lvlText w:val="(%1)"/>
      <w:numFmt w:val="decimal"/>
      <w:start w:val="8"/>
    </w:lvl>
  </w:abstractNum>
  <w:abstractNum w:abstractNumId="26">
    <w:nsid w:val="38437FDB"/>
    <w:multiLevelType w:val="hybridMultilevel"/>
    <w:lvl w:ilvl="0">
      <w:lvlJc w:val="left"/>
      <w:lvlText w:val="(%1)"/>
      <w:numFmt w:val="decimal"/>
      <w:start w:val="9"/>
    </w:lvl>
  </w:abstractNum>
  <w:abstractNum w:abstractNumId="27">
    <w:nsid w:val="7644A45C"/>
    <w:multiLevelType w:val="hybridMultilevel"/>
    <w:lvl w:ilvl="0">
      <w:lvlJc w:val="left"/>
      <w:lvlText w:val="(%1)"/>
      <w:numFmt w:val="decimal"/>
      <w:start w:val="1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3"/>
    </w:lvl>
  </w:abstractNum>
  <w:abstractNum w:abstractNumId="33">
    <w:nsid w:val="1BA026FA"/>
    <w:multiLevelType w:val="hybridMultilevel"/>
    <w:lvl w:ilvl="0">
      <w:lvlJc w:val="left"/>
      <w:lvlText w:val="*"/>
      <w:numFmt w:val="bullet"/>
      <w:start w:val="1"/>
    </w:lvl>
    <w:lvl w:ilvl="1">
      <w:lvlJc w:val="left"/>
      <w:lvlText w:val="%2"/>
      <w:numFmt w:val="decimal"/>
      <w:start w:val="104"/>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2"/>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1"/>
    </w:lvl>
  </w:abstractNum>
  <w:abstractNum w:abstractNumId="39">
    <w:nsid w:val="374A3FE6"/>
    <w:multiLevelType w:val="hybridMultilevel"/>
    <w:lvl w:ilvl="0">
      <w:lvlJc w:val="left"/>
      <w:lvlText w:val="(%1)"/>
      <w:numFmt w:val="lowerLetter"/>
      <w:start w:val="24"/>
    </w:lvl>
  </w:abstractNum>
  <w:abstractNum w:abstractNumId="40">
    <w:nsid w:val="4F4EF005"/>
    <w:multiLevelType w:val="hybridMultilevel"/>
    <w:lvl w:ilvl="0">
      <w:lvlJc w:val="left"/>
      <w:lvlText w:val="(%1)"/>
      <w:numFmt w:val="lowerLetter"/>
      <w:start w:val="27"/>
    </w:lvl>
  </w:abstractNum>
  <w:abstractNum w:abstractNumId="41">
    <w:nsid w:val="23F9C13C"/>
    <w:multiLevelType w:val="hybridMultilevel"/>
    <w:lvl w:ilvl="0">
      <w:lvlJc w:val="left"/>
      <w:lvlText w:val="(%1)"/>
      <w:numFmt w:val="lowerRoman"/>
      <w:start w:val="2"/>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3"/>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Letter"/>
      <w:start w:val="2"/>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3"/>
    </w:lvl>
  </w:abstractNum>
  <w:abstractNum w:abstractNumId="50">
    <w:nsid w:val="15B5AF5C"/>
    <w:multiLevelType w:val="hybridMultilevel"/>
    <w:lvl w:ilvl="0">
      <w:lvlJc w:val="left"/>
      <w:lvlText w:val="%1."/>
      <w:numFmt w:val="decimal"/>
      <w:start w:val="4"/>
    </w:lvl>
  </w:abstractNum>
  <w:abstractNum w:abstractNumId="51">
    <w:nsid w:val="741226BB"/>
    <w:multiLevelType w:val="hybridMultilevel"/>
    <w:lvl w:ilvl="0">
      <w:lvlJc w:val="left"/>
      <w:lvlText w:val="%1."/>
      <w:numFmt w:val="decimal"/>
      <w:start w:val="6"/>
    </w:lvl>
  </w:abstractNum>
  <w:abstractNum w:abstractNumId="52">
    <w:nsid w:val="D34B6A8"/>
    <w:multiLevelType w:val="hybridMultilevel"/>
    <w:lvl w:ilvl="0">
      <w:lvlJc w:val="left"/>
      <w:lvlText w:val="%1."/>
      <w:numFmt w:val="decimal"/>
      <w:start w:val="11"/>
    </w:lvl>
  </w:abstractNum>
  <w:abstractNum w:abstractNumId="53">
    <w:nsid w:val="10233C99"/>
    <w:multiLevelType w:val="hybridMultilevel"/>
    <w:lvl w:ilvl="0">
      <w:lvlJc w:val="left"/>
      <w:lvlText w:val="%1."/>
      <w:numFmt w:val="decimal"/>
      <w:start w:val="16"/>
    </w:lvl>
    <w:lvl w:ilvl="1">
      <w:lvlJc w:val="left"/>
      <w:lvlText w:val="(%2)"/>
      <w:numFmt w:val="lowerLetter"/>
      <w:start w:val="1"/>
    </w:lvl>
  </w:abstractNum>
  <w:abstractNum w:abstractNumId="54">
    <w:nsid w:val="3F6AB60F"/>
    <w:multiLevelType w:val="hybridMultilevel"/>
    <w:lvl w:ilvl="0">
      <w:lvlJc w:val="left"/>
      <w:lvlText w:val="(%1)"/>
      <w:numFmt w:val="lowerLetter"/>
      <w:start w:val="6"/>
    </w:lvl>
    <w:lvl w:ilvl="1">
      <w:lvlJc w:val="left"/>
      <w:lvlText w:val="(%2)"/>
      <w:numFmt w:val="lowerLetter"/>
      <w:start w:val="7"/>
    </w:lvl>
  </w:abstractNum>
  <w:abstractNum w:abstractNumId="55">
    <w:nsid w:val="61574095"/>
    <w:multiLevelType w:val="hybridMultilevel"/>
    <w:lvl w:ilvl="0">
      <w:lvlJc w:val="left"/>
      <w:lvlText w:val="%1."/>
      <w:numFmt w:val="decimal"/>
      <w:start w:val="18"/>
    </w:lvl>
  </w:abstractNum>
  <w:abstractNum w:abstractNumId="56">
    <w:nsid w:val="7E0C57B1"/>
    <w:multiLevelType w:val="hybridMultilevel"/>
    <w:lvl w:ilvl="0">
      <w:lvlJc w:val="left"/>
      <w:lvlText w:val="%1."/>
      <w:numFmt w:val="decimal"/>
      <w:start w:val="19"/>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1"/>
    </w:lvl>
    <w:lvl w:ilvl="1">
      <w:lvlJc w:val="left"/>
      <w:lvlText w:val="(%2)"/>
      <w:numFmt w:val="lowerLetter"/>
      <w:start w:val="1"/>
    </w:lvl>
  </w:abstractNum>
  <w:abstractNum w:abstractNumId="59">
    <w:nsid w:val="310C50B3"/>
    <w:multiLevelType w:val="hybridMultilevel"/>
    <w:lvl w:ilvl="0">
      <w:lvlJc w:val="left"/>
      <w:lvlText w:val="(%1)"/>
      <w:numFmt w:val="lowerLetter"/>
      <w:start w:val="7"/>
    </w:lvl>
    <w:lvl w:ilvl="1">
      <w:lvlJc w:val="left"/>
      <w:lvlText w:val="%2"/>
      <w:numFmt w:val="lowerLetter"/>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26" Type="http://schemas.openxmlformats.org/officeDocument/2006/relationships/image" Target="media/image370.png"/><Relationship Id="rId427" Type="http://schemas.openxmlformats.org/officeDocument/2006/relationships/image" Target="media/image371.png"/><Relationship Id="rId440" Type="http://schemas.openxmlformats.org/officeDocument/2006/relationships/image" Target="media/image372.png"/><Relationship Id="rId441" Type="http://schemas.openxmlformats.org/officeDocument/2006/relationships/image" Target="media/image373.png"/><Relationship Id="rId451" Type="http://schemas.openxmlformats.org/officeDocument/2006/relationships/image" Target="media/image374.png"/><Relationship Id="rId452" Type="http://schemas.openxmlformats.org/officeDocument/2006/relationships/image" Target="media/image375.png"/><Relationship Id="rId464" Type="http://schemas.openxmlformats.org/officeDocument/2006/relationships/image" Target="media/image376.png"/><Relationship Id="rId465" Type="http://schemas.openxmlformats.org/officeDocument/2006/relationships/image" Target="media/image377.png"/><Relationship Id="rId467" Type="http://schemas.openxmlformats.org/officeDocument/2006/relationships/image" Target="media/image378.png"/><Relationship Id="rId468" Type="http://schemas.openxmlformats.org/officeDocument/2006/relationships/image" Target="media/image379.png"/><Relationship Id="rId469" Type="http://schemas.openxmlformats.org/officeDocument/2006/relationships/image" Target="media/image380.png"/><Relationship Id="rId470" Type="http://schemas.openxmlformats.org/officeDocument/2006/relationships/image" Target="media/image381.png"/><Relationship Id="rId471" Type="http://schemas.openxmlformats.org/officeDocument/2006/relationships/image" Target="media/image382.png"/><Relationship Id="rId472" Type="http://schemas.openxmlformats.org/officeDocument/2006/relationships/image" Target="media/image383.png"/><Relationship Id="rId473" Type="http://schemas.openxmlformats.org/officeDocument/2006/relationships/image" Target="media/image384.png"/><Relationship Id="rId474" Type="http://schemas.openxmlformats.org/officeDocument/2006/relationships/image" Target="media/image385.png"/><Relationship Id="rId475" Type="http://schemas.openxmlformats.org/officeDocument/2006/relationships/image" Target="media/image386.png"/><Relationship Id="rId476" Type="http://schemas.openxmlformats.org/officeDocument/2006/relationships/image" Target="media/image387.png"/><Relationship Id="rId477" Type="http://schemas.openxmlformats.org/officeDocument/2006/relationships/image" Target="media/image388.png"/><Relationship Id="rId478" Type="http://schemas.openxmlformats.org/officeDocument/2006/relationships/image" Target="media/image389.png"/><Relationship Id="rId479" Type="http://schemas.openxmlformats.org/officeDocument/2006/relationships/image" Target="media/image390.png"/><Relationship Id="rId480" Type="http://schemas.openxmlformats.org/officeDocument/2006/relationships/image" Target="media/image391.png"/><Relationship Id="rId481" Type="http://schemas.openxmlformats.org/officeDocument/2006/relationships/image" Target="media/image392.png"/><Relationship Id="rId482" Type="http://schemas.openxmlformats.org/officeDocument/2006/relationships/image" Target="media/image393.png"/><Relationship Id="rId483" Type="http://schemas.openxmlformats.org/officeDocument/2006/relationships/image" Target="media/image394.png"/><Relationship Id="rId484" Type="http://schemas.openxmlformats.org/officeDocument/2006/relationships/image" Target="media/image395.png"/><Relationship Id="rId485" Type="http://schemas.openxmlformats.org/officeDocument/2006/relationships/image" Target="media/image396.png"/><Relationship Id="rId486" Type="http://schemas.openxmlformats.org/officeDocument/2006/relationships/image" Target="media/image397.png"/><Relationship Id="rId487" Type="http://schemas.openxmlformats.org/officeDocument/2006/relationships/image" Target="media/image398.png"/><Relationship Id="rId488" Type="http://schemas.openxmlformats.org/officeDocument/2006/relationships/image" Target="media/image399.png"/><Relationship Id="rId489" Type="http://schemas.openxmlformats.org/officeDocument/2006/relationships/image" Target="media/image400.png"/><Relationship Id="rId490" Type="http://schemas.openxmlformats.org/officeDocument/2006/relationships/image" Target="media/image401.png"/><Relationship Id="rId491" Type="http://schemas.openxmlformats.org/officeDocument/2006/relationships/image" Target="media/image402.png"/><Relationship Id="rId492" Type="http://schemas.openxmlformats.org/officeDocument/2006/relationships/image" Target="media/image403.png"/><Relationship Id="rId493" Type="http://schemas.openxmlformats.org/officeDocument/2006/relationships/image" Target="media/image404.png"/><Relationship Id="rId494" Type="http://schemas.openxmlformats.org/officeDocument/2006/relationships/image" Target="media/image405.png"/><Relationship Id="rId495" Type="http://schemas.openxmlformats.org/officeDocument/2006/relationships/image" Target="media/image406.png"/><Relationship Id="rId496" Type="http://schemas.openxmlformats.org/officeDocument/2006/relationships/image" Target="media/image407.png"/><Relationship Id="rId497" Type="http://schemas.openxmlformats.org/officeDocument/2006/relationships/image" Target="media/image408.png"/><Relationship Id="rId498" Type="http://schemas.openxmlformats.org/officeDocument/2006/relationships/image" Target="media/image409.png"/><Relationship Id="rId499" Type="http://schemas.openxmlformats.org/officeDocument/2006/relationships/image" Target="media/image410.png"/><Relationship Id="rId500" Type="http://schemas.openxmlformats.org/officeDocument/2006/relationships/image" Target="media/image411.png"/><Relationship Id="rId501" Type="http://schemas.openxmlformats.org/officeDocument/2006/relationships/image" Target="media/image412.png"/><Relationship Id="rId502" Type="http://schemas.openxmlformats.org/officeDocument/2006/relationships/image" Target="media/image413.png"/><Relationship Id="rId503" Type="http://schemas.openxmlformats.org/officeDocument/2006/relationships/image" Target="media/image414.png"/><Relationship Id="rId504" Type="http://schemas.openxmlformats.org/officeDocument/2006/relationships/image" Target="media/image415.png"/><Relationship Id="rId505" Type="http://schemas.openxmlformats.org/officeDocument/2006/relationships/image" Target="media/image416.png"/><Relationship Id="rId506" Type="http://schemas.openxmlformats.org/officeDocument/2006/relationships/image" Target="media/image417.png"/><Relationship Id="rId507" Type="http://schemas.openxmlformats.org/officeDocument/2006/relationships/image" Target="media/image418.png"/><Relationship Id="rId508" Type="http://schemas.openxmlformats.org/officeDocument/2006/relationships/image" Target="media/image419.png"/><Relationship Id="rId509" Type="http://schemas.openxmlformats.org/officeDocument/2006/relationships/image" Target="media/image420.png"/><Relationship Id="rId510" Type="http://schemas.openxmlformats.org/officeDocument/2006/relationships/image" Target="media/image421.png"/><Relationship Id="rId511" Type="http://schemas.openxmlformats.org/officeDocument/2006/relationships/image" Target="media/image422.png"/><Relationship Id="rId512" Type="http://schemas.openxmlformats.org/officeDocument/2006/relationships/image" Target="media/image423.png"/><Relationship Id="rId513" Type="http://schemas.openxmlformats.org/officeDocument/2006/relationships/image" Target="media/image424.png"/><Relationship Id="rId514" Type="http://schemas.openxmlformats.org/officeDocument/2006/relationships/image" Target="media/image425.png"/><Relationship Id="rId515" Type="http://schemas.openxmlformats.org/officeDocument/2006/relationships/image" Target="media/image426.png"/><Relationship Id="rId516" Type="http://schemas.openxmlformats.org/officeDocument/2006/relationships/image" Target="media/image427.png"/><Relationship Id="rId517" Type="http://schemas.openxmlformats.org/officeDocument/2006/relationships/image" Target="media/image428.png"/><Relationship Id="rId518" Type="http://schemas.openxmlformats.org/officeDocument/2006/relationships/image" Target="media/image429.png"/><Relationship Id="rId519" Type="http://schemas.openxmlformats.org/officeDocument/2006/relationships/image" Target="media/image430.png"/><Relationship Id="rId520" Type="http://schemas.openxmlformats.org/officeDocument/2006/relationships/image" Target="media/image431.png"/><Relationship Id="rId521" Type="http://schemas.openxmlformats.org/officeDocument/2006/relationships/image" Target="media/image432.png"/><Relationship Id="rId522" Type="http://schemas.openxmlformats.org/officeDocument/2006/relationships/image" Target="media/image433.png"/><Relationship Id="rId523" Type="http://schemas.openxmlformats.org/officeDocument/2006/relationships/image" Target="media/image434.png"/><Relationship Id="rId524" Type="http://schemas.openxmlformats.org/officeDocument/2006/relationships/image" Target="media/image435.png"/><Relationship Id="rId525" Type="http://schemas.openxmlformats.org/officeDocument/2006/relationships/image" Target="media/image436.png"/><Relationship Id="rId526" Type="http://schemas.openxmlformats.org/officeDocument/2006/relationships/image" Target="media/image437.png"/><Relationship Id="rId527" Type="http://schemas.openxmlformats.org/officeDocument/2006/relationships/image" Target="media/image438.png"/><Relationship Id="rId528" Type="http://schemas.openxmlformats.org/officeDocument/2006/relationships/image" Target="media/image439.png"/><Relationship Id="rId529" Type="http://schemas.openxmlformats.org/officeDocument/2006/relationships/image" Target="media/image440.png"/><Relationship Id="rId530" Type="http://schemas.openxmlformats.org/officeDocument/2006/relationships/image" Target="media/image441.png"/><Relationship Id="rId531" Type="http://schemas.openxmlformats.org/officeDocument/2006/relationships/image" Target="media/image442.png"/><Relationship Id="rId532" Type="http://schemas.openxmlformats.org/officeDocument/2006/relationships/image" Target="media/image443.png"/><Relationship Id="rId533" Type="http://schemas.openxmlformats.org/officeDocument/2006/relationships/image" Target="media/image444.png"/><Relationship Id="rId534" Type="http://schemas.openxmlformats.org/officeDocument/2006/relationships/image" Target="media/image445.png"/><Relationship Id="rId535" Type="http://schemas.openxmlformats.org/officeDocument/2006/relationships/image" Target="media/image446.png"/><Relationship Id="rId536" Type="http://schemas.openxmlformats.org/officeDocument/2006/relationships/image" Target="media/image447.png"/><Relationship Id="rId537" Type="http://schemas.openxmlformats.org/officeDocument/2006/relationships/image" Target="media/image448.png"/><Relationship Id="rId538" Type="http://schemas.openxmlformats.org/officeDocument/2006/relationships/image" Target="media/image449.png"/><Relationship Id="rId539" Type="http://schemas.openxmlformats.org/officeDocument/2006/relationships/image" Target="media/image450.png"/><Relationship Id="rId540" Type="http://schemas.openxmlformats.org/officeDocument/2006/relationships/image" Target="media/image451.png"/><Relationship Id="rId541" Type="http://schemas.openxmlformats.org/officeDocument/2006/relationships/image" Target="media/image452.png"/><Relationship Id="rId542" Type="http://schemas.openxmlformats.org/officeDocument/2006/relationships/image" Target="media/image453.png"/><Relationship Id="rId543" Type="http://schemas.openxmlformats.org/officeDocument/2006/relationships/image" Target="media/image454.png"/><Relationship Id="rId544" Type="http://schemas.openxmlformats.org/officeDocument/2006/relationships/image" Target="media/image455.png"/><Relationship Id="rId545" Type="http://schemas.openxmlformats.org/officeDocument/2006/relationships/image" Target="media/image456.png"/><Relationship Id="rId546" Type="http://schemas.openxmlformats.org/officeDocument/2006/relationships/image" Target="media/image457.png"/><Relationship Id="rId547" Type="http://schemas.openxmlformats.org/officeDocument/2006/relationships/image" Target="media/image458.png"/><Relationship Id="rId548" Type="http://schemas.openxmlformats.org/officeDocument/2006/relationships/image" Target="media/image459.png"/><Relationship Id="rId549" Type="http://schemas.openxmlformats.org/officeDocument/2006/relationships/image" Target="media/image460.png"/><Relationship Id="rId550" Type="http://schemas.openxmlformats.org/officeDocument/2006/relationships/image" Target="media/image461.png"/><Relationship Id="rId551" Type="http://schemas.openxmlformats.org/officeDocument/2006/relationships/image" Target="media/image462.png"/><Relationship Id="rId552" Type="http://schemas.openxmlformats.org/officeDocument/2006/relationships/image" Target="media/image463.png"/><Relationship Id="rId553" Type="http://schemas.openxmlformats.org/officeDocument/2006/relationships/image" Target="media/image464.png"/><Relationship Id="rId554" Type="http://schemas.openxmlformats.org/officeDocument/2006/relationships/image" Target="media/image465.png"/><Relationship Id="rId555" Type="http://schemas.openxmlformats.org/officeDocument/2006/relationships/image" Target="media/image466.png"/><Relationship Id="rId556" Type="http://schemas.openxmlformats.org/officeDocument/2006/relationships/image" Target="media/image467.png"/><Relationship Id="rId557" Type="http://schemas.openxmlformats.org/officeDocument/2006/relationships/image" Target="media/image468.png"/><Relationship Id="rId558" Type="http://schemas.openxmlformats.org/officeDocument/2006/relationships/image" Target="media/image469.png"/><Relationship Id="rId559" Type="http://schemas.openxmlformats.org/officeDocument/2006/relationships/image" Target="media/image470.png"/><Relationship Id="rId560" Type="http://schemas.openxmlformats.org/officeDocument/2006/relationships/image" Target="media/image471.png"/><Relationship Id="rId561" Type="http://schemas.openxmlformats.org/officeDocument/2006/relationships/image" Target="media/image472.png"/><Relationship Id="rId562" Type="http://schemas.openxmlformats.org/officeDocument/2006/relationships/image" Target="media/image473.png"/><Relationship Id="rId563" Type="http://schemas.openxmlformats.org/officeDocument/2006/relationships/image" Target="media/image474.png"/><Relationship Id="rId564" Type="http://schemas.openxmlformats.org/officeDocument/2006/relationships/image" Target="media/image475.png"/><Relationship Id="rId565" Type="http://schemas.openxmlformats.org/officeDocument/2006/relationships/image" Target="media/image476.png"/><Relationship Id="rId566" Type="http://schemas.openxmlformats.org/officeDocument/2006/relationships/image" Target="media/image477.png"/><Relationship Id="rId567" Type="http://schemas.openxmlformats.org/officeDocument/2006/relationships/image" Target="media/image478.png"/><Relationship Id="rId568" Type="http://schemas.openxmlformats.org/officeDocument/2006/relationships/image" Target="media/image479.png"/><Relationship Id="rId569" Type="http://schemas.openxmlformats.org/officeDocument/2006/relationships/image" Target="media/image480.png"/><Relationship Id="rId570" Type="http://schemas.openxmlformats.org/officeDocument/2006/relationships/image" Target="media/image481.png"/><Relationship Id="rId571" Type="http://schemas.openxmlformats.org/officeDocument/2006/relationships/image" Target="media/image482.png"/><Relationship Id="rId572" Type="http://schemas.openxmlformats.org/officeDocument/2006/relationships/image" Target="media/image483.png"/><Relationship Id="rId573" Type="http://schemas.openxmlformats.org/officeDocument/2006/relationships/image" Target="media/image484.png"/><Relationship Id="rId574" Type="http://schemas.openxmlformats.org/officeDocument/2006/relationships/image" Target="media/image485.png"/><Relationship Id="rId575" Type="http://schemas.openxmlformats.org/officeDocument/2006/relationships/image" Target="media/image486.png"/><Relationship Id="rId373" Type="http://schemas.openxmlformats.org/officeDocument/2006/relationships/hyperlink" Target="https://www.sec.gov/Archives/edgar/data/1286681/000119312504091718/dex31.htm" TargetMode="External"/><Relationship Id="rId374" Type="http://schemas.openxmlformats.org/officeDocument/2006/relationships/hyperlink" Target="https://www.sec.gov/Archives/edgar/data/1286681/000156459015005457/dpz-ex32_20150614137.htm" TargetMode="External"/><Relationship Id="rId375" Type="http://schemas.openxmlformats.org/officeDocument/2006/relationships/hyperlink" Target="https://www.sec.gov/Archives/edgar/data/1286681/000119312523255001/d424830dex31.htm" TargetMode="External"/><Relationship Id="rId376" Type="http://schemas.openxmlformats.org/officeDocument/2006/relationships/hyperlink" Target="https://www.sec.gov/Archives/edgar/data/1079458/0000927016-99-001033.txt" TargetMode="External"/><Relationship Id="rId377" Type="http://schemas.openxmlformats.org/officeDocument/2006/relationships/hyperlink" Target="https://www.sec.gov/Archives/edgar/data/1286681/000119312513081957/d466015dex102.htm" TargetMode="External"/><Relationship Id="rId378" Type="http://schemas.openxmlformats.org/officeDocument/2006/relationships/hyperlink" Target="https://www.sec.gov/Archives/edgar/data/1286681/000119312517060262/d350071dex103.htm" TargetMode="External"/><Relationship Id="rId379" Type="http://schemas.openxmlformats.org/officeDocument/2006/relationships/hyperlink" Target="https://www.sec.gov/Archives/edgar/data/1286681/000119312517060262/d350071dex104.htm" TargetMode="External"/><Relationship Id="rId380" Type="http://schemas.openxmlformats.org/officeDocument/2006/relationships/hyperlink" Target="https://www.sec.gov/Archives/edgar/data/1286681/000119312517060262/d350071dex105.htm" TargetMode="External"/><Relationship Id="rId381" Type="http://schemas.openxmlformats.org/officeDocument/2006/relationships/hyperlink" Target="https://www.sec.gov/Archives/edgar/data/1286681/000119312517060262/d350071dex106.htm" TargetMode="External"/><Relationship Id="rId382" Type="http://schemas.openxmlformats.org/officeDocument/2006/relationships/hyperlink" Target="https://www.sec.gov/Archives/edgar/data/1286681/000119312517060262/d350071dex107.htm" TargetMode="External"/><Relationship Id="rId385" Type="http://schemas.openxmlformats.org/officeDocument/2006/relationships/hyperlink" Target="https://www.sec.gov/Archives/edgar/data/1286681/000119312518049576/d531906dex108.htm" TargetMode="External"/><Relationship Id="rId386" Type="http://schemas.openxmlformats.org/officeDocument/2006/relationships/hyperlink" Target="https://www.sec.gov/Archives/edgar/data/1286681/000119312518299738/d632190dex101.htm" TargetMode="External"/><Relationship Id="rId387" Type="http://schemas.openxmlformats.org/officeDocument/2006/relationships/hyperlink" Target="https://www.sec.gov/Archives/edgar/data/1286681/000119312518299738/d632190dex102.htm" TargetMode="External"/><Relationship Id="rId388" Type="http://schemas.openxmlformats.org/officeDocument/2006/relationships/hyperlink" Target="https://www.sec.gov/Archives/edgar/data/1286681/000119312519194379/d774471dex101.htm" TargetMode="External"/><Relationship Id="rId389" Type="http://schemas.openxmlformats.org/officeDocument/2006/relationships/hyperlink" Target="https://www.sec.gov/Archives/edgar/data/1286681/000119312519194379/d774471dex102.htm" TargetMode="External"/><Relationship Id="rId390" Type="http://schemas.openxmlformats.org/officeDocument/2006/relationships/hyperlink" Target="https://www.sec.gov/Archives/edgar/data/1286681/000095017022002426/dpz-ex10_13.htm" TargetMode="External"/><Relationship Id="rId391" Type="http://schemas.openxmlformats.org/officeDocument/2006/relationships/hyperlink" Target="https://www.sec.gov/Archives/edgar/data/1286681/000095017022002426/dpz-ex10_14.htm" TargetMode="External"/><Relationship Id="rId392" Type="http://schemas.openxmlformats.org/officeDocument/2006/relationships/hyperlink" Target="https://www.sec.gov/Archives/edgar/data/1286681/000119312509093037/dex101.htm" TargetMode="External"/><Relationship Id="rId393" Type="http://schemas.openxmlformats.org/officeDocument/2006/relationships/hyperlink" Target="https://www.sec.gov/Archives/edgar/data/1286681/000119312513081957/d466015dex108.htm" TargetMode="External"/><Relationship Id="rId394" Type="http://schemas.openxmlformats.org/officeDocument/2006/relationships/hyperlink" Target="https://www.sec.gov/Archives/edgar/data/1286681/000119312513081957/d466015dex109.htm" TargetMode="External"/><Relationship Id="rId395" Type="http://schemas.openxmlformats.org/officeDocument/2006/relationships/hyperlink" Target="https://www.sec.gov/Archives/edgar/data/1286681/000119312511050979/dex1020.htm" TargetMode="External"/><Relationship Id="rId396" Type="http://schemas.openxmlformats.org/officeDocument/2006/relationships/hyperlink" Target="https://www.sec.gov/Archives/edgar/data/1286681/000095017023015004/dpz-ex10_1.htm" TargetMode="External"/><Relationship Id="rId397" Type="http://schemas.openxmlformats.org/officeDocument/2006/relationships/hyperlink" Target="https://www.sec.gov/Archives/edgar/data/1286681/000119312504102056/dex1032.htm" TargetMode="External"/><Relationship Id="rId398" Type="http://schemas.openxmlformats.org/officeDocument/2006/relationships/hyperlink" Target="https://www.sec.gov/Archives/edgar/data/1286681/000119312521221398/d164949dex101.htm" TargetMode="External"/><Relationship Id="rId399" Type="http://schemas.openxmlformats.org/officeDocument/2006/relationships/hyperlink" Target="https://www.sec.gov/Archives/edgar/data/1286681/000119312521221398/d164949dex102.htm" TargetMode="External"/><Relationship Id="rId400" Type="http://schemas.openxmlformats.org/officeDocument/2006/relationships/hyperlink" Target="https://www.sec.gov/Archives/edgar/data/1286681/000119312521221398/d164949dex103.htm" TargetMode="External"/><Relationship Id="rId401" Type="http://schemas.openxmlformats.org/officeDocument/2006/relationships/hyperlink" Target="https://www.sec.gov/Archives/edgar/data/1286681/000095017021002121/dpz-ex10_1.htm" TargetMode="External"/><Relationship Id="rId402" Type="http://schemas.openxmlformats.org/officeDocument/2006/relationships/hyperlink" Target="https://www.sec.gov/Archives/edgar/data/1286681/000095017022006436/dpz-ex10_6.htm" TargetMode="External"/><Relationship Id="rId403" Type="http://schemas.openxmlformats.org/officeDocument/2006/relationships/hyperlink" Target="https://www.sec.gov/Archives/edgar/data/1286681/000095017022012843/dpz-ex10_1.htm" TargetMode="External"/><Relationship Id="rId406" Type="http://schemas.openxmlformats.org/officeDocument/2006/relationships/hyperlink" Target="https://www.sec.gov/Archives/edgar/data/1286681/000095017022012843/dpz-ex10_2.htm" TargetMode="External"/><Relationship Id="rId407" Type="http://schemas.openxmlformats.org/officeDocument/2006/relationships/hyperlink" Target="https://www.sec.gov/Archives/edgar/data/1286681/000095017023015004/dpz-ex10_2.htm" TargetMode="External"/><Relationship Id="rId408" Type="http://schemas.openxmlformats.org/officeDocument/2006/relationships/hyperlink" Target="https://www.sec.gov/Archives/edgar/data/1286681/000095017023015004/dpz-ex10_3.htm" TargetMode="External"/><Relationship Id="rId409" Type="http://schemas.openxmlformats.org/officeDocument/2006/relationships/hyperlink" Target="https://www.sec.gov/Archives/edgar/data/1286681/000095017023015004/dpz-ex10_4.htm" TargetMode="External"/><Relationship Id="rId410" Type="http://schemas.openxmlformats.org/officeDocument/2006/relationships/hyperlink" Target="https://www.sec.gov/Archives/edgar/data/1286681/000095017023015004/dpz-ex10_5.htm" TargetMode="External"/><Relationship Id="rId411" Type="http://schemas.openxmlformats.org/officeDocument/2006/relationships/hyperlink" Target="https://www.sec.gov/Archives/edgar/data/1286681/000095017023015004/dpz-ex10_6.htm" TargetMode="External"/><Relationship Id="rId412" Type="http://schemas.openxmlformats.org/officeDocument/2006/relationships/hyperlink" Target="https://www.sec.gov/Archives/edgar/data/1286681/000095017023015004/dpz-ex10_7.htm" TargetMode="External"/><Relationship Id="rId413" Type="http://schemas.openxmlformats.org/officeDocument/2006/relationships/hyperlink" Target="https://www.sec.gov/Archives/edgar/data/1286681/000119312522059952/d291533dex101.htm" TargetMode="External"/><Relationship Id="rId414" Type="http://schemas.openxmlformats.org/officeDocument/2006/relationships/hyperlink" Target="https://www.sec.gov/Archives/edgar/data/1286681/000119312522059952/d291533dex102.htm" TargetMode="External"/><Relationship Id="rId415" Type="http://schemas.openxmlformats.org/officeDocument/2006/relationships/hyperlink" Target="https://www.sec.gov/Archives/edgar/data/1286681/000119312522059952/d291533dex103.htm" TargetMode="External"/><Relationship Id="rId416" Type="http://schemas.openxmlformats.org/officeDocument/2006/relationships/hyperlink" Target="https://www.sec.gov/Archives/edgar/data/1286681/000119312518220984/d513733dex101.htm" TargetMode="External"/><Relationship Id="rId417" Type="http://schemas.openxmlformats.org/officeDocument/2006/relationships/hyperlink" Target="https://www.sec.gov/Archives/edgar/data/1286681/000119312519046191/d696297dex1039.htm" TargetMode="External"/><Relationship Id="rId418" Type="http://schemas.openxmlformats.org/officeDocument/2006/relationships/hyperlink" Target="https://www.sec.gov/Archives/edgar/data/1286681/000119312520115907/d914156dex101.htm" TargetMode="External"/><Relationship Id="rId419" Type="http://schemas.openxmlformats.org/officeDocument/2006/relationships/hyperlink" Target="https://www.sec.gov/Archives/edgar/data/1286681/000119312522065165/d312023dex101.htm" TargetMode="External"/><Relationship Id="rId420" Type="http://schemas.openxmlformats.org/officeDocument/2006/relationships/hyperlink" Target="https://www.sec.gov/Archives/edgar/data/1286681/000095017024019725/dpz-ex10_54.htm" TargetMode="External"/><Relationship Id="rId421" Type="http://schemas.openxmlformats.org/officeDocument/2006/relationships/hyperlink" Target="https://www.sec.gov/Archives/edgar/data/1286681/000095017024019725/dpz-ex10_55.htm" TargetMode="External"/><Relationship Id="rId422" Type="http://schemas.openxmlformats.org/officeDocument/2006/relationships/hyperlink" Target="https://www.sec.gov/Archives/edgar/data/1286681/000095017022012843/dpz-ex10_3.htm" TargetMode="External"/><Relationship Id="rId423" Type="http://schemas.openxmlformats.org/officeDocument/2006/relationships/hyperlink" Target="https://www.sec.gov/Archives/edgar/data/1286681/000119312512120642/d318279dex41.htm" TargetMode="External"/><Relationship Id="rId424" Type="http://schemas.openxmlformats.org/officeDocument/2006/relationships/hyperlink" Target="https://www.sec.gov/Archives/edgar/data/1286681/000119312515350900/d51248dex41.htm" TargetMode="External"/><Relationship Id="rId425" Type="http://schemas.openxmlformats.org/officeDocument/2006/relationships/hyperlink" Target="https://www.sec.gov/Archives/edgar/data/1286681/000119312515350900/d51248dex42.htm" TargetMode="External"/><Relationship Id="rId428" Type="http://schemas.openxmlformats.org/officeDocument/2006/relationships/hyperlink" Target="https://www.sec.gov/Archives/edgar/data/1286681/000119312515350900/d51248dex43.htm" TargetMode="External"/><Relationship Id="rId429" Type="http://schemas.openxmlformats.org/officeDocument/2006/relationships/hyperlink" Target="https://www.sec.gov/Archives/edgar/data/1286681/000119312517234418/d428320dex41.htm" TargetMode="External"/><Relationship Id="rId430" Type="http://schemas.openxmlformats.org/officeDocument/2006/relationships/hyperlink" Target="https://www.sec.gov/Archives/edgar/data/1286681/000119312520042675/d796357dex1049.htm" TargetMode="External"/><Relationship Id="rId431" Type="http://schemas.openxmlformats.org/officeDocument/2006/relationships/hyperlink" Target="https://www.sec.gov/Archives/edgar/data/1286681/000119312521121940/d174181dex41.htm" TargetMode="External"/><Relationship Id="rId432" Type="http://schemas.openxmlformats.org/officeDocument/2006/relationships/hyperlink" Target="https://www.sec.gov/Archives/edgar/data/1286681/000095017022002426/dpz-ex10_62.htm" TargetMode="External"/><Relationship Id="rId433" Type="http://schemas.openxmlformats.org/officeDocument/2006/relationships/hyperlink" Target="https://www.sec.gov/Archives/edgar/data/1286681/000095017024113947/dpz-ex10_1.htm" TargetMode="External"/><Relationship Id="rId434" Type="http://schemas.openxmlformats.org/officeDocument/2006/relationships/hyperlink" Target="https://www.sec.gov/Archives/edgar/data/1286681/000119312515350900/d51248dex44.htm" TargetMode="External"/><Relationship Id="rId435" Type="http://schemas.openxmlformats.org/officeDocument/2006/relationships/hyperlink" Target="https://www.sec.gov/Archives/edgar/data/1286681/000119312517234418/d428320dex42.htm" TargetMode="External"/><Relationship Id="rId436" Type="http://schemas.openxmlformats.org/officeDocument/2006/relationships/hyperlink" Target="https://www.sec.gov/Archives/edgar/data/1286681/000119312518131454/d538225dex41.htm" TargetMode="External"/><Relationship Id="rId437" Type="http://schemas.openxmlformats.org/officeDocument/2006/relationships/hyperlink" Target="https://www.sec.gov/Archives/edgar/data/1286681/000119312519295552/d806337dex41.htm" TargetMode="External"/><Relationship Id="rId438" Type="http://schemas.openxmlformats.org/officeDocument/2006/relationships/hyperlink" Target="https://www.sec.gov/Archives/edgar/data/1286681/000119312521121940/d174181dex42.htm" TargetMode="External"/><Relationship Id="rId439" Type="http://schemas.openxmlformats.org/officeDocument/2006/relationships/hyperlink" Target="https://www.sec.gov/Archives/edgar/data/1286681/000119312522246362/d394498dex41.htm" TargetMode="External"/><Relationship Id="rId442" Type="http://schemas.openxmlformats.org/officeDocument/2006/relationships/hyperlink" Target="https://www.sec.gov/Archives/edgar/data/1286681/000119312515350900/d51248dex101.htm" TargetMode="External"/><Relationship Id="rId443" Type="http://schemas.openxmlformats.org/officeDocument/2006/relationships/hyperlink" Target="https://www.sec.gov/Archives/edgar/data/1286681/000119312517202942/d382329dex101.htm" TargetMode="External"/><Relationship Id="rId444" Type="http://schemas.openxmlformats.org/officeDocument/2006/relationships/hyperlink" Target="https://www.sec.gov/Archives/edgar/data/1286681/000119312518131454/d538225dex11.htm" TargetMode="External"/><Relationship Id="rId445" Type="http://schemas.openxmlformats.org/officeDocument/2006/relationships/hyperlink" Target="https://www.sec.gov/Archives/edgar/data/1286681/000119312519286123/d829654dex991.htm" TargetMode="External"/><Relationship Id="rId446" Type="http://schemas.openxmlformats.org/officeDocument/2006/relationships/hyperlink" Target="https://www.sec.gov/Archives/edgar/data/1286681/000119312521110986/d148163dex991.htm" TargetMode="External"/><Relationship Id="rId447" Type="http://schemas.openxmlformats.org/officeDocument/2006/relationships/hyperlink" Target="https://www.sec.gov/Archives/edgar/data/1286681/000119312521121940/d174181dex101.htm" TargetMode="External"/><Relationship Id="rId448" Type="http://schemas.openxmlformats.org/officeDocument/2006/relationships/hyperlink" Target="https://www.sec.gov/Archives/edgar/data/1286681/000095017023033925/dpz-ex10_1.htm" TargetMode="External"/><Relationship Id="rId449" Type="http://schemas.openxmlformats.org/officeDocument/2006/relationships/hyperlink" Target="https://www.sec.gov/Archives/edgar/data/1286681/000095017024019725/dpz-ex10_78.htm" TargetMode="External"/><Relationship Id="rId450" Type="http://schemas.openxmlformats.org/officeDocument/2006/relationships/hyperlink" Target="https://www.sec.gov/Archives/edgar/data/1286681/000119312522246362/d394498dex101.htm" TargetMode="External"/><Relationship Id="rId453" Type="http://schemas.openxmlformats.org/officeDocument/2006/relationships/hyperlink" Target="https://www.sec.gov/Archives/edgar/data/1286681/000119312512120642/d318279dex102.htm" TargetMode="External"/><Relationship Id="rId454" Type="http://schemas.openxmlformats.org/officeDocument/2006/relationships/hyperlink" Target="https://www.sec.gov/Archives/edgar/data/1286681/000119312512120642/d318279dex103.htm" TargetMode="External"/><Relationship Id="rId455" Type="http://schemas.openxmlformats.org/officeDocument/2006/relationships/hyperlink" Target="https://www.sec.gov/Archives/edgar/data/1286681/000119312515350900/d51248dex103.htm" TargetMode="External"/><Relationship Id="rId456" Type="http://schemas.openxmlformats.org/officeDocument/2006/relationships/hyperlink" Target="https://www.sec.gov/Archives/edgar/data/1286681/000119312517234418/d428320dex101.htm" TargetMode="External"/><Relationship Id="rId457" Type="http://schemas.openxmlformats.org/officeDocument/2006/relationships/hyperlink" Target="https://www.sec.gov/Archives/edgar/data/1286681/000119312521121940/d174181dex102.htm" TargetMode="External"/><Relationship Id="rId458" Type="http://schemas.openxmlformats.org/officeDocument/2006/relationships/hyperlink" Target="https://www.sec.gov/Archives/edgar/data/1286681/000095017022002426/dpz-ex10_79.htm" TargetMode="External"/><Relationship Id="rId459" Type="http://schemas.openxmlformats.org/officeDocument/2006/relationships/hyperlink" Target="https://www.sec.gov/Archives/edgar/data/1286681/000119312522246362/d394498dex102.htm" TargetMode="External"/><Relationship Id="rId460" Type="http://schemas.openxmlformats.org/officeDocument/2006/relationships/hyperlink" Target="https://www.sec.gov/Archives/edgar/data/1286681/000119312515350900/d51248dex104.htm" TargetMode="External"/><Relationship Id="rId461" Type="http://schemas.openxmlformats.org/officeDocument/2006/relationships/hyperlink" Target="https://www.sec.gov/Archives/edgar/data/1286681/000119312515350900/d51248dex105.htm" TargetMode="External"/><Relationship Id="rId462" Type="http://schemas.openxmlformats.org/officeDocument/2006/relationships/hyperlink" Target="https://www.sec.gov/Archives/edgar/data/1286681/000119312521121940/d174181dex103.htm" TargetMode="External"/><Relationship Id="rId463" Type="http://schemas.openxmlformats.org/officeDocument/2006/relationships/hyperlink" Target="https://www.sec.gov/Archives/edgar/data/1286681/000119312517373784/d513737dex101.htm" TargetMode="External"/><Relationship Id="rId466" Type="http://schemas.openxmlformats.org/officeDocument/2006/relationships/hyperlink" Target="https://www.sec.gov/Archives/edgar/data/1286681/000095017024019725/dpz-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2025-02-24T05:20:05Z</dcterms:created>
  <dcterms:modified xsi:type="dcterms:W3CDTF">2025-02-24T05:20:05Z</dcterms:modified>
</cp:coreProperties>
</file>