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0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9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6, 2020</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0"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6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r>
      <w:tr>
        <w:trPr>
          <w:trHeight w:val="453"/>
        </w:trPr>
        <w:tc>
          <w:tcPr>
            <w:tcW w:w="440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Domino’s Pizza,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5940" w:type="dxa"/>
            <w:vAlign w:val="bottom"/>
          </w:tcPr>
          <w:p>
            <w:pPr>
              <w:jc w:val="center"/>
              <w:ind w:right="33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38-2511577</w:t>
            </w:r>
          </w:p>
        </w:tc>
      </w:tr>
      <w:tr>
        <w:trPr>
          <w:trHeight w:val="149"/>
        </w:trPr>
        <w:tc>
          <w:tcPr>
            <w:tcW w:w="5940" w:type="dxa"/>
            <w:vAlign w:val="bottom"/>
          </w:tcPr>
          <w:p>
            <w:pPr>
              <w:jc w:val="center"/>
              <w:ind w:right="33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20" w:type="dxa"/>
            <w:vAlign w:val="bottom"/>
          </w:tcPr>
          <w:p>
            <w:pPr>
              <w:jc w:val="center"/>
              <w:ind w:left="2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40" w:type="dxa"/>
            <w:vAlign w:val="bottom"/>
          </w:tcPr>
          <w:p>
            <w:pPr>
              <w:jc w:val="center"/>
              <w:ind w:right="33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2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5940" w:type="dxa"/>
            <w:vAlign w:val="bottom"/>
          </w:tcPr>
          <w:p>
            <w:pPr>
              <w:jc w:val="center"/>
              <w:ind w:right="3379"/>
              <w:spacing w:after="0"/>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1420" w:type="dxa"/>
            <w:vAlign w:val="bottom"/>
          </w:tcPr>
          <w:p>
            <w:pPr>
              <w:spacing w:after="0"/>
              <w:rPr>
                <w:sz w:val="24"/>
                <w:szCs w:val="24"/>
                <w:color w:val="auto"/>
              </w:rPr>
            </w:pPr>
          </w:p>
        </w:tc>
      </w:tr>
      <w:tr>
        <w:trPr>
          <w:trHeight w:val="227"/>
        </w:trPr>
        <w:tc>
          <w:tcPr>
            <w:tcW w:w="5940" w:type="dxa"/>
            <w:vAlign w:val="bottom"/>
          </w:tcPr>
          <w:p>
            <w:pPr>
              <w:jc w:val="center"/>
              <w:ind w:right="3399"/>
              <w:spacing w:after="0"/>
              <w:rPr>
                <w:sz w:val="20"/>
                <w:szCs w:val="20"/>
                <w:color w:val="auto"/>
              </w:rPr>
            </w:pPr>
            <w:r>
              <w:rPr>
                <w:rFonts w:ascii="Times New Roman" w:cs="Times New Roman" w:eastAsia="Times New Roman" w:hAnsi="Times New Roman"/>
                <w:sz w:val="18"/>
                <w:szCs w:val="18"/>
                <w:b w:val="1"/>
                <w:bCs w:val="1"/>
                <w:color w:val="auto"/>
                <w:w w:val="99"/>
              </w:rPr>
              <w:t>Ann Arbor, Michigan</w:t>
            </w:r>
          </w:p>
        </w:tc>
        <w:tc>
          <w:tcPr>
            <w:tcW w:w="14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90"/>
        </w:trPr>
        <w:tc>
          <w:tcPr>
            <w:tcW w:w="5940" w:type="dxa"/>
            <w:vAlign w:val="bottom"/>
          </w:tcPr>
          <w:p>
            <w:pPr>
              <w:jc w:val="center"/>
              <w:ind w:right="33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2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5940" w:type="dxa"/>
            <w:vAlign w:val="bottom"/>
          </w:tcPr>
          <w:p>
            <w:pPr>
              <w:jc w:val="right"/>
              <w:ind w:right="1339"/>
              <w:spacing w:after="0"/>
              <w:rPr>
                <w:sz w:val="20"/>
                <w:szCs w:val="20"/>
                <w:color w:val="auto"/>
              </w:rPr>
            </w:pPr>
            <w:r>
              <w:rPr>
                <w:rFonts w:ascii="Times New Roman" w:cs="Times New Roman" w:eastAsia="Times New Roman" w:hAnsi="Times New Roman"/>
                <w:sz w:val="18"/>
                <w:szCs w:val="18"/>
                <w:b w:val="1"/>
                <w:bCs w:val="1"/>
                <w:color w:val="auto"/>
              </w:rPr>
              <w:t>(734) 930-3030</w:t>
            </w:r>
          </w:p>
        </w:tc>
        <w:tc>
          <w:tcPr>
            <w:tcW w:w="1420" w:type="dxa"/>
            <w:vAlign w:val="bottom"/>
          </w:tcPr>
          <w:p>
            <w:pPr>
              <w:spacing w:after="0"/>
              <w:rPr>
                <w:sz w:val="24"/>
                <w:szCs w:val="24"/>
                <w:color w:val="auto"/>
              </w:rPr>
            </w:pPr>
          </w:p>
        </w:tc>
      </w:tr>
      <w:tr>
        <w:trPr>
          <w:trHeight w:val="190"/>
        </w:trPr>
        <w:tc>
          <w:tcPr>
            <w:tcW w:w="5940" w:type="dxa"/>
            <w:vAlign w:val="bottom"/>
          </w:tcPr>
          <w:p>
            <w:pPr>
              <w:jc w:val="center"/>
              <w:ind w:left="18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212090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Exchange Act:</w:t>
      </w:r>
    </w:p>
    <w:p>
      <w:pPr>
        <w:spacing w:after="0" w:line="237"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4"/>
        </w:trPr>
        <w:tc>
          <w:tcPr>
            <w:tcW w:w="3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Domino’s Pizza, Inc. Common Stock, $0.01 par</w:t>
            </w:r>
          </w:p>
        </w:tc>
        <w:tc>
          <w:tcPr>
            <w:tcW w:w="120" w:type="dxa"/>
            <w:vAlign w:val="bottom"/>
          </w:tcPr>
          <w:p>
            <w:pPr>
              <w:spacing w:after="0"/>
              <w:rPr>
                <w:sz w:val="16"/>
                <w:szCs w:val="16"/>
                <w:color w:val="auto"/>
              </w:rPr>
            </w:pPr>
          </w:p>
        </w:tc>
        <w:tc>
          <w:tcPr>
            <w:tcW w:w="35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DPZ</w:t>
            </w:r>
          </w:p>
        </w:tc>
        <w:tc>
          <w:tcPr>
            <w:tcW w:w="100" w:type="dxa"/>
            <w:vAlign w:val="bottom"/>
          </w:tcPr>
          <w:p>
            <w:pPr>
              <w:spacing w:after="0"/>
              <w:rPr>
                <w:sz w:val="16"/>
                <w:szCs w:val="16"/>
                <w:color w:val="auto"/>
              </w:rPr>
            </w:pPr>
          </w:p>
        </w:tc>
        <w:tc>
          <w:tcPr>
            <w:tcW w:w="35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3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registrant (1) has filed all reports required to be filed by Section 13 or 15(d) of the Securities Exchange Act of</w:t>
      </w:r>
    </w:p>
    <w:p>
      <w:pPr>
        <w:spacing w:after="0" w:line="27" w:lineRule="exact"/>
        <w:rPr>
          <w:sz w:val="24"/>
          <w:szCs w:val="24"/>
          <w:color w:val="auto"/>
        </w:rPr>
      </w:pPr>
    </w:p>
    <w:p>
      <w:pPr>
        <w:ind w:left="120" w:right="28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left="120" w:right="22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140"/>
          </w:cols>
          <w:pgMar w:left="320" w:top="239" w:right="439" w:bottom="89" w:gutter="0" w:footer="0" w:header="0"/>
        </w:sectPr>
      </w:pPr>
    </w:p>
    <w:bookmarkStart w:id="1" w:name="page2"/>
    <w:bookmarkEnd w:id="1"/>
    <w:p>
      <w:pPr>
        <w:ind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760" w:val="left"/>
          <w:tab w:leader="none" w:pos="94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October 1, 2020, Domino’s Pizza, Inc. had 39,399,906 shares of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60"/>
          </w:cols>
          <w:pgMar w:left="440" w:top="121" w:right="5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8"/>
            <w:vMerge w:val="restart"/>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FINANCIAL INFORMATION</w:t>
              </w:r>
            </w:hyperlink>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09"/>
        </w:trPr>
        <w:tc>
          <w:tcPr>
            <w:tcW w:w="960" w:type="dxa"/>
            <w:vAlign w:val="bottom"/>
            <w:vMerge w:val="continue"/>
          </w:tcPr>
          <w:p>
            <w:pPr>
              <w:spacing w:after="0"/>
              <w:rPr>
                <w:sz w:val="18"/>
                <w:szCs w:val="18"/>
                <w:color w:val="auto"/>
              </w:rPr>
            </w:pPr>
          </w:p>
        </w:tc>
        <w:tc>
          <w:tcPr>
            <w:tcW w:w="9440" w:type="dxa"/>
            <w:vAlign w:val="bottom"/>
            <w:gridSpan w:val="8"/>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Financial Statements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Balance Sheets (Unaudited) – As of September 6, 2020 and December 29, 2019</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3"/>
        </w:trPr>
        <w:tc>
          <w:tcPr>
            <w:tcW w:w="96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Income (Unaudited) – Fiscal quarters and three fiscal quarters ended September 6, 2020</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0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and September 8, 2019</w:t>
              </w:r>
            </w:hyperlink>
          </w:p>
        </w:tc>
        <w:tc>
          <w:tcPr>
            <w:tcW w:w="2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Comprehensive Income (Unaudited) – Fiscal quarters and three fiscal quarters ended</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September 6, 2020 and September 8, 2019</w:t>
              </w:r>
            </w:hyperlink>
          </w:p>
        </w:tc>
        <w:tc>
          <w:tcPr>
            <w:tcW w:w="46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4"/>
                <w:szCs w:val="24"/>
                <w:color w:val="auto"/>
              </w:rPr>
            </w:pPr>
          </w:p>
        </w:tc>
        <w:tc>
          <w:tcPr>
            <w:tcW w:w="84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Cash Flows (Unaudited) – Three fiscal quarters ended September 6, 2020 and</w:t>
              </w:r>
            </w:hyperlink>
          </w:p>
        </w:tc>
        <w:tc>
          <w:tcPr>
            <w:tcW w:w="96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gridSpan w:val="7"/>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September 8, 2019</w:t>
              </w:r>
            </w:hyperlink>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9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6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Condensed Consolidated Financial Statements (Unaudited)</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40" w:type="dxa"/>
            <w:vAlign w:val="bottom"/>
            <w:gridSpan w:val="8"/>
          </w:tcPr>
          <w:p>
            <w:pPr>
              <w:spacing w:after="0"/>
              <w:rPr>
                <w:rFonts w:ascii="Times New Roman" w:cs="Times New Roman" w:eastAsia="Times New Roman" w:hAnsi="Times New Roman"/>
                <w:sz w:val="18"/>
                <w:szCs w:val="18"/>
                <w:b w:val="1"/>
                <w:bCs w:val="1"/>
                <w:u w:val="single" w:color="auto"/>
                <w:color w:val="0000EE"/>
              </w:rPr>
            </w:pPr>
            <w:hyperlink w:anchor="page26">
              <w:r>
                <w:rPr>
                  <w:rFonts w:ascii="Times New Roman" w:cs="Times New Roman" w:eastAsia="Times New Roman" w:hAnsi="Times New Roman"/>
                  <w:sz w:val="18"/>
                  <w:szCs w:val="18"/>
                  <w:b w:val="1"/>
                  <w:bCs w:val="1"/>
                  <w:u w:val="single" w:color="auto"/>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Defaults Upon Senior Securities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Mine Safety Disclosures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Other Information</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Exhibits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10400" w:type="dxa"/>
            <w:vAlign w:val="bottom"/>
            <w:gridSpan w:val="9"/>
          </w:tcPr>
          <w:p>
            <w:pPr>
              <w:spacing w:after="0"/>
              <w:rPr>
                <w:rFonts w:ascii="Times New Roman" w:cs="Times New Roman" w:eastAsia="Times New Roman" w:hAnsi="Times New Roman"/>
                <w:sz w:val="18"/>
                <w:szCs w:val="18"/>
                <w:b w:val="1"/>
                <w:bCs w:val="1"/>
                <w:u w:val="single" w:color="auto"/>
                <w:color w:val="0000EE"/>
              </w:rPr>
            </w:pPr>
            <w:hyperlink w:anchor="page28">
              <w:r>
                <w:rPr>
                  <w:rFonts w:ascii="Times New Roman" w:cs="Times New Roman" w:eastAsia="Times New Roman" w:hAnsi="Times New Roman"/>
                  <w:sz w:val="18"/>
                  <w:szCs w:val="18"/>
                  <w:b w:val="1"/>
                  <w:bCs w:val="1"/>
                  <w:u w:val="single" w:color="auto"/>
                  <w:color w:val="0000EE"/>
                </w:rPr>
                <w:t>SIGNATURES</w:t>
              </w:r>
            </w:hyperlink>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8480" w:type="dxa"/>
            <w:vAlign w:val="bottom"/>
            <w:gridSpan w:val="5"/>
          </w:tcPr>
          <w:p>
            <w:pPr>
              <w:ind w:left="450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6, 2020</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 2019 (1)</w:t>
            </w:r>
          </w:p>
        </w:tc>
        <w:tc>
          <w:tcPr>
            <w:tcW w:w="0" w:type="dxa"/>
            <w:vAlign w:val="bottom"/>
          </w:tcPr>
          <w:p>
            <w:pPr>
              <w:spacing w:after="0"/>
              <w:rPr>
                <w:sz w:val="1"/>
                <w:szCs w:val="1"/>
                <w:color w:val="auto"/>
              </w:rPr>
            </w:pPr>
          </w:p>
        </w:tc>
      </w:tr>
      <w:tr>
        <w:trPr>
          <w:trHeight w:val="196"/>
        </w:trPr>
        <w:tc>
          <w:tcPr>
            <w:tcW w:w="7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330,719</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190,615</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160,330</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209,269</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229,403</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210,260</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5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65,499</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52,955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26,288</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19,129</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Advertising fund assets, restricted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144,282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105,389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956,521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787,617</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 and buildings</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65,581</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44,845</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181,556</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164,071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274,337</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243,708</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w:t>
            </w:r>
          </w:p>
        </w:tc>
        <w:tc>
          <w:tcPr>
            <w:tcW w:w="5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42,705</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536,258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495,329</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tcPr>
          <w:p>
            <w:pPr>
              <w:spacing w:after="0"/>
              <w:rPr>
                <w:sz w:val="18"/>
                <w:szCs w:val="18"/>
                <w:color w:val="auto"/>
              </w:rPr>
            </w:pP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(273,994)</w:t>
            </w:r>
          </w:p>
        </w:tc>
        <w:tc>
          <w:tcPr>
            <w:tcW w:w="3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(252,448)</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262,264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242,881</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229,653</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228,785</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5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15,061</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15,093</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78,632</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73,140</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15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72,787</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24,503</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6,030</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10,073</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402,163</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1,620,948</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1,382,092</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43,662</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43,394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88,188</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111,101</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5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36,508</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33,318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reserves</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23,816</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23,735</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tcPr>
          <w:p>
            <w:pPr>
              <w:spacing w:after="0"/>
              <w:rPr>
                <w:sz w:val="18"/>
                <w:szCs w:val="18"/>
                <w:color w:val="auto"/>
              </w:rPr>
            </w:pPr>
          </w:p>
        </w:tc>
        <w:tc>
          <w:tcPr>
            <w:tcW w:w="15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31,258</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 fund liabilities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138,348</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101,921</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139,891</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488,525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453,831</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4,062,175</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4,071,055</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201,981</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202,731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reserves</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37,428</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34,675</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42,370</w:t>
            </w:r>
          </w:p>
        </w:tc>
        <w:tc>
          <w:tcPr>
            <w:tcW w:w="5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35,559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4,343,954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4,344,020</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394</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5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34,124</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deficit</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(3,242,627)</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(3,412,649)</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15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(3,422)</w:t>
            </w:r>
          </w:p>
        </w:tc>
        <w:tc>
          <w:tcPr>
            <w:tcW w:w="3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(3,742)</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(3,211,531)</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(3,415,759)</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1,620,948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180" w:hanging="4"/>
        <w:spacing w:after="0" w:line="282" w:lineRule="auto"/>
        <w:tabs>
          <w:tab w:leader="none" w:pos="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sheet at December 29, 2019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ectPr>
          <w:pgSz w:w="11900" w:h="16838" w:orient="portrait"/>
          <w:cols w:equalWidth="0" w:num="1">
            <w:col w:w="11140"/>
          </w:cols>
          <w:pgMar w:left="320" w:top="482"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140"/>
          </w:cols>
          <w:pgMar w:left="320" w:top="482" w:right="43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17"/>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158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6,</w:t>
            </w:r>
          </w:p>
        </w:tc>
        <w:tc>
          <w:tcPr>
            <w:tcW w:w="8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6,</w:t>
            </w: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80" w:type="dxa"/>
            <w:vAlign w:val="bottom"/>
            <w:tcBorders>
              <w:bottom w:val="single" w:sz="8" w:color="CCEEFF"/>
            </w:tcBorders>
            <w:vMerge w:val="continue"/>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Company-owned stores</w:t>
            </w:r>
          </w:p>
        </w:tc>
        <w:tc>
          <w:tcPr>
            <w:tcW w:w="17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113,254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94,575</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329,820</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323,026</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118,054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335,898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289,349</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Supply chain</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573,661</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485,110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1,625,502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1,424,787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54,602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160,202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164,145</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108,148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309,422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267,115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967,719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2,760,844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2,468,422</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Company-owned stores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90,788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258,007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247,516</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Supply chain</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514,950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1,443,608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1,265,695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605,738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1,701,615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1,513,211</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361,981</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316,251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1,059,229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955,211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91,652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268,209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262,640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advertising</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108,148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309,422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267,115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162,181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481,598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425,456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(38,605)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(117,802)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(102,672)</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123,773</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24,644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26,166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53,985</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99,129</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339,399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 basic</w:t>
            </w:r>
          </w:p>
        </w:tc>
        <w:tc>
          <w:tcPr>
            <w:tcW w:w="17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8.70</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 diluted</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00" w:type="dxa"/>
            <w:vAlign w:val="bottom"/>
          </w:tcPr>
          <w:p>
            <w:pPr>
              <w:spacing w:after="0"/>
              <w:rPr>
                <w:sz w:val="15"/>
                <w:szCs w:val="15"/>
                <w:color w:val="auto"/>
              </w:rPr>
            </w:pPr>
          </w:p>
        </w:tc>
        <w:tc>
          <w:tcPr>
            <w:tcW w:w="1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17"/>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6,</w:t>
            </w:r>
          </w:p>
        </w:tc>
        <w:tc>
          <w:tcPr>
            <w:tcW w:w="8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34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6,</w:t>
            </w:r>
          </w:p>
        </w:tc>
        <w:tc>
          <w:tcPr>
            <w:tcW w:w="8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77"/>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75"/>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7"/>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75"/>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99,129</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86,373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339,399</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271,382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100,242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86,643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339,719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271,873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17"/>
        </w:trPr>
        <w:tc>
          <w:tcPr>
            <w:tcW w:w="8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4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6,</w:t>
            </w:r>
          </w:p>
        </w:tc>
        <w:tc>
          <w:tcPr>
            <w:tcW w:w="8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6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339,399</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271,382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44,116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40,982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16"/>
        </w:trPr>
        <w:tc>
          <w:tcPr>
            <w:tcW w:w="8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3,288</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16"/>
        </w:trPr>
        <w:tc>
          <w:tcPr>
            <w:tcW w:w="8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13,269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Excess tax benefits from equity-based compensation</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(56,862)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(19,670)</w:t>
            </w:r>
          </w:p>
        </w:tc>
        <w:tc>
          <w:tcPr>
            <w:tcW w:w="0" w:type="dxa"/>
            <w:vAlign w:val="bottom"/>
          </w:tcPr>
          <w:p>
            <w:pPr>
              <w:spacing w:after="0"/>
              <w:rPr>
                <w:sz w:val="1"/>
                <w:szCs w:val="1"/>
                <w:color w:val="auto"/>
              </w:rPr>
            </w:pPr>
          </w:p>
        </w:tc>
      </w:tr>
      <w:tr>
        <w:trPr>
          <w:trHeight w:val="216"/>
        </w:trPr>
        <w:tc>
          <w:tcPr>
            <w:tcW w:w="8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 for losses on accounts and notes receivable</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(14,146)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16,214</w:t>
            </w:r>
          </w:p>
        </w:tc>
        <w:tc>
          <w:tcPr>
            <w:tcW w:w="0" w:type="dxa"/>
            <w:vAlign w:val="bottom"/>
          </w:tcPr>
          <w:p>
            <w:pPr>
              <w:spacing w:after="0"/>
              <w:rPr>
                <w:sz w:val="1"/>
                <w:szCs w:val="1"/>
                <w:color w:val="auto"/>
              </w:rPr>
            </w:pPr>
          </w:p>
        </w:tc>
      </w:tr>
      <w:tr>
        <w:trPr>
          <w:trHeight w:val="216"/>
        </w:trPr>
        <w:tc>
          <w:tcPr>
            <w:tcW w:w="8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advertising fund assets and liabilities, restricted</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(6,411)</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370,399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324,596</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(51,163)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(42,676)</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investments (Note 9)</w:t>
            </w: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9,738</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Maturities of advertising fund investments, restricted</w:t>
            </w:r>
          </w:p>
        </w:tc>
        <w:tc>
          <w:tcPr>
            <w:tcW w:w="120" w:type="dxa"/>
            <w:vAlign w:val="bottom"/>
          </w:tcPr>
          <w:p>
            <w:pPr>
              <w:spacing w:after="0"/>
              <w:rPr>
                <w:sz w:val="18"/>
                <w:szCs w:val="18"/>
                <w:color w:val="auto"/>
              </w:rPr>
            </w:pPr>
          </w:p>
        </w:tc>
        <w:tc>
          <w:tcPr>
            <w:tcW w:w="11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30,152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(91,069)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158,000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long-term debt and finance lease obligations</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(190,843)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(91,860)</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26,526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(79,590)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(105,149)</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(6,584)</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(5,820)</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common stock dividends and equivalents</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(61,093)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(53,598)</w:t>
            </w:r>
          </w:p>
        </w:tc>
        <w:tc>
          <w:tcPr>
            <w:tcW w:w="0" w:type="dxa"/>
            <w:vAlign w:val="bottom"/>
          </w:tcPr>
          <w:p>
            <w:pPr>
              <w:spacing w:after="0"/>
              <w:rPr>
                <w:sz w:val="1"/>
                <w:szCs w:val="1"/>
                <w:color w:val="auto"/>
              </w:rPr>
            </w:pP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(153,584)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(246,305)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125,989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190,615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25,438</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 beginning of period</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209,269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166,993</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included in advertising fund assets, restricted, beginning of period</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84,040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44,988</w:t>
            </w:r>
          </w:p>
        </w:tc>
        <w:tc>
          <w:tcPr>
            <w:tcW w:w="0" w:type="dxa"/>
            <w:vAlign w:val="bottom"/>
          </w:tcPr>
          <w:p>
            <w:pPr>
              <w:spacing w:after="0"/>
              <w:rPr>
                <w:sz w:val="1"/>
                <w:szCs w:val="1"/>
                <w:color w:val="auto"/>
              </w:rPr>
            </w:pPr>
          </w:p>
        </w:tc>
      </w:tr>
      <w:tr>
        <w:trPr>
          <w:trHeight w:val="205"/>
        </w:trPr>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 cash equivalents included in advertising</w:t>
            </w: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 assets, restricted, beginning of period</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483,924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237,419</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330,719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66,706</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 end of period</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160,330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177,292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included in advertising fund assets, restricted, end of period</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118,864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68,714</w:t>
            </w:r>
          </w:p>
        </w:tc>
        <w:tc>
          <w:tcPr>
            <w:tcW w:w="0" w:type="dxa"/>
            <w:vAlign w:val="bottom"/>
          </w:tcPr>
          <w:p>
            <w:pPr>
              <w:spacing w:after="0"/>
              <w:rPr>
                <w:sz w:val="1"/>
                <w:szCs w:val="1"/>
                <w:color w:val="auto"/>
              </w:rPr>
            </w:pPr>
          </w:p>
        </w:tc>
      </w:tr>
      <w:tr>
        <w:trPr>
          <w:trHeight w:val="205"/>
        </w:trPr>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 cash equivalents included in advertising</w:t>
            </w: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 assets, restricted, end of period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609,913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312,712</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tabular amounts in thousands, except percentages, share and per share amounts)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September 6, 2020</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Basis of Presentation and Updates to Significant Accounting Policies</w:t>
      </w:r>
    </w:p>
    <w:p>
      <w:pPr>
        <w:spacing w:after="0" w:line="225" w:lineRule="exact"/>
        <w:rPr>
          <w:sz w:val="20"/>
          <w:szCs w:val="20"/>
          <w:color w:val="auto"/>
        </w:rPr>
      </w:pPr>
    </w:p>
    <w:p>
      <w:pPr>
        <w:jc w:val="both"/>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December 29, 2019 included in the Company’s 2019 Annual Report on Form 10-K, filed with the Securities and Exchange Commission on February 20, 2020 (the “2019 Form 10-K”).</w:t>
      </w:r>
    </w:p>
    <w:p>
      <w:pPr>
        <w:spacing w:after="0" w:line="16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items, considered necessary for a fair statement have been included. Operating results for the fiscal quarter ended September 6, 2020 are not necessarily indicative of the results that may be expected for the fiscal year ending January 3,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Updates to Significant Accounting Policies</w:t>
      </w:r>
    </w:p>
    <w:p>
      <w:pPr>
        <w:spacing w:after="0" w:line="11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Accounting Standards Codification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(“ASC 326”) in the first quarter of 2020. As a result, the Company updated its significant accounting policies for the measurement of credit losses below. Refer to Note 10 for information related to the impact of the adoption of ASC 326 on the Company’s condensed consolidated financial statements.</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Allowances for Credit Losses</w:t>
      </w:r>
    </w:p>
    <w:p>
      <w:pPr>
        <w:spacing w:after="0" w:line="119" w:lineRule="exact"/>
        <w:rPr>
          <w:sz w:val="20"/>
          <w:szCs w:val="20"/>
          <w:color w:val="auto"/>
        </w:rPr>
      </w:pPr>
    </w:p>
    <w:p>
      <w:pPr>
        <w:ind w:left="560" w:right="280" w:firstLine="423"/>
        <w:spacing w:after="0" w:line="266" w:lineRule="auto"/>
        <w:rPr>
          <w:sz w:val="20"/>
          <w:szCs w:val="20"/>
          <w:color w:val="auto"/>
        </w:rPr>
      </w:pPr>
      <w:r>
        <w:rPr>
          <w:rFonts w:ascii="Times New Roman" w:cs="Times New Roman" w:eastAsia="Times New Roman" w:hAnsi="Times New Roman"/>
          <w:sz w:val="18"/>
          <w:szCs w:val="18"/>
          <w:color w:val="auto"/>
        </w:rPr>
        <w:t>The Company closely monitors accounts and notes receivable balances and estimates the allowance for credit losses. These estimates are based on historical collection experience and other factors, including those related to current market conditions and events. The Company’s allowances for accounts and notes receivable have not historically been material.</w:t>
      </w:r>
    </w:p>
    <w:p>
      <w:pPr>
        <w:spacing w:after="0" w:line="68" w:lineRule="exact"/>
        <w:rPr>
          <w:sz w:val="20"/>
          <w:szCs w:val="20"/>
          <w:color w:val="auto"/>
        </w:rPr>
      </w:pPr>
    </w:p>
    <w:p>
      <w:pPr>
        <w:jc w:val="both"/>
        <w:ind w:left="560" w:right="420" w:firstLine="423"/>
        <w:spacing w:after="0" w:line="266" w:lineRule="auto"/>
        <w:rPr>
          <w:sz w:val="20"/>
          <w:szCs w:val="20"/>
          <w:color w:val="auto"/>
        </w:rPr>
      </w:pPr>
      <w:r>
        <w:rPr>
          <w:rFonts w:ascii="Times New Roman" w:cs="Times New Roman" w:eastAsia="Times New Roman" w:hAnsi="Times New Roman"/>
          <w:sz w:val="18"/>
          <w:szCs w:val="18"/>
          <w:color w:val="auto"/>
        </w:rPr>
        <w:t>The Company also monitors its off-balance sheet exposures under its letters of credit, surety bonds and lease guarantees. None of these arrangements has had or is likely to have a material effect on the Company’s results of operations, financial condition, revenues, expenses or liquidity.</w:t>
      </w:r>
    </w:p>
    <w:p>
      <w:pPr>
        <w:spacing w:after="0" w:line="176"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During the second quarter of 2020, a subsidiary of the Company acquired a non-controlling interest in Dash Brands Ltd., a privately-held business company limited by shares incorporated with limited liability under the laws of the British Virgin Islands (“Dash Brands”), for $40.0 million. Through its subsidiaries, Dash Brands serves as the Company’s master franchisee in China that owns and operates Domino’s Pizza stores in that market. As a result of the investment, the Company’s significant accounting policy related to equity investments without readily determinable fair values is stated below. Refer to Note 9 for information related to this investment and its impact on the Company’s condensed consolidated financial statements.</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Equity investments without readily determinable fair values</w:t>
      </w:r>
    </w:p>
    <w:p>
      <w:pPr>
        <w:spacing w:after="0" w:line="119"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Equity investments without readily determinable fair values are recorded at cost with adjustments for observable changes in prices resulting from orderly transactions for the identical or a similar investment of the same issuer or impairments and are classified as long-term other assets in the Company’s condensed consolidated balance sheet. Any adjustments to the carrying amount are recognized in other income (expense), net in the Company’s condensed consolidated statement of income.</w:t>
      </w:r>
    </w:p>
    <w:p>
      <w:pPr>
        <w:spacing w:after="0" w:line="72" w:lineRule="exact"/>
        <w:rPr>
          <w:sz w:val="20"/>
          <w:szCs w:val="20"/>
          <w:color w:val="auto"/>
        </w:rPr>
      </w:pPr>
    </w:p>
    <w:p>
      <w:pPr>
        <w:ind w:left="560" w:right="100" w:firstLine="423"/>
        <w:spacing w:after="0" w:line="289" w:lineRule="auto"/>
        <w:rPr>
          <w:sz w:val="20"/>
          <w:szCs w:val="20"/>
          <w:color w:val="auto"/>
        </w:rPr>
      </w:pPr>
      <w:r>
        <w:rPr>
          <w:rFonts w:ascii="Times New Roman" w:cs="Times New Roman" w:eastAsia="Times New Roman" w:hAnsi="Times New Roman"/>
          <w:sz w:val="17"/>
          <w:szCs w:val="17"/>
          <w:color w:val="auto"/>
        </w:rPr>
        <w:t>The Company evaluates the potential impairment of its investments based on various analyses including financial results and operating trends, implied values from recent similar transactions and other relevant available information. If the carrying amount of the investment exceeds the estimated fair value of the investment, an impairment loss is recognized, and the investment is written down to its estimated fair value.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Segment Information</w:t>
      </w:r>
    </w:p>
    <w:p>
      <w:pPr>
        <w:spacing w:after="0" w:line="11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revenues, income from operations and earnings before interest, taxes, depreciation, amortization and other, which is the measure by which the Company allocates resources to its segments and which the Company refers to as Segment Income, for each of its reportable segments.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gridSpan w:val="23"/>
          </w:tcPr>
          <w:p>
            <w:pPr>
              <w:ind w:left="120"/>
              <w:spacing w:after="0"/>
              <w:rPr>
                <w:sz w:val="20"/>
                <w:szCs w:val="20"/>
                <w:color w:val="auto"/>
              </w:rPr>
            </w:pPr>
            <w:r>
              <w:rPr>
                <w:rFonts w:ascii="Times New Roman" w:cs="Times New Roman" w:eastAsia="Times New Roman" w:hAnsi="Times New Roman"/>
                <w:sz w:val="14"/>
                <w:szCs w:val="14"/>
                <w:b w:val="1"/>
                <w:bCs w:val="1"/>
                <w:color w:val="auto"/>
              </w:rPr>
              <w:t>Fiscal Quarters Ended September 6, 2020 and September 8, 2019</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center"/>
              <w:ind w:left="71"/>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4"/>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Intersegment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gridSpan w:val="2"/>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Chain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2020</w:t>
            </w:r>
          </w:p>
        </w:tc>
        <w:tc>
          <w:tcPr>
            <w:tcW w:w="264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$339,456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5"/>
              </w:rPr>
              <w:t>605,481</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54,602</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(31,820)</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$967,719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rPr>
              <w:t>2019</w:t>
            </w:r>
          </w:p>
        </w:tc>
        <w:tc>
          <w:tcPr>
            <w:tcW w:w="264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281,116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511,709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54,586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820,812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rPr>
              <w:t>2020</w:t>
            </w:r>
          </w:p>
        </w:tc>
        <w:tc>
          <w:tcPr>
            <w:tcW w:w="264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$ 98,743</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46,356</w:t>
            </w: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44,420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$(27,338)</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$162,181</w:t>
            </w:r>
          </w:p>
        </w:tc>
        <w:tc>
          <w:tcPr>
            <w:tcW w:w="0" w:type="dxa"/>
            <w:vAlign w:val="bottom"/>
          </w:tcPr>
          <w:p>
            <w:pPr>
              <w:spacing w:after="0"/>
              <w:rPr>
                <w:sz w:val="1"/>
                <w:szCs w:val="1"/>
                <w:color w:val="auto"/>
              </w:rPr>
            </w:pPr>
          </w:p>
        </w:tc>
      </w:tr>
      <w:tr>
        <w:trPr>
          <w:trHeight w:val="216"/>
        </w:trPr>
        <w:tc>
          <w:tcPr>
            <w:tcW w:w="332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2019</w:t>
            </w:r>
          </w:p>
        </w:tc>
        <w:tc>
          <w:tcPr>
            <w:tcW w:w="264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80,188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40,513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42,281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7"/>
              </w:rPr>
              <w:t>(19,953)</w:t>
            </w: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143,029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2020</w:t>
            </w:r>
          </w:p>
        </w:tc>
        <w:tc>
          <w:tcPr>
            <w:tcW w:w="264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$101,513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51,114</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44,461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$(13,689)</w:t>
            </w: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$183,399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rPr>
              <w:t>2019</w:t>
            </w:r>
          </w:p>
        </w:tc>
        <w:tc>
          <w:tcPr>
            <w:tcW w:w="264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82,556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42,337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161,153</w:t>
            </w:r>
          </w:p>
        </w:tc>
        <w:tc>
          <w:tcPr>
            <w:tcW w:w="0" w:type="dxa"/>
            <w:vAlign w:val="bottom"/>
          </w:tcPr>
          <w:p>
            <w:pPr>
              <w:spacing w:after="0"/>
              <w:rPr>
                <w:sz w:val="1"/>
                <w:szCs w:val="1"/>
                <w:color w:val="auto"/>
              </w:rPr>
            </w:pPr>
          </w:p>
        </w:tc>
      </w:tr>
      <w:tr>
        <w:trPr>
          <w:trHeight w:val="392"/>
        </w:trPr>
        <w:tc>
          <w:tcPr>
            <w:tcW w:w="3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6"/>
          </w:tcPr>
          <w:p>
            <w:pPr>
              <w:jc w:val="right"/>
              <w:spacing w:after="0"/>
              <w:rPr>
                <w:sz w:val="20"/>
                <w:szCs w:val="20"/>
                <w:color w:val="auto"/>
              </w:rPr>
            </w:pPr>
            <w:r>
              <w:rPr>
                <w:rFonts w:ascii="Times New Roman" w:cs="Times New Roman" w:eastAsia="Times New Roman" w:hAnsi="Times New Roman"/>
                <w:sz w:val="14"/>
                <w:szCs w:val="14"/>
                <w:b w:val="1"/>
                <w:bCs w:val="1"/>
                <w:color w:val="auto"/>
              </w:rPr>
              <w:t>Three Fiscal Quarters Ended September 6, 2020 and September 8, 2019</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2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5"/>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60" w:type="dxa"/>
            <w:vAlign w:val="bottom"/>
          </w:tcPr>
          <w:p>
            <w:pPr>
              <w:spacing w:after="0"/>
              <w:rPr>
                <w:sz w:val="10"/>
                <w:szCs w:val="10"/>
                <w:color w:val="auto"/>
              </w:rPr>
            </w:pPr>
          </w:p>
        </w:tc>
        <w:tc>
          <w:tcPr>
            <w:tcW w:w="1020" w:type="dxa"/>
            <w:vAlign w:val="bottom"/>
            <w:gridSpan w:val="5"/>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60" w:type="dxa"/>
            <w:vAlign w:val="bottom"/>
          </w:tcPr>
          <w:p>
            <w:pPr>
              <w:spacing w:after="0"/>
              <w:rPr>
                <w:sz w:val="10"/>
                <w:szCs w:val="10"/>
                <w:color w:val="auto"/>
              </w:rPr>
            </w:pPr>
          </w:p>
        </w:tc>
        <w:tc>
          <w:tcPr>
            <w:tcW w:w="1080" w:type="dxa"/>
            <w:vAlign w:val="bottom"/>
            <w:gridSpan w:val="5"/>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Intersegment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Chain</w:t>
            </w:r>
          </w:p>
        </w:tc>
        <w:tc>
          <w:tcPr>
            <w:tcW w:w="60" w:type="dxa"/>
            <w:vAlign w:val="bottom"/>
          </w:tcPr>
          <w:p>
            <w:pPr>
              <w:spacing w:after="0"/>
              <w:rPr>
                <w:sz w:val="15"/>
                <w:szCs w:val="15"/>
                <w:color w:val="auto"/>
              </w:rPr>
            </w:pPr>
          </w:p>
        </w:tc>
        <w:tc>
          <w:tcPr>
            <w:tcW w:w="10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60" w:type="dxa"/>
            <w:vAlign w:val="bottom"/>
          </w:tcPr>
          <w:p>
            <w:pPr>
              <w:spacing w:after="0"/>
              <w:rPr>
                <w:sz w:val="15"/>
                <w:szCs w:val="15"/>
                <w:color w:val="auto"/>
              </w:rPr>
            </w:pPr>
          </w:p>
        </w:tc>
        <w:tc>
          <w:tcPr>
            <w:tcW w:w="10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2020</w:t>
            </w:r>
          </w:p>
        </w:tc>
        <w:tc>
          <w:tcPr>
            <w:tcW w:w="24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$975,140</w:t>
            </w:r>
          </w:p>
        </w:tc>
        <w:tc>
          <w:tcPr>
            <w:tcW w:w="108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color w:val="auto"/>
              </w:rPr>
              <w:t>$1,717,225</w:t>
            </w:r>
          </w:p>
        </w:tc>
        <w:tc>
          <w:tcPr>
            <w:tcW w:w="6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160,202</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(91,723)</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8"/>
              </w:rPr>
              <w:t>$2,760,844</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rPr>
              <w:t>2019</w:t>
            </w:r>
          </w:p>
        </w:tc>
        <w:tc>
          <w:tcPr>
            <w:tcW w:w="24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879,490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1,513,380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164,145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(88,593)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2,468,422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rPr>
              <w:t>2020</w:t>
            </w:r>
          </w:p>
        </w:tc>
        <w:tc>
          <w:tcPr>
            <w:tcW w:w="24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$284,324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146,193</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124,252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481,598</w:t>
            </w:r>
          </w:p>
        </w:tc>
        <w:tc>
          <w:tcPr>
            <w:tcW w:w="0" w:type="dxa"/>
            <w:vAlign w:val="bottom"/>
          </w:tcPr>
          <w:p>
            <w:pPr>
              <w:spacing w:after="0"/>
              <w:rPr>
                <w:sz w:val="1"/>
                <w:szCs w:val="1"/>
                <w:color w:val="auto"/>
              </w:rPr>
            </w:pPr>
          </w:p>
        </w:tc>
      </w:tr>
      <w:tr>
        <w:trPr>
          <w:trHeight w:val="216"/>
        </w:trPr>
        <w:tc>
          <w:tcPr>
            <w:tcW w:w="332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2019</w:t>
            </w:r>
          </w:p>
        </w:tc>
        <w:tc>
          <w:tcPr>
            <w:tcW w:w="24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237,852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123,840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126,467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(62,703)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425,456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2020</w:t>
            </w:r>
          </w:p>
        </w:tc>
        <w:tc>
          <w:tcPr>
            <w:tcW w:w="24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$292,724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159,455</w:t>
            </w:r>
          </w:p>
        </w:tc>
        <w:tc>
          <w:tcPr>
            <w:tcW w:w="6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124,375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$(34,376)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542,178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rPr>
              <w:t>2019</w:t>
            </w:r>
          </w:p>
        </w:tc>
        <w:tc>
          <w:tcPr>
            <w:tcW w:w="24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248,160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135,861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126,628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482,848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reconciles Total Segment Income to consolidated income before provision for income taxes.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2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Borders>
              <w:top w:val="single" w:sz="8" w:color="auto"/>
            </w:tcBorders>
            <w:gridSpan w:val="5"/>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6,</w:t>
            </w:r>
          </w:p>
        </w:tc>
        <w:tc>
          <w:tcPr>
            <w:tcW w:w="2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6,</w:t>
            </w:r>
          </w:p>
        </w:tc>
        <w:tc>
          <w:tcPr>
            <w:tcW w:w="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5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Income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542,178</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482,848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(15,327)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(13,132)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(44,116)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(40,982)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(4,905)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(14,934)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(13,269)</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143,029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481,598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425,456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1,769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(117,802)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(102,672)</w:t>
            </w:r>
          </w:p>
        </w:tc>
        <w:tc>
          <w:tcPr>
            <w:tcW w:w="0" w:type="dxa"/>
            <w:vAlign w:val="bottom"/>
          </w:tcPr>
          <w:p>
            <w:pPr>
              <w:spacing w:after="0"/>
              <w:rPr>
                <w:sz w:val="1"/>
                <w:szCs w:val="1"/>
                <w:color w:val="auto"/>
              </w:rPr>
            </w:pPr>
          </w:p>
        </w:tc>
      </w:tr>
      <w:tr>
        <w:trPr>
          <w:trHeight w:val="223"/>
        </w:trPr>
        <w:tc>
          <w:tcPr>
            <w:tcW w:w="4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110,245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365,565</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3. Earnings Per Share</w:t>
            </w: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10"/>
          </w:tcPr>
          <w:p>
            <w:pPr>
              <w:ind w:left="28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Borders>
              <w:top w:val="single" w:sz="8" w:color="auto"/>
            </w:tcBorders>
            <w:gridSpan w:val="4"/>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6,</w:t>
            </w:r>
          </w:p>
        </w:tc>
        <w:tc>
          <w:tcPr>
            <w:tcW w:w="4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540" w:type="dxa"/>
            <w:vAlign w:val="bottom"/>
            <w:gridSpan w:val="2"/>
          </w:tcPr>
          <w:p>
            <w:pPr>
              <w:spacing w:after="0"/>
              <w:rPr>
                <w:sz w:val="10"/>
                <w:szCs w:val="10"/>
                <w:color w:val="auto"/>
              </w:rPr>
            </w:pPr>
          </w:p>
        </w:tc>
        <w:tc>
          <w:tcPr>
            <w:tcW w:w="1440" w:type="dxa"/>
            <w:vAlign w:val="bottom"/>
            <w:tcBorders>
              <w:top w:val="single" w:sz="8" w:color="auto"/>
            </w:tcBorders>
            <w:gridSpan w:val="5"/>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6,</w:t>
            </w:r>
          </w:p>
        </w:tc>
        <w:tc>
          <w:tcPr>
            <w:tcW w:w="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5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45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available to common stockholders - basic and</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99,129</w:t>
            </w:r>
          </w:p>
        </w:tc>
        <w:tc>
          <w:tcPr>
            <w:tcW w:w="6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86,373</w:t>
            </w:r>
          </w:p>
        </w:tc>
        <w:tc>
          <w:tcPr>
            <w:tcW w:w="8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339,399</w:t>
            </w:r>
          </w:p>
        </w:tc>
        <w:tc>
          <w:tcPr>
            <w:tcW w:w="3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271,382</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Basic weighted average number of shares</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39,246,231</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40,954,279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38,990,149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40,947,693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6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number of shares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39,791,805</w:t>
            </w:r>
          </w:p>
        </w:tc>
        <w:tc>
          <w:tcPr>
            <w:tcW w:w="184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color w:val="auto"/>
              </w:rPr>
              <w:t>42,040,291</w:t>
            </w:r>
          </w:p>
        </w:tc>
        <w:tc>
          <w:tcPr>
            <w:tcW w:w="80" w:type="dxa"/>
            <w:vAlign w:val="bottom"/>
          </w:tcPr>
          <w:p>
            <w:pPr>
              <w:spacing w:after="0"/>
              <w:rPr>
                <w:sz w:val="18"/>
                <w:szCs w:val="18"/>
                <w:color w:val="auto"/>
              </w:rPr>
            </w:pPr>
          </w:p>
        </w:tc>
        <w:tc>
          <w:tcPr>
            <w:tcW w:w="11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39,724,289</w:t>
            </w:r>
          </w:p>
        </w:tc>
        <w:tc>
          <w:tcPr>
            <w:tcW w:w="320" w:type="dxa"/>
            <w:vAlign w:val="bottom"/>
          </w:tcPr>
          <w:p>
            <w:pPr>
              <w:spacing w:after="0"/>
              <w:rPr>
                <w:sz w:val="18"/>
                <w:szCs w:val="18"/>
                <w:color w:val="auto"/>
              </w:rPr>
            </w:pPr>
          </w:p>
        </w:tc>
        <w:tc>
          <w:tcPr>
            <w:tcW w:w="9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42,158,447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w:t>
            </w:r>
          </w:p>
        </w:tc>
        <w:tc>
          <w:tcPr>
            <w:tcW w:w="6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364"/>
        </w:trPr>
        <w:tc>
          <w:tcPr>
            <w:tcW w:w="4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denominator used in calculating diluted earnings per share for the third quarter and three fiscal quarters of 2020 did not include 52,390 and 53,130 options to purchase common stock, respectively, as the effect of including these options would have been anti-dilutive. The denominators used in calculating diluted earnings per share for the third quarter and three fiscal quarters of 2020 each did not include 118,518 restricted performance shares, as the performance targets for these awards had not yet been met.</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denominators used in calculating diluted earnings per share for the third quarter and three fiscal quarters of 2019 each did not include 161,670 options to purchase common stock, as the effect of including these options would have been anti-dilutive. The denominators used in calculating diluted earnings per share for the third quarter and three fiscal quarters of 2019 each did not include 142,477 restricted performance shares, as the performance targets for these awards had not yet been met.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 Changes in Stockholders’ Deficit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changes in stockholders’ deficit for the third quarter of 2020.</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0"/>
        </w:trPr>
        <w:tc>
          <w:tcPr>
            <w:tcW w:w="5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5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7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980" w:type="dxa"/>
            <w:vAlign w:val="bottom"/>
            <w:gridSpan w:val="2"/>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14, 2020</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39,347,213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$ 32,251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$(3,311,015)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99,129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on common stock and equivalents ($0.78 per share)</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32,676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(12,195)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24,781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1,725</w:t>
            </w:r>
          </w:p>
        </w:tc>
        <w:tc>
          <w:tcPr>
            <w:tcW w:w="20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0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6, 2020</w:t>
            </w: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39,392,475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394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$ 34,124</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(3,242,627</w:t>
            </w:r>
          </w:p>
        </w:tc>
        <w:tc>
          <w:tcPr>
            <w:tcW w:w="100" w:type="dxa"/>
            <w:vAlign w:val="bottom"/>
            <w:vMerge w:val="continue"/>
            <w:shd w:val="clear" w:color="auto" w:fill="CCEEFF"/>
          </w:tcPr>
          <w:p>
            <w:pPr>
              <w:spacing w:after="0"/>
              <w:rPr>
                <w:sz w:val="19"/>
                <w:szCs w:val="19"/>
                <w:color w:val="auto"/>
              </w:rPr>
            </w:pPr>
          </w:p>
        </w:tc>
        <w:tc>
          <w:tcPr>
            <w:tcW w:w="4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changes in stockholders’ deficit for the three fiscal quarters of 2020.</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6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29,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38,934,009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389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$(3,412,649)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3"/>
              </w:rPr>
              <w:t>(3,742)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339,399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on common stock and equivalents ($2.34 per share)</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(91,880)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38,389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(6,584)</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(271,064)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709,356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26,519</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14,934</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of ASC 326 (Note 10)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6, 2020</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39,392,475</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34,124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(3,242,627)</w:t>
            </w:r>
          </w:p>
        </w:tc>
        <w:tc>
          <w:tcPr>
            <w:tcW w:w="3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Subsequent to the third quarter, on October 6, 2020, the Company’s Board of Directors declared a $0.78 per share quarterly dividend on its outstanding common stock for shareholders of record as of December 15, 2020 to be paid on December 30, 2020.</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changes in stockholders’ deficit for the third quarter of 2019.</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4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0"/>
        </w:trPr>
        <w:tc>
          <w:tcPr>
            <w:tcW w:w="5840" w:type="dxa"/>
            <w:vAlign w:val="bottom"/>
          </w:tcPr>
          <w:p>
            <w:pPr>
              <w:spacing w:after="0"/>
              <w:rPr>
                <w:sz w:val="13"/>
                <w:szCs w:val="13"/>
                <w:color w:val="auto"/>
              </w:rPr>
            </w:pPr>
          </w:p>
        </w:tc>
        <w:tc>
          <w:tcPr>
            <w:tcW w:w="1360" w:type="dxa"/>
            <w:vAlign w:val="bottom"/>
            <w:tcBorders>
              <w:bottom w:val="single" w:sz="8" w:color="auto"/>
            </w:tcBorders>
            <w:gridSpan w:val="5"/>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04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2"/>
          </w:tcPr>
          <w:p>
            <w:pPr>
              <w:jc w:val="center"/>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16,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41,232,358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412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$(2,911,278)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3"/>
              </w:rPr>
              <w:t>(4,208)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86,373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on common stock and equivalents ($0.65 per share)</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(26,569)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(3,253)</w:t>
            </w: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(384,338)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(12,972)</w:t>
            </w: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(80,721)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832</w:t>
            </w: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4,680</w:t>
            </w: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8, 2019</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40,898,996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409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(2,932,195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3"/>
              </w:rPr>
              <w:t>(3,938)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changes in stockholders’ deficit for the three fiscal quarters of 2019.</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42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100" w:type="dxa"/>
            <w:vAlign w:val="bottom"/>
            <w:gridSpan w:val="2"/>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0"/>
        </w:trPr>
        <w:tc>
          <w:tcPr>
            <w:tcW w:w="5520" w:type="dxa"/>
            <w:vAlign w:val="bottom"/>
          </w:tcPr>
          <w:p>
            <w:pPr>
              <w:spacing w:after="0"/>
              <w:rPr>
                <w:sz w:val="13"/>
                <w:szCs w:val="13"/>
                <w:color w:val="auto"/>
              </w:rPr>
            </w:pPr>
          </w:p>
        </w:tc>
        <w:tc>
          <w:tcPr>
            <w:tcW w:w="1420" w:type="dxa"/>
            <w:vAlign w:val="bottom"/>
            <w:tcBorders>
              <w:bottom w:val="single" w:sz="8" w:color="auto"/>
            </w:tcBorders>
            <w:gridSpan w:val="5"/>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080" w:type="dxa"/>
            <w:vAlign w:val="bottom"/>
            <w:gridSpan w:val="3"/>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100" w:type="dxa"/>
            <w:vAlign w:val="bottom"/>
            <w:gridSpan w:val="2"/>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30,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40,977,561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410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$(3,036,471)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3"/>
              </w:rPr>
              <w:t>(4,429)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271,382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on common stock and equivalents ($1.95 per share)</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(80,023)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(5,820)</w:t>
            </w:r>
          </w:p>
        </w:tc>
        <w:tc>
          <w:tcPr>
            <w:tcW w:w="11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(430,182)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(18,062)</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(87,083)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323,021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10,119</w:t>
            </w:r>
          </w:p>
        </w:tc>
        <w:tc>
          <w:tcPr>
            <w:tcW w:w="11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13,269</w:t>
            </w:r>
          </w:p>
        </w:tc>
        <w:tc>
          <w:tcPr>
            <w:tcW w:w="11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8, 2019</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40,898,996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409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(2,932,195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3"/>
              </w:rPr>
              <w:t>(3,938)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 Fair Value Measurements</w:t>
      </w:r>
    </w:p>
    <w:p>
      <w:pPr>
        <w:spacing w:after="0" w:line="11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at fair value in one of the following three categories: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 The fair value of the Company’s Level 3 investment (Note 9) is not readily determinable. The fair value represents its cost with adjustments for observable changes in prices resulting from orderly transactions for the identical or a similar investment of the same issuer or impairments. The following tables summarize the carrying amounts and estimated fair values of certain assets at September 6, 2020 and December 29, 2019:</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At September 6, 2020</w:t>
            </w:r>
          </w:p>
        </w:tc>
        <w:tc>
          <w:tcPr>
            <w:tcW w:w="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2600" w:type="dxa"/>
            <w:vAlign w:val="bottom"/>
            <w:tcBorders>
              <w:bottom w:val="single" w:sz="8" w:color="auto"/>
            </w:tcBorders>
            <w:gridSpan w:val="5"/>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4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44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6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440" w:type="dxa"/>
            <w:vAlign w:val="bottom"/>
          </w:tcPr>
          <w:p>
            <w:pPr>
              <w:spacing w:after="0"/>
              <w:rPr>
                <w:sz w:val="15"/>
                <w:szCs w:val="15"/>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$276,905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$276,905</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102,763</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102,763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12,043</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12,043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97,190</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97,190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(Note 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140"/>
          </w:cols>
          <w:pgMar w:left="320" w:top="482" w:right="43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At December 29, 2019</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2260" w:type="dxa"/>
            <w:vAlign w:val="bottom"/>
            <w:tcBorders>
              <w:bottom w:val="single" w:sz="8" w:color="auto"/>
            </w:tcBorders>
            <w:gridSpan w:val="5"/>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8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7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$180,459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$180,459</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126,963</w:t>
            </w: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126,963</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11,982</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11,982</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67,851</w:t>
            </w: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67,851</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Company management estimated the approximate fair values of the 2015 fixed rate notes, the 2017 fixed and floating rate notes, the 2018 fixed rate notes and the 2019 fixed rate notes as follows: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September 6, 2020</w:t>
            </w:r>
          </w:p>
        </w:tc>
        <w:tc>
          <w:tcPr>
            <w:tcW w:w="300" w:type="dxa"/>
            <w:vAlign w:val="bottom"/>
          </w:tcPr>
          <w:p>
            <w:pPr>
              <w:spacing w:after="0"/>
              <w:rPr>
                <w:sz w:val="15"/>
                <w:szCs w:val="15"/>
                <w:color w:val="auto"/>
              </w:rPr>
            </w:pPr>
          </w:p>
        </w:tc>
        <w:tc>
          <w:tcPr>
            <w:tcW w:w="22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29, 2019</w:t>
            </w:r>
          </w:p>
        </w:tc>
      </w:tr>
      <w:tr>
        <w:trPr>
          <w:trHeight w:val="142"/>
        </w:trPr>
        <w:tc>
          <w:tcPr>
            <w:tcW w:w="3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tcBorders>
              <w:top w:val="single" w:sz="8" w:color="auto"/>
            </w:tcBorders>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54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84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r>
      <w:tr>
        <w:trPr>
          <w:trHeight w:val="209"/>
        </w:trPr>
        <w:tc>
          <w:tcPr>
            <w:tcW w:w="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2015</w:t>
            </w:r>
          </w:p>
        </w:tc>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Ten-Year Fixed Rate Notes</w:t>
            </w:r>
          </w:p>
        </w:tc>
        <w:tc>
          <w:tcPr>
            <w:tcW w:w="300" w:type="dxa"/>
            <w:vAlign w:val="bottom"/>
            <w:tcBorders>
              <w:top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768,000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821,760</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774,000</w:t>
            </w: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804,960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2017</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Five-Year Fixed Rate Notes</w:t>
            </w:r>
          </w:p>
        </w:tc>
        <w:tc>
          <w:tcPr>
            <w:tcW w:w="3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583,500</w:t>
            </w:r>
          </w:p>
        </w:tc>
        <w:tc>
          <w:tcPr>
            <w:tcW w:w="1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585,251</w:t>
            </w:r>
          </w:p>
        </w:tc>
        <w:tc>
          <w:tcPr>
            <w:tcW w:w="30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588,000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588,588</w:t>
            </w:r>
          </w:p>
        </w:tc>
      </w:tr>
      <w:tr>
        <w:trPr>
          <w:trHeight w:val="216"/>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2017</w:t>
            </w: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Ten-Year Fixed Rate Notes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972,500</w:t>
            </w:r>
          </w:p>
        </w:tc>
        <w:tc>
          <w:tcPr>
            <w:tcW w:w="1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1,046,410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980,000</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1,017,240</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2017</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Five-Year Floating Rate Notes</w:t>
            </w:r>
          </w:p>
        </w:tc>
        <w:tc>
          <w:tcPr>
            <w:tcW w:w="3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291,750</w:t>
            </w:r>
          </w:p>
        </w:tc>
        <w:tc>
          <w:tcPr>
            <w:tcW w:w="1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291,458</w:t>
            </w:r>
          </w:p>
        </w:tc>
        <w:tc>
          <w:tcPr>
            <w:tcW w:w="30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294,000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294,000</w:t>
            </w:r>
          </w:p>
        </w:tc>
      </w:tr>
      <w:tr>
        <w:trPr>
          <w:trHeight w:val="216"/>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2018</w:t>
            </w: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7.5-Year Fixed Rate Notes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416,500</w:t>
            </w:r>
          </w:p>
        </w:tc>
        <w:tc>
          <w:tcPr>
            <w:tcW w:w="1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443,156</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419,688</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431,439</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2018</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Fixed Rate Notes</w:t>
            </w:r>
          </w:p>
        </w:tc>
        <w:tc>
          <w:tcPr>
            <w:tcW w:w="3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392,000</w:t>
            </w:r>
          </w:p>
        </w:tc>
        <w:tc>
          <w:tcPr>
            <w:tcW w:w="1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425,320</w:t>
            </w:r>
          </w:p>
        </w:tc>
        <w:tc>
          <w:tcPr>
            <w:tcW w:w="30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395,000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414,355</w:t>
            </w:r>
          </w:p>
        </w:tc>
      </w:tr>
      <w:tr>
        <w:trPr>
          <w:trHeight w:val="216"/>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2019</w:t>
            </w: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Ten-Year Fixed Rate Notes</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669,938</w:t>
            </w:r>
          </w:p>
        </w:tc>
        <w:tc>
          <w:tcPr>
            <w:tcW w:w="1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706,114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675,000</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675,675</w:t>
            </w:r>
          </w:p>
        </w:tc>
      </w:tr>
    </w:tbl>
    <w:p>
      <w:pPr>
        <w:spacing w:after="0" w:line="19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fixed and floating rate notes are classified as Level 2 measurements, as the Company estimates the fair value amount by using available market information. The Company obtained quotes from two separate brokerage firms that are knowledgeable about the Company’s fixed and floating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debtholders could realize in a current market exchange. The use of different assumptions and/or estimation methodologies may have a material effect on the estimated fair values stated above.</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variable funding notes are a variable rate loan and the fair value of this loan approximates book value based on the borrowing rates currently available for variable rate loans obtained from third party lending institutions. This fair value represents a Level 2 measurement. The Company borrowed $158.0 million under its variable funding notes in the second quarter of 2020. The Company repaid $100.0 million of these borrowings in the second quarter of 2020 and approximately $58.0 million in the third quarter of 2020. The Company had less than $0.1 million of outstanding borrowings under its variable funding notes at September 6, 2020. The Company did not have any outstanding borrowings under its variable funding notes as of December 29, 2019.</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fair values in the table above represent the fair value of such notes at September 6, 2020 and December 29, 2019. In light of the COVID-19 pandemic (discussed further in Note 11) and its impact on financial markets, these fair values fluctuated significantly during the three fiscal quarters of 2020 and may continue to fluctuate based on market conditions and other factors.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 Revenue Disclosures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Contract Liabilities</w:t>
      </w:r>
    </w:p>
    <w:p>
      <w:pPr>
        <w:spacing w:after="0" w:line="11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Contract liabilities primarily consist of deferred franchise fees and deferred development fees. Changes in deferred franchise fees and deferred development fees were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17"/>
        </w:trPr>
        <w:tc>
          <w:tcPr>
            <w:tcW w:w="608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6,</w:t>
            </w:r>
          </w:p>
        </w:tc>
        <w:tc>
          <w:tcPr>
            <w:tcW w:w="8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0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Deferred franchise fees and deferred development fees at beginning of</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20,463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(4,302)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3,937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4,613</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fees and deferred development fees at end of period</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Advertising Fund Assets</w:t>
      </w:r>
    </w:p>
    <w:p>
      <w:pPr>
        <w:spacing w:after="0" w:line="117" w:lineRule="exact"/>
        <w:rPr>
          <w:sz w:val="20"/>
          <w:szCs w:val="20"/>
          <w:color w:val="auto"/>
        </w:rPr>
      </w:pPr>
    </w:p>
    <w:p>
      <w:pPr>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As of September 6, 2020, advertising fund assets, restricted of $144.3 million consisted of $118.9 million of cash and cash equivalents, $20.5 million of accounts receivable and $4.9 million of prepaid expenses. As of September 6, 2020, advertising fund cash and cash equivalents included $6.0 million of cash contributed from Company-owned stores that had not yet been expended.</w:t>
      </w:r>
    </w:p>
    <w:p>
      <w:pPr>
        <w:spacing w:after="0" w:line="68" w:lineRule="exact"/>
        <w:rPr>
          <w:sz w:val="20"/>
          <w:szCs w:val="20"/>
          <w:color w:val="auto"/>
        </w:rPr>
      </w:pPr>
    </w:p>
    <w:p>
      <w:pPr>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As of December 29, 2019, advertising fund assets, restricted of $105.4 million consisted of $84.0 million of cash and cash equivalents, $15.3 million of accounts receivable and $6.1 million of prepaid expenses. As of December 29, 2019, advertising fund cash and cash equivalents included $3.5 million of cash contributed from U.S. Company-owned stores that had not yet been expended.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 Leases</w:t>
      </w:r>
    </w:p>
    <w:p>
      <w:pPr>
        <w:spacing w:after="0" w:line="11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supply chain vehicles and its corporate headquarters with expiration dates through 2041.</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operating and finance lease cost for the third quarter and three fiscal quarters of 2020 and the third quarter and three fiscal quarters of 2019 were as follows: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6,</w:t>
            </w: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6,</w:t>
            </w: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13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1,342</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3,314</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Rent expense totaled $17.4 million and $50.0 million in the third quarter and three fiscal quarters of 2020, respectively, and totaled $16.1 million and $48.4 million in the third quarter and three fiscal quarters of 2019,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Variable rent expense and rent expense for short-term leases were immaterial for the third quarter and three fiscal quarters of 2020 and 2019, respectively.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as of September 6, 2020 and December 29, 2019 was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6,</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73"/>
        </w:trPr>
        <w:tc>
          <w:tcPr>
            <w:tcW w:w="6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(9,208)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assets, net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17,630</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36,986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18,263</w:t>
            </w:r>
          </w:p>
        </w:tc>
        <w:tc>
          <w:tcPr>
            <w:tcW w:w="0" w:type="dxa"/>
            <w:vAlign w:val="bottom"/>
          </w:tcPr>
          <w:p>
            <w:pPr>
              <w:spacing w:after="0"/>
              <w:rPr>
                <w:sz w:val="1"/>
                <w:szCs w:val="1"/>
                <w:color w:val="auto"/>
              </w:rPr>
            </w:pPr>
          </w:p>
        </w:tc>
      </w:tr>
      <w:tr>
        <w:trPr>
          <w:trHeight w:val="223"/>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principal payable on finance leases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38,648</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6, 2020 and December 29, 2019, the weighted average remaining lease term and weighted average discount rate for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operating and finance leases were as follows: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6, 2020</w:t>
            </w:r>
          </w:p>
        </w:tc>
        <w:tc>
          <w:tcPr>
            <w:tcW w:w="19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29, 2019</w:t>
            </w:r>
          </w:p>
        </w:tc>
      </w:tr>
      <w:tr>
        <w:trPr>
          <w:trHeight w:val="117"/>
        </w:trPr>
        <w:tc>
          <w:tcPr>
            <w:tcW w:w="39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Finance</w:t>
            </w:r>
          </w:p>
        </w:tc>
        <w:tc>
          <w:tcPr>
            <w:tcW w:w="460" w:type="dxa"/>
            <w:vAlign w:val="bottom"/>
          </w:tcPr>
          <w:p>
            <w:pPr>
              <w:spacing w:after="0"/>
              <w:rPr>
                <w:sz w:val="10"/>
                <w:szCs w:val="10"/>
                <w:color w:val="auto"/>
              </w:rPr>
            </w:pPr>
          </w:p>
        </w:tc>
        <w:tc>
          <w:tcPr>
            <w:tcW w:w="110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Finance</w:t>
            </w:r>
          </w:p>
        </w:tc>
        <w:tc>
          <w:tcPr>
            <w:tcW w:w="200" w:type="dxa"/>
            <w:vAlign w:val="bottom"/>
          </w:tcPr>
          <w:p>
            <w:pPr>
              <w:spacing w:after="0"/>
              <w:rPr>
                <w:sz w:val="10"/>
                <w:szCs w:val="10"/>
                <w:color w:val="auto"/>
              </w:rPr>
            </w:pPr>
          </w:p>
        </w:tc>
      </w:tr>
      <w:tr>
        <w:trPr>
          <w:trHeight w:val="173"/>
        </w:trPr>
        <w:tc>
          <w:tcPr>
            <w:tcW w:w="39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7 years</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17 years</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346"/>
        </w:trPr>
        <w:tc>
          <w:tcPr>
            <w:tcW w:w="3900" w:type="dxa"/>
            <w:vAlign w:val="bottom"/>
          </w:tcPr>
          <w:p>
            <w:pPr>
              <w:spacing w:after="0"/>
              <w:rPr>
                <w:sz w:val="24"/>
                <w:szCs w:val="24"/>
                <w:color w:val="auto"/>
              </w:rPr>
            </w:pPr>
          </w:p>
        </w:tc>
        <w:tc>
          <w:tcPr>
            <w:tcW w:w="20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00"/>
          </w:cols>
          <w:pgMar w:left="320" w:top="482" w:right="5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related to leases for the third quarter and three fiscal quarters of 2020 and the third quarter and three fiscal quarters of 2019 was as follows: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280" w:type="dxa"/>
            <w:vAlign w:val="bottom"/>
          </w:tcPr>
          <w:p>
            <w:pPr>
              <w:spacing w:after="0"/>
              <w:rPr>
                <w:sz w:val="15"/>
                <w:szCs w:val="15"/>
                <w:color w:val="auto"/>
              </w:rPr>
            </w:pP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117"/>
        </w:trPr>
        <w:tc>
          <w:tcPr>
            <w:tcW w:w="4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6,</w:t>
            </w: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6,</w:t>
            </w: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8,</w:t>
            </w:r>
          </w:p>
        </w:tc>
        <w:tc>
          <w:tcPr>
            <w:tcW w:w="40" w:type="dxa"/>
            <w:vAlign w:val="bottom"/>
          </w:tcPr>
          <w:p>
            <w:pPr>
              <w:spacing w:after="0"/>
              <w:rPr>
                <w:sz w:val="10"/>
                <w:szCs w:val="10"/>
                <w:color w:val="auto"/>
              </w:rPr>
            </w:pPr>
          </w:p>
        </w:tc>
      </w:tr>
      <w:tr>
        <w:trPr>
          <w:trHeight w:val="173"/>
        </w:trPr>
        <w:tc>
          <w:tcPr>
            <w:tcW w:w="4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108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5"/>
                <w:szCs w:val="15"/>
                <w:color w:val="auto"/>
              </w:rPr>
            </w:pPr>
          </w:p>
        </w:tc>
        <w:tc>
          <w:tcPr>
            <w:tcW w:w="108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r>
      <w:tr>
        <w:trPr>
          <w:trHeight w:val="178"/>
        </w:trPr>
        <w:tc>
          <w:tcPr>
            <w:tcW w:w="47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4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4"/>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9,288</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9,968</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29,455</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30,056</w:t>
            </w: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473</w:t>
            </w:r>
          </w:p>
        </w:tc>
        <w:tc>
          <w:tcPr>
            <w:tcW w:w="13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2,066</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1,269</w:t>
            </w: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1,388</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422</w:t>
            </w:r>
          </w:p>
        </w:tc>
      </w:tr>
      <w:tr>
        <w:trPr>
          <w:trHeight w:val="198"/>
        </w:trPr>
        <w:tc>
          <w:tcPr>
            <w:tcW w:w="4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lease</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23,434</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26,297</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49,802</w:t>
            </w: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20,463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Maturities of lease liabilities as of September 6, 2020 were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73"/>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4,965</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5,016</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5,075</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4,870</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106,034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53,491</w:t>
            </w:r>
          </w:p>
        </w:tc>
      </w:tr>
      <w:tr>
        <w:trPr>
          <w:trHeight w:val="27"/>
        </w:trPr>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274,678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74,692</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Less – amounts representing interest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(36,044)</w:t>
            </w:r>
          </w:p>
        </w:tc>
      </w:tr>
      <w:tr>
        <w:trPr>
          <w:trHeight w:val="27"/>
        </w:trPr>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238,489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38,648</w:t>
            </w: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September 6, 2020, the Company has additional leases for one supply chain center and certain supply chain tractors and trailers that had not yet commenced with estimated future minimum rental commitments of approximately $28.8 million. These leases are expected to commence in 2020 with lease terms of up to 15 years. These undiscounted amounts are not included in the table above.</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has guaranteed lease payments related to certain franchisees’ lease arrangements. The maximum amount of potential future payments under these guarantees was $13.9 million as of September 6, 2020. The Company does not believe these arrangements have or are likely to have a material effect on its results of operations, financial condition, revenues, expenses or liquidity.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 Supplemental Disclosures of Cash Flow Information</w:t>
      </w:r>
    </w:p>
    <w:p>
      <w:pPr>
        <w:spacing w:after="0" w:line="11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had non-cash investing activities related to accruals for capital expenditures of $5.1 million at September 6, 2020 and $6.9 million at December 29, 2019.</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 Investment in Dash Brands</w:t>
      </w:r>
    </w:p>
    <w:p>
      <w:pPr>
        <w:spacing w:after="0" w:line="11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second quarter of 2020, a subsidiary of the Company acquired a non-controlling interest in Dash Brands for $40.0 million. This investment is an equity investment without a readily determinable fair value and is recorded at cost with adjustments for observable changes in prices resulting from orderly transactions for the identical or a similar investment of the same issuer or impairments within long-term other assets in the Company’s condensed consolidated balance sheet. The Company did not record any adjustments to the carrying amount of $40.0 million in the third quarter or three fiscal quarters of 2020. The Company is contractually required to invest an additional $40.0 million in Dash Brands in the first quarter of 2021, assuming certain performance conditions are satisfied. If such performance conditions are not satisfied, the Company has the option to make such additional investment at its discretion.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 New Accounting Pronouncements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ASU 2016-13, Financial Instruments – Credit Losses (Topic 326)</w:t>
      </w:r>
    </w:p>
    <w:p>
      <w:pPr>
        <w:spacing w:after="0" w:line="117"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w:t>
      </w:r>
      <w:r>
        <w:rPr>
          <w:rFonts w:ascii="Times New Roman" w:cs="Times New Roman" w:eastAsia="Times New Roman" w:hAnsi="Times New Roman"/>
          <w:sz w:val="18"/>
          <w:szCs w:val="18"/>
          <w:i w:val="1"/>
          <w:iCs w:val="1"/>
          <w:color w:val="auto"/>
        </w:rPr>
        <w:t>Accounting Standard Update (“ASU”) 2016-13,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 Credit Losses (Topic 326): Measurement of Credit Losses on Financial Instruments</w:t>
      </w:r>
      <w:r>
        <w:rPr>
          <w:rFonts w:ascii="Times New Roman" w:cs="Times New Roman" w:eastAsia="Times New Roman" w:hAnsi="Times New Roman"/>
          <w:sz w:val="18"/>
          <w:szCs w:val="18"/>
          <w:color w:val="auto"/>
        </w:rPr>
        <w:t>. ASC 326 requires companies to measure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utilizing a methodology that reflects expected credit losses and requires a consideration of a broader range of reasonable and supportable information to inform credit loss estimates. The Company adopted this standard as of December 30, 2019, the first day of its 2020 fiscal year, using the modified retrospective approach and it did not have a material impact on its condensed consolidated financial statements.</w:t>
      </w:r>
    </w:p>
    <w:p>
      <w:pPr>
        <w:spacing w:after="0" w:line="77"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The effects of the changes made to the Company’s condensed consolidated balance sheet as of December 30, 2019 for the adoption of ASC 326 were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3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48"/>
        </w:trPr>
        <w:tc>
          <w:tcPr>
            <w:tcW w:w="4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4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Due to ASC</w:t>
            </w:r>
          </w:p>
        </w:tc>
        <w:tc>
          <w:tcPr>
            <w:tcW w:w="2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73"/>
        </w:trPr>
        <w:tc>
          <w:tcPr>
            <w:tcW w:w="4080" w:type="dxa"/>
            <w:vAlign w:val="bottom"/>
          </w:tcPr>
          <w:p>
            <w:pPr>
              <w:spacing w:after="0"/>
              <w:rPr>
                <w:sz w:val="15"/>
                <w:szCs w:val="15"/>
                <w:color w:val="auto"/>
              </w:rPr>
            </w:pPr>
          </w:p>
        </w:tc>
        <w:tc>
          <w:tcPr>
            <w:tcW w:w="2400" w:type="dxa"/>
            <w:vAlign w:val="bottom"/>
            <w:gridSpan w:val="2"/>
          </w:tcPr>
          <w:p>
            <w:pPr>
              <w:jc w:val="center"/>
              <w:ind w:left="1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326</w:t>
            </w:r>
          </w:p>
        </w:tc>
        <w:tc>
          <w:tcPr>
            <w:tcW w:w="280" w:type="dxa"/>
            <w:vAlign w:val="bottom"/>
          </w:tcPr>
          <w:p>
            <w:pPr>
              <w:spacing w:after="0"/>
              <w:rPr>
                <w:sz w:val="15"/>
                <w:szCs w:val="15"/>
                <w:color w:val="auto"/>
              </w:rPr>
            </w:pPr>
          </w:p>
        </w:tc>
        <w:tc>
          <w:tcPr>
            <w:tcW w:w="110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210,260</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211,695</w:t>
            </w: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deficit</w:t>
            </w:r>
          </w:p>
        </w:tc>
        <w:tc>
          <w:tcPr>
            <w:tcW w:w="2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(3,412,649)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(3,411,547)</w:t>
            </w:r>
          </w:p>
        </w:tc>
      </w:tr>
    </w:tbl>
    <w:p>
      <w:pPr>
        <w:spacing w:after="0" w:line="179"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The Company recognized the cumulative effect of initially applying ASC 326 as an adjustment to the opening balance of retained deficit. The comparative information has not been restated and continues to be reported under the accounting standards in effect for that period. An adjustment to beginning retained deficit and a corresponding adjustment to the allowance for doubtful accounts and notes receivable of approximately $1.5 million was recorded on the date of adoption, representing the remeasurement of these accounts to the Company’s estimate for current expected credit losses. The adjustment to beginning retained deficit was also net of a $0.4 million adjustment to deferred income taxes.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Accounting Standards Not Yet Adopted</w:t>
      </w:r>
    </w:p>
    <w:p>
      <w:pPr>
        <w:spacing w:after="0" w:line="117" w:lineRule="exact"/>
        <w:rPr>
          <w:sz w:val="20"/>
          <w:szCs w:val="20"/>
          <w:color w:val="auto"/>
        </w:rPr>
      </w:pPr>
    </w:p>
    <w:p>
      <w:pPr>
        <w:ind w:left="560" w:right="160" w:firstLine="423"/>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FASB. The Company has not yet completed its assessment of the following standards.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ASU 2019-12, Income Taxes – Simplifying the Accounting for Income Taxes (Topic 740)</w:t>
      </w:r>
    </w:p>
    <w:p>
      <w:pPr>
        <w:spacing w:after="0" w:line="117"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w:t>
      </w:r>
      <w:r>
        <w:rPr>
          <w:rFonts w:ascii="Times New Roman" w:cs="Times New Roman" w:eastAsia="Times New Roman" w:hAnsi="Times New Roman"/>
          <w:sz w:val="18"/>
          <w:szCs w:val="18"/>
          <w:i w:val="1"/>
          <w:iCs w:val="1"/>
          <w:color w:val="auto"/>
        </w:rPr>
        <w:t>ASU 2019-12, Income Taxes (Topic 740): Simplifying the Accounting for Income Taxes</w:t>
      </w:r>
      <w:r>
        <w:rPr>
          <w:rFonts w:ascii="Times New Roman" w:cs="Times New Roman" w:eastAsia="Times New Roman" w:hAnsi="Times New Roman"/>
          <w:sz w:val="18"/>
          <w:szCs w:val="18"/>
          <w:color w:val="auto"/>
        </w:rPr>
        <w:t xml:space="preserve"> (ASU 2019-12), which simplifies the accounting for income taxes. ASU 2019-12 is effective for fiscal years beginning after December 15, 2020, including applicable interim periods. The Company is currently assessing the impact of adopting this standard but does not expect the adoption of this guidance to have a material impact on its consolidated financial statements.</w:t>
      </w:r>
    </w:p>
    <w:p>
      <w:pPr>
        <w:spacing w:after="0" w:line="2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ASU 2020-04, Facilitation of the Effects of Reference Rate Reform on Financial Reporting (Topic 848)</w:t>
      </w:r>
    </w:p>
    <w:p>
      <w:pPr>
        <w:spacing w:after="0" w:line="117" w:lineRule="exact"/>
        <w:rPr>
          <w:sz w:val="20"/>
          <w:szCs w:val="20"/>
          <w:color w:val="auto"/>
        </w:rPr>
      </w:pPr>
    </w:p>
    <w:p>
      <w:pPr>
        <w:ind w:left="560" w:right="20" w:firstLine="423"/>
        <w:spacing w:after="0" w:line="255" w:lineRule="auto"/>
        <w:rPr>
          <w:sz w:val="20"/>
          <w:szCs w:val="20"/>
          <w:color w:val="auto"/>
        </w:rPr>
      </w:pPr>
      <w:r>
        <w:rPr>
          <w:rFonts w:ascii="Times New Roman" w:cs="Times New Roman" w:eastAsia="Times New Roman" w:hAnsi="Times New Roman"/>
          <w:sz w:val="18"/>
          <w:szCs w:val="18"/>
          <w:color w:val="auto"/>
        </w:rPr>
        <w:t xml:space="preserve">In March 2020, the FASB issued </w:t>
      </w:r>
      <w:r>
        <w:rPr>
          <w:rFonts w:ascii="Times New Roman" w:cs="Times New Roman" w:eastAsia="Times New Roman" w:hAnsi="Times New Roman"/>
          <w:sz w:val="18"/>
          <w:szCs w:val="18"/>
          <w:i w:val="1"/>
          <w:iCs w:val="1"/>
          <w:color w:val="auto"/>
        </w:rPr>
        <w:t>ASU 2020-04, 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Reporting, </w:t>
      </w:r>
      <w:r>
        <w:rPr>
          <w:rFonts w:ascii="Times New Roman" w:cs="Times New Roman" w:eastAsia="Times New Roman" w:hAnsi="Times New Roman"/>
          <w:sz w:val="18"/>
          <w:szCs w:val="18"/>
          <w:color w:val="auto"/>
        </w:rPr>
        <w:t>which provides temporary optional expedients and exceptions for applying generally accepted accounting principles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hedging relationships and other transactions affected by reference rate reform. The Company’s floating rate notes and variable funding notes bear interest at fluctuating interest rates based on LIBOR. If LIBOR ceases to exist, the Company may need to renegotiate its loan documents and the Company cannot predict what alternative index would be negotiated with its lenders. ASU 2020-04 is currently effective and upon adoption may be applied prospectively to contract modifications made on or before December 31, 2022. The Company is currently assessing the impact of adopting this standard but does not expect the adoption of this guidance to have a material impact on its consolidated financial statements.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 COVID-19 Pandemic</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December 2019, a novel coronavirus disease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During the second and third fiscal quarters of 2020 in the midst of the COVID-19 pandemic, the Company continued to increase its U.S. Stores revenues. Supply Chain also remained operational, with minimal interruptions due to COVID-19 and experienced higher volumes as a result of the increases in store sales. The COVID-19 pandemic negatively impacted the Company’s International Franchise revenues during the second quarter of 2020 due to temporary store closures in certain markets as well as changes in operating procedures and store hours resulting from actions taken to increase social distancing across the Company’s international franchise markets. In the third quarter of 2020, these negative impacts lessened due to the reopening and resumption of normal store hours at the majority of the Company’s international franchised stores that had been temporarily closed for portions of the prior quarter. The Company also made certain investments during the COVID-19 pandemic related to safety and cleaning equipment, enhanced sick pay and compensation for frontline team members and support for the Company’s franchisees and their communities. The Company is closely monitoring the impact of the pandemic on all aspects of its business and is unable at this time to predict the continued impact that COVID-19 will have on its business, financial position and operating results in future periods due to numerous uncertainties.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tabular amounts in millions, except percentages and store data)</w:t>
      </w:r>
    </w:p>
    <w:p>
      <w:pPr>
        <w:spacing w:after="0" w:line="9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2020 and 2019 third quarters referenced herein represent the twelve-week periods ended September 6, 2020 and September 8, 2019, respectively. The 2020 and 2019 three fiscal quarters referenced herein represent the thirty-six-week periods ended September 6, 2020 and September 8, 2019,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140" w:firstLine="440"/>
        <w:spacing w:after="0" w:line="239" w:lineRule="auto"/>
        <w:rPr>
          <w:sz w:val="20"/>
          <w:szCs w:val="20"/>
          <w:color w:val="auto"/>
        </w:rPr>
      </w:pPr>
      <w:r>
        <w:rPr>
          <w:rFonts w:ascii="Times New Roman" w:cs="Times New Roman" w:eastAsia="Times New Roman" w:hAnsi="Times New Roman"/>
          <w:sz w:val="18"/>
          <w:szCs w:val="18"/>
          <w:color w:val="auto"/>
        </w:rPr>
        <w:t>Domino’s is the largest pizza company in the world based on global retail sales, with more than 17,200 locations in over 90 markets. Founded in 1960, our roots are in convenient pizza delivery, while a significant amount of our sales also come from carryout customers. Domino’s generates revenues and earnings by charging royalties and fees to our independent franchisees. The Company also generates revenues and earnings by selling food, equipment and supplies to franchisees primarily in the U.S. and Canada, and by operating a number of our own stores in the U.S.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brand to master franchisees. These master franchisees are charged with developing their geographical area, and they can profit by sub-franchising and selling ingredients and equipment to those sub-franchisees, as well as by running pizza stores directly. We believe that everyone in the system can benefit, including the end consumer, who can feed their family Domino’s menu items conveniently and economically.</w:t>
      </w:r>
    </w:p>
    <w:p>
      <w:pPr>
        <w:spacing w:after="0" w:line="203" w:lineRule="exact"/>
        <w:rPr>
          <w:sz w:val="20"/>
          <w:szCs w:val="20"/>
          <w:color w:val="auto"/>
        </w:rPr>
      </w:pPr>
    </w:p>
    <w:p>
      <w:pPr>
        <w:ind w:left="120" w:right="40" w:firstLine="440"/>
        <w:spacing w:after="0" w:line="236" w:lineRule="auto"/>
        <w:rPr>
          <w:sz w:val="20"/>
          <w:szCs w:val="20"/>
          <w:color w:val="auto"/>
        </w:rPr>
      </w:pPr>
      <w:r>
        <w:rPr>
          <w:rFonts w:ascii="Times New Roman" w:cs="Times New Roman" w:eastAsia="Times New Roman" w:hAnsi="Times New Roman"/>
          <w:sz w:val="18"/>
          <w:szCs w:val="18"/>
          <w:color w:val="auto"/>
        </w:rPr>
        <w:t>Our financial results are driven largely by retail sales at our franchise and Company-owned stores. Changes in retail sales are driven by changes in same store sales and store counts. We monitor both of these metrics very closely, as they directly impact our revenues and profits, and we strive to consistently increase both metrics. Retail sales drive royalty payments from franchisees, as well as Company-owned store and supply chain revenues. Retail sales are primarily impacted by the strength of the Domino’s Pizza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brand, the results of our extensive advertising through various media channels, the impact of technological innovation and digital ordering, our ability to execute our strong and proven business model and the overall global economic environment.</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3"/>
                <w:szCs w:val="13"/>
                <w:color w:val="auto"/>
              </w:rPr>
            </w:pPr>
          </w:p>
        </w:tc>
        <w:tc>
          <w:tcPr>
            <w:tcW w:w="148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of 2020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of 2019</w:t>
            </w:r>
          </w:p>
        </w:tc>
        <w:tc>
          <w:tcPr>
            <w:tcW w:w="100" w:type="dxa"/>
            <w:vAlign w:val="bottom"/>
          </w:tcPr>
          <w:p>
            <w:pPr>
              <w:spacing w:after="0"/>
              <w:rPr>
                <w:sz w:val="15"/>
                <w:szCs w:val="15"/>
                <w:color w:val="auto"/>
              </w:rPr>
            </w:pPr>
          </w:p>
        </w:tc>
        <w:tc>
          <w:tcPr>
            <w:tcW w:w="14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Quarters of 2020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Quarters of 2019</w:t>
            </w:r>
          </w:p>
        </w:tc>
        <w:tc>
          <w:tcPr>
            <w:tcW w:w="0" w:type="dxa"/>
            <w:vAlign w:val="bottom"/>
          </w:tcPr>
          <w:p>
            <w:pPr>
              <w:spacing w:after="0"/>
              <w:rPr>
                <w:sz w:val="1"/>
                <w:szCs w:val="1"/>
                <w:color w:val="auto"/>
              </w:rPr>
            </w:pPr>
          </w:p>
        </w:tc>
      </w:tr>
      <w:tr>
        <w:trPr>
          <w:trHeight w:val="174"/>
        </w:trPr>
        <w:tc>
          <w:tcPr>
            <w:tcW w:w="45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Global retail sales growth (versus prior year period,</w:t>
            </w: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excluding foreign currency impact)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 store sales growth (1):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Company-owned stores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franchise stores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stores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45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International stores (excluding foreign</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currency impact)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Store counts (at end of period):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Company-owned stores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franchise stores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stores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stores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10,543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stores (2)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967.7</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820.8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2,760.8</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2,468.4</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605.7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504.6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1,701.6</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1,513.2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83.7</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262.6</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franchise advertising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309.4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267.1</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162.2</w:t>
            </w:r>
          </w:p>
        </w:tc>
        <w:tc>
          <w:tcPr>
            <w:tcW w:w="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143.0</w:t>
            </w:r>
          </w:p>
        </w:tc>
        <w:tc>
          <w:tcPr>
            <w:tcW w:w="200" w:type="dxa"/>
            <w:vAlign w:val="bottom"/>
            <w:vMerge w:val="continue"/>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00" w:type="dxa"/>
            <w:vAlign w:val="bottom"/>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20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123.8</w:t>
            </w:r>
          </w:p>
        </w:tc>
        <w:tc>
          <w:tcPr>
            <w:tcW w:w="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110.2</w:t>
            </w:r>
          </w:p>
        </w:tc>
        <w:tc>
          <w:tcPr>
            <w:tcW w:w="200" w:type="dxa"/>
            <w:vAlign w:val="bottom"/>
            <w:vMerge w:val="continue"/>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00" w:type="dxa"/>
            <w:vAlign w:val="bottom"/>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0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vMerge w:val="continue"/>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200" w:type="dxa"/>
            <w:vAlign w:val="bottom"/>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20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 w:hanging="424"/>
        <w:spacing w:after="0" w:line="257"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sales growth is calculated for a given period by including only sales from stores that had sales in the comparable weeks of both years. International same store sales growth is calculated similarly to U.S. same store sales growth. Changes in international same store sales are reported excluding foreign currency impacts, which reflect changes in international local currency sales.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store closures are not treated as store closures and affected stores are included in the ending store count.</w:t>
      </w:r>
    </w:p>
    <w:p>
      <w:pPr>
        <w:sectPr>
          <w:pgSz w:w="11900" w:h="16838" w:orient="portrait"/>
          <w:cols w:equalWidth="0" w:num="1">
            <w:col w:w="11140"/>
          </w:cols>
          <w:pgMar w:left="320" w:top="482" w:right="439" w:bottom="1440" w:gutter="0" w:footer="0" w:header="0"/>
        </w:sectPr>
      </w:pP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During the third quarter and three fiscal quarters of 2020, we experienced global retail sales growth and U.S. and international same store sales growth. Our commitment to value, convenience, quality and new products continues to keep consumers engaged with the brand. During the third quarter, we launched three new products in the U.S., including chicken wings and two new specialty pizzas, each of which have been positively received by consumers. Beginning at the end of the first quarter of 2020 and through the date of this filing, customer ordering behavior during the COVID-19 pandemic has resulted in a significant increase in U.S. same store sales. We did not experience significant temporary closures in our U.S. business. Additionally, our supply chain experienced minimal disruptions due to COVID-19 and experienced higher volumes from the increases in store sales. The COVID-19 pandemic negatively impacted our international franchise revenues during the second quarter of 2020 due to temporary store closures in certain markets as well as changes in operating procedures and store hours resulting from actions taken to increase social distancing across our international franchise markets. In the third quarter of 2020, these negative impacts lessened due to the reopening and resumption of normal store hours at the majority of our international franchised stores that had been temporarily closed for portions of the prior quarter. Our U.S. and international same store sales growth was also partially offset by our current strategy to increase store concentration in certain markets where we compete.</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also continued our global expansion with the opening of 83 net new stores in the third quarter of 2020, bringing our year-to-date total to 236. We had 44 net new stores open in the U.S. during the third quarter of 2020. Although 162 gross new stores opened internationally, 123 stores closed, primarily in India. The COVID-19 pandemic has had a negative impact on anticipated store openings in our international business to-date due to delays in approvals and government restrictions in certain of the markets that our master franchisees operate. Overall, we believe this global store growth, along with our strong sales, emphasis on technology, operations, and marketing initiatives, have combined to strengthen our brand.</w:t>
      </w:r>
    </w:p>
    <w:p>
      <w:pPr>
        <w:spacing w:after="0" w:line="183"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Global retail sales, excluding foreign currency impact, which includes total retail sales at franchise and Company-owned stores worldwide, increased 14.8% in the third quarter of 2020 and increased 9.6% in the three fiscal quarters of 2020. These increases were driven by U.S. and international same store sales growth as well as an increase in store counts during the trailing four quarters. The negative impact of changes in foreign currency exchange rates partially offset this increase, resulting from a generally stronger U.S. dollar when compared to the currencies in the international markets in which we compete. U.S. same store sales growth reflected the sustained positive sales trends and the continued success of our products, marketing and technology platforms, as well as shifts in consumer behavior across the restaurant industry toward delivery and larger order sizes throughout the COVID-19 pandemic. International same store sales growth also reflected continued positive performance but has been adversely affected by temporary store closures in certain of our international markets as discussed above. Based on information reported to us by our master franchisees, we estimate that as of September 6, 2020, there were fewer than 400 international stores temporarily closed.</w:t>
      </w:r>
    </w:p>
    <w:p>
      <w:pPr>
        <w:spacing w:after="0" w:line="18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Total revenues increased $146.9 million, or 17.9%, in the third quarter of 2020 and increased $292.4 million, or 11.8%, in the three fiscal quarters of 2020. These increases were due primarily to higher U.S. retail sales, which resulted in higher supply chain and U.S. franchise revenues. U.S. Company-owned stores revenues increased in the third quarter of 2020 and three fiscal quarters of 2020 due to same store sales growth, but were partially offset in the three fiscal quarters of 2020 due to the sale of 59 Company-owned stores to certain of our existing U.S. franchisees during the second quarter of 2019 (the “2019 Store Sale”). International franchise revenues in the third quarter and three fiscal quarters of 2020 were pressured by the negative impact of changes in foreign currency exchange rates and targeted financial relief provided to certain of our master franchisees. These changes in revenues are described in more detail below.</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Income from operations increased $19.2 million, or 13.4%, in the third quarter of 2020 and increased $56.1 million, or 13.2%, in the three fiscal quarters of 2020. These increases were primarily driven by higher royalty revenues from our U.S. franchised stores, as well as higher supply chain margins. Higher general and administrative expenses partially offset these increases.</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Net income increased $12.8 million, or 14.8%, in the third quarter of 2020 and increased $68.0 million, or 25.1%, in the three fiscal quarters of 2020, driven by higher income from operations, partially offset by higher interest expense resulting from a higher average debt balance following our recapitalization transaction completed on November 19, 2019 (the “2019 Recapitalization”) and, to a lesser extent, borrowings under our variable funding notes in 2020. Net income in the three fiscal quarters of 2020 also benefited from lower tax expense resulting primarily from higher excess tax benefits from equity-based compensation.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80" w:type="dxa"/>
            <w:vAlign w:val="bottom"/>
          </w:tcPr>
          <w:p>
            <w:pPr>
              <w:spacing w:after="0"/>
              <w:rPr>
                <w:sz w:val="13"/>
                <w:szCs w:val="13"/>
                <w:color w:val="auto"/>
              </w:rPr>
            </w:pPr>
          </w:p>
        </w:tc>
        <w:tc>
          <w:tcPr>
            <w:tcW w:w="13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3"/>
                <w:szCs w:val="13"/>
                <w:color w:val="auto"/>
              </w:rPr>
            </w:pPr>
          </w:p>
        </w:tc>
        <w:tc>
          <w:tcPr>
            <w:tcW w:w="14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80" w:type="dxa"/>
            <w:vAlign w:val="bottom"/>
          </w:tcPr>
          <w:p>
            <w:pPr>
              <w:spacing w:after="0"/>
              <w:rPr>
                <w:sz w:val="13"/>
                <w:szCs w:val="13"/>
                <w:color w:val="auto"/>
              </w:rPr>
            </w:pPr>
          </w:p>
        </w:tc>
        <w:tc>
          <w:tcPr>
            <w:tcW w:w="13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0" w:type="dxa"/>
            <w:vAlign w:val="bottom"/>
          </w:tcPr>
          <w:p>
            <w:pPr>
              <w:spacing w:after="0"/>
              <w:rPr>
                <w:sz w:val="1"/>
                <w:szCs w:val="1"/>
                <w:color w:val="auto"/>
              </w:rPr>
            </w:pPr>
          </w:p>
        </w:tc>
      </w:tr>
      <w:tr>
        <w:trPr>
          <w:trHeight w:val="173"/>
        </w:trPr>
        <w:tc>
          <w:tcPr>
            <w:tcW w:w="5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of 2020</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 2019</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Quarters of 2020</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Quarters of 2019</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Company-owned stores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$113.3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94.6</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118.1</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573.7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485.1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1,625.5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1,424.8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160.2</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164.1</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franchise advertising</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967.7</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820.8</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2,760.8</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6"/>
              </w:rPr>
              <w:t>2,468.4</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140"/>
          </w:cols>
          <w:pgMar w:left="320" w:top="482" w:right="43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82" w:right="4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Revenues primarily consist of retail sales from our Company-owned stores, advertising contributions, royalties and fees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Stores Revenues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4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3"/>
                <w:szCs w:val="13"/>
                <w:color w:val="auto"/>
              </w:rPr>
            </w:pPr>
          </w:p>
        </w:tc>
        <w:tc>
          <w:tcPr>
            <w:tcW w:w="13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4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0" w:type="dxa"/>
            <w:vAlign w:val="bottom"/>
          </w:tcPr>
          <w:p>
            <w:pPr>
              <w:spacing w:after="0"/>
              <w:rPr>
                <w:sz w:val="1"/>
                <w:szCs w:val="1"/>
                <w:color w:val="auto"/>
              </w:rPr>
            </w:pPr>
          </w:p>
        </w:tc>
      </w:tr>
      <w:tr>
        <w:trPr>
          <w:trHeight w:val="173"/>
        </w:trPr>
        <w:tc>
          <w:tcPr>
            <w:tcW w:w="54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of 2020</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of 2019</w:t>
            </w:r>
          </w:p>
        </w:tc>
        <w:tc>
          <w:tcPr>
            <w:tcW w:w="3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Quarters of 2020</w:t>
            </w:r>
          </w:p>
        </w:tc>
        <w:tc>
          <w:tcPr>
            <w:tcW w:w="3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Quarters of 2019</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Company-owned stores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$113.3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$329.8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$323.0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franchise advertising</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U.S. stores</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339.5</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281.1</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975.1</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879.5</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U.S. Company-Owned Stores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Revenues from U.S. Company-owned store operations increased $18.7 million, or 19.8%, in the third quarter of 2020 and increased $6.8 million, or 2.1%, in the three fiscal quarters of 2020 due primarily to same store sales growth. The increase in revenues in the three fiscal quarters of 2020 was partially offset by lower revenues resulting from the 2019 Store Sale. Company-owned same store sales increased 16.6% in the third quarter of 2020 and increased 12.4% in the three fiscal quarters of 2020. Company-owned same store sales increased 1.7% in the third quarter of 2019 and increased 2.3% in the three fiscal quarters of 2019.</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Royalties and Fees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Revenues from U.S. franchise royalties and fees increased $21.1 million, or 21.6%, in the third quarter of 2020 and increased $46.6 million, or 16.1%, in the three fiscal quarters of 2020 due primarily to higher same store sales and an increase in the average number of U.S. franchised stores open during the period due to net store growth. U.S. franchise royalties were negatively impacted by $3.0 million in the three fiscal quarters of 2020 related to funding we provided to our franchisees for an effort to donate 10 million slices of pizza to people and organizations at the frontlines of the COVID-19 pandemic in the franchisees’ local communities. U.S. franchise same store sales increased 17.5% in the third quarter of 2020 and increased 11.6% in the three fiscal quarters of 2020. U.S. franchise same store sales increased 2.5% in the third quarter of 2019 and increased 3.2% in the three fiscal quarters of 2019. U.S. franchise royalties and fees further benefited in both the third quarter and the three fiscal quarters of 2020 from an increase in revenues from fees paid by franchisees for the use of our technology platforms.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Advertising</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Revenues from U.S. franchise advertising increased $18.6 million, or 20.8%, in the third quarter of 2020 and increased $42.3 million, or 15.8%, in the three fiscal quarters of 2020 due primarily to higher same store sales and an increase in the average number of U.S. franchised stores open during the period due to net store growth.</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Supply chain revenues increased $88.6 million, or 18.3%, in the third quarter of 2020 and increased $200.7 million, or 14.1%, in the three fiscal quarters of 2020. These increases were primarily due to higher volumes from increased orders resulting from U.S. franchise retail sales growth. Our market basket pricing to stores increased 3.8% during the third quarter of 2020, which resulted in an estimated $19.7 million increase in supply chain revenues. Our market basket pricing to stores increased 1.9% during the three fiscal quarters of 2020, which resulted in an estimated $28.1 million increase in supply chain revenues.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International Franchise Royalties and Fee Revenues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Revenues from international franchise royalties and fees were flat in the third quarter of 2020 and decreased $3.9 million, or 2.4%, in the three fiscal quarters of 2020. The impact of changes in foreign currency exchange rates negatively impacted revenue from international royalties and fees by $0.7 million in the third quarter of 2020 and $4.3 million in the three fiscal quarters of 2020. Temporary store closures in certain markets and changes in operating procedures and store hours resulting from actions taken to increase social distancing across certain of the markets in which we operate, as well as targeted financial relief provided to certain of our master franchisees due to the COVID-19 pandemic, also had a negative impact on international franchise revenues in the third quarter and three fiscal quarters of 2020. These pressures were partially offset by same store sales growth. Excluding the impact of changes in foreign currency exchange rates, international franchise same store sales increased 6.2% in the third quarter of 2020 and increased 3.0% in the three fiscal quarters of 2020. Excluding the impact of changes in foreign currency exchange rates, international franchise same store sales increased 1.7% in the third quarter of 2019 and increased 2.0% in the three fiscal quarters of 2019.</w:t>
      </w:r>
    </w:p>
    <w:p>
      <w:pPr>
        <w:sectPr>
          <w:pgSz w:w="11900" w:h="16838" w:orient="portrait"/>
          <w:cols w:equalWidth="0" w:num="1">
            <w:col w:w="11140"/>
          </w:cols>
          <w:pgMar w:left="320" w:top="482" w:right="439" w:bottom="1440" w:gutter="0" w:footer="0" w:header="0"/>
        </w:sectPr>
      </w:pP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82" w:right="4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Sales / Operating Margin</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4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5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80" w:type="dxa"/>
            <w:vAlign w:val="bottom"/>
          </w:tcPr>
          <w:p>
            <w:pPr>
              <w:spacing w:after="0"/>
              <w:rPr>
                <w:sz w:val="13"/>
                <w:szCs w:val="13"/>
                <w:color w:val="auto"/>
              </w:rPr>
            </w:pPr>
          </w:p>
        </w:tc>
        <w:tc>
          <w:tcPr>
            <w:tcW w:w="13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w:t>
            </w:r>
          </w:p>
        </w:tc>
      </w:tr>
      <w:tr>
        <w:trPr>
          <w:trHeight w:val="173"/>
        </w:trPr>
        <w:tc>
          <w:tcPr>
            <w:tcW w:w="5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 2020</w:t>
            </w:r>
          </w:p>
        </w:tc>
        <w:tc>
          <w:tcPr>
            <w:tcW w:w="3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 2019</w:t>
            </w:r>
          </w:p>
        </w:tc>
        <w:tc>
          <w:tcPr>
            <w:tcW w:w="3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Quarters of 2020</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Quarters of 2019</w:t>
            </w:r>
          </w:p>
        </w:tc>
        <w:tc>
          <w:tcPr>
            <w:tcW w:w="220" w:type="dxa"/>
            <w:vAlign w:val="bottom"/>
            <w:tcBorders>
              <w:bottom w:val="single" w:sz="8" w:color="CCEEFF"/>
            </w:tcBorders>
          </w:tcPr>
          <w:p>
            <w:pPr>
              <w:spacing w:after="0"/>
              <w:rPr>
                <w:sz w:val="15"/>
                <w:szCs w:val="15"/>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$967.7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$820.8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$2,760.8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2,468.4</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cost of sales</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62.6%</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1,701.6</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1,513.2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w:t>
            </w:r>
          </w:p>
        </w:tc>
      </w:tr>
      <w:tr>
        <w:trPr>
          <w:trHeight w:val="27"/>
        </w:trPr>
        <w:tc>
          <w:tcPr>
            <w:tcW w:w="5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operating margin</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362.0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316.3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1,059.2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955.2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r>
      <w:tr>
        <w:trPr>
          <w:trHeight w:val="20"/>
        </w:trPr>
        <w:tc>
          <w:tcPr>
            <w:tcW w:w="5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Cost of sales consists primarily of Company-owned store and supply chain costs incurred to generate related revenues. Components of consolidated cost of sales primarily include food, labor, delivery and occupancy costs.</w:t>
      </w:r>
    </w:p>
    <w:p>
      <w:pPr>
        <w:spacing w:after="0" w:line="16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Consolidated operating margin (which we define as revenues less cost of sales) increased $45.7 million, or 14.5%, in the third quarter of 2020 and increased $104.0 million, or 10.9%, in the three fiscal quarters of 2020 due primarily to higher U.S. franchise revenues and higher supply chain volumes. Franchise revenues do not have a cost of sales component, so changes in these revenues have a disproportionate effect on the operating margin.</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a percentage of revenues, the consolidated operating margin decreased 1.1 percentage points in the third quarter of 2020 and decreased 0.3 percentage points in the three fiscal quarters of 2020. Company-owned store operating margin decreased 4.5 percentage points in the third quarter of 2020 and decreased 1.6 percentage points in the three fiscal quarters of 2020. Supply chain operating margin decreased 0.6 percentage points in the third quarter of 2020 and remained flat in the three fiscal quarters of 2020. These changes in operating margin are more fully discussed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Company-Owned Stores Operating Margin</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3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3"/>
                <w:szCs w:val="13"/>
                <w:color w:val="auto"/>
              </w:rPr>
            </w:pPr>
          </w:p>
        </w:tc>
        <w:tc>
          <w:tcPr>
            <w:tcW w:w="13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100" w:type="dxa"/>
            <w:vAlign w:val="bottom"/>
          </w:tcPr>
          <w:p>
            <w:pPr>
              <w:spacing w:after="0"/>
              <w:rPr>
                <w:sz w:val="13"/>
                <w:szCs w:val="13"/>
                <w:color w:val="auto"/>
              </w:rPr>
            </w:pPr>
          </w:p>
        </w:tc>
        <w:tc>
          <w:tcPr>
            <w:tcW w:w="12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Fiscal</w:t>
            </w:r>
          </w:p>
        </w:tc>
      </w:tr>
      <w:tr>
        <w:trPr>
          <w:trHeight w:val="173"/>
        </w:trPr>
        <w:tc>
          <w:tcPr>
            <w:tcW w:w="5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of 2020</w:t>
            </w:r>
          </w:p>
        </w:tc>
        <w:tc>
          <w:tcPr>
            <w:tcW w:w="3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 2019</w:t>
            </w:r>
          </w:p>
        </w:tc>
        <w:tc>
          <w:tcPr>
            <w:tcW w:w="3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Quarters of 2020</w:t>
            </w:r>
          </w:p>
        </w:tc>
        <w:tc>
          <w:tcPr>
            <w:tcW w:w="3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Quarters of 2019</w:t>
            </w:r>
          </w:p>
        </w:tc>
        <w:tc>
          <w:tcPr>
            <w:tcW w:w="220" w:type="dxa"/>
            <w:vAlign w:val="bottom"/>
            <w:tcBorders>
              <w:bottom w:val="single" w:sz="8" w:color="CCEEFF"/>
            </w:tcBorders>
          </w:tcPr>
          <w:p>
            <w:pPr>
              <w:spacing w:after="0"/>
              <w:rPr>
                <w:sz w:val="15"/>
                <w:szCs w:val="15"/>
                <w:color w:val="auto"/>
              </w:rPr>
            </w:pPr>
          </w:p>
        </w:tc>
      </w:tr>
      <w:tr>
        <w:trPr>
          <w:trHeight w:val="20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113.3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$94.6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329.8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323.0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80.2%</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71.6</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258.0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3"/>
              </w:rPr>
              <w:t>247.5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76.6%</w:t>
            </w:r>
          </w:p>
        </w:tc>
      </w:tr>
      <w:tr>
        <w:trPr>
          <w:trHeight w:val="27"/>
        </w:trPr>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Store operating margin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23.0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U.S. Company-owned store operating margin (which does not include certain store-level costs such as royalties and advertising) decreased $0.5 million, or 2.2%, in the third quarter of 2020 due primarily to higher labor costs, partially offset by higher same store sales. The U.S. Company-owned store operating margin decreased $3.7 million, or 4.9%, in the three fiscal quarters of 2020 due primarily to the 2019 Store Sale and to a lesser extent, higher labor costs, partially offset by same store sales growth. As a percentage of store revenues, the store operating margin decreased 4.5 percentage points in the third quarter of 2020 and decreased 1.6 percentage points in the three fiscal quarters of 2020. These changes in operating margin as a percentage of revenues are discussed in more detail below.</w:t>
      </w:r>
    </w:p>
    <w:p>
      <w:pPr>
        <w:spacing w:after="0" w:line="93" w:lineRule="exact"/>
        <w:rPr>
          <w:sz w:val="20"/>
          <w:szCs w:val="20"/>
          <w:color w:val="auto"/>
        </w:rPr>
      </w:pPr>
    </w:p>
    <w:p>
      <w:pPr>
        <w:ind w:left="1080" w:right="2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increased 0.1 percentage points to 27.5% in the third quarter of 2020 due to higher food prices, partially offset by the leveraging of higher same store sales. Food costs decreased 0.1 percentage points to 27.0% in the first three fiscal quarters of 2020 due to the leveraging of higher same store sales.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increased 3.7 percentage points to 31.8% in the third quarter of 2020 and increased 1.4 percentage points to 31.0% in the three fiscal quarters of 2020 due primarily to additional compensation expense for frontline team members during the COVID-19 pandemic. In the three fiscal quarters of 2020, these increases were partially offset by reduced labor costs as a percentage of store revenues resulting from the 2019 Store Sale due to the higher labor rates in the market in which the sold stores operated.</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costs decreased 0.8 percentage points to 7.5% in the third quarter of 2020 and decreased 0.4 percentage points to 7.4% in the three fiscal quarters of 2020 due primarily to the leveraging of higher same store sales.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Repairs and maintenance cost increased 0.9 percentage points to 1.8% in the third quarter of 2020 and increased 0.4 percentage points to 1.2% in the three fiscal quarters of 2020 due to preventative maintenance in our stores.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 Operating Margin</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80" w:type="dxa"/>
            <w:vAlign w:val="bottom"/>
          </w:tcPr>
          <w:p>
            <w:pPr>
              <w:spacing w:after="0"/>
              <w:rPr>
                <w:sz w:val="13"/>
                <w:szCs w:val="13"/>
                <w:color w:val="auto"/>
              </w:rPr>
            </w:pPr>
          </w:p>
        </w:tc>
        <w:tc>
          <w:tcPr>
            <w:tcW w:w="13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3"/>
                <w:szCs w:val="13"/>
                <w:color w:val="auto"/>
              </w:rPr>
            </w:pPr>
          </w:p>
        </w:tc>
        <w:tc>
          <w:tcPr>
            <w:tcW w:w="148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Fiscal</w:t>
            </w:r>
          </w:p>
        </w:tc>
        <w:tc>
          <w:tcPr>
            <w:tcW w:w="80" w:type="dxa"/>
            <w:vAlign w:val="bottom"/>
          </w:tcPr>
          <w:p>
            <w:pPr>
              <w:spacing w:after="0"/>
              <w:rPr>
                <w:sz w:val="13"/>
                <w:szCs w:val="13"/>
                <w:color w:val="auto"/>
              </w:rPr>
            </w:pPr>
          </w:p>
        </w:tc>
        <w:tc>
          <w:tcPr>
            <w:tcW w:w="13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Fiscal</w:t>
            </w:r>
          </w:p>
        </w:tc>
      </w:tr>
      <w:tr>
        <w:trPr>
          <w:trHeight w:val="173"/>
        </w:trPr>
        <w:tc>
          <w:tcPr>
            <w:tcW w:w="5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of 2020</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 2019</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Quarters of 2020</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Quarters of 2019</w:t>
            </w:r>
          </w:p>
        </w:tc>
        <w:tc>
          <w:tcPr>
            <w:tcW w:w="220" w:type="dxa"/>
            <w:vAlign w:val="bottom"/>
            <w:tcBorders>
              <w:bottom w:val="single" w:sz="8" w:color="CCEEFF"/>
            </w:tcBorders>
          </w:tcPr>
          <w:p>
            <w:pPr>
              <w:spacing w:after="0"/>
              <w:rPr>
                <w:sz w:val="15"/>
                <w:szCs w:val="15"/>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573.7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485.1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1,625.5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1,424.8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515.0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433.0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1,443.6</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1,265.7</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88.8%</w:t>
            </w:r>
          </w:p>
        </w:tc>
      </w:tr>
      <w:tr>
        <w:trPr>
          <w:trHeight w:val="27"/>
        </w:trPr>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Supply chain operating margin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9"/>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Supply chain operating margin increased $6.5 million, or 12.6%, in the third quarter of 2020 and increased $22.8 million, or 14.3%, in the three fiscal quarters of 2020, primarily driven by higher volumes from increased orders. As a percentage of supply chain revenues, the supply chain operating margin decreased 0.6 percentage points in the third quarter of 2020 and remained flat in the three fiscal quarters of 2020 due primarily to higher food costs, partially offset in the third quarter of 2020 and fully offset in the three fiscal quarters of 2020 by lower labor and delivery costs as a percentage of revenues.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$8.0 million, or 9.5%, in the third quarter of 2020 and increased $5.6 million, or 2.1%, in the three fiscal quarters of 2020, driven by higher variable performance-based compensation expense.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Franchise Advertising Expenses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U.S. franchise advertising expenses increased $18.6 million, or 20.8%, in the third quarter of 2020 and increased $42.3 million, or 15.8%, in the three fiscal quarters of 2020 due to higher U.S. franchise advertising revenues. U.S. franchise advertising costs are accrued and expensed when the related U.S. franchise advertising revenues are recognized, as our consolidated not-for-profit advertising fund is obligated to expend such revenues on advertising and these revenues cannot be used for general corporate purposes.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Interest expense, net increased $5.6 million, or 17.2%, in the third quarter of 2020 and increased $15.9 million, or 15.9%, in the three fiscal quarters of 2020 driven primarily by higher average debt balances resulting from the 2019 Recapitalization and borrowings under the Company’s variable funding notes in the three fiscal quarters of 2020.</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Company’s weighted average borrowing rate decreased to 3.9% in both the third quarter and the three fiscal quarters of 2020, from 4.1% in both the third quarter and the three fiscal quarters of 2019, resulting from the lower interest rates on the debt outstanding in 2020 as compared to the same periods in 2019.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Provision for income taxes increased $0.8 million, or 3.2%, in the third quarter of 2020 due to higher pre-tax income, partially offset by higher excess tax benefits on equity-based compensation, which are recorded as a reduction to the income tax provision. Provision for income taxes decreased $27.8 million, or 51.5%, in the three fiscal quarters of 2020 due primarily to higher excess tax benefits on equity-based compensation, partially offset by higher pre-tax income. The Company recognized $3.4 million in excess tax benefits in the third quarter of 2020 as compared to $1.2 million in the third quarter of 2019 and recognized $56.9 million in excess tax benefits in the three fiscal quarters of 2020 as compared to $19.7 million in the three fiscal quarters of 2019, resulting from a significant increase in stock options exercised in 2020 as compared to 2019. The effective tax rate decreased to 19.9% in the third quarter of 2020 and decreased to 7.2% in the three fiscal quarters of 2020 as compared to 21.7% in the third quarter of 2019 and 16.6% in the three fiscal quarters of 2019.</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September 6, 2020, nearly all of our U.S. stores remained open, with stores deploying contactless delivery and carryout solutions. Based on information reported to us by our master franchisees, we estimate that as of September 6, 2020, there were fewer than 400 international stores temporarily closed.</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discussed further in “Liquidity and Capital Resources”, given the market uncertainty arising from COVID-19, we took a precautionary measure and borrowed $158.0 million under our variable funding notes during the second quarter of 2020. We repaid $100.0 million of these borrowings during the second quarter of 2020 and $58.0 million in the third quarter of 2020. As of September 6, 2020, we had less than $0.1 million outstanding under our variable funding notes.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During the COVID-19 pandemic, we also made certain investments related to safety and cleaning equipment, enhanced sick pay and compensation for frontline team members and support for our franchisees and their communities. While it is not possible at this time to estimate the full continued impact that COVID-19 could have on our business, the continued spread of COVID-19 and the measures taken by the governments of countries affected could disrupt our continuing operations and supply chain and, as a result, could adversely impact our business, financial condition or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Historically, we have operated with minimal positive working capital or negative working capital, primarily because our receivable collection periods and inventory turn rates are faster than the normal payment terms on our current liabilities. We generally collect our receivables within three weeks from the date of the related sale, and we generally experience 35 to 45 inventory turns per year. In addition, our sales are not typically seasonal, which further limits our working capital requirements. The use of our ongoing cash flows from operations to service our debt obligations, invest in our business, pay dividends and repurchase our common stock reduces our working capital amounts. As of September 6, 2020, we had working capital of $301.7 million, excluding restricted cash and cash equivalents of $160.3 million, advertising fund assets, restricted, of $144.3 million and advertising fund liabilities of $138.3 million. Working capital includes total unrestricted cash and cash equivalents of $330.7 million.</w:t>
      </w:r>
    </w:p>
    <w:p>
      <w:pPr>
        <w:spacing w:after="0" w:line="18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During the third quarter and three fiscal quarters of 2020, we experienced increases in both U.S. and international same store sales versus the comparable periods in the prior year. Additionally, our U.S. and international businesses grew store counts in the third quarter and the three fiscal quarters of 2020. These factors contributed to our continued ability to generate positive operating cash flows. We expect to continue to use our unrestricted cash and cash equivalents, cash flows from operations, excess cash from our recapitalization transactions and available borrowings under our variable funding notes to, among other things, fund working capital requirements, invest in our core business, service our indebtedness, pay dividends and repurchase our common stock. We did not have any material commitments for capital expenditures as of September 6, 2020.</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Based upon our current level of operations and anticipated growth, we believe that the cash generated from operations, our current unrestricted cash and cash equivalents and amounts available under our variable funding note facility will be adequate to meet our anticipated debt service requirements, capital expenditures and working capital needs for at least the next twelve months. Our ability to continue to fund these items and continue to reduce debt could be adversely affected by the occurrence of any of the events described under “Risk Factors” in our filings with the Securities and Exchange Commission. There can be no assurance that our business will generate sufficient cash flows from operations or that future borrowings will be available under the variable funding notes or otherwise to enable us to service our indebtedness or to make anticipated capital expenditures. Our future operating performance and our ability to service, extend or refinance our fixed and floating rate notes and to service, extend or refinance our variable funding notes will be subject to future economic conditions and to financial, business and other factors, many of which are beyond our control.</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of September 6, 2020, we had approximately $113.6 million of restricted cash held for future principal and interest payments and other working capital requirements of our asset-backed securitization structure, $46.1 million of restricted cash held in a three-month interest reserve as required by the related debt agreements and $0.6 million of other restricted cash for a total of $160.3 million of restricted cash and cash equivalents. As of September 6, 2020, we also held $118.9 million of advertising fund restricted cash and cash equivalents, which can only be used for activities that promote the Domino’s Pizza brand.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of September 6, 2020, we had approximately $4.11 billion of total debt, of which $43.7 million was classified as a current liability. Our fixed and floating rate notes from the recapitalizations we completed in 2019, 2018, 2017 and 2015 have original scheduled principal payments of</w:t>
      </w:r>
    </w:p>
    <w:p>
      <w:pPr>
        <w:ind w:left="120"/>
        <w:spacing w:after="0" w:line="252" w:lineRule="auto"/>
        <w:rPr>
          <w:sz w:val="20"/>
          <w:szCs w:val="20"/>
          <w:color w:val="auto"/>
        </w:rPr>
      </w:pPr>
      <w:r>
        <w:rPr>
          <w:rFonts w:ascii="Times New Roman" w:cs="Times New Roman" w:eastAsia="Times New Roman" w:hAnsi="Times New Roman"/>
          <w:sz w:val="18"/>
          <w:szCs w:val="18"/>
          <w:color w:val="auto"/>
        </w:rPr>
        <w:t>$10.5 million in the remainder of 2020, $42.0 million in 2021, $897.0 million in 2022, $33.0 million in each of 2023 and 2024, $1.15 billion in 2025, $20.8 million in 2026, $1.28 billion in 2027, $6.8 million in 2028 and $614.3 million in 2029. As of September 6, 2020, we had less than $0.1 million of outstanding borrowings under our variable funding notes and approximately $160.0 million available for borrowing, net of letters of credit issued of $40.0 million. The letters of credit are primarily related to our casualty insurance programs and supply chain center leases. Borrowings under the variable funding notes are available to fund our working capital requirements, capital expenditures and, subject to other limitations, other general corporate purposes including dividend payments and share repurchases.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share repurchase programs have historically been funded by excess operating cash flows, excess proceeds from our recapitalization transactions and borrowings under our variable funding notes. The Company’s Board of Directors authorized a share repurchase program to repurchase up to $1.0 billion of the Company’s common stock on October 4, 2019.</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During the first week of the first quarter of 2020, we repurchased and retired 271,064 shares of our common stock under our Board of Directors-approved share repurchase program for a total of approximately $79.6 million. We did not repurchase and retire any shares of our common stock during the remainder of the first quarter or during the second or third quarters of 2020. As of September 6, 2020, the Company had a total remaining authorized amount for share repurchases of approximately $326.6 million.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During the third quarter of 2019, we repurchased and retired 384,338 shares of our common stock under our Board of Directors-approved share repurchase program for a total of approximately $93.7 million. During the three fiscal quarters of 2019, we repurchased and retired 430,182 shares of our common stock under our Board of Directors-approved share repurchase program for a total of approximately $105.1 million.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On June 30, 2020, the Company paid a $0.78 dividend to its shareholders of record as of June 15, 2020. During the third quarter of 2020, on July 15, 2020, the Company’s Board of Directors declared a $0.78 per share quarterly dividend on its outstanding common stock for shareholders of record as of September 15, 2020, which was paid on September 30, 2020.</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Subsequent to the third quarter, on October 6, 2020, the Company’s Board of Directors declared a $0.78 per share quarterly dividend on its outstanding common stock for shareholders of record as of December 15, 2020 to be paid on December 30, 2020.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illustrates the main components of our cash flows: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46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Fiscal Quarters</w:t>
            </w:r>
          </w:p>
        </w:tc>
        <w:tc>
          <w:tcPr>
            <w:tcW w:w="0" w:type="dxa"/>
            <w:vAlign w:val="bottom"/>
          </w:tcPr>
          <w:p>
            <w:pPr>
              <w:spacing w:after="0"/>
              <w:rPr>
                <w:sz w:val="1"/>
                <w:szCs w:val="1"/>
                <w:color w:val="auto"/>
              </w:rPr>
            </w:pPr>
          </w:p>
        </w:tc>
      </w:tr>
      <w:tr>
        <w:trPr>
          <w:trHeight w:val="160"/>
        </w:trPr>
        <w:tc>
          <w:tcPr>
            <w:tcW w:w="45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2"/>
          </w:tcPr>
          <w:p>
            <w:pPr>
              <w:jc w:val="right"/>
              <w:ind w:right="980"/>
              <w:spacing w:after="0" w:line="160" w:lineRule="exact"/>
              <w:rPr>
                <w:sz w:val="20"/>
                <w:szCs w:val="20"/>
                <w:color w:val="auto"/>
              </w:rPr>
            </w:pPr>
            <w:r>
              <w:rPr>
                <w:rFonts w:ascii="Times New Roman" w:cs="Times New Roman" w:eastAsia="Times New Roman" w:hAnsi="Times New Roman"/>
                <w:sz w:val="14"/>
                <w:szCs w:val="14"/>
                <w:b w:val="1"/>
                <w:bCs w:val="1"/>
                <w:color w:val="auto"/>
              </w:rPr>
              <w:t>of 2020</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of 2019</w:t>
            </w:r>
          </w:p>
        </w:tc>
        <w:tc>
          <w:tcPr>
            <w:tcW w:w="0" w:type="dxa"/>
            <w:vAlign w:val="bottom"/>
          </w:tcPr>
          <w:p>
            <w:pPr>
              <w:spacing w:after="0"/>
              <w:rPr>
                <w:sz w:val="1"/>
                <w:szCs w:val="1"/>
                <w:color w:val="auto"/>
              </w:rPr>
            </w:pP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Provided By (Used In)</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52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(91.1)</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Pr>
          <w:p>
            <w:pPr>
              <w:spacing w:after="0"/>
              <w:rPr>
                <w:sz w:val="18"/>
                <w:szCs w:val="18"/>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(153.6)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changes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5"/>
        </w:trPr>
        <w:tc>
          <w:tcPr>
            <w:tcW w:w="4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Change in cash and cash equivalents, restricted</w:t>
            </w: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520" w:type="dxa"/>
            <w:vAlign w:val="bottom"/>
          </w:tcPr>
          <w:p>
            <w:pPr>
              <w:spacing w:after="0"/>
              <w:rPr>
                <w:sz w:val="20"/>
                <w:szCs w:val="20"/>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Activities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increased $45.8 million in the three fiscal quarters of 2020 due to an increase in net income of $68.0 million and higher non-cash amounts of $6.6 million. These increases were partially offset by a $28.8 million negative impact of changes in operating assets and liabilities in 2020 as compared to 2019, which primarily related to an increase in our inventory and accounts receivable balances, as well as the timing of payments on accounts payable. These operating asset and liability changes were partially offset by an increase in advertising fund assets and liabilities, restricted in 2020 as compared to 2019 due to lower spending of fund assets.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Investing Activities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investing activities was $91.1 million in the three fiscal quarters of 2020, which consisted primarily of capital expenditures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$51.2 million (driven primarily by investments in technological initiatives, supply chain centers and corporate stores) and the investment in Dash Brands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$40.0 million.</w:t>
      </w:r>
    </w:p>
    <w:p>
      <w:pPr>
        <w:spacing w:after="0" w:line="207"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Cash used in investing activities was $3.1 million in the three fiscal quarters of 2019. We used $42.7 million of cash for capital expenditures (driven primarily by investments in technological initiatives and supply chain centers). This use of cash was partially offset by maturities of advertising fund investments, restricted of $30.2 million and proceeds from the sale of assets of $9.7 million, which primarily related to the 2019 Store Sale.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Financing Activities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was $153.6 million in the three fiscal quarters of 2020. We borrowed $158.0 million under our variable funding notes during the three fiscal quarters of 2020 and repaid $190.8 million of long-term debt (of which approximately $158.0 million related to the repayment of borrowings under our variable funding notes). We also repurchased approximately $79.6 million in common stock under our Board of Directors-approved share repurchase program in the first week of 2020, made dividend payments to our shareholders of $61.1 million and made tax payments for restricted stock upon vesting of $6.6 million. These uses of cash were partially offset by proceeds from the exercise of stock options of $26.5 million.</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$246.3 million in the three fiscal quarters of 2019, primarily related to purchases of common stock of $105.1 million under our Board of Directors-approved share repurchase program, repayments of long-term debt of $91.9 million (of which $65.0 million related to the repayment of borrowings under our variable funding notes), dividend payments to our shareholders of $53.6 million and tax payments for restricted stock upon vesting of $5.8 million. These uses of cash were partially offset by proceeds from the exercise of stock options of $10.1 million.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the growth of our U.S. and international business,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2019 Form 10-K and in our Quarterly Reports on Form 10-Q for the quarterly periods ended March 22, 2020 and June 14, 2020.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effectiveness of our advertising, operations and promotional initiatives; the strength of our brand, including our ability to compete in the U.S. and internationally in our intensely competitive industry, including the food service and food delivery markets; our ability to manage difficulties associated with or related to the COVID-19 pandemic and the effects of COVID-19 on our business and supply chain; the impact of social media and other consumer-oriented technologies on our business, brand and reputation; new product, digital ordering and concept developments by us, and other food-industry competitors; the impact of new or improved technologies and alternative methods of delivery on consumer behavior; our ability to maintain good relationships with and attract new franchisees, and franchisees’ ability to profitably manage their operations without negatively impacting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our ability and that of our franchisees to open new restaurants and keep existing restaurants in operation; changes in operating expenses resulting from changes in prices of food (particularly cheese), fuel and other commodity costs, labor, utilities, insurance, employee benefits and other operating costs; the impact that widespread illness, health epidemics or general health concerns, severe weather conditions and natural disasters may have on our business and the economies of the countries where we operate; changes in foreign currency exchange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consumer protection and social media; adverse legal judgments or settlements; food-borne illness or contamination of products; data breaches, power loss, technological failures, user error or other cyber risks threatening us or our franchisees; the effect of war, terrorism, catastrophic events or climate change; our ability to pay dividends and repurchase shares; changes in consumer preferences, spending and traffic patterns and demographic trends; actions by activist investors;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21" w:lineRule="exact"/>
        <w:rPr>
          <w:sz w:val="20"/>
          <w:szCs w:val="20"/>
          <w:color w:val="auto"/>
        </w:rPr>
      </w:pPr>
    </w:p>
    <w:p>
      <w:pPr>
        <w:ind w:left="120" w:right="480" w:firstLine="440"/>
        <w:spacing w:after="0" w:line="258"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In connection with the recapitalizations of our business, we issued fixed and floating rate notes and entered into variable funding notes and, at September 6, 2020, we are exposed to interest rate risk on borrowings under our floating rate notes and variable funding notes. As of September 6, 2020, we had less than $0.1 million of outstanding borrowings under our variable funding notes. Our floating rate notes and our variable funding notes bear interest at fluctuating interest rates based on LIBOR.</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There is currently uncertainty around whether LIBOR will continue to exist after 2021. If LIBOR ceases to exist, we may need to renegotiate our loan documents and we cannot predict what alternative index would be negotiated with our lenders. As a result, our interest expense could increase, in which event we may have difficulties making interest payments and funding our other fixed costs, and our available cash flow for general corporate requirements may be adversely affected.</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fixed rate debt exposes the Company to changes in market interest rates reflected in the fair value of the debt and to the risk that the Company may need to refinance maturing debt with new debt at a higher rate.</w:t>
      </w:r>
    </w:p>
    <w:p>
      <w:pPr>
        <w:spacing w:after="0" w:line="5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We may periodically enter into financial instruments to manage this risk.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U.S., which can adversely impact our net income and cash flows. Approximately 5.6% of our total revenues in the third quarter of 2020, approximately 5.8% of our total revenues in the three fiscal quarters of 2020, approximately 6.7% of our total revenues in the third quarter of 2019 and approximately 6.6% of our total revenues in the three fiscal quarters of 2019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rate risk. A hypothetical 10% adverse change in the foreign currency exchange rates for our international markets would have resulted in a negative impact on royalty revenues of approximately $14.1 million in the three fiscal quarters of 2020.</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Company’s Chief Executive Officer, Richard E. Allison, Jr., and Executive Vice President and Chief Financial Officer, Stuart A. Levy, performed an evaluation of the effectiveness of the Company’s disclosure controls and procedures (as that term is defined in Rules 13a-15(e) and 15d-15(e) under the Securities Exchange Act of 1934, as amended) as of the end of the period covered by this report. Based on that evaluation, Mr. Allison and Mr. Levy concluded that the Company’s disclosure controls and procedures were effective.</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During the quarterly period ended September 6, 2020, there were no changes in the Company’s internal controls over financial reporting, as defined in Rules 13a-15(f) and 15d-15(f) under the Securities and Exchange Act of 1934, as amended, that have materially affected or are reasonably likely to materially affect the Company’s internal control over financial reporting.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as well as intellectual property, including patents.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February 14, 2011, Domino’s Pizza LLC was named as a defendant in a lawsuit along with Fischler Enterprises of C.F., Inc., a franchisee, and Jeffrey S. Kidd, the franchisee’s delivery driver, filed by Yvonne Wiederhold, the plaintiff, as Personal Representative of the Estate of Richard E. Wiederhold, deceased. The case involved a traffic accident in which the franchisee’s delivery driver is alleged to have caused an accident involving a vehicle driven by Richard Wiederhold. Mr. Wiederhold sustained spinal injuries resulting in quadriplegia and passed away several months after the accident. The case went to trial in 2016 and the Company was found liable, but the verdict was reversed by the Florida Fifth District Court of Appeals in May 2018 and was remanded to the Ninth Judicial Circuit Court of Florida for a new trial. The case was tried again in June 2019 and the jury returned a $9.0 million judgment for the plaintiff where the Company and Mr. Kidd were found to be 100% liable (after certain offsets and other deductions the final verdict was $8.0 million). The Company continues to deny liability and has filed an appeal.</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Our operations have been and are expected to continue to be adversely affected by the COVID-19 pandemic, which could adversely affect our business, financial condition and results of operations as well.</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COVID-19 pandemic has spread across the globe and is impacting worldwide economic activity. A public health pandemic such</w:t>
      </w:r>
    </w:p>
    <w:p>
      <w:pPr>
        <w:spacing w:after="0" w:line="27"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as COVID-19 poses the risk that we and/or our employees, franchisees, supply chain centers, suppliers, customers and other partners may be, or may continue to be, prevented from conducting business activities for an indefinite period of time, including due to shutdowns, travel restrictions, social distancing requirements, stay at home orders and advisories and other restrictions that have been or may be suggested or mandated by governmental authorities, or due to the impact of the disease itself on the business’ workforces. In addition, COVID-19 may impact the willingness of customers to purchase food prepared outside of the home. The COVID-19 pandemic may also have the effect of heightening many of the other risks described in the ‘‘Risk Factors’’ section of our 2019 Form 10-K, including but not limited to those relating to our growth strategy, our supply chain and increased food and labor costs, disruption in operations, loss of key employees, our indebtedness, general economic conditions and our international operations.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response to governmental requirements, we and our franchisees have, among other measures, temporarily closed certain of our stores, modified certain stores’ hours and closed locations to in-store dining, and continue to monitor additional developments. We have also made additional operating changes to respond to changes in consumer behavior resulting from COVID-19, including offering contactless delivery and carryout options to our customers. While it is not possible at this time to estimate the full impact that COVID-19 could have on our business going forward, the continued spread of the virus and the measures taken by governments or by us in response have disrupted our operations and could disrupt our supply chain, including our access to face coverings and gloves for use in our operations, which could adversely impact our business, financial condition and results of operations. The COVID-19 pandemic and mitigation measures have also had an adverse impact on global economic conditions, which could have an adverse effect on our business and financial condition. The Company’s sales and operating results may be affected by uncertain or changing economic and market conditions arising in connection with and in response to the COVID-19 pandemic, including inflation, deflation, prolonged weak consumer demand, political instability or other changes. The significance of the operational and financial impact to the Company will depend on how long and widespread the disruptions caused by COVID-19, and the corresponding response to contain the virus and treat those affected by it, prove to be.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4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680" w:type="dxa"/>
            <w:vAlign w:val="bottom"/>
          </w:tcPr>
          <w:p>
            <w:pPr>
              <w:spacing w:after="0"/>
              <w:rPr>
                <w:sz w:val="12"/>
                <w:szCs w:val="12"/>
                <w:color w:val="auto"/>
              </w:rPr>
            </w:pPr>
          </w:p>
        </w:tc>
        <w:tc>
          <w:tcPr>
            <w:tcW w:w="14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86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680" w:type="dxa"/>
            <w:vAlign w:val="bottom"/>
          </w:tcPr>
          <w:p>
            <w:pPr>
              <w:spacing w:after="0"/>
              <w:rPr>
                <w:sz w:val="12"/>
                <w:szCs w:val="12"/>
                <w:color w:val="auto"/>
              </w:rPr>
            </w:pPr>
          </w:p>
        </w:tc>
        <w:tc>
          <w:tcPr>
            <w:tcW w:w="14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720" w:type="dxa"/>
            <w:vAlign w:val="bottom"/>
            <w:vMerge w:val="restart"/>
          </w:tcPr>
          <w:p>
            <w:pPr>
              <w:spacing w:after="0"/>
              <w:rPr>
                <w:sz w:val="14"/>
                <w:szCs w:val="14"/>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860" w:type="dxa"/>
            <w:vAlign w:val="bottom"/>
            <w:gridSpan w:val="3"/>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1540" w:type="dxa"/>
            <w:vAlign w:val="bottom"/>
            <w:gridSpan w:val="3"/>
          </w:tcPr>
          <w:p>
            <w:pPr>
              <w:jc w:val="right"/>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Purchased (1)</w:t>
            </w:r>
          </w:p>
        </w:tc>
        <w:tc>
          <w:tcPr>
            <w:tcW w:w="200" w:type="dxa"/>
            <w:vAlign w:val="bottom"/>
          </w:tcPr>
          <w:p>
            <w:pPr>
              <w:spacing w:after="0"/>
              <w:rPr>
                <w:sz w:val="15"/>
                <w:szCs w:val="15"/>
                <w:color w:val="auto"/>
              </w:rPr>
            </w:pPr>
          </w:p>
        </w:tc>
        <w:tc>
          <w:tcPr>
            <w:tcW w:w="1660" w:type="dxa"/>
            <w:vAlign w:val="bottom"/>
            <w:gridSpan w:val="2"/>
          </w:tcPr>
          <w:p>
            <w:pPr>
              <w:jc w:val="right"/>
              <w:ind w:right="960"/>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Program (2)</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71"/>
        </w:trPr>
        <w:tc>
          <w:tcPr>
            <w:tcW w:w="31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Period #7 (June 15, 2020 to</w:t>
            </w: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12, 2020)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1,040</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374.76</w:t>
            </w: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326,552</w:t>
            </w:r>
          </w:p>
        </w:tc>
        <w:tc>
          <w:tcPr>
            <w:tcW w:w="0" w:type="dxa"/>
            <w:vAlign w:val="bottom"/>
          </w:tcPr>
          <w:p>
            <w:pPr>
              <w:spacing w:after="0"/>
              <w:rPr>
                <w:sz w:val="1"/>
                <w:szCs w:val="1"/>
                <w:color w:val="auto"/>
              </w:rPr>
            </w:pPr>
          </w:p>
        </w:tc>
      </w:tr>
      <w:tr>
        <w:trPr>
          <w:trHeight w:val="198"/>
        </w:trPr>
        <w:tc>
          <w:tcPr>
            <w:tcW w:w="3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Period #8 (July 13, 2020 to</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August 9, 2020)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1,548</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394.08</w:t>
            </w: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326,552</w:t>
            </w:r>
          </w:p>
        </w:tc>
        <w:tc>
          <w:tcPr>
            <w:tcW w:w="0" w:type="dxa"/>
            <w:vAlign w:val="bottom"/>
          </w:tcPr>
          <w:p>
            <w:pPr>
              <w:spacing w:after="0"/>
              <w:rPr>
                <w:sz w:val="1"/>
                <w:szCs w:val="1"/>
                <w:color w:val="auto"/>
              </w:rPr>
            </w:pPr>
          </w:p>
        </w:tc>
      </w:tr>
      <w:tr>
        <w:trPr>
          <w:trHeight w:val="198"/>
        </w:trPr>
        <w:tc>
          <w:tcPr>
            <w:tcW w:w="3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Period #9 (August 10, 2020 to</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6, 2020)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1,540</w:t>
            </w: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410.67</w:t>
            </w: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326,552</w:t>
            </w:r>
          </w:p>
        </w:tc>
        <w:tc>
          <w:tcPr>
            <w:tcW w:w="0" w:type="dxa"/>
            <w:vAlign w:val="bottom"/>
          </w:tcPr>
          <w:p>
            <w:pPr>
              <w:spacing w:after="0"/>
              <w:rPr>
                <w:sz w:val="1"/>
                <w:szCs w:val="1"/>
                <w:color w:val="auto"/>
              </w:rPr>
            </w:pPr>
          </w:p>
        </w:tc>
      </w:tr>
      <w:tr>
        <w:trPr>
          <w:trHeight w:val="22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395.40</w:t>
            </w:r>
          </w:p>
        </w:tc>
        <w:tc>
          <w:tcPr>
            <w:tcW w:w="680" w:type="dxa"/>
            <w:vAlign w:val="bottom"/>
          </w:tcPr>
          <w:p>
            <w:pPr>
              <w:spacing w:after="0"/>
              <w:rPr>
                <w:sz w:val="19"/>
                <w:szCs w:val="19"/>
                <w:color w:val="auto"/>
              </w:rPr>
            </w:pPr>
          </w:p>
        </w:tc>
        <w:tc>
          <w:tcPr>
            <w:tcW w:w="146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60" w:hanging="424"/>
        <w:spacing w:after="0" w:line="261"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4,128 shares in the third quarter of 2020 were purchased as part of the Company’s employee stock payroll deduction plan at an average price of $395.40.</w:t>
      </w:r>
    </w:p>
    <w:p>
      <w:pPr>
        <w:ind w:left="540" w:right="120" w:hanging="424"/>
        <w:spacing w:after="0" w:line="253"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6, 2020, the Company had a Board of Directors-approved share repurchase program for up to $1.0 billion of our common stock, of which $326.6 million remained available for future purchases of our common stock. 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0" w:type="dxa"/>
            <w:vAlign w:val="bottom"/>
            <w:gridSpan w:val="7"/>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24"/>
                <w:szCs w:val="24"/>
                <w:color w:val="auto"/>
              </w:rPr>
            </w:pPr>
          </w:p>
        </w:tc>
        <w:tc>
          <w:tcPr>
            <w:tcW w:w="9920" w:type="dxa"/>
            <w:vAlign w:val="bottom"/>
            <w:tcBorders>
              <w:top w:val="single" w:sz="8" w:color="auto"/>
            </w:tcBorders>
            <w:gridSpan w:val="9"/>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Employment Agreement dated as of August 3, 2020 between Domino’s Pizza LLC and Stuart A. Levy.</w:t>
              </w:r>
            </w:hyperlink>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00" w:type="dxa"/>
            <w:vAlign w:val="bottom"/>
          </w:tcPr>
          <w:p>
            <w:pPr>
              <w:spacing w:after="0"/>
              <w:rPr>
                <w:sz w:val="24"/>
                <w:szCs w:val="24"/>
                <w:color w:val="auto"/>
              </w:rPr>
            </w:pPr>
          </w:p>
        </w:tc>
        <w:tc>
          <w:tcPr>
            <w:tcW w:w="96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Certification by Richard E. Allison, Jr. pursuant to Rule 13a-14(a) and 15d-14(a), as adopted pursuant to Section 302 of the Sarbanes-</w:t>
              </w:r>
            </w:hyperlink>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9"/>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Oxley Act of 2002, relating to Domino’s Pizza, Inc.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spacing w:after="0"/>
              <w:rPr>
                <w:sz w:val="24"/>
                <w:szCs w:val="24"/>
                <w:color w:val="auto"/>
              </w:rPr>
            </w:pPr>
          </w:p>
        </w:tc>
        <w:tc>
          <w:tcPr>
            <w:tcW w:w="9920" w:type="dxa"/>
            <w:vAlign w:val="bottom"/>
            <w:gridSpan w:val="9"/>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Certification by Stuart A. Levy pursuant to Rule 13a-14(a) and 15d-14(a), as adopted pursuant to Section 302 of the Sarbanes-Oxley Act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of 2002, relating to Domino’s Pizza, Inc.</w:t>
              </w:r>
            </w:hyperlink>
          </w:p>
        </w:tc>
        <w:tc>
          <w:tcPr>
            <w:tcW w:w="6900" w:type="dxa"/>
            <w:vAlign w:val="bottom"/>
            <w:tcBorders>
              <w:top w:val="single" w:sz="8" w:color="0000EE"/>
            </w:tcBorders>
            <w:gridSpan w:val="6"/>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24"/>
                <w:szCs w:val="24"/>
                <w:color w:val="auto"/>
              </w:rPr>
            </w:pPr>
          </w:p>
        </w:tc>
        <w:tc>
          <w:tcPr>
            <w:tcW w:w="9920" w:type="dxa"/>
            <w:vAlign w:val="bottom"/>
            <w:gridSpan w:val="9"/>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Certification by Richard E. Allison, Jr. pursuant to Section 1350, Chapter 63 of Title 18, United States Code, as adopted pursuant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Section 906 of the Sarbanes-Oxley Act of 2002, relating to Domino’s Pizza, Inc.</w:t>
              </w:r>
            </w:hyperlink>
          </w:p>
        </w:tc>
        <w:tc>
          <w:tcPr>
            <w:tcW w:w="3680" w:type="dxa"/>
            <w:vAlign w:val="bottom"/>
            <w:tcBorders>
              <w:top w:val="single" w:sz="8" w:color="0000EE"/>
            </w:tcBorders>
          </w:tcPr>
          <w:p>
            <w:pPr>
              <w:spacing w:after="0"/>
              <w:rPr>
                <w:sz w:val="17"/>
                <w:szCs w:val="17"/>
                <w:color w:val="auto"/>
              </w:rPr>
            </w:pPr>
          </w:p>
        </w:tc>
        <w:tc>
          <w:tcPr>
            <w:tcW w:w="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24"/>
                <w:szCs w:val="24"/>
                <w:color w:val="auto"/>
              </w:rPr>
            </w:pPr>
          </w:p>
        </w:tc>
        <w:tc>
          <w:tcPr>
            <w:tcW w:w="98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Certification by Stuart A. Levy pursuant to Section 1350, Chapter 63 of Title 18, United States Code, as adopted pursuant to Section 906</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of the Sarbanes-Oxley Act of 2002, relating to Domino’s Pizza, Inc.</w:t>
              </w:r>
            </w:hyperlink>
          </w:p>
        </w:tc>
        <w:tc>
          <w:tcPr>
            <w:tcW w:w="50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140"/>
          </w:cols>
          <w:pgMar w:left="320" w:top="482" w:right="43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DOMINO’S PIZZA, INC.</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120"/>
        <w:spacing w:after="0"/>
        <w:tabs>
          <w:tab w:leader="none" w:pos="5840" w:val="left"/>
        </w:tabs>
        <w:rPr>
          <w:sz w:val="20"/>
          <w:szCs w:val="20"/>
          <w:color w:val="auto"/>
        </w:rPr>
      </w:pPr>
      <w:r>
        <w:rPr>
          <w:rFonts w:ascii="Times New Roman" w:cs="Times New Roman" w:eastAsia="Times New Roman" w:hAnsi="Times New Roman"/>
          <w:sz w:val="18"/>
          <w:szCs w:val="18"/>
          <w:color w:val="auto"/>
        </w:rPr>
        <w:t>Date: October 8, 2020</w:t>
      </w:r>
      <w:r>
        <w:rPr>
          <w:sz w:val="20"/>
          <w:szCs w:val="20"/>
          <w:color w:val="auto"/>
        </w:rPr>
        <w:tab/>
      </w:r>
      <w:r>
        <w:rPr>
          <w:rFonts w:ascii="Times New Roman" w:cs="Times New Roman" w:eastAsia="Times New Roman" w:hAnsi="Times New Roman"/>
          <w:sz w:val="17"/>
          <w:szCs w:val="17"/>
          <w:color w:val="auto"/>
        </w:rPr>
        <w:t>/s/ Stuart A.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Stuart A. Levy</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20"/>
          </w:cols>
          <w:pgMar w:left="320" w:top="482" w:right="75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29"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Amended and Restated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August 3, 2020 and will become effective as of 12:00 AM Midnight on August 20, 2020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Domino’s Pizza LLC, a Michigan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one hand, and Stuart A. Levy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on the other hand.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52" w:lineRule="exact"/>
        <w:rPr>
          <w:sz w:val="20"/>
          <w:szCs w:val="20"/>
          <w:color w:val="auto"/>
        </w:rPr>
      </w:pPr>
    </w:p>
    <w:p>
      <w:pPr>
        <w:ind w:left="960" w:right="14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is currently employed by the Company as its Executive Vice President, Supply Chain Services pursuant to the terms of the Employment Agreement dated December 21, 2018.</w:t>
      </w:r>
    </w:p>
    <w:p>
      <w:pPr>
        <w:spacing w:after="0" w:line="67" w:lineRule="exact"/>
        <w:rPr>
          <w:rFonts w:ascii="Times New Roman" w:cs="Times New Roman" w:eastAsia="Times New Roman" w:hAnsi="Times New Roman"/>
          <w:sz w:val="18"/>
          <w:szCs w:val="18"/>
          <w:color w:val="auto"/>
        </w:rPr>
      </w:pPr>
    </w:p>
    <w:p>
      <w:pPr>
        <w:ind w:left="960" w:right="76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the Company wishes to employ the Executive in a new role as its Executive Vice President, Chief Financial Officer, and Executive wishes to accept such new role and terms of his employment.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for valid consideration received, the parties agree as follows:</w:t>
      </w:r>
    </w:p>
    <w:p>
      <w:pPr>
        <w:spacing w:after="0" w:line="131" w:lineRule="exact"/>
        <w:rPr>
          <w:sz w:val="20"/>
          <w:szCs w:val="20"/>
          <w:color w:val="auto"/>
        </w:rPr>
      </w:pPr>
    </w:p>
    <w:p>
      <w:pPr>
        <w:ind w:left="960" w:right="160" w:hanging="53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Subject to the terms and conditions set forth in this Agreement, the Company offers and the Executive accepts employment hereunder effective as of the Effective Date.</w:t>
      </w:r>
    </w:p>
    <w:p>
      <w:pPr>
        <w:spacing w:after="0" w:line="67"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commence on the Effective Date and shall remain in effect for an indefinite time until terminated by either party as set forth in Section 5 hereof (the term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Capacity and Performance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2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Offices</w:t>
      </w:r>
      <w:r>
        <w:rPr>
          <w:rFonts w:ascii="Times New Roman" w:cs="Times New Roman" w:eastAsia="Times New Roman" w:hAnsi="Times New Roman"/>
          <w:sz w:val="18"/>
          <w:szCs w:val="18"/>
          <w:color w:val="auto"/>
        </w:rPr>
        <w:t>. During the Term, the Executive shall serve the Company as its Executive Vice President, Chief Financial Officer. The Executive shall have such other powers, duties and responsibilities consistent with the Executive’s position as Executive Vice President, Chief Financial Officer as may from time to time be prescribed by the Chief Executive Officer of the Company (the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80" w:right="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Performance</w:t>
      </w:r>
      <w:r>
        <w:rPr>
          <w:rFonts w:ascii="Times New Roman" w:cs="Times New Roman" w:eastAsia="Times New Roman" w:hAnsi="Times New Roman"/>
          <w:sz w:val="17"/>
          <w:szCs w:val="17"/>
          <w:color w:val="auto"/>
        </w:rPr>
        <w:t>. During the Term, the Executive shall be employed by the Company on a full-time basis and shall perform and discharge, faithfully, diligently and to the best of his/her ability, his/her duties and responsibilities hereunder. During the Term, the Executive shall devote his/her full business time exclusively to the advancement of the business and interests of the Company and its Affiliates and to</w:t>
      </w:r>
    </w:p>
    <w:p>
      <w:pPr>
        <w:sectPr>
          <w:pgSz w:w="11900" w:h="16838" w:orient="portrait"/>
          <w:cols w:equalWidth="0" w:num="1">
            <w:col w:w="11020"/>
          </w:cols>
          <w:pgMar w:left="440" w:top="117" w:right="439" w:bottom="1440" w:gutter="0" w:footer="0" w:header="0"/>
        </w:sectPr>
      </w:pPr>
    </w:p>
    <w:bookmarkStart w:id="29" w:name="page30"/>
    <w:bookmarkEnd w:id="29"/>
    <w:p>
      <w:pPr>
        <w:ind w:left="560"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discharge of his/her duties and responsibilities hereunder. The Executive shall not engage in any other business activity or serve in any industry, trade, professional, governmental, political, charitable or academic position during the Term, except for such directorships or other positions which he/she currently holds and has disclosed to the CEO on Exhibit A hereof and except as otherwise may be approved in advance by the CEO.</w:t>
      </w:r>
    </w:p>
    <w:p>
      <w:pPr>
        <w:spacing w:after="0" w:line="85" w:lineRule="exact"/>
        <w:rPr>
          <w:sz w:val="20"/>
          <w:szCs w:val="20"/>
          <w:color w:val="auto"/>
        </w:rPr>
      </w:pPr>
    </w:p>
    <w:p>
      <w:pPr>
        <w:ind w:left="540" w:right="420" w:hanging="532"/>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During the Term, as compensation for all services performed by the Executive under this Agreement and subject to performance of the Executive’s duties and obligations to the Company and its Affiliates, pursuant to this Agreement or otherwise, the Executive shall receive the following:</w:t>
      </w:r>
    </w:p>
    <w:p>
      <w:pPr>
        <w:spacing w:after="0" w:line="67" w:lineRule="exact"/>
        <w:rPr>
          <w:rFonts w:ascii="Times New Roman" w:cs="Times New Roman" w:eastAsia="Times New Roman" w:hAnsi="Times New Roman"/>
          <w:sz w:val="18"/>
          <w:szCs w:val="18"/>
          <w:color w:val="auto"/>
        </w:rPr>
      </w:pPr>
    </w:p>
    <w:p>
      <w:pPr>
        <w:ind w:left="56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Term, the Company shall pay the Executive a base salary at the rate of Four Hundred and Seventy Five Thousand Dollars ($475,000) per year, payable in accordance with the payroll practices of the Company for its executives and subject to such increases as the Board of Directors of the Company or the Compensation Committee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 its sole discretion may determine from time to time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Bonus Compensation</w:t>
      </w:r>
      <w:r>
        <w:rPr>
          <w:rFonts w:ascii="Times New Roman" w:cs="Times New Roman" w:eastAsia="Times New Roman" w:hAnsi="Times New Roman"/>
          <w:sz w:val="18"/>
          <w:szCs w:val="18"/>
          <w:color w:val="auto"/>
        </w:rPr>
        <w:t>. During the Term, the Executive shall participate in the Company’s Senior Executive Annual Incentive Plan or such other annual bonus plan maintained by the Company for its executives, as it may be amended from time to time pursuant to the terms thereof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shall be eligible for annual bonus awards thereunder (each annual bonus award, a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For purposes of the Plan, the Executive shall be eligible for a Bonus, and the Executive’s specified percentage (the “Specified Percentage”) for such Bonus shall initially be one hundred percent (100%) of Base Salary and shall thereafter be established annually by the Board of Directors (the “Board”) or, if the Board delegates the Specified Percentage determination process to a Committee of the Board, by such Committee. In the event the Board or Committee does not approve the Executive’s Specified Percentage within ninety (90) days of the beginning of a fiscal year, such Specified Percentage shall be the same as the immediately preceding year. Whenever any Bonus payable to the Executive is stated in this Agreement to be prorated for any period of service less than a full year, such Bonus shall be prorated by multiplying (x) the amount of the Bonus otherwise earned and payable for the applicable fiscal year in accordance with this Sub-Section 4.2 by (y) a fraction, the denominator of which shall be three hundred and sixty five (365) and the numerator of which shall be the number of days during the applicable fiscal year for which the Executive was employed by the Company as its Executive Vice President, Chief Financial Officer. The Executive agrees and understands that any prorated Bonus payments will be made only after determination of the achievement of the applicable Performance Measures (as defined in the Plan or other performance objectives associated with the Bonus) by the Board or the Compensation Committee in accordance with the terms of the Plan.</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60" w:top="270"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compensation paid to the Executive as a Bonus shall be in addition to the Base Salary.</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Paid Time Off (PTO)</w:t>
      </w:r>
      <w:r>
        <w:rPr>
          <w:rFonts w:ascii="Times New Roman" w:cs="Times New Roman" w:eastAsia="Times New Roman" w:hAnsi="Times New Roman"/>
          <w:sz w:val="18"/>
          <w:szCs w:val="18"/>
          <w:color w:val="auto"/>
        </w:rPr>
        <w:t>. During the Term, the Executive shall be entitled to four (4) weeks of vacation per calendar year, to be taken at such times and intervals as shall be determined by the Executive, subject to the reasonable business needs of the Company. The Executive may not accumulate or carry over from one (1) calendar year to another any unused, accrued vacation time. The Executive shall not be entitled to compensation for vacation time not taken. In addition, the Executive shall be entitled to five (5) days of emergency/medical PTO per calendar year.</w:t>
      </w:r>
    </w:p>
    <w:p>
      <w:pPr>
        <w:spacing w:after="0" w:line="7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During the Term and subject to any contribution therefor required of executives of the Company generally, the Executive shall be entitled to participate in all employee benefit plans, including without limitation any 401(k) plan, from time to time adopted by the Board and in effect for executives of the Company generally (except to the extent such plans are in a category of benefit otherwise provided the Executive hereunder). Such participation shall be subject to (i) the terms of the applicable plan documents and</w:t>
      </w:r>
    </w:p>
    <w:p>
      <w:pPr>
        <w:spacing w:after="0" w:line="3" w:lineRule="exact"/>
        <w:rPr>
          <w:sz w:val="20"/>
          <w:szCs w:val="20"/>
          <w:color w:val="auto"/>
        </w:rPr>
      </w:pPr>
    </w:p>
    <w:p>
      <w:pPr>
        <w:ind w:right="280" w:firstLine="7"/>
        <w:spacing w:after="0" w:line="253"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applicable policies of the Company. The Company may alter, modify, add to or delete any aspects of its employee benefit plans at any time as the Board, in its sole judgment, determines to be appropriate. Additionally, the Executive shall receive a standard relocation package at the beginning of the Executive’s employment for relocation of Executive to the Ann Arbor, Michigan area, in accordance with the Company’s policies in relation to its executive officers.</w:t>
      </w:r>
    </w:p>
    <w:p>
      <w:pPr>
        <w:spacing w:after="0" w:line="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The Company shall pay or reimburse the Executive for all reasonable business expenses, including without limitation the cost of first class air travel and dues for industry-related association memberships, incurred or paid by the Executive in the performance of his/her duties and responsibilities hereunder, subject to (i) any expense policy of the Company set by the Board from time to time, including without limitation any portion thereof intended to comply with Section 409A of the Internal Revenue Code of 1986, as amended, and the regulations and other guidance thereunder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and (ii) such reasonable substantiation and documentation requirements as may be specified by the Board or the CEO from time to time.</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Airline Clubs</w:t>
      </w:r>
      <w:r>
        <w:rPr>
          <w:rFonts w:ascii="Times New Roman" w:cs="Times New Roman" w:eastAsia="Times New Roman" w:hAnsi="Times New Roman"/>
          <w:sz w:val="18"/>
          <w:szCs w:val="18"/>
          <w:color w:val="auto"/>
        </w:rPr>
        <w:t>. Upon receiving the prior written approval of the CEO authorizing the Executive to join a particular airline club, the Company shall pay or reimburse the Executive for dues for not less than two (2) nor more than four (4) airline clubs, provided that such club memberships serve a direct business purpose and subject to such reasonable substantiation and documentation requirements as to cost and purpose as may be specified by the Company from time to time.</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00"/>
          </w:cols>
          <w:pgMar w:left="1420" w:top="270" w:right="479" w:bottom="1440" w:gutter="0" w:footer="0" w:header="0"/>
        </w:sectPr>
      </w:pPr>
    </w:p>
    <w:bookmarkStart w:id="31" w:name="page32"/>
    <w:bookmarkEnd w:id="31"/>
    <w:p>
      <w:pPr>
        <w:jc w:val="both"/>
        <w:ind w:left="56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Physicals</w:t>
      </w:r>
      <w:r>
        <w:rPr>
          <w:rFonts w:ascii="Times New Roman" w:cs="Times New Roman" w:eastAsia="Times New Roman" w:hAnsi="Times New Roman"/>
          <w:sz w:val="18"/>
          <w:szCs w:val="18"/>
          <w:color w:val="auto"/>
        </w:rPr>
        <w:t>. During the Term, the Company shall annually pay for or reimburse the Executive for the cost of a physical examination and health evaluation performed by a licensed medical doctor, subject to such reasonable substantiation and documentation requirements as to cost as may be specified by the Board or the Company from time to time.</w:t>
      </w:r>
    </w:p>
    <w:p>
      <w:pPr>
        <w:spacing w:after="0" w:line="81" w:lineRule="exact"/>
        <w:rPr>
          <w:sz w:val="20"/>
          <w:szCs w:val="20"/>
          <w:color w:val="auto"/>
        </w:rPr>
      </w:pPr>
    </w:p>
    <w:p>
      <w:pPr>
        <w:ind w:left="540" w:hanging="532"/>
        <w:spacing w:after="0" w:line="255"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and Severance Benefits</w:t>
      </w:r>
      <w:r>
        <w:rPr>
          <w:rFonts w:ascii="Times New Roman" w:cs="Times New Roman" w:eastAsia="Times New Roman" w:hAnsi="Times New Roman"/>
          <w:sz w:val="18"/>
          <w:szCs w:val="18"/>
          <w:color w:val="auto"/>
        </w:rPr>
        <w:t>. The Executive’s employment hereunder shall continue until terminated under the circumstances described in this Section 5. All references herein to termination of employment, separation from service and similar or correlative terms, insofar as they are relevant to the payment of any benefit that could constitute nonqualified deferred compensation subject to Section 409A, shall be construed to require a “separation from service” within the meaning of Section 409A (after giving effect to the presumptions contained therein), and the Company and the Executive shall use reasonable efforts to take all steps necessary (including with regard to any post-termination services by the Executive) to ensure that any such termination constitutes a “separation from service” as so defined.</w:t>
      </w:r>
    </w:p>
    <w:p>
      <w:pPr>
        <w:spacing w:after="0" w:line="80" w:lineRule="exact"/>
        <w:rPr>
          <w:rFonts w:ascii="Times New Roman" w:cs="Times New Roman" w:eastAsia="Times New Roman" w:hAnsi="Times New Roman"/>
          <w:sz w:val="18"/>
          <w:szCs w:val="18"/>
          <w:color w:val="auto"/>
        </w:rPr>
      </w:pPr>
    </w:p>
    <w:p>
      <w:pPr>
        <w:ind w:left="56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Retirement or Death</w:t>
      </w:r>
      <w:r>
        <w:rPr>
          <w:rFonts w:ascii="Times New Roman" w:cs="Times New Roman" w:eastAsia="Times New Roman" w:hAnsi="Times New Roman"/>
          <w:sz w:val="18"/>
          <w:szCs w:val="18"/>
          <w:color w:val="auto"/>
        </w:rPr>
        <w:t>. In the event of the Executive’s retirement or death during the Term, the Executive’s employment hereunder shall immediately and automatically terminate. In the event of the Executive’s retirement after the age of 65 with the prior consent of the Board or death during the Term, the Company shall pay to the Executive (or in the case of death, the Executive’s designated beneficiary (or, if no beneficiary has been designated by the Executive, to Executive’s estate) within thirty (30) days following death (or at such earlier time as may be required by applicable law), any Base Salary earned but unpaid through the date of such retirement or death, and any Bonus for the fiscal year preceding the year in which such retirement or death occurs that was earned but has not yet been paid and, at the times the Company pays its executives bonuses in accordance with its general payroll policies, but no later than two and one half (2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months following the fiscal year in which earned, an amount equal to that portion of any Bonus earned but unpaid during the fiscal year of such retirement or death (prorated in accordance with Section 4.2).</w:t>
      </w:r>
    </w:p>
    <w:p>
      <w:pPr>
        <w:spacing w:after="0" w:line="9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00"/>
        <w:spacing w:after="0" w:line="256" w:lineRule="auto"/>
        <w:rPr>
          <w:sz w:val="20"/>
          <w:szCs w:val="20"/>
          <w:color w:val="auto"/>
        </w:rPr>
      </w:pPr>
      <w:r>
        <w:rPr>
          <w:rFonts w:ascii="Times New Roman" w:cs="Times New Roman" w:eastAsia="Times New Roman" w:hAnsi="Times New Roman"/>
          <w:sz w:val="18"/>
          <w:szCs w:val="18"/>
          <w:color w:val="auto"/>
        </w:rPr>
        <w:t>5.2.1 The Company may terminate the Executive’s employment hereunder, upon notice to the Executive, in the event that the Executive becomes disabled during his/her employment hereunder through any illness, injury, accident or condition of either a physical or psychological nature and, as a result, is unable to perform substantially all of his/her duties and responsibilities hereunder for an aggregate of one hundred twenty (120) days during any period of three hundred sixty-five (365) consecutive calendar days; provided, that if the Executive incurs a leave of absence due to any medically determinable physical or mental impairment that can be expected to result in death or can be expected to last for a continuous period of not less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60" w:top="270" w:right="459" w:bottom="1440" w:gutter="0" w:footer="0" w:header="0"/>
        </w:sectPr>
      </w:pPr>
    </w:p>
    <w:bookmarkStart w:id="32" w:name="page33"/>
    <w:bookmarkEnd w:id="32"/>
    <w:p>
      <w:pPr>
        <w:ind w:left="420" w:right="1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than six (6) months, the Executive, unless he/she earlier returns to service (at a level of service inconsistent with a separation from service under Section 409A) or his/her employment is earlier terminated, shall in all events be deemed to have separated from service not later than by the end of the twenty- ninth (29th) month, commencing with the commencement of such leave of absence.</w:t>
      </w:r>
    </w:p>
    <w:p>
      <w:pPr>
        <w:spacing w:after="0" w:line="50" w:lineRule="exact"/>
        <w:rPr>
          <w:sz w:val="20"/>
          <w:szCs w:val="20"/>
          <w:color w:val="auto"/>
        </w:rPr>
      </w:pPr>
    </w:p>
    <w:p>
      <w:pPr>
        <w:ind w:left="420" w:right="40"/>
        <w:spacing w:after="0" w:line="241" w:lineRule="auto"/>
        <w:rPr>
          <w:sz w:val="20"/>
          <w:szCs w:val="20"/>
          <w:color w:val="auto"/>
        </w:rPr>
      </w:pPr>
      <w:r>
        <w:rPr>
          <w:rFonts w:ascii="Times New Roman" w:cs="Times New Roman" w:eastAsia="Times New Roman" w:hAnsi="Times New Roman"/>
          <w:sz w:val="18"/>
          <w:szCs w:val="18"/>
          <w:color w:val="auto"/>
        </w:rPr>
        <w:t xml:space="preserve">5.2.2 The Board may designate another employee to act in the Executive’s place during any period of the Executive’s disability. Notwithstanding any such designation, the Executive shall continue to receive the Base Salary in accordance with Section 4.1 and to receive benefits in accordance with Section 4.5, to the extent permitted by the then current terms of the applicable benefit plans and applicable law, until the Executive becomes disabled within the meaning of Section 409A or until the termination of his/her employment, whichever shall first occur. Upon becoming so disabled, or upon such termination, whichever shall first occur, the Company shall promptly and in all events within thirty (30) days (or at such earlier time as may be required by applicable law), pay to the Executive any Base Salary earned but unpaid through the date of such eligibility or termination and any Bonus for the fiscal year preceding the year of such eligibility or termination that was earned but unpaid. At the times the Company pays its executives bonuses generally, but no later than two and one half (2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months after the end of the fiscal year in which the Bonus is earned, the Company shall pay the Executive an amount equal to that portion of any Bonus earned but unpaid during the fiscal year of such eligibility or termination (prorated in accordance with Section 4.2). During the eighteen (18)-month period from the date of such disability (as determined under Section 409A), the Company shall pay the Executive, at its regular pay periods, an amount equal to the difference between the Base Salary and the amounts of any disability income benefits that the Executive receives in respect of such period.</w:t>
      </w:r>
    </w:p>
    <w:p>
      <w:pPr>
        <w:spacing w:after="0" w:line="95" w:lineRule="exact"/>
        <w:rPr>
          <w:sz w:val="20"/>
          <w:szCs w:val="20"/>
          <w:color w:val="auto"/>
        </w:rPr>
      </w:pPr>
    </w:p>
    <w:p>
      <w:pPr>
        <w:ind w:left="420"/>
        <w:spacing w:after="0" w:line="255" w:lineRule="auto"/>
        <w:rPr>
          <w:sz w:val="20"/>
          <w:szCs w:val="20"/>
          <w:color w:val="auto"/>
        </w:rPr>
      </w:pPr>
      <w:r>
        <w:rPr>
          <w:rFonts w:ascii="Times New Roman" w:cs="Times New Roman" w:eastAsia="Times New Roman" w:hAnsi="Times New Roman"/>
          <w:sz w:val="18"/>
          <w:szCs w:val="18"/>
          <w:color w:val="auto"/>
        </w:rPr>
        <w:t>5.2.3 Except as provided in Section 5.2.2, while receiving disability income payments under any disability income plan maintained by the Company, the Executive shall not be entitled to receive any Base Salary under Section 4.1 or Bonus payments under Section 4.2 but shall continue to participate in benefit plans of the Company in accordance with Section 4.4 and the terms of such plans and applicable law, until the termination of his/her employment. During the eighteen (18)-month period from the date of disability (as determined under Section 409A) or termination, whichever shall first occur, the Company shall contribute to the cost of the Executive’s participation in group medical plans of the Company, provided that the Executive is entitled to continue such participation under applicable law and plan terms.</w:t>
      </w:r>
    </w:p>
    <w:p>
      <w:pPr>
        <w:spacing w:after="0" w:line="1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00"/>
          </w:cols>
          <w:pgMar w:left="1440" w:top="270" w:right="459" w:bottom="1440" w:gutter="0" w:footer="0" w:header="0"/>
        </w:sectPr>
      </w:pPr>
    </w:p>
    <w:bookmarkStart w:id="33" w:name="page34"/>
    <w:bookmarkEnd w:id="33"/>
    <w:p>
      <w:pPr>
        <w:ind w:left="440"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5.2.4 If any question shall arise as to whether during any period the Executive is disabled through any illness, injury, accident or condition of either a physical or psychological nature so as to be unable to perform substantially all of his/her duties and responsibilities hereunder, or for purposes of Section 409A, the Executive may, and at the request of the Company shall, submit to a medical examination by a physician selected by the Company to whom the Executive or his/her duly appointed guardian, if any, has no reasonable objection, to determine whether the Executive is so disabled and such determination shall for the purposes of this Agreement be conclusive of the issue. If such question shall arise and the Executive shall fail to submit to such medical examination, the Board’s determination of the issue shall be binding on the Executive.</w:t>
      </w:r>
    </w:p>
    <w:p>
      <w:pPr>
        <w:spacing w:after="0" w:line="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By the Company for Cause</w:t>
      </w:r>
      <w:r>
        <w:rPr>
          <w:rFonts w:ascii="Times New Roman" w:cs="Times New Roman" w:eastAsia="Times New Roman" w:hAnsi="Times New Roman"/>
          <w:sz w:val="17"/>
          <w:szCs w:val="17"/>
          <w:color w:val="auto"/>
        </w:rPr>
        <w:t xml:space="preserve">. The Company may terminate the Executive’s employment hereunder for Cause at any time upon notice to the Executive setting forth in reasonable detail the nature of such Cause. The following events or conditions shall constitute “Cause” for termination: (i) the Executive’s willful failure to perform (other than by reason of disability), or gross negligence in the performance of his/her duties to the Company or any of its Affiliates and the continuation of such failure or negligence for a period of ten (10) days after notice to the Executive; (ii) the Executive’s willful failure to perform (other than by reason of disability) any lawful and reasonable directive of the CEO; (iii) the commission of fraud, embezzlement or theft by the Executive with respect to the Company or any of its Affiliates; or (iv) the conviction of the Executive of, or plea by the Executive of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to, any felony or any other crime involving dishonesty or moral turpitude. Anything to the contrary in this Agreement notwithstanding, upon the giving of notice of termination of the Executive’s employment hereunder for Cause, the Company and its Affiliates shall have no further obligation or liability to the Executive hereunder, other than for Base Salary earned but unpaid through the date of termination. Without limiting the generality of the foregoing, the Executive shall not be entitled to receive any Bonus amounts which have not been paid prior to the date of termination.</w:t>
      </w:r>
    </w:p>
    <w:p>
      <w:pPr>
        <w:spacing w:after="0" w:line="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By the Company Other Than for Cause</w:t>
      </w:r>
      <w:r>
        <w:rPr>
          <w:rFonts w:ascii="Times New Roman" w:cs="Times New Roman" w:eastAsia="Times New Roman" w:hAnsi="Times New Roman"/>
          <w:sz w:val="18"/>
          <w:szCs w:val="18"/>
          <w:color w:val="auto"/>
        </w:rPr>
        <w:t>. The Company may terminate the Executive’s employment hereunder other than for Cause at any time upon notice to the Executive. In the event of such termination, the Company shall pay the Executive: (i) promptly following termination and in all events within thirty (30) days thereof (or at such earlier time as may be required by applicable law), any Base Salary earned but unpaid through the date of termination, plus (ii) severance payments for a period to end twelve (12) months after the termination date (the “</w:t>
      </w:r>
      <w:r>
        <w:rPr>
          <w:rFonts w:ascii="Times New Roman" w:cs="Times New Roman" w:eastAsia="Times New Roman" w:hAnsi="Times New Roman"/>
          <w:sz w:val="18"/>
          <w:szCs w:val="18"/>
          <w:u w:val="single" w:color="auto"/>
          <w:color w:val="auto"/>
        </w:rPr>
        <w:t>Severance Term</w:t>
      </w:r>
      <w:r>
        <w:rPr>
          <w:rFonts w:ascii="Times New Roman" w:cs="Times New Roman" w:eastAsia="Times New Roman" w:hAnsi="Times New Roman"/>
          <w:sz w:val="18"/>
          <w:szCs w:val="18"/>
          <w:color w:val="auto"/>
        </w:rPr>
        <w:t>”), of which (a) the first severance payment shall be made on the date that is six (6) months from the date of termination and in an amount equal to six (6) times the Executive’s monthly base compensation in effect at the time of such termination and (b) the balance of the severance shall be paid in accordance with the Company’s then current payroll practices (currently biweekly payments) over the</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40"/>
          </w:cols>
          <w:pgMar w:left="1420" w:top="270" w:right="439" w:bottom="1440" w:gutter="0" w:footer="0" w:header="0"/>
        </w:sectPr>
      </w:pPr>
    </w:p>
    <w:bookmarkStart w:id="34" w:name="page35"/>
    <w:bookmarkEnd w:id="34"/>
    <w:p>
      <w:pPr>
        <w:spacing w:after="0" w:line="23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next six (6) months through the date that is twelve (12) months from the date of termination, each such payment in an amount equal to the Base Salary in effect at the time of such termination dependent on payroll practices of the Company (i.e., 1/12th of the Base Salary, 1/24th of the Base Salary, 1/26th of Base Salary, etc.), plus (iii) promptly following termination and in all events within thirty (30) days thereof, any unpaid portion of any Bonus for the fiscal year preceding the year in which such termination occurs that was earned but has not been paid, plus (iv) at the times the Company pays its executives bonuses generally, but no later than two and one half (2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months after the end of the fiscal year in which the Bonus is earned, an amount equal to that portion of any Bonus earned but unpaid during the fiscal year of such termination (prorated in accordance with Section 4.2), plus (v) vested, outstanding equity grants under the Stock Plan, in accordance with the terms thereof and any applicable award agreements.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By the Executive for Good Reason</w:t>
      </w:r>
      <w:r>
        <w:rPr>
          <w:rFonts w:ascii="Times New Roman" w:cs="Times New Roman" w:eastAsia="Times New Roman" w:hAnsi="Times New Roman"/>
          <w:sz w:val="18"/>
          <w:szCs w:val="18"/>
          <w:color w:val="auto"/>
        </w:rPr>
        <w:t>. The Executive may terminate his/her employment hereunder for Good Reason, provided that</w:t>
      </w:r>
    </w:p>
    <w:p>
      <w:pPr>
        <w:spacing w:after="0" w:line="27" w:lineRule="exact"/>
        <w:rPr>
          <w:sz w:val="20"/>
          <w:szCs w:val="20"/>
          <w:color w:val="auto"/>
        </w:rPr>
      </w:pPr>
    </w:p>
    <w:p>
      <w:pPr>
        <w:ind w:right="60" w:firstLine="7"/>
        <w:spacing w:after="0" w:line="250"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provides written notice to the Company, setting forth in reasonable detail the nature of the condition giving rise to Good Reason, within ninety (90) days after the initial existence of such condition, (b) the condition remains uncured by the Company for a period of thirty (30) days following such notice and (c) the Executive terminates his/her employment, if at all, not later than thirty</w:t>
      </w:r>
    </w:p>
    <w:p>
      <w:pPr>
        <w:spacing w:after="0" w:line="1" w:lineRule="exact"/>
        <w:rPr>
          <w:rFonts w:ascii="Times New Roman" w:cs="Times New Roman" w:eastAsia="Times New Roman" w:hAnsi="Times New Roman"/>
          <w:sz w:val="18"/>
          <w:szCs w:val="18"/>
          <w:color w:val="auto"/>
        </w:rPr>
      </w:pPr>
    </w:p>
    <w:p>
      <w:pPr>
        <w:ind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after the expiration of such cure period. The following shall constitute “Good Reason” for termination by the Executive: (i) any material diminution in the nature and scope of the Executive’s responsibilities, duties, authority or title or a change to his reporting structure so that he is no longer reporting to the Company’s chief executive; (ii) material failure of the Company to provide the Executive the Base Salary and benefits in accordance with the terms of Section 4 hereof; or (iii) relocation of the Executive’s office to a location outside a fifty (50)-mile radius of the Company’s current headquarters in Ann Arbor, Michigan. In the event of termination in accordance with this Section 5.5, then the Company shall pay the Executive the amounts specified in Section 5.4.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By the Executive Other Than for Good Reason</w:t>
      </w:r>
      <w:r>
        <w:rPr>
          <w:rFonts w:ascii="Times New Roman" w:cs="Times New Roman" w:eastAsia="Times New Roman" w:hAnsi="Times New Roman"/>
          <w:sz w:val="18"/>
          <w:szCs w:val="18"/>
          <w:color w:val="auto"/>
        </w:rPr>
        <w:t>. The Executive may terminate employment hereunder at any time upon ninety</w:t>
      </w:r>
    </w:p>
    <w:p>
      <w:pPr>
        <w:spacing w:after="0" w:line="27" w:lineRule="exact"/>
        <w:rPr>
          <w:sz w:val="20"/>
          <w:szCs w:val="20"/>
          <w:color w:val="auto"/>
        </w:rPr>
      </w:pPr>
    </w:p>
    <w:p>
      <w:pPr>
        <w:ind w:firstLine="7"/>
        <w:spacing w:after="0" w:line="252" w:lineRule="auto"/>
        <w:tabs>
          <w:tab w:leader="none" w:pos="3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written notice to the Company. In the event of termination of the Executive’s employment pursuant to this Section 5.6, the CEO or the Board may elect to waive the period of notice or any portion thereof. The Company will pay the Executive the Base Salary for the notice period, except to the extent that the notice period is waived by the Board. Upon the giving of notice of termination of the Executive’s employment hereunder pursuant to this Section 5.6, the Company and its Affiliates shall have no further obligation or liability to the Executive, other than (i) payment to the Executive of the Base Salary for the period (or portion of such period) indicated above, (ii) continuation of the provision of the benefits set forth in Section 4.4 for the period (or portion of such period) indicated above, and (iii) any unpaid portion of any Bonus for the fiscal year preceding the year in which such termination occurs that was</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80"/>
          </w:cols>
          <w:pgMar w:left="1420" w:top="270" w:right="499" w:bottom="1440" w:gutter="0" w:footer="0" w:header="0"/>
        </w:sectPr>
      </w:pPr>
    </w:p>
    <w:bookmarkStart w:id="35" w:name="page36"/>
    <w:bookmarkEnd w:id="35"/>
    <w:p>
      <w:pPr>
        <w:ind w:left="560"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earned but has not been paid. The payments made under subsections (i) and (iii) hereof shall be made promptly following termination and in all events within thirty (30) days thereof (or at such earlier time as may be required by applicable law).</w:t>
      </w:r>
    </w:p>
    <w:p>
      <w:pPr>
        <w:spacing w:after="0" w:line="54"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Post-Agreement Employment</w:t>
      </w:r>
      <w:r>
        <w:rPr>
          <w:rFonts w:ascii="Times New Roman" w:cs="Times New Roman" w:eastAsia="Times New Roman" w:hAnsi="Times New Roman"/>
          <w:sz w:val="18"/>
          <w:szCs w:val="18"/>
          <w:color w:val="auto"/>
        </w:rPr>
        <w:t>. In the event the Executive remains in the employ of the Company or any of its Affiliates following termination of this Agreement, then such employment shall be at will.</w:t>
      </w:r>
    </w:p>
    <w:p>
      <w:pPr>
        <w:spacing w:after="0" w:line="5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Delayed Payments for Specified Employees</w:t>
      </w:r>
      <w:r>
        <w:rPr>
          <w:rFonts w:ascii="Times New Roman" w:cs="Times New Roman" w:eastAsia="Times New Roman" w:hAnsi="Times New Roman"/>
          <w:sz w:val="18"/>
          <w:szCs w:val="18"/>
          <w:color w:val="auto"/>
        </w:rPr>
        <w:t>. Notwithstanding the foregoing provisions of this Section 5, if the Executive is a “specified employee” as defined in Section 409A, determined in accordance with the methodology established by the Company as in effect on the Executive’s termination, amounts payable hereunder on account of the Executive’s termination that would constitute nonqualified deferred compensation for purposes of Section 409A and that would, but for this Section 5.8, be payable within the six (6) month period commencing with the Executive’s termination shall instead be accumulated and paid, with interest at the applicable federal rate determined under Code Section 7872(f)(2)(A), in a lump sum at the conclusion of such six (6)-month period.</w:t>
      </w:r>
    </w:p>
    <w:p>
      <w:pPr>
        <w:spacing w:after="0" w:line="93" w:lineRule="exact"/>
        <w:rPr>
          <w:sz w:val="20"/>
          <w:szCs w:val="20"/>
          <w:color w:val="auto"/>
        </w:rPr>
      </w:pPr>
    </w:p>
    <w:p>
      <w:pPr>
        <w:ind w:left="540" w:right="500" w:hanging="532"/>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Employment</w:t>
      </w:r>
      <w:r>
        <w:rPr>
          <w:rFonts w:ascii="Times New Roman" w:cs="Times New Roman" w:eastAsia="Times New Roman" w:hAnsi="Times New Roman"/>
          <w:sz w:val="18"/>
          <w:szCs w:val="18"/>
          <w:color w:val="auto"/>
        </w:rPr>
        <w:t>. The provisions of this Section 6 shall apply in the event of any termination of the Executive’s employment pursuant to Section 5 of this Agreement.</w:t>
      </w:r>
    </w:p>
    <w:p>
      <w:pPr>
        <w:spacing w:after="0" w:line="53" w:lineRule="exact"/>
        <w:rPr>
          <w:rFonts w:ascii="Times New Roman" w:cs="Times New Roman" w:eastAsia="Times New Roman" w:hAnsi="Times New Roman"/>
          <w:sz w:val="18"/>
          <w:szCs w:val="18"/>
          <w:color w:val="auto"/>
        </w:rPr>
      </w:pPr>
    </w:p>
    <w:p>
      <w:pPr>
        <w:ind w:left="5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Payment by the Company or its Affiliates of any Base Salary, Bonus or other specified amounts that are due to the Executive under the applicable termination provision of Section 5 shall constitute the entire obligation of the Company and its Affiliates to the Executive, except that nothing in this Section</w:t>
      </w:r>
    </w:p>
    <w:p>
      <w:pPr>
        <w:spacing w:after="0" w:line="67" w:lineRule="exact"/>
        <w:rPr>
          <w:rFonts w:ascii="Times New Roman" w:cs="Times New Roman" w:eastAsia="Times New Roman" w:hAnsi="Times New Roman"/>
          <w:sz w:val="18"/>
          <w:szCs w:val="18"/>
          <w:color w:val="auto"/>
        </w:rPr>
      </w:pPr>
    </w:p>
    <w:p>
      <w:pPr>
        <w:ind w:left="56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is intended or shall be construed to affect the rights and obligations of the Company or its Affiliates, on the one hand, and the Executive, on the other, with respect to the Stock Plan or any other equity plan or award agreements thereunder or any other agreements to the extent said rights or obligations therein survive termination of employment.</w:t>
      </w:r>
    </w:p>
    <w:p>
      <w:pPr>
        <w:spacing w:after="0" w:line="67" w:lineRule="exact"/>
        <w:rPr>
          <w:rFonts w:ascii="Times New Roman" w:cs="Times New Roman" w:eastAsia="Times New Roman" w:hAnsi="Times New Roman"/>
          <w:sz w:val="18"/>
          <w:szCs w:val="18"/>
          <w:color w:val="auto"/>
        </w:rPr>
      </w:pPr>
    </w:p>
    <w:p>
      <w:pPr>
        <w:ind w:left="5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Termination of Benefits</w:t>
      </w:r>
      <w:r>
        <w:rPr>
          <w:rFonts w:ascii="Times New Roman" w:cs="Times New Roman" w:eastAsia="Times New Roman" w:hAnsi="Times New Roman"/>
          <w:sz w:val="18"/>
          <w:szCs w:val="18"/>
          <w:color w:val="auto"/>
        </w:rPr>
        <w:t>. If the Executive’s employment is terminated by the Company without Cause, or if the Executive terminates employment with the Company for Good Reason, and provided that Executive elects continuation of health coverage pursuant to Section 601 through 608 of the Employee Retirement Income Security Act of 1974,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the Company shall pay the Executive or pay directly to the COBRA administrator, at the election of the Company, an amount equal to the monthly COBRA premiums for the Severance Term; provided, however, that such payments will cease upon the Executive’s entitlement to other health insurance without charge. Except for medical insurance coverage continued pursuant to Section 6.2 hereof, all other benefits shall terminate pursuant to the terms of the applicable benefit plans based on the date of termination of the Executive’s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60" w:top="270" w:right="459" w:bottom="1440" w:gutter="0" w:footer="0" w:header="0"/>
        </w:sectPr>
      </w:pPr>
    </w:p>
    <w:bookmarkStart w:id="36" w:name="page37"/>
    <w:bookmarkEnd w:id="36"/>
    <w:p>
      <w:pPr>
        <w:ind w:left="560"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employment without regard to any continuation of Base Salary or other payments to the Executive following termination of employment. Notwithstanding the foregoing, in the event that the Company’s payment or reimbursement under this Section 6.2 would subject the Executive or the Company to any tax or penalty under the Patient Protection and Affordable Care Act (as amended from time to time, the “</w:t>
      </w:r>
      <w:r>
        <w:rPr>
          <w:rFonts w:ascii="Times New Roman" w:cs="Times New Roman" w:eastAsia="Times New Roman" w:hAnsi="Times New Roman"/>
          <w:sz w:val="18"/>
          <w:szCs w:val="18"/>
          <w:u w:val="single" w:color="auto"/>
          <w:color w:val="auto"/>
        </w:rPr>
        <w:t>ACA</w:t>
      </w:r>
      <w:r>
        <w:rPr>
          <w:rFonts w:ascii="Times New Roman" w:cs="Times New Roman" w:eastAsia="Times New Roman" w:hAnsi="Times New Roman"/>
          <w:sz w:val="18"/>
          <w:szCs w:val="18"/>
          <w:color w:val="auto"/>
        </w:rPr>
        <w:t>”) or Section 105(h) of the Internal Revenue Code of 1986, as amended (“</w:t>
      </w:r>
      <w:r>
        <w:rPr>
          <w:rFonts w:ascii="Times New Roman" w:cs="Times New Roman" w:eastAsia="Times New Roman" w:hAnsi="Times New Roman"/>
          <w:sz w:val="18"/>
          <w:szCs w:val="18"/>
          <w:u w:val="single" w:color="auto"/>
          <w:color w:val="auto"/>
        </w:rPr>
        <w:t>Section 105(h)</w:t>
      </w:r>
      <w:r>
        <w:rPr>
          <w:rFonts w:ascii="Times New Roman" w:cs="Times New Roman" w:eastAsia="Times New Roman" w:hAnsi="Times New Roman"/>
          <w:sz w:val="18"/>
          <w:szCs w:val="18"/>
          <w:color w:val="auto"/>
        </w:rPr>
        <w:t>”), or applicable regulations or guidance issued under the ACA or Section 105(h), the Executive and the Company agree to work together in good faith, consistent with the requirements for compliance with or exemption from Section 409A, to restructure such benefit.</w:t>
      </w:r>
    </w:p>
    <w:p>
      <w:pPr>
        <w:spacing w:after="0" w:line="7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Survival of Certain Provisions; Release of Claims</w:t>
      </w:r>
      <w:r>
        <w:rPr>
          <w:rFonts w:ascii="Times New Roman" w:cs="Times New Roman" w:eastAsia="Times New Roman" w:hAnsi="Times New Roman"/>
          <w:sz w:val="18"/>
          <w:szCs w:val="18"/>
          <w:color w:val="auto"/>
        </w:rPr>
        <w:t>. Provisions of this Agreement shall survive any termination of employment if so provided herein or if necessary or desirable fully to accomplish the purpose of other surviving provisions, including, without limitation, the obligations of the Executive under Sections 7 and 8 hereof. The obligation of the Company to make payments to or on behalf of the Executive under Section 5.2, 5.4, 5.5 or 6.2 hereof (other than any Base Salary that is earned but unpaid through the date of termination) is expressly conditioned upon</w:t>
      </w:r>
    </w:p>
    <w:p>
      <w:pPr>
        <w:spacing w:after="0" w:line="75" w:lineRule="exact"/>
        <w:rPr>
          <w:sz w:val="20"/>
          <w:szCs w:val="20"/>
          <w:color w:val="auto"/>
        </w:rPr>
      </w:pPr>
    </w:p>
    <w:p>
      <w:pPr>
        <w:ind w:left="560" w:right="140"/>
        <w:spacing w:after="0" w:line="258" w:lineRule="auto"/>
        <w:rPr>
          <w:sz w:val="20"/>
          <w:szCs w:val="20"/>
          <w:color w:val="auto"/>
        </w:rPr>
      </w:pPr>
      <w:r>
        <w:rPr>
          <w:rFonts w:ascii="Times New Roman" w:cs="Times New Roman" w:eastAsia="Times New Roman" w:hAnsi="Times New Roman"/>
          <w:sz w:val="18"/>
          <w:szCs w:val="18"/>
          <w:color w:val="auto"/>
        </w:rPr>
        <w:t>(a) the Executive’s continued full performance of his/her obligations under Sections 7 and 8 hereof and (b) the Executive’s execution of a timely and effective general release of claims in a form provided by the Company at the time of termination, which general release of claims must become effective, if at all, within sixty (60) days following termination of the Executive’s employment. The Executive recognizes that, except as expressly provided in Section 5.2, 5.4, 5.5 or 6.2, no compensation or benefits are earned after termination of employment.</w:t>
      </w:r>
    </w:p>
    <w:p>
      <w:pPr>
        <w:spacing w:after="0" w:line="88" w:lineRule="exact"/>
        <w:rPr>
          <w:sz w:val="20"/>
          <w:szCs w:val="20"/>
          <w:color w:val="auto"/>
        </w:rPr>
      </w:pPr>
    </w:p>
    <w:p>
      <w:pPr>
        <w:ind w:left="540" w:hanging="532"/>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Intellectual Property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Executive acknowledges that the Company and its Affiliates continually develop Confidential Information (as that term is defined in Section 11.2, below); that the Executive has developed and will continue to develop Confidential Information for the Company and its Affiliates and that the Executive has learned and will continue to learn of Confidential Information during the course of his/her employment. The Executive will comply with the policies and procedures of the Company and its Affiliates for protecting Confidential Information and shall never use or disclose to any Person (except as required by applicable law or for the proper performance of his/her duties and responsibilities to the Company) any Confidential Information obtained by the Executive incident to his/her employment or other association with the Company or any of its Affiliates. The Executive understands that this restriction shall continue to apply after employment terminates, regardless of the reason for such termination. For the avoidance of doubt, (a) nothing contained in this Agreement limits, restricts or in any other way affects the Executive’s communicating with any governmental agency or entity, or communicating with any official or staff person of a governmental agency or entity,</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00"/>
          </w:cols>
          <w:pgMar w:left="860" w:top="270" w:right="439" w:bottom="1440" w:gutter="0" w:footer="0" w:header="0"/>
        </w:sectPr>
      </w:pPr>
    </w:p>
    <w:bookmarkStart w:id="37" w:name="page38"/>
    <w:bookmarkEnd w:id="37"/>
    <w:p>
      <w:pPr>
        <w:ind w:left="5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concerning matters relevant to such governmental agency or entity and (b) the Executive will 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this immunity from liability, the Executive may be held liable if he/she unlawfully accesses trade secrets by unauthorized means.</w:t>
      </w:r>
    </w:p>
    <w:p>
      <w:pPr>
        <w:spacing w:after="0" w:line="75" w:lineRule="exact"/>
        <w:rPr>
          <w:sz w:val="20"/>
          <w:szCs w:val="20"/>
          <w:color w:val="auto"/>
        </w:rPr>
      </w:pPr>
    </w:p>
    <w:p>
      <w:pPr>
        <w:jc w:val="both"/>
        <w:ind w:left="560" w:right="80"/>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Return of Documents</w:t>
      </w:r>
      <w:r>
        <w:rPr>
          <w:rFonts w:ascii="Times New Roman" w:cs="Times New Roman" w:eastAsia="Times New Roman" w:hAnsi="Times New Roman"/>
          <w:sz w:val="18"/>
          <w:szCs w:val="18"/>
          <w:color w:val="auto"/>
        </w:rPr>
        <w:t>. All documents, records, tapes and other media of every kind and description relating to the business, present or otherwise, of the Company or any of its Affiliates and any copies, in whole or in part, thereof (the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whether or not prepared by the Executive, shall be the sole and exclusive property of the Company and its Affiliates. The Executive shall safeguard all Documents and shall surrender to the Company and its Affiliates at the time employment terminates, or at such earlier time or times as the Board, the CEO or the Board’s other designee may specify, all Documents then in the Executive’s possession or control.</w:t>
      </w:r>
    </w:p>
    <w:p>
      <w:pPr>
        <w:spacing w:after="0" w:line="75" w:lineRule="exact"/>
        <w:rPr>
          <w:sz w:val="20"/>
          <w:szCs w:val="20"/>
          <w:color w:val="auto"/>
        </w:rPr>
      </w:pPr>
    </w:p>
    <w:p>
      <w:pPr>
        <w:ind w:left="560" w:right="40"/>
        <w:spacing w:after="0" w:line="25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Assignment of Rights to Intellectual Property</w:t>
      </w:r>
      <w:r>
        <w:rPr>
          <w:rFonts w:ascii="Times New Roman" w:cs="Times New Roman" w:eastAsia="Times New Roman" w:hAnsi="Times New Roman"/>
          <w:sz w:val="18"/>
          <w:szCs w:val="18"/>
          <w:color w:val="auto"/>
        </w:rPr>
        <w:t>. The Executive shall promptly and fully disclose all Intellectual Property to the Company. The Executive hereby assigns and agrees to assign to the Company (or as otherwise directed by the Company) the Executive’s full right, title and interest in and to all Intellectual Property. The Executive shall execute any and all applications for domestic and foreign patents, copyrights or other proprietary rights and to do such other acts (including without limitation the execution and delivery of instruments of further assurance or confirmation) requested by the Company or its Affiliates to assign the Intellectual Property to the Company (or as otherwise directed by the Company) and to permit the Company and its Affiliates to enforce any patents, copyrights or other proprietary rights to the Intellectual Property. The Executive will not charge the Company or any of its Affiliates for time spent in complying with these obligations. All copyrightable works that the Executive creates during his/her employment with the Company shall be considered “work made for hire” and will, upon creation, be owned exclusively by the Company.</w:t>
      </w:r>
    </w:p>
    <w:p>
      <w:pPr>
        <w:spacing w:after="0" w:line="94" w:lineRule="exact"/>
        <w:rPr>
          <w:sz w:val="20"/>
          <w:szCs w:val="20"/>
          <w:color w:val="auto"/>
        </w:rPr>
      </w:pPr>
    </w:p>
    <w:p>
      <w:pPr>
        <w:ind w:left="540" w:hanging="532"/>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Activities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Agreement Not to Compete With the Company</w:t>
      </w:r>
      <w:r>
        <w:rPr>
          <w:rFonts w:ascii="Times New Roman" w:cs="Times New Roman" w:eastAsia="Times New Roman" w:hAnsi="Times New Roman"/>
          <w:sz w:val="18"/>
          <w:szCs w:val="18"/>
          <w:color w:val="auto"/>
        </w:rPr>
        <w:t>. During the Executive’s employment hereunder and for a period of twenty four</w:t>
      </w:r>
    </w:p>
    <w:p>
      <w:pPr>
        <w:spacing w:after="0" w:line="27" w:lineRule="exact"/>
        <w:rPr>
          <w:rFonts w:ascii="Times New Roman" w:cs="Times New Roman" w:eastAsia="Times New Roman" w:hAnsi="Times New Roman"/>
          <w:sz w:val="18"/>
          <w:szCs w:val="18"/>
          <w:color w:val="auto"/>
        </w:rPr>
      </w:pPr>
    </w:p>
    <w:p>
      <w:pPr>
        <w:ind w:left="5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months following the date of termination thereof (the “</w:t>
      </w:r>
      <w:r>
        <w:rPr>
          <w:rFonts w:ascii="Times New Roman" w:cs="Times New Roman" w:eastAsia="Times New Roman" w:hAnsi="Times New Roman"/>
          <w:sz w:val="18"/>
          <w:szCs w:val="18"/>
          <w:u w:val="single" w:color="auto"/>
          <w:color w:val="auto"/>
        </w:rPr>
        <w:t>Non-Competition Period</w:t>
      </w:r>
      <w:r>
        <w:rPr>
          <w:rFonts w:ascii="Times New Roman" w:cs="Times New Roman" w:eastAsia="Times New Roman" w:hAnsi="Times New Roman"/>
          <w:sz w:val="18"/>
          <w:szCs w:val="18"/>
          <w:color w:val="auto"/>
        </w:rPr>
        <w:t>”), the Executive will not, directly or indirectly, own, manage, operate, control or participate in any manner in the ownership, management, operation or control of, or be connected as an officer, employee, partner, director, principal, member, manager, consultant, agent or otherwise with, or have any financial interest in, or aid or assist anyone else in the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860" w:top="270" w:right="459" w:bottom="1440" w:gutter="0" w:footer="0" w:header="0"/>
        </w:sectPr>
      </w:pPr>
    </w:p>
    <w:bookmarkStart w:id="38" w:name="page39"/>
    <w:bookmarkEnd w:id="3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conduct of, any business, venture or activity which in any material respect competes with the following enumerated business activities to the extent then being conducted or being planned to be conducted by the Company or its Affiliates or being conducted or known by the Executive to being planned to be conducted by the Company or by any of its Affiliates, at or prior to the date on which the Executive’s employment under this Agreement is terminated (the “Date of Termination”), in the United States or any other geographic area where such business is being conducted or being planned to be conducted at or prior to the Date of Termination (a “Competitive Business”, defined below). For purposes of this Agreement, “Competitive Business” shall be defined as: (i) any company or other entity engaged as a “quick service restaurant” (“QSR”) which offers pizza for sale; (ii) any “quick service restaurant” which is then contemplating entering into the pizza business or adding pizza to its menu; (iii) any entity which at the time of Executive’s termination of employment with the Company, offers, as a primary product or service, products or services then being offered by the Company or which the Company is actively contemplating offering, provided, however, that the prohibition set forth in this Subsection (iii) shall not apply to fine or casual dining restaurants with less than five percent (5%) of revenue attributable to delivery of food; and (iv) any entity under common control with an entity included in (i), (ii) or (iii), above. Notwithstanding the foregoing, ownership of not more than five percent (5%) of any class of equity security of any publicly traded corporation shall not, of itself, constitute a violation of this Section 8.1.</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Agreement Not to Solicit Employees or Customers of the Company</w:t>
      </w:r>
      <w:r>
        <w:rPr>
          <w:rFonts w:ascii="Times New Roman" w:cs="Times New Roman" w:eastAsia="Times New Roman" w:hAnsi="Times New Roman"/>
          <w:sz w:val="18"/>
          <w:szCs w:val="18"/>
          <w:color w:val="auto"/>
        </w:rPr>
        <w:t>. During employment and during the Non-Competition Period the Executive will not, directly or indirectly, (i) recruit or hire or otherwise seek to induce any employees of the Company or any of the Company’s Affiliates to terminate his/her employment or violate any agreement with or duty to the Company or any of the Company’s Affiliates; or (ii) solicit or encourage any franchisee or vendor of the Company or of any of the Company’s Affiliates to terminate or diminish its relationship with any of them or to violate any agreement with any of them, or, in the case of a franchisee, to conduct with any Person any business or activity that such franchisee conducts or could conduct with the Company or any of the Company’s Affiliates.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Agreement Not to Disparage</w:t>
      </w:r>
      <w:r>
        <w:rPr>
          <w:rFonts w:ascii="Times New Roman" w:cs="Times New Roman" w:eastAsia="Times New Roman" w:hAnsi="Times New Roman"/>
          <w:sz w:val="18"/>
          <w:szCs w:val="18"/>
          <w:color w:val="auto"/>
        </w:rPr>
        <w:t>. The Executive agrees that, during employment and at all times thereafter, he/she will not disparage or criticize the Company, its Affiliates, their business, their management or their products or services, and he/she will not otherwise do or say anything that could disrupt the good morale of employees of the Company or any of its Affiliates or harm the interests or reputation of the Company or any of its Affiliates, but may provide truthful, non-Confidential Information in response to any statement made by the Executive Leadership of the Company with respect to the Executive that he reasonably believes to be disparaging.</w:t>
      </w:r>
    </w:p>
    <w:p>
      <w:pPr>
        <w:spacing w:after="0" w:line="1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000"/>
          </w:cols>
          <w:pgMar w:left="1420" w:top="270" w:right="479" w:bottom="1440" w:gutter="0" w:footer="0" w:header="0"/>
        </w:sectPr>
      </w:pPr>
    </w:p>
    <w:bookmarkStart w:id="39" w:name="page40"/>
    <w:bookmarkEnd w:id="39"/>
    <w:p>
      <w:pPr>
        <w:ind w:left="540" w:hanging="532"/>
        <w:spacing w:after="0" w:line="253"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Enforcement of Covenants</w:t>
      </w:r>
      <w:r>
        <w:rPr>
          <w:rFonts w:ascii="Times New Roman" w:cs="Times New Roman" w:eastAsia="Times New Roman" w:hAnsi="Times New Roman"/>
          <w:sz w:val="18"/>
          <w:szCs w:val="18"/>
          <w:color w:val="auto"/>
        </w:rPr>
        <w:t>. The Executive acknowledges that he/she has carefully read and considered all the terms and conditions of this Agreement, including without limitation the restraints imposed upon his/her pursuant to Sections 7 and 8 hereof. The Executive agrees that said restraints are necessary for the reasonable and proper protection of the Company and its Affiliates and that each and every one of the restraints is reasonable in respect to subject matter, length of time and geographic area. The Executive further acknowledges that, were he/she to breach any of the covenants or agreements contained in Sections 7 or 8 hereof, the damage to the Company and its Affiliates could be irreparable. The Executive, therefore, agrees that the Company and its Affiliates, in addition to any other remedies available to it, shall be entitled to preliminary and permanent injunctive relief against any breach or threatened breach by the Executive of any of said covenants or agreements, without having to post bond. The parties further agree that in the event that any provision of Section 7 or 8 hereof shall be determined by any court of competent jurisdiction to be unenforceable by reason of it being extended over too great a time, too large a geographic area or too great a range of activities, such provision shall be deemed to be modified to permit its enforcement to the maximum extent permitted by law.</w:t>
      </w:r>
    </w:p>
    <w:p>
      <w:pPr>
        <w:spacing w:after="0" w:line="97" w:lineRule="exact"/>
        <w:rPr>
          <w:rFonts w:ascii="Times New Roman" w:cs="Times New Roman" w:eastAsia="Times New Roman" w:hAnsi="Times New Roman"/>
          <w:sz w:val="18"/>
          <w:szCs w:val="18"/>
          <w:color w:val="auto"/>
        </w:rPr>
      </w:pPr>
    </w:p>
    <w:p>
      <w:pPr>
        <w:ind w:left="540" w:right="100" w:hanging="532"/>
        <w:spacing w:after="0" w:line="258"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Conflicting Agreements</w:t>
      </w:r>
      <w:r>
        <w:rPr>
          <w:rFonts w:ascii="Times New Roman" w:cs="Times New Roman" w:eastAsia="Times New Roman" w:hAnsi="Times New Roman"/>
          <w:sz w:val="18"/>
          <w:szCs w:val="18"/>
          <w:color w:val="auto"/>
        </w:rPr>
        <w:t>. The Executive hereby represents and warrants that the execution of this Agreement and the performance of his/her obligations hereunder will not breach or be in conflict with any other agreement to which or by which the Executive is a party or is bound and that the Executive is not now subject to any covenants against competition or solicitation or similar covenants or other obligations that would affect the performance of his/her obligations hereunder. The Executive will not disclose to or use on behalf of the Company or any of its Affiliates any proprietary information of a third party without such party’s consent.</w:t>
      </w:r>
    </w:p>
    <w:p>
      <w:pPr>
        <w:spacing w:after="0" w:line="88" w:lineRule="exact"/>
        <w:rPr>
          <w:rFonts w:ascii="Times New Roman" w:cs="Times New Roman" w:eastAsia="Times New Roman" w:hAnsi="Times New Roman"/>
          <w:sz w:val="18"/>
          <w:szCs w:val="18"/>
          <w:color w:val="auto"/>
        </w:rPr>
      </w:pPr>
    </w:p>
    <w:p>
      <w:pPr>
        <w:jc w:val="both"/>
        <w:ind w:left="540" w:right="620" w:hanging="532"/>
        <w:spacing w:after="0" w:line="312" w:lineRule="auto"/>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Words or phrases which are initially capitalized or are within quotation marks shall have the meanings provided in this Section 11 or as specifically defined elsewhere in this Agreement. For purposes of this Agreement, the following definitions apply:</w:t>
      </w:r>
    </w:p>
    <w:p>
      <w:pPr>
        <w:spacing w:after="0" w:line="31" w:lineRule="exact"/>
        <w:rPr>
          <w:rFonts w:ascii="Times New Roman" w:cs="Times New Roman" w:eastAsia="Times New Roman" w:hAnsi="Times New Roman"/>
          <w:sz w:val="17"/>
          <w:szCs w:val="17"/>
          <w:color w:val="auto"/>
        </w:rPr>
      </w:pPr>
    </w:p>
    <w:p>
      <w:pPr>
        <w:ind w:left="560" w:right="6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shall mean Domino’s Pizza, Inc., Domino’s, Inc. and all other persons and entities controlling, controlled by or under common control with the Company, where control may be by management authority or equity interest.</w:t>
      </w:r>
    </w:p>
    <w:p>
      <w:pPr>
        <w:spacing w:after="0" w:line="53" w:lineRule="exact"/>
        <w:rPr>
          <w:rFonts w:ascii="Times New Roman" w:cs="Times New Roman" w:eastAsia="Times New Roman" w:hAnsi="Times New Roman"/>
          <w:sz w:val="17"/>
          <w:szCs w:val="17"/>
          <w:color w:val="auto"/>
        </w:rPr>
      </w:pPr>
    </w:p>
    <w:p>
      <w:pPr>
        <w:ind w:left="560" w:right="14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and all information of the Company and its Affiliates that is not generally known by the public. Confidential Information includes without limitation such information relating to (i) the products and services sold or offered by the Company or any of its Affiliates (including without limitation recipes, production processes and heating technology), (ii) the costs, sources of supply, financial performance and strategic plans of the Company and its Affiliates, (iii) the identity of the suppliers of the Company and its Affiliates, and (iv) the people and organizations with whom the Company or any of its Affiliates have business relationships and those relationships.</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00"/>
          </w:cols>
          <w:pgMar w:left="860" w:top="270" w:right="439" w:bottom="1440" w:gutter="0" w:footer="0" w:header="0"/>
        </w:sectPr>
      </w:pPr>
    </w:p>
    <w:bookmarkStart w:id="40" w:name="page41"/>
    <w:bookmarkEnd w:id="40"/>
    <w:p>
      <w:pPr>
        <w:jc w:val="both"/>
        <w:ind w:left="560"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Confidential Information also includes information that the Company or any of its Affiliates have received belonging to others with any understanding, express or implied, that it would not be disclosed.</w:t>
      </w:r>
    </w:p>
    <w:p>
      <w:pPr>
        <w:spacing w:after="0" w:line="54" w:lineRule="exact"/>
        <w:rPr>
          <w:sz w:val="20"/>
          <w:szCs w:val="20"/>
          <w:color w:val="auto"/>
        </w:rPr>
      </w:pPr>
    </w:p>
    <w:p>
      <w:pPr>
        <w:jc w:val="both"/>
        <w:ind w:left="560" w:right="200"/>
        <w:spacing w:after="0" w:line="26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federal Employee Retirement Income Security Act of 1974, as amended, or any successor statute, and the rules and regulations thereunder, and, in the case of any referenced section thereof, any successor section thereto, collectively and as from time to time amended and in effect.</w:t>
      </w:r>
    </w:p>
    <w:p>
      <w:pPr>
        <w:spacing w:after="0" w:line="68" w:lineRule="exact"/>
        <w:rPr>
          <w:sz w:val="20"/>
          <w:szCs w:val="20"/>
          <w:color w:val="auto"/>
        </w:rPr>
      </w:pPr>
    </w:p>
    <w:p>
      <w:pPr>
        <w:ind w:left="560" w:right="60"/>
        <w:spacing w:after="0" w:line="255"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inventions, discoveries, developments, methods, processes, compositions, works, concepts, recipes and ideas (whether or not patentable or copyrightable or constituting trade secrets or trademarks or service marks) conceived, made, created, developed or reduced to practice by the Executive (whether alone or with others, whether or not during normal business hours or on or off Company premises) during the Executive’s employment that relate to either the business activities or any prospective activity of the Company or any of its Affiliates or that result from any work performed by the Executive for the Company or any of its Affiliates or that make use of Confidential Information or any of the equipment or facilities of the Company or any of its Affiliates.</w:t>
      </w:r>
    </w:p>
    <w:p>
      <w:pPr>
        <w:spacing w:after="0" w:line="81"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an association, a partnership, a limited liability company, an estate, a trust and any other entity or organization, other than the Company or any of its Affiliates.</w:t>
      </w:r>
    </w:p>
    <w:p>
      <w:pPr>
        <w:spacing w:after="0" w:line="67" w:lineRule="exact"/>
        <w:rPr>
          <w:sz w:val="20"/>
          <w:szCs w:val="20"/>
          <w:color w:val="auto"/>
        </w:rPr>
      </w:pPr>
    </w:p>
    <w:p>
      <w:pPr>
        <w:ind w:left="540" w:hanging="532"/>
        <w:spacing w:after="0" w:line="261"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Withholding/Other Tax Matters</w:t>
      </w:r>
      <w:r>
        <w:rPr>
          <w:rFonts w:ascii="Times New Roman" w:cs="Times New Roman" w:eastAsia="Times New Roman" w:hAnsi="Times New Roman"/>
          <w:sz w:val="18"/>
          <w:szCs w:val="18"/>
          <w:color w:val="auto"/>
        </w:rPr>
        <w:t>. All payments made by the Company under this Agreement shall be reduced by any tax or other amounts required to be withheld by the Company under applicable law. This Agreement shall be construed consistent with the intent that all payment and benefits hereunder comply with the requirements of, or the requirements for exemption from, Section 409A. Notwithstanding the foregoing, the Company shall not be liable to the Executive for any failure to comply with any such requirements.</w:t>
      </w:r>
    </w:p>
    <w:p>
      <w:pPr>
        <w:spacing w:after="0" w:line="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the Company nor the Executive may assign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affect a reorganization, consolidate with, or merge into, any other Person or transfer all or substantially all of its properties or assets to any other Person, in which event such other Person shall be deemed the “Company” hereunder, as applicable, for all purposes of this Agreement; provided, further, that nothing contained herein shall be construed to place any limitation or</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60" w:top="270" w:right="479" w:bottom="1440" w:gutter="0" w:footer="0" w:header="0"/>
        </w:sectPr>
      </w:pPr>
    </w:p>
    <w:bookmarkStart w:id="41" w:name="page42"/>
    <w:bookmarkEnd w:id="41"/>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restriction on the transfer of the Company’s common stock in addition to any restrictions set forth in any stockholder agreement applicable to the holders of such shares. This Agreement shall inure to the benefit of and be binding upon the Company and the Executive, and their respective successors, executors, administrators, representatives, heirs and permitted assigns.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or provision of this Agreement shall to any extent be declared illegal or unenforceable by a court of competent jurisdiction, then the application of such provision in such circumstances shall be deemed modified to permit its enforcement to the maximum extent permitted by law, and both the application of such portion or provision in circumstances other than those as to which it is so declared illegal or unenforceable and the remainder of this Agreement shall not be affected thereby, and each portion and provision of this Agreement shall be valid and enforceable to the fullest extent permitted by law.</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Waiver; Amendment</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This Agreement may be amended or modified only by a written instrument signed by the Executive and any expressly authorized representative of the Company.</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requests, demands and other communications provided for by this Agreement shall be in writing and shall be effective when delivered in person or deposited in the United States mail, postage prepaid, registered or certified, and addressed</w:t>
      </w:r>
    </w:p>
    <w:p>
      <w:pPr>
        <w:ind w:right="160" w:firstLine="7"/>
        <w:spacing w:after="0" w:line="255"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Executive, to: Stuart A. Levy, at his most recent address on file with the Company, and (ii) in the case of the Company, to the attention of CEO, at 30 Frank Lloyd Wright Drive, Ann Arbor, Michigan 48106, or to such other address as either party may specify by notice to the other actually received.</w:t>
      </w:r>
    </w:p>
    <w:p>
      <w:pPr>
        <w:spacing w:after="0" w:line="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and supersedes any and all prior communications, agreements and understandings, written or oral, between the Executive and the Company, or any of its predecessors, with respect to the terms and conditions of the Executive’s employment.</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an original and all of which together shall constitute one and the same instrument.</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domestic substantive laws of the State of Michigan without giving effect to any choice or conflict of laws provision or rule that would cause the application of the domestic substantive laws of any other jurisdiction.</w:t>
      </w:r>
    </w:p>
    <w:p>
      <w:pPr>
        <w:spacing w:after="0" w:line="1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020"/>
          </w:cols>
          <w:pgMar w:left="1420" w:top="270" w:right="459" w:bottom="1440" w:gutter="0" w:footer="0" w:header="0"/>
        </w:sectPr>
      </w:pPr>
    </w:p>
    <w:bookmarkStart w:id="42" w:name="page43"/>
    <w:bookmarkEnd w:id="4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13.8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of the Company and the Executive evidenced by the execution hereof, (i) hereby irrevocably submits to the jurisdiction of the state courts of the State of Michigan for the purpose of any claim or action arising out of or based upon this Agreement or relating to the subject matter hereof and (ii) hereby waives, to the extent not prohibited by applicable law, and agrees not to assert by way of motion, as a defense or otherwise, in any such claim or action, any claim that it or he/she is not subject personally to the jurisdiction of the above-named courts, that its or his/her property is exempt or immune from attachment or execution, that any such proceeding brought in the above-named courts is improper, or that this Agreement or the subject matter hereof may not be enforced in or by such court. Each of the Company and the Executive hereby consents to service of process in any such proceeding in any manner permitted by Michigan law, and agrees that service of process by registered or certified mail, return receipt requested, at its address specified pursuant to Section 13.4 hereof is reasonably calculated to give actual notice.</w:t>
      </w:r>
    </w:p>
    <w:p>
      <w:pPr>
        <w:spacing w:after="0" w:line="296"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[Signature page immediately follows.]</w:t>
      </w:r>
    </w:p>
    <w:p>
      <w:pPr>
        <w:spacing w:after="0" w:line="158"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980"/>
          </w:cols>
          <w:pgMar w:left="1420" w:top="270" w:right="499" w:bottom="1440" w:gutter="0" w:footer="0" w:header="0"/>
        </w:sectPr>
      </w:pPr>
    </w:p>
    <w:bookmarkStart w:id="43" w:name="page44"/>
    <w:bookmarkEnd w:id="43"/>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this Agreement has been executed by the Company, by its duly authorized representative, and by the Executive, as of the date first above written.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DOMINO’S PIZZA LLC</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3, 2020</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By:  /s/ Richard Allison</w:t>
            </w:r>
          </w:p>
        </w:tc>
      </w:tr>
      <w:tr>
        <w:trPr>
          <w:trHeight w:val="205"/>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w w:val="83"/>
              </w:rPr>
              <w:t>Name:</w:t>
            </w:r>
          </w:p>
        </w:tc>
        <w:tc>
          <w:tcPr>
            <w:tcW w:w="474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Richard Allison</w:t>
            </w:r>
          </w:p>
        </w:tc>
      </w:t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59"/>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EXECUTIVE:</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3, 2020</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Stuart A. Levy</w:t>
            </w:r>
          </w:p>
        </w:tc>
      </w:tr>
      <w:tr>
        <w:trPr>
          <w:trHeight w:val="228"/>
        </w:trPr>
        <w:tc>
          <w:tcPr>
            <w:tcW w:w="5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Name: Stuart A. Levy</w:t>
            </w:r>
          </w:p>
        </w:tc>
      </w:tr>
      <w:tr>
        <w:trPr>
          <w:trHeight w:val="360"/>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(None, unless additional information is set forth below.)</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019"/>
          </w:cols>
          <w:pgMar w:left="1440" w:top="266"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ind w:left="2504"/>
        <w:spacing w:after="0"/>
        <w:rPr>
          <w:sz w:val="20"/>
          <w:szCs w:val="20"/>
          <w:color w:val="auto"/>
        </w:rPr>
      </w:pPr>
      <w:r>
        <w:rPr>
          <w:rFonts w:ascii="Times New Roman" w:cs="Times New Roman" w:eastAsia="Times New Roman" w:hAnsi="Times New Roman"/>
          <w:sz w:val="18"/>
          <w:szCs w:val="18"/>
          <w:color w:val="auto"/>
        </w:rPr>
        <w:t>CERTIFICATION OF CHIEF EXECUTIVE OFFICER, DOMINO’S PIZZA,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Richard E. Allison, Jr., certify that:</w:t>
      </w:r>
    </w:p>
    <w:p>
      <w:pPr>
        <w:spacing w:after="0" w:line="131"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Domino’s Pizza,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October 8, 2020</w:t>
            </w: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Richard E. Allison, Jr.</w:t>
            </w:r>
          </w:p>
        </w:tc>
      </w:tr>
      <w:tr>
        <w:trPr>
          <w:trHeight w:val="191"/>
        </w:trPr>
        <w:tc>
          <w:tcPr>
            <w:tcW w:w="51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680" w:type="dxa"/>
            <w:vAlign w:val="bottom"/>
          </w:tcPr>
          <w:p>
            <w:pPr>
              <w:spacing w:after="0"/>
              <w:rPr>
                <w:sz w:val="16"/>
                <w:szCs w:val="16"/>
                <w:color w:val="auto"/>
              </w:rPr>
            </w:pPr>
          </w:p>
        </w:tc>
        <w:tc>
          <w:tcPr>
            <w:tcW w:w="51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Richard E. Allison, Jr.</w:t>
            </w:r>
          </w:p>
        </w:tc>
      </w:tr>
      <w:tr>
        <w:trPr>
          <w:trHeight w:val="234"/>
        </w:trPr>
        <w:tc>
          <w:tcPr>
            <w:tcW w:w="5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4"/>
          </w:cols>
          <w:pgMar w:left="436" w:top="121"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CERTIFICATION OF CHIEF FINANCIAL OFFICER, DOMINO’S PIZZA,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Stuart A. Levy, certify that:</w:t>
      </w:r>
    </w:p>
    <w:p>
      <w:pPr>
        <w:spacing w:after="0" w:line="252" w:lineRule="exact"/>
        <w:rPr>
          <w:sz w:val="20"/>
          <w:szCs w:val="20"/>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Domino’s Pizza,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October 8, 2020</w:t>
            </w: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Stuart A. Levy</w:t>
            </w:r>
          </w:p>
        </w:tc>
      </w:tr>
      <w:tr>
        <w:trPr>
          <w:trHeight w:val="191"/>
        </w:trPr>
        <w:tc>
          <w:tcPr>
            <w:tcW w:w="51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680" w:type="dxa"/>
            <w:vAlign w:val="bottom"/>
          </w:tcPr>
          <w:p>
            <w:pPr>
              <w:spacing w:after="0"/>
              <w:rPr>
                <w:sz w:val="16"/>
                <w:szCs w:val="16"/>
                <w:color w:val="auto"/>
              </w:rPr>
            </w:pPr>
          </w:p>
        </w:tc>
        <w:tc>
          <w:tcPr>
            <w:tcW w:w="51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Stuart A. Levy</w:t>
            </w:r>
          </w:p>
        </w:tc>
      </w:tr>
      <w:tr>
        <w:trPr>
          <w:trHeight w:val="234"/>
        </w:trPr>
        <w:tc>
          <w:tcPr>
            <w:tcW w:w="5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4"/>
          </w:cols>
          <w:pgMar w:left="436" w:top="121"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Domino’s Pizza, Inc. (the “Company”) on Form 10-Q for the period ended September 6, 2020, as filed with the Securities and Exchange Commission (the “Report”), I, Richard E. Allison, Jr., Chief Executive Officer of the Company, certify, pursuant to 18 U.S.C. § 1350, adopted pursuant to §906 of the Sarbanes-Oxley Act of 2002, that based on my knowledge:</w:t>
      </w:r>
    </w:p>
    <w:p>
      <w:pPr>
        <w:spacing w:after="0" w:line="81" w:lineRule="exact"/>
        <w:rPr>
          <w:sz w:val="20"/>
          <w:szCs w:val="20"/>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960" w:right="440" w:hanging="532"/>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Richard E. Allison,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Richard E. Allison, Jr.</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8, 2020</w:t>
      </w:r>
    </w:p>
    <w:p>
      <w:pPr>
        <w:spacing w:after="0" w:line="225"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Domino’s Pizza, Inc. (the “Company”) on Form 10-Q for the period ended September 6, 2020, as filed with the Securities and Exchange Commission (the “Report”), I, Stuart A. Levy, Chief Financial Officer of the Company, certify, pursuant to 18 U.S.C. § 1350, adopted pursuant to §906 of the Sarbanes-Oxley Act of 2002, that based on my knowledge:</w:t>
      </w:r>
    </w:p>
    <w:p>
      <w:pPr>
        <w:spacing w:after="0" w:line="81" w:lineRule="exact"/>
        <w:rPr>
          <w:sz w:val="20"/>
          <w:szCs w:val="20"/>
          <w:color w:val="auto"/>
        </w:rPr>
      </w:pPr>
    </w:p>
    <w:p>
      <w:pPr>
        <w:ind w:left="960" w:hanging="532"/>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960" w:right="440" w:hanging="532"/>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Stuart A.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Stuart A. Levy</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8, 2020</w:t>
      </w:r>
    </w:p>
    <w:p>
      <w:pPr>
        <w:spacing w:after="0" w:line="225"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4"/>
    </w:lvl>
  </w:abstractNum>
  <w:abstractNum w:abstractNumId="9">
    <w:nsid w:val="4E6AFB66"/>
    <w:multiLevelType w:val="hybridMultilevel"/>
    <w:lvl w:ilvl="0">
      <w:lvlJc w:val="left"/>
      <w:lvlText w:val="(%1)"/>
      <w:numFmt w:val="lowerRoman"/>
      <w:start w:val="2"/>
    </w:lvl>
  </w:abstractNum>
  <w:abstractNum w:abstractNumId="10">
    <w:nsid w:val="25E45D32"/>
    <w:multiLevelType w:val="hybridMultilevel"/>
    <w:lvl w:ilvl="0">
      <w:lvlJc w:val="left"/>
      <w:lvlText w:val="%1."/>
      <w:numFmt w:val="decimal"/>
      <w:start w:val="5"/>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decimal"/>
      <w:start w:val="90"/>
    </w:lvl>
  </w:abstractNum>
  <w:abstractNum w:abstractNumId="13">
    <w:nsid w:val="3F2DBA31"/>
    <w:multiLevelType w:val="hybridMultilevel"/>
    <w:lvl w:ilvl="0">
      <w:lvlJc w:val="left"/>
      <w:lvlText w:val="%1."/>
      <w:numFmt w:val="decimal"/>
      <w:start w:val="6"/>
    </w:lvl>
  </w:abstractNum>
  <w:abstractNum w:abstractNumId="14">
    <w:nsid w:val="7C83E458"/>
    <w:multiLevelType w:val="hybridMultilevel"/>
    <w:lvl w:ilvl="0">
      <w:lvlJc w:val="left"/>
      <w:lvlText w:val="%1."/>
      <w:numFmt w:val="decimal"/>
      <w:start w:val="7"/>
    </w:lvl>
  </w:abstractNum>
  <w:abstractNum w:abstractNumId="15">
    <w:nsid w:val="257130A3"/>
    <w:multiLevelType w:val="hybridMultilevel"/>
    <w:lvl w:ilvl="0">
      <w:lvlJc w:val="left"/>
      <w:lvlText w:val="%1."/>
      <w:numFmt w:val="decimal"/>
      <w:start w:val="8"/>
    </w:lvl>
  </w:abstractNum>
  <w:abstractNum w:abstractNumId="16">
    <w:nsid w:val="62BBD95A"/>
    <w:multiLevelType w:val="hybridMultilevel"/>
    <w:lvl w:ilvl="0">
      <w:lvlJc w:val="left"/>
      <w:lvlText w:val="%1."/>
      <w:numFmt w:val="decimal"/>
      <w:start w:val="9"/>
    </w:lvl>
  </w:abstractNum>
  <w:abstractNum w:abstractNumId="17">
    <w:nsid w:val="436C6125"/>
    <w:multiLevelType w:val="hybridMultilevel"/>
    <w:lvl w:ilvl="0">
      <w:lvlJc w:val="left"/>
      <w:lvlText w:val="%1."/>
      <w:numFmt w:val="decimal"/>
      <w:start w:val="12"/>
    </w:lvl>
  </w:abstractNum>
  <w:abstractNum w:abstractNumId="18">
    <w:nsid w:val="628C895D"/>
    <w:multiLevelType w:val="hybridMultilevel"/>
    <w:lvl w:ilvl="0">
      <w:lvlJc w:val="left"/>
      <w:lvlText w:val="(%1)"/>
      <w:numFmt w:val="lowerRoman"/>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2020-10-08T06:38:51Z</dcterms:created>
  <dcterms:modified xsi:type="dcterms:W3CDTF">2020-10-08T06:38:51Z</dcterms:modified>
</cp:coreProperties>
</file>