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January 2, 2022</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0" w:lineRule="exact"/>
        <w:rPr>
          <w:sz w:val="24"/>
          <w:szCs w:val="24"/>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001-32242</w:t>
      </w:r>
    </w:p>
    <w:p>
      <w:pPr>
        <w:spacing w:after="0" w:line="25" w:lineRule="exact"/>
        <w:rPr>
          <w:sz w:val="24"/>
          <w:szCs w:val="24"/>
          <w:color w:val="auto"/>
        </w:rPr>
      </w:pPr>
    </w:p>
    <w:tbl>
      <w:tblPr>
        <w:tblLayout w:type="fixed"/>
        <w:tblInd w:w="1680" w:type="dxa"/>
        <w:tblCellMar>
          <w:top w:w="0" w:type="dxa"/>
          <w:left w:w="0" w:type="dxa"/>
          <w:bottom w:w="0" w:type="dxa"/>
          <w:right w:w="0" w:type="dxa"/>
        </w:tblCellMar>
      </w:tblPr>
      <w:tr>
        <w:trPr>
          <w:trHeight w:val="288"/>
        </w:trPr>
        <w:tc>
          <w:tcPr>
            <w:tcW w:w="2380" w:type="dxa"/>
            <w:vAlign w:val="bottom"/>
          </w:tcPr>
          <w:p>
            <w:pPr>
              <w:spacing w:after="0"/>
              <w:rPr>
                <w:sz w:val="24"/>
                <w:szCs w:val="24"/>
                <w:color w:val="auto"/>
              </w:rPr>
            </w:pPr>
          </w:p>
        </w:tc>
        <w:tc>
          <w:tcPr>
            <w:tcW w:w="4960" w:type="dxa"/>
            <w:vAlign w:val="bottom"/>
          </w:tcPr>
          <w:p>
            <w:pPr>
              <w:jc w:val="center"/>
              <w:ind w:right="1755"/>
              <w:spacing w:after="0"/>
              <w:rPr>
                <w:sz w:val="20"/>
                <w:szCs w:val="20"/>
                <w:color w:val="auto"/>
              </w:rPr>
            </w:pPr>
            <w:r>
              <w:rPr>
                <w:rFonts w:ascii="Arial" w:cs="Arial" w:eastAsia="Arial" w:hAnsi="Arial"/>
                <w:sz w:val="25"/>
                <w:szCs w:val="25"/>
                <w:b w:val="1"/>
                <w:bCs w:val="1"/>
                <w:color w:val="auto"/>
                <w:w w:val="91"/>
              </w:rPr>
              <w:t>Domino’s Pizza, Inc.</w:t>
            </w: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4960" w:type="dxa"/>
            <w:vAlign w:val="bottom"/>
          </w:tcPr>
          <w:p>
            <w:pPr>
              <w:jc w:val="center"/>
              <w:ind w:right="1735"/>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236"/>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4960" w:type="dxa"/>
            <w:vAlign w:val="bottom"/>
          </w:tcPr>
          <w:p>
            <w:pPr>
              <w:jc w:val="right"/>
              <w:ind w:right="15"/>
              <w:spacing w:after="0"/>
              <w:rPr>
                <w:sz w:val="20"/>
                <w:szCs w:val="20"/>
                <w:color w:val="auto"/>
              </w:rPr>
            </w:pPr>
            <w:r>
              <w:rPr>
                <w:rFonts w:ascii="Arial" w:cs="Arial" w:eastAsia="Arial" w:hAnsi="Arial"/>
                <w:sz w:val="18"/>
                <w:szCs w:val="18"/>
                <w:b w:val="1"/>
                <w:bCs w:val="1"/>
                <w:color w:val="auto"/>
              </w:rPr>
              <w:t>38-2511577</w:t>
            </w:r>
          </w:p>
        </w:tc>
        <w:tc>
          <w:tcPr>
            <w:tcW w:w="0" w:type="dxa"/>
            <w:vAlign w:val="bottom"/>
          </w:tcPr>
          <w:p>
            <w:pPr>
              <w:spacing w:after="0"/>
              <w:rPr>
                <w:sz w:val="1"/>
                <w:szCs w:val="1"/>
                <w:color w:val="auto"/>
              </w:rPr>
            </w:pPr>
          </w:p>
        </w:tc>
      </w:tr>
      <w:tr>
        <w:trPr>
          <w:trHeight w:val="148"/>
        </w:trPr>
        <w:tc>
          <w:tcPr>
            <w:tcW w:w="238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95"/>
              </w:rPr>
              <w:t>(State or other jurisdiction of</w:t>
            </w:r>
          </w:p>
        </w:tc>
        <w:tc>
          <w:tcPr>
            <w:tcW w:w="4960" w:type="dxa"/>
            <w:vAlign w:val="bottom"/>
          </w:tcPr>
          <w:p>
            <w:pPr>
              <w:jc w:val="center"/>
              <w:ind w:left="381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49"/>
        </w:trPr>
        <w:tc>
          <w:tcPr>
            <w:tcW w:w="238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94"/>
              </w:rPr>
              <w:t>incorporation or organization)</w:t>
            </w:r>
          </w:p>
        </w:tc>
        <w:tc>
          <w:tcPr>
            <w:tcW w:w="4960" w:type="dxa"/>
            <w:vAlign w:val="bottom"/>
          </w:tcPr>
          <w:p>
            <w:pPr>
              <w:jc w:val="center"/>
              <w:ind w:left="3815"/>
              <w:spacing w:after="0" w:line="149" w:lineRule="exact"/>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180"/>
        </w:trPr>
        <w:tc>
          <w:tcPr>
            <w:tcW w:w="2380" w:type="dxa"/>
            <w:vAlign w:val="bottom"/>
          </w:tcPr>
          <w:p>
            <w:pPr>
              <w:jc w:val="center"/>
              <w:ind w:right="19"/>
              <w:spacing w:after="0" w:line="181" w:lineRule="exact"/>
              <w:rPr>
                <w:sz w:val="20"/>
                <w:szCs w:val="20"/>
                <w:color w:val="auto"/>
              </w:rPr>
            </w:pPr>
            <w:r>
              <w:rPr>
                <w:rFonts w:ascii="Arial" w:cs="Arial" w:eastAsia="Arial" w:hAnsi="Arial"/>
                <w:sz w:val="18"/>
                <w:szCs w:val="18"/>
                <w:b w:val="1"/>
                <w:bCs w:val="1"/>
                <w:color w:val="auto"/>
                <w:w w:val="95"/>
              </w:rPr>
              <w:t>30 Frank Lloyd Wright Drive</w:t>
            </w:r>
          </w:p>
        </w:tc>
        <w:tc>
          <w:tcPr>
            <w:tcW w:w="4960" w:type="dxa"/>
            <w:vAlign w:val="bottom"/>
            <w:vMerge w:val="restart"/>
          </w:tcPr>
          <w:p>
            <w:pPr>
              <w:jc w:val="right"/>
              <w:ind w:right="215"/>
              <w:spacing w:after="0"/>
              <w:rPr>
                <w:sz w:val="20"/>
                <w:szCs w:val="20"/>
                <w:color w:val="auto"/>
              </w:rPr>
            </w:pPr>
            <w:r>
              <w:rPr>
                <w:rFonts w:ascii="Arial" w:cs="Arial" w:eastAsia="Arial" w:hAnsi="Arial"/>
                <w:sz w:val="18"/>
                <w:szCs w:val="18"/>
                <w:b w:val="1"/>
                <w:bCs w:val="1"/>
                <w:color w:val="auto"/>
              </w:rPr>
              <w:t>48105</w:t>
            </w:r>
          </w:p>
        </w:tc>
        <w:tc>
          <w:tcPr>
            <w:tcW w:w="0" w:type="dxa"/>
            <w:vAlign w:val="bottom"/>
          </w:tcPr>
          <w:p>
            <w:pPr>
              <w:spacing w:after="0"/>
              <w:rPr>
                <w:sz w:val="1"/>
                <w:szCs w:val="1"/>
                <w:color w:val="auto"/>
              </w:rPr>
            </w:pPr>
          </w:p>
        </w:tc>
      </w:tr>
      <w:tr>
        <w:trPr>
          <w:trHeight w:val="184"/>
        </w:trPr>
        <w:tc>
          <w:tcPr>
            <w:tcW w:w="2380" w:type="dxa"/>
            <w:vAlign w:val="bottom"/>
          </w:tcPr>
          <w:p>
            <w:pPr>
              <w:jc w:val="center"/>
              <w:ind w:right="19"/>
              <w:spacing w:after="0" w:line="184" w:lineRule="exact"/>
              <w:rPr>
                <w:sz w:val="20"/>
                <w:szCs w:val="20"/>
                <w:color w:val="auto"/>
              </w:rPr>
            </w:pPr>
            <w:r>
              <w:rPr>
                <w:rFonts w:ascii="Arial" w:cs="Arial" w:eastAsia="Arial" w:hAnsi="Arial"/>
                <w:sz w:val="18"/>
                <w:szCs w:val="18"/>
                <w:b w:val="1"/>
                <w:bCs w:val="1"/>
                <w:color w:val="auto"/>
                <w:w w:val="94"/>
              </w:rPr>
              <w:t>Ann Arbor, Michigan</w:t>
            </w:r>
          </w:p>
        </w:tc>
        <w:tc>
          <w:tcPr>
            <w:tcW w:w="4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jc w:val="center"/>
              <w:ind w:right="19"/>
              <w:spacing w:after="0"/>
              <w:rPr>
                <w:sz w:val="20"/>
                <w:szCs w:val="20"/>
                <w:color w:val="auto"/>
              </w:rPr>
            </w:pPr>
            <w:r>
              <w:rPr>
                <w:rFonts w:ascii="Arial" w:cs="Arial" w:eastAsia="Arial" w:hAnsi="Arial"/>
                <w:sz w:val="14"/>
                <w:szCs w:val="14"/>
                <w:color w:val="auto"/>
                <w:w w:val="95"/>
              </w:rPr>
              <w:t>(Address of principal executive offices)</w:t>
            </w:r>
          </w:p>
        </w:tc>
        <w:tc>
          <w:tcPr>
            <w:tcW w:w="4960" w:type="dxa"/>
            <w:vAlign w:val="bottom"/>
          </w:tcPr>
          <w:p>
            <w:pPr>
              <w:jc w:val="center"/>
              <w:ind w:left="3835"/>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(734) 930-3030</w:t>
      </w:r>
    </w:p>
    <w:p>
      <w:pPr>
        <w:spacing w:after="0" w:line="36"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0" w:lineRule="exact"/>
        <w:rPr>
          <w:sz w:val="24"/>
          <w:szCs w:val="24"/>
          <w:color w:val="auto"/>
        </w:rPr>
      </w:pPr>
    </w:p>
    <w:tbl>
      <w:tblPr>
        <w:tblLayout w:type="fixed"/>
        <w:tblInd w:w="360" w:type="dxa"/>
        <w:tblCellMar>
          <w:top w:w="0" w:type="dxa"/>
          <w:left w:w="0" w:type="dxa"/>
          <w:bottom w:w="0" w:type="dxa"/>
          <w:right w:w="0" w:type="dxa"/>
        </w:tblCellMar>
      </w:tblPr>
      <w:tr>
        <w:trPr>
          <w:trHeight w:val="227"/>
        </w:trPr>
        <w:tc>
          <w:tcPr>
            <w:tcW w:w="14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540" w:type="dxa"/>
            <w:vAlign w:val="bottom"/>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2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4480" w:type="dxa"/>
            <w:vAlign w:val="bottom"/>
            <w:gridSpan w:val="3"/>
          </w:tcPr>
          <w:p>
            <w:pPr>
              <w:spacing w:after="0"/>
              <w:rPr>
                <w:sz w:val="20"/>
                <w:szCs w:val="20"/>
                <w:color w:val="auto"/>
              </w:rPr>
            </w:pPr>
            <w:r>
              <w:rPr>
                <w:rFonts w:ascii="Arial" w:cs="Arial" w:eastAsia="Arial" w:hAnsi="Arial"/>
                <w:sz w:val="18"/>
                <w:szCs w:val="18"/>
                <w:color w:val="auto"/>
              </w:rPr>
              <w:t>Domino’s Pizza, Inc. Common Stock, $0.01 par value</w:t>
            </w: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DPZ</w:t>
            </w:r>
          </w:p>
        </w:tc>
        <w:tc>
          <w:tcPr>
            <w:tcW w:w="35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New York Stock Exchange</w:t>
            </w:r>
          </w:p>
        </w:tc>
      </w:tr>
    </w:tbl>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u w:val="single" w:color="auto"/>
          <w:color w:val="auto"/>
        </w:rPr>
        <w:t>None</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0" w:lineRule="exact"/>
        <w:rPr>
          <w:sz w:val="24"/>
          <w:szCs w:val="24"/>
          <w:color w:val="auto"/>
        </w:rPr>
      </w:pPr>
    </w:p>
    <w:p>
      <w:pPr>
        <w:ind w:right="260"/>
        <w:spacing w:after="0" w:line="27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tabs>
          <w:tab w:leader="none" w:pos="28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Yes [X]  No [ ]</w:t>
      </w:r>
    </w:p>
    <w:p>
      <w:pPr>
        <w:spacing w:after="0" w:line="61" w:lineRule="exact"/>
        <w:rPr>
          <w:sz w:val="24"/>
          <w:szCs w:val="24"/>
          <w:color w:val="auto"/>
        </w:rPr>
      </w:pPr>
    </w:p>
    <w:p>
      <w:pPr>
        <w:ind w:right="80"/>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47" w:lineRule="exact"/>
        <w:rPr>
          <w:sz w:val="24"/>
          <w:szCs w:val="24"/>
          <w:color w:val="auto"/>
        </w:rPr>
      </w:pPr>
    </w:p>
    <w:p>
      <w:pPr>
        <w:ind w:right="28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423" w:right="379" w:bottom="1440" w:gutter="0" w:footer="0" w:header="0"/>
        </w:sectPr>
      </w:pP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Accelerated filer [ ]</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8" w:lineRule="exact"/>
        <w:rPr>
          <w:sz w:val="24"/>
          <w:szCs w:val="24"/>
          <w:color w:val="auto"/>
        </w:rPr>
      </w:pPr>
    </w:p>
    <w:p>
      <w:pPr>
        <w:sectPr>
          <w:pgSz w:w="11900" w:h="16838" w:orient="portrait"/>
          <w:cols w:equalWidth="0" w:num="3">
            <w:col w:w="3780" w:space="720"/>
            <w:col w:w="2080" w:space="80"/>
            <w:col w:w="4540"/>
          </w:cols>
          <w:pgMar w:left="320" w:top="423" w:right="379"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13" w:lineRule="exact"/>
        <w:rPr>
          <w:sz w:val="24"/>
          <w:szCs w:val="24"/>
          <w:color w:val="auto"/>
        </w:rPr>
      </w:pPr>
    </w:p>
    <w:p>
      <w:pPr>
        <w:sectPr>
          <w:pgSz w:w="11900" w:h="16838" w:orient="portrait"/>
          <w:cols w:equalWidth="0" w:num="2">
            <w:col w:w="2080" w:space="80"/>
            <w:col w:w="9040"/>
          </w:cols>
          <w:pgMar w:left="320" w:top="423" w:right="379" w:bottom="1440" w:gutter="0" w:footer="0" w:header="0"/>
          <w:type w:val="continuous"/>
        </w:sectPr>
      </w:pPr>
    </w:p>
    <w:p>
      <w:pPr>
        <w:ind w:right="140"/>
        <w:spacing w:after="0" w:line="258" w:lineRule="auto"/>
        <w:rPr>
          <w:sz w:val="20"/>
          <w:szCs w:val="20"/>
          <w:color w:val="auto"/>
        </w:rPr>
      </w:pPr>
      <w:r>
        <w:rPr>
          <w:rFonts w:ascii="Arial" w:cs="Arial" w:eastAsia="Arial" w:hAnsi="Arial"/>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48"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77" w:lineRule="exact"/>
        <w:rPr>
          <w:sz w:val="24"/>
          <w:szCs w:val="24"/>
          <w:color w:val="auto"/>
        </w:rPr>
      </w:pPr>
    </w:p>
    <w:p>
      <w:pPr>
        <w:ind w:right="240"/>
        <w:spacing w:after="0" w:line="316" w:lineRule="auto"/>
        <w:rPr>
          <w:sz w:val="20"/>
          <w:szCs w:val="20"/>
          <w:color w:val="auto"/>
        </w:rPr>
      </w:pPr>
      <w:r>
        <w:rPr>
          <w:rFonts w:ascii="Arial" w:cs="Arial" w:eastAsia="Arial" w:hAnsi="Arial"/>
          <w:sz w:val="16"/>
          <w:szCs w:val="16"/>
          <w:color w:val="auto"/>
        </w:rPr>
        <w:t>The aggregate market value of the voting and non-voting common stock held by non-affiliates of Domino’s Pizza, Inc. as of June 20, 2021 computed by reference to the closing price of Domino’s Pizza, Inc.’s common stock on the New York Stock Exchange on such date was $16,864,015,144.</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22, 2022, Domino’s Pizza, Inc. had 36,036,184 shares of common stock, par value $0.01 per share, outstanding.</w:t>
      </w:r>
    </w:p>
    <w:p>
      <w:pPr>
        <w:spacing w:after="0" w:line="32"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 w:lineRule="exact"/>
        <w:rPr>
          <w:sz w:val="24"/>
          <w:szCs w:val="24"/>
          <w:color w:val="auto"/>
        </w:rPr>
      </w:pPr>
    </w:p>
    <w:p>
      <w:pPr>
        <w:ind w:right="60"/>
        <w:spacing w:after="0" w:line="243" w:lineRule="auto"/>
        <w:rPr>
          <w:sz w:val="20"/>
          <w:szCs w:val="20"/>
          <w:color w:val="auto"/>
        </w:rPr>
      </w:pPr>
      <w:r>
        <w:rPr>
          <w:rFonts w:ascii="Arial" w:cs="Arial" w:eastAsia="Arial" w:hAnsi="Arial"/>
          <w:sz w:val="18"/>
          <w:szCs w:val="18"/>
          <w:color w:val="auto"/>
        </w:rPr>
        <w:t>Portions of the definitive proxy statement to be furnished to shareholders of Domino’s Pizza, Inc. in connection with the annual meeting of shareholders to be held on April 26, 2022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3"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u w:val="single" w:color="auto"/>
          <w:color w:val="auto"/>
        </w:rPr>
        <w:t>TABLE OF CONTENTS</w:t>
      </w:r>
    </w:p>
    <w:p>
      <w:pPr>
        <w:spacing w:after="0" w:line="176"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0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Part I</w:t>
            </w:r>
          </w:p>
        </w:tc>
        <w:tc>
          <w:tcPr>
            <w:tcW w:w="500" w:type="dxa"/>
            <w:vAlign w:val="bottom"/>
          </w:tcPr>
          <w:p>
            <w:pPr>
              <w:spacing w:after="0"/>
              <w:rPr>
                <w:sz w:val="17"/>
                <w:szCs w:val="17"/>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700" w:type="dxa"/>
            <w:vAlign w:val="bottom"/>
            <w:tcBorders>
              <w:bottom w:val="single" w:sz="8" w:color="0000FF"/>
            </w:tcBorders>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Business.</w:t>
              </w:r>
            </w:hyperlink>
          </w:p>
        </w:tc>
        <w:tc>
          <w:tcPr>
            <w:tcW w:w="20" w:type="dxa"/>
            <w:vAlign w:val="bottom"/>
            <w:tcBorders>
              <w:bottom w:val="single" w:sz="8" w:color="0000EE"/>
            </w:tcBorders>
          </w:tcPr>
          <w:p>
            <w:pPr>
              <w:spacing w:after="0"/>
              <w:rPr>
                <w:sz w:val="24"/>
                <w:szCs w:val="24"/>
                <w:color w:val="auto"/>
              </w:rPr>
            </w:pPr>
          </w:p>
        </w:tc>
        <w:tc>
          <w:tcPr>
            <w:tcW w:w="7920" w:type="dxa"/>
            <w:vAlign w:val="bottom"/>
            <w:gridSpan w:val="24"/>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FF"/>
            </w:tcBorders>
            <w:gridSpan w:val="5"/>
          </w:tcPr>
          <w:p>
            <w:pPr>
              <w:spacing w:after="0" w:line="169" w:lineRule="exact"/>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7660" w:type="dxa"/>
            <w:vAlign w:val="bottom"/>
            <w:gridSpan w:val="20"/>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1B.</w:t>
            </w:r>
          </w:p>
        </w:tc>
        <w:tc>
          <w:tcPr>
            <w:tcW w:w="980" w:type="dxa"/>
            <w:vAlign w:val="bottom"/>
            <w:gridSpan w:val="6"/>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Unresolved</w:t>
              </w:r>
            </w:hyperlink>
          </w:p>
        </w:tc>
        <w:tc>
          <w:tcPr>
            <w:tcW w:w="7660" w:type="dxa"/>
            <w:vAlign w:val="bottom"/>
            <w:gridSpan w:val="20"/>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Staff Comments.</w:t>
              </w:r>
            </w:hyperlink>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2.</w:t>
            </w:r>
          </w:p>
        </w:tc>
        <w:tc>
          <w:tcPr>
            <w:tcW w:w="21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Properties.</w:t>
              </w:r>
            </w:hyperlink>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Arial" w:cs="Arial" w:eastAsia="Arial" w:hAnsi="Arial"/>
                <w:sz w:val="18"/>
                <w:szCs w:val="18"/>
                <w:color w:val="auto"/>
              </w:rPr>
              <w:t>Item 3.</w:t>
            </w:r>
          </w:p>
        </w:tc>
        <w:tc>
          <w:tcPr>
            <w:tcW w:w="8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640" w:type="dxa"/>
            <w:vAlign w:val="bottom"/>
            <w:gridSpan w:val="26"/>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Arial" w:cs="Arial" w:eastAsia="Arial" w:hAnsi="Arial"/>
                <w:sz w:val="18"/>
                <w:szCs w:val="18"/>
                <w:color w:val="auto"/>
              </w:rPr>
              <w:t>Item 4.</w:t>
            </w:r>
          </w:p>
        </w:tc>
        <w:tc>
          <w:tcPr>
            <w:tcW w:w="84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640" w:type="dxa"/>
            <w:vAlign w:val="bottom"/>
            <w:gridSpan w:val="26"/>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4A.</w:t>
            </w:r>
          </w:p>
        </w:tc>
        <w:tc>
          <w:tcPr>
            <w:tcW w:w="1820" w:type="dxa"/>
            <w:vAlign w:val="bottom"/>
            <w:tcBorders>
              <w:top w:val="single" w:sz="8" w:color="0000FF"/>
            </w:tcBorders>
            <w:gridSpan w:val="9"/>
          </w:tcPr>
          <w:p>
            <w:pPr>
              <w:spacing w:after="0" w:line="169" w:lineRule="exact"/>
              <w:rPr>
                <w:rFonts w:ascii="Arial" w:cs="Arial" w:eastAsia="Arial" w:hAnsi="Arial"/>
                <w:sz w:val="18"/>
                <w:szCs w:val="18"/>
                <w:color w:val="0000FF"/>
                <w:w w:val="92"/>
              </w:rPr>
            </w:pPr>
            <w:hyperlink w:anchor="page29">
              <w:r>
                <w:rPr>
                  <w:rFonts w:ascii="Arial" w:cs="Arial" w:eastAsia="Arial" w:hAnsi="Arial"/>
                  <w:sz w:val="18"/>
                  <w:szCs w:val="18"/>
                  <w:color w:val="0000FF"/>
                  <w:w w:val="92"/>
                </w:rPr>
                <w:t>Executive Officers of the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60" w:type="dxa"/>
            <w:vAlign w:val="bottom"/>
            <w:gridSpan w:val="15"/>
          </w:tcPr>
          <w:p>
            <w:pPr>
              <w:spacing w:after="0" w:line="169" w:lineRule="exact"/>
              <w:rPr>
                <w:rFonts w:ascii="Arial" w:cs="Arial" w:eastAsia="Arial" w:hAnsi="Arial"/>
                <w:sz w:val="18"/>
                <w:szCs w:val="18"/>
                <w:color w:val="0000FF"/>
              </w:rPr>
            </w:pPr>
            <w:hyperlink w:anchor="page29">
              <w:r>
                <w:rPr>
                  <w:rFonts w:ascii="Arial" w:cs="Arial" w:eastAsia="Arial" w:hAnsi="Arial"/>
                  <w:sz w:val="18"/>
                  <w:szCs w:val="18"/>
                  <w:color w:val="0000FF"/>
                </w:rPr>
                <w:t>Registrant</w:t>
              </w:r>
            </w:hyperlink>
            <w:r>
              <w:rPr>
                <w:rFonts w:ascii="Arial" w:cs="Arial" w:eastAsia="Arial" w:hAnsi="Arial"/>
                <w:sz w:val="18"/>
                <w:szCs w:val="18"/>
                <w:color w:val="000000"/>
              </w:rPr>
              <w:t>.</w:t>
            </w: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rPr>
              <w:t>Part II</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640" w:type="dxa"/>
            <w:vAlign w:val="bottom"/>
            <w:gridSpan w:val="26"/>
          </w:tcPr>
          <w:p>
            <w:pP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Market for Registrant’s Common Equity, Related Stockholder Matters and Issuer Purchases of Equity Securities.</w:t>
              </w:r>
            </w:hyperlink>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6.</w:t>
            </w:r>
          </w:p>
        </w:tc>
        <w:tc>
          <w:tcPr>
            <w:tcW w:w="812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[Reserved].</w:t>
              </w:r>
            </w:hyperlink>
          </w:p>
        </w:tc>
        <w:tc>
          <w:tcPr>
            <w:tcW w:w="520" w:type="dxa"/>
            <w:vAlign w:val="bottom"/>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7.</w:t>
            </w:r>
          </w:p>
        </w:tc>
        <w:tc>
          <w:tcPr>
            <w:tcW w:w="840" w:type="dxa"/>
            <w:vAlign w:val="bottom"/>
            <w:tcBorders>
              <w:top w:val="single" w:sz="8" w:color="0000FF"/>
            </w:tcBorders>
            <w:gridSpan w:val="4"/>
          </w:tcPr>
          <w:p>
            <w:pPr>
              <w:spacing w:after="0" w:line="169" w:lineRule="exact"/>
              <w:rPr>
                <w:rFonts w:ascii="Arial" w:cs="Arial" w:eastAsia="Arial" w:hAnsi="Arial"/>
                <w:sz w:val="17"/>
                <w:szCs w:val="17"/>
                <w:color w:val="0000FF"/>
                <w:w w:val="73"/>
              </w:rPr>
            </w:pPr>
            <w:hyperlink w:anchor="page32">
              <w:r>
                <w:rPr>
                  <w:rFonts w:ascii="Arial" w:cs="Arial" w:eastAsia="Arial" w:hAnsi="Arial"/>
                  <w:sz w:val="17"/>
                  <w:szCs w:val="17"/>
                  <w:color w:val="0000FF"/>
                  <w:w w:val="73"/>
                </w:rPr>
                <w:t>Management’s</w:t>
              </w:r>
            </w:hyperlink>
          </w:p>
        </w:tc>
        <w:tc>
          <w:tcPr>
            <w:tcW w:w="7800" w:type="dxa"/>
            <w:vAlign w:val="bottom"/>
            <w:gridSpan w:val="22"/>
          </w:tcPr>
          <w:p>
            <w:pPr>
              <w:ind w:left="280"/>
              <w:spacing w:after="0" w:line="169" w:lineRule="exact"/>
              <w:rPr>
                <w:rFonts w:ascii="Arial" w:cs="Arial" w:eastAsia="Arial" w:hAnsi="Arial"/>
                <w:sz w:val="18"/>
                <w:szCs w:val="18"/>
                <w:color w:val="0000FF"/>
              </w:rPr>
            </w:pPr>
            <w:hyperlink w:anchor="page32">
              <w:r>
                <w:rPr>
                  <w:rFonts w:ascii="Arial" w:cs="Arial" w:eastAsia="Arial" w:hAnsi="Arial"/>
                  <w:sz w:val="18"/>
                  <w:szCs w:val="18"/>
                  <w:color w:val="0000FF"/>
                </w:rPr>
                <w:t>Discussion and Analysis of Financial Condition and Results of Operations.</w:t>
              </w:r>
            </w:hyperlink>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7A.</w:t>
            </w:r>
          </w:p>
        </w:tc>
        <w:tc>
          <w:tcPr>
            <w:tcW w:w="652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8.</w:t>
            </w:r>
          </w:p>
        </w:tc>
        <w:tc>
          <w:tcPr>
            <w:tcW w:w="442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9.</w:t>
            </w:r>
          </w:p>
        </w:tc>
        <w:tc>
          <w:tcPr>
            <w:tcW w:w="3380" w:type="dxa"/>
            <w:vAlign w:val="bottom"/>
            <w:tcBorders>
              <w:top w:val="single" w:sz="8" w:color="0000FF"/>
            </w:tcBorders>
            <w:gridSpan w:val="16"/>
          </w:tcPr>
          <w:p>
            <w:pPr>
              <w:spacing w:after="0" w:line="169" w:lineRule="exact"/>
              <w:rPr>
                <w:rFonts w:ascii="Arial" w:cs="Arial" w:eastAsia="Arial" w:hAnsi="Arial"/>
                <w:sz w:val="18"/>
                <w:szCs w:val="18"/>
                <w:color w:val="0000FF"/>
                <w:w w:val="85"/>
              </w:rPr>
            </w:pPr>
            <w:hyperlink w:anchor="page81">
              <w:r>
                <w:rPr>
                  <w:rFonts w:ascii="Arial" w:cs="Arial" w:eastAsia="Arial" w:hAnsi="Arial"/>
                  <w:sz w:val="18"/>
                  <w:szCs w:val="18"/>
                  <w:color w:val="0000FF"/>
                  <w:w w:val="85"/>
                </w:rPr>
                <w:t>Changes in and Disagreements with Accountants</w:t>
              </w:r>
            </w:hyperlink>
          </w:p>
        </w:tc>
        <w:tc>
          <w:tcPr>
            <w:tcW w:w="20" w:type="dxa"/>
            <w:vAlign w:val="bottom"/>
            <w:tcBorders>
              <w:top w:val="single" w:sz="8" w:color="0000EE"/>
            </w:tcBorders>
          </w:tcPr>
          <w:p>
            <w:pPr>
              <w:spacing w:after="0"/>
              <w:rPr>
                <w:sz w:val="14"/>
                <w:szCs w:val="14"/>
                <w:color w:val="auto"/>
              </w:rPr>
            </w:pPr>
          </w:p>
        </w:tc>
        <w:tc>
          <w:tcPr>
            <w:tcW w:w="5240" w:type="dxa"/>
            <w:vAlign w:val="bottom"/>
            <w:gridSpan w:val="9"/>
          </w:tcPr>
          <w:p>
            <w:pPr>
              <w:ind w:left="180"/>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on Accounting and Financial Disclosure.</w:t>
              </w:r>
            </w:hyperlink>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9A.</w:t>
            </w:r>
          </w:p>
        </w:tc>
        <w:tc>
          <w:tcPr>
            <w:tcW w:w="65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Controls and Procedures.</w:t>
              </w:r>
            </w:hyperlink>
          </w:p>
        </w:tc>
        <w:tc>
          <w:tcPr>
            <w:tcW w:w="80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9B.</w:t>
            </w:r>
          </w:p>
        </w:tc>
        <w:tc>
          <w:tcPr>
            <w:tcW w:w="182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Other Information.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spacing w:after="0"/>
              <w:rPr>
                <w:sz w:val="14"/>
                <w:szCs w:val="14"/>
                <w:color w:val="auto"/>
              </w:rPr>
            </w:pPr>
          </w:p>
        </w:tc>
        <w:tc>
          <w:tcPr>
            <w:tcW w:w="82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300" w:type="dxa"/>
            <w:vAlign w:val="bottom"/>
            <w:gridSpan w:val="2"/>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Arial" w:cs="Arial" w:eastAsia="Arial" w:hAnsi="Arial"/>
                <w:sz w:val="18"/>
                <w:szCs w:val="18"/>
                <w:color w:val="auto"/>
              </w:rPr>
              <w:t>Item 9C.</w:t>
            </w:r>
          </w:p>
        </w:tc>
        <w:tc>
          <w:tcPr>
            <w:tcW w:w="138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gridSpan w:val="3"/>
            <w:vMerge w:val="restart"/>
          </w:tcPr>
          <w:p>
            <w:pPr>
              <w:jc w:val="right"/>
              <w:spacing w:after="0" w:line="189" w:lineRule="exact"/>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960" w:type="dxa"/>
            <w:vAlign w:val="bottom"/>
            <w:tcBorders>
              <w:bottom w:val="single" w:sz="8" w:color="0000FF"/>
            </w:tcBorders>
            <w:gridSpan w:val="20"/>
          </w:tcPr>
          <w:p>
            <w:pPr>
              <w:spacing w:after="0" w:line="169"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Disclosure Regarding Foreign Jurisdictions that Prevent Inspections.</w:t>
              </w:r>
            </w:hyperlink>
          </w:p>
        </w:tc>
        <w:tc>
          <w:tcPr>
            <w:tcW w:w="3680" w:type="dxa"/>
            <w:vAlign w:val="bottom"/>
            <w:gridSpan w:val="6"/>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rPr>
              <w:t>Part III</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8640" w:type="dxa"/>
            <w:vAlign w:val="bottom"/>
            <w:gridSpan w:val="2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Directors, Executive Officers and Corporate Governance.</w:t>
              </w:r>
            </w:hyperlink>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11.</w:t>
            </w:r>
          </w:p>
        </w:tc>
        <w:tc>
          <w:tcPr>
            <w:tcW w:w="18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0"/>
              </w:rPr>
            </w:pPr>
            <w:hyperlink w:anchor="page83">
              <w:r>
                <w:rPr>
                  <w:rFonts w:ascii="Arial" w:cs="Arial" w:eastAsia="Arial" w:hAnsi="Arial"/>
                  <w:sz w:val="18"/>
                  <w:szCs w:val="18"/>
                  <w:color w:val="0000FF"/>
                  <w:w w:val="90"/>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7"/>
          </w:tcPr>
          <w:p>
            <w:pPr>
              <w:spacing w:after="0"/>
              <w:rPr>
                <w:sz w:val="14"/>
                <w:szCs w:val="14"/>
                <w:color w:val="auto"/>
              </w:rPr>
            </w:pPr>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300" w:type="dxa"/>
            <w:vAlign w:val="bottom"/>
            <w:gridSpan w:val="2"/>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12.</w:t>
            </w:r>
          </w:p>
        </w:tc>
        <w:tc>
          <w:tcPr>
            <w:tcW w:w="8640" w:type="dxa"/>
            <w:vAlign w:val="bottom"/>
            <w:gridSpan w:val="26"/>
          </w:tcPr>
          <w:p>
            <w:pPr>
              <w:spacing w:after="0" w:line="169" w:lineRule="exact"/>
              <w:rPr>
                <w:rFonts w:ascii="Arial" w:cs="Arial" w:eastAsia="Arial" w:hAnsi="Arial"/>
                <w:sz w:val="18"/>
                <w:szCs w:val="18"/>
                <w:color w:val="0000FF"/>
              </w:rPr>
            </w:pPr>
            <w:hyperlink w:anchor="page83">
              <w:r>
                <w:rPr>
                  <w:rFonts w:ascii="Arial" w:cs="Arial" w:eastAsia="Arial" w:hAnsi="Arial"/>
                  <w:sz w:val="18"/>
                  <w:szCs w:val="18"/>
                  <w:color w:val="0000FF"/>
                </w:rPr>
                <w:t>Security Ownership of Certain Beneficial Owners and Management and Related Stockholder Matters.</w:t>
              </w:r>
            </w:hyperlink>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13.</w:t>
            </w:r>
          </w:p>
        </w:tc>
        <w:tc>
          <w:tcPr>
            <w:tcW w:w="734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83">
              <w:r>
                <w:rPr>
                  <w:rFonts w:ascii="Arial" w:cs="Arial" w:eastAsia="Arial" w:hAnsi="Arial"/>
                  <w:sz w:val="18"/>
                  <w:szCs w:val="18"/>
                  <w:color w:val="0000FF"/>
                </w:rPr>
                <w:t>Certain Relationships and Related Transactions, and Director Independence.</w:t>
              </w:r>
            </w:hyperlink>
          </w:p>
        </w:tc>
        <w:tc>
          <w:tcPr>
            <w:tcW w:w="1300" w:type="dxa"/>
            <w:vAlign w:val="bottom"/>
            <w:gridSpan w:val="2"/>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14.</w:t>
            </w:r>
          </w:p>
        </w:tc>
        <w:tc>
          <w:tcPr>
            <w:tcW w:w="550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83">
              <w:r>
                <w:rPr>
                  <w:rFonts w:ascii="Arial" w:cs="Arial" w:eastAsia="Arial" w:hAnsi="Arial"/>
                  <w:sz w:val="18"/>
                  <w:szCs w:val="18"/>
                  <w:color w:val="0000FF"/>
                </w:rPr>
                <w:t>Principal Accountant Fees and Services.</w:t>
              </w:r>
            </w:hyperlink>
          </w:p>
        </w:tc>
        <w:tc>
          <w:tcPr>
            <w:tcW w:w="3140" w:type="dxa"/>
            <w:vAlign w:val="bottom"/>
            <w:gridSpan w:val="5"/>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0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8640" w:type="dxa"/>
            <w:vAlign w:val="bottom"/>
            <w:gridSpan w:val="26"/>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Exhibits and Financial Statement Schedules.</w:t>
              </w:r>
            </w:hyperlink>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Item 16.</w:t>
            </w:r>
          </w:p>
        </w:tc>
        <w:tc>
          <w:tcPr>
            <w:tcW w:w="16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w:anchor="page96">
              <w:r>
                <w:rPr>
                  <w:rFonts w:ascii="Arial" w:cs="Arial" w:eastAsia="Arial" w:hAnsi="Arial"/>
                  <w:sz w:val="18"/>
                  <w:szCs w:val="18"/>
                  <w:color w:val="0000FF"/>
                  <w:w w:val="91"/>
                </w:rPr>
                <w:t>Form 10-K Summary.</w:t>
              </w:r>
            </w:hyperlink>
          </w:p>
        </w:tc>
        <w:tc>
          <w:tcPr>
            <w:tcW w:w="1620" w:type="dxa"/>
            <w:vAlign w:val="bottom"/>
            <w:tcBorders>
              <w:top w:val="single" w:sz="8" w:color="0000FF"/>
            </w:tcBorders>
            <w:gridSpan w:val="7"/>
          </w:tcPr>
          <w:p>
            <w:pPr>
              <w:spacing w:after="0"/>
              <w:rPr>
                <w:sz w:val="14"/>
                <w:szCs w:val="14"/>
                <w:color w:val="auto"/>
              </w:rPr>
            </w:pPr>
          </w:p>
        </w:tc>
        <w:tc>
          <w:tcPr>
            <w:tcW w:w="5420" w:type="dxa"/>
            <w:vAlign w:val="bottom"/>
            <w:gridSpan w:val="11"/>
          </w:tcPr>
          <w:p>
            <w:pPr>
              <w:spacing w:after="0"/>
              <w:rPr>
                <w:sz w:val="14"/>
                <w:szCs w:val="14"/>
                <w:color w:val="auto"/>
              </w:rPr>
            </w:pPr>
          </w:p>
        </w:tc>
        <w:tc>
          <w:tcPr>
            <w:tcW w:w="1420" w:type="dxa"/>
            <w:vAlign w:val="bottom"/>
            <w:gridSpan w:val="3"/>
          </w:tcPr>
          <w:p>
            <w:pPr>
              <w:jc w:val="right"/>
              <w:spacing w:after="0" w:line="169"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58"/>
        </w:trPr>
        <w:tc>
          <w:tcPr>
            <w:tcW w:w="9780" w:type="dxa"/>
            <w:vAlign w:val="bottom"/>
            <w:gridSpan w:val="27"/>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SIGNATURES</w:t>
              </w:r>
            </w:hyperlink>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14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Throughout this document, Domino’s Pizza, Inc. (NYSE: DPZ) is referred to as the “Company,” “Domino’s,” “Domino’s Pizza” or in the first-person notations of “we,” “us” and “our.”</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this document, we rely on and refer to information regarding the U.S. quick service restaurant, or QSR, sector and the U.S. QSR pizza category from CREST® ongoing foodservice market research (years ending November) prepared by The NPD Group,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The NPD Group’s CREST® ongoing foodservice market research from consumer surveys. This information relates to both our Company-owned and franchised stores.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Domino’s is the largest pizza company in the world with more than 18,800 locations in over 90 markets around the world as of January 2, 2022, and operates two distinct service models within its stores with a significant business in both delivery and carryout. Founded in 1960, our roots are in convenient pizza delivery, while a significant amount of our retail sales also come from carryout customers. We are a highly recognized global brand, and we focus on value while serving neighborhoods locally through our large worldwide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37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Domino’s generates revenues and earnings by charging royalties and fees to our franchisees. Royalties are ongoing percent-of-sales fees for use of the Domino’s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We believe we have a proven business model for success, which includes leading with technology, service and product innovation and leveraging our global scale, which has historically driven strong returns for our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History</w:t>
      </w:r>
    </w:p>
    <w:p>
      <w:pPr>
        <w:spacing w:after="0" w:line="20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pioneered the pizza delivery business and have been delivering quality, affordable food to our customers since 1960. We became “Domino’s Pizza” in 1965 and opened our first franchised store in 1967. Over the last 60 years, we have built Domino’s into one of the most widely-recognized consumer brands in the world. We believe our commitment to value, convenience, quality and new products continues to keep consumers engaged with the brand.</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During 2021, the uncertain environment created by the novel coronavirus (“COVID-19”) pandemic persisted. However, we continued to increase global retail sales, while our supply chain operations experienced higher volumes as a result of the increase in retail sales. In the U.S. we launched our newest side item, Domino’s Oven-Baked Dips in three unique flavors including Cheesy Marinara, Five Cheese and Baked Apple to pair with our Domino’s Bread Twists. Additionally, emphasis on technological innovation helped us achieve more than half of all global retail sales in 2021 from digital channels. In the U.S., we have developed several innovative ordering platforms, including those for Google Home, Facebook Messenger, Apple Watch, Amazon Echo, Twitter and more. In 2019, we announced a partnership with Nuro to further our exploration and testing of autonomous pizza delivery. In 2021 we began a test of pizza delivery with Nuro vehicles in Houston, Texas. In 2020, we also launched a new way to order contactless carryout nationwide – via Domino’s Carside Delivery</w:t>
      </w:r>
      <w:r>
        <w:rPr>
          <w:rFonts w:ascii="Arial" w:cs="Arial" w:eastAsia="Arial" w:hAnsi="Arial"/>
          <w:sz w:val="21"/>
          <w:szCs w:val="21"/>
          <w:color w:val="auto"/>
          <w:vertAlign w:val="superscript"/>
        </w:rPr>
        <w:t>®</w:t>
      </w:r>
      <w:r>
        <w:rPr>
          <w:rFonts w:ascii="Arial" w:cs="Arial" w:eastAsia="Arial" w:hAnsi="Arial"/>
          <w:sz w:val="16"/>
          <w:szCs w:val="16"/>
          <w:color w:val="auto"/>
        </w:rPr>
        <w:t>, which customers can choose when placing a prepaid online order, with a two-minute guarantee launched in 2021. This new service method emphasizes our commitment to serving hot and delicious pizza in a convenient, contactless manner.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right="20"/>
        <w:spacing w:after="0"/>
        <w:rPr>
          <w:sz w:val="20"/>
          <w:szCs w:val="20"/>
          <w:color w:val="auto"/>
        </w:rPr>
      </w:pPr>
      <w:r>
        <w:rPr>
          <w:rFonts w:ascii="Arial" w:cs="Arial" w:eastAsia="Arial" w:hAnsi="Arial"/>
          <w:sz w:val="18"/>
          <w:szCs w:val="18"/>
          <w:color w:val="auto"/>
        </w:rPr>
        <w:t>Since 1998, the Company has been structured with a leveraged balance sheet and has completed a number of recapitalization transactions. The Company’s most recent recapitalization transaction completed in April 2021, (the “2021 Recapitalization”), primarily consisted of the issuance of $1.85 billion of fixed rate notes and a new $200.0 million variable funding note facility. As of January 2, 2022, the Company had $5.07 billion in total debt, which included debt from its 2021 Recapitalization and its previous recapitalization transactions in 2019, 2018, 2017 and 2015 (the “2019 Recapitalization,” “2018 Recapitalization,” “2017 Recapitalization” and the “2015 Recapitalization,” respectively, and together with the 2021 Recapitalization, the “2021, 2019, 2018, 2017 and 2015 Recapitalizations”).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Industry</w:t>
      </w: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U.S. QSR pizza category is large and fragmented. From 2016 through 2021, the U.S. QSR pizza category has grown from $35.9 billion to $40.6 billion. It is the second-largest category within the $304.8 billion U.S. QSR sector. The U.S. QSR pizza category is primarily comprised of delivery, dine-in and carryout, with carryout and delivery comprising the two largest segments.</w:t>
      </w:r>
    </w:p>
    <w:p>
      <w:pPr>
        <w:spacing w:after="0" w:line="168"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the U.S., we compete in the delivery and carryout segments of the pizza industry, and we are the dollar market share leader for delivery and a growing leader in carryout. Delivery segment dollars of $19.8 billion in 2021 (up from $13.1 billion in 2016) account for approximately 49% of total U.S. QSR pizza. The four industry leaders, including Domino’s, account for over 59% of U.S. pizza delivery, based on reported consumer spending, with the remaining dollars going to regional chains and independent establishments. From 2016 to 2021, the carryout segment grew from $16.3 billion to $17.5 billion. The four industry leaders, including Domino’s, account for approximately 48% of the U.S. carryout segment. (Source: The NPD Group/CREST</w:t>
      </w:r>
      <w:r>
        <w:rPr>
          <w:rFonts w:ascii="Arial" w:cs="Arial" w:eastAsia="Arial" w:hAnsi="Arial"/>
          <w:sz w:val="24"/>
          <w:szCs w:val="24"/>
          <w:color w:val="auto"/>
          <w:vertAlign w:val="superscript"/>
        </w:rPr>
        <w:t>®</w:t>
      </w:r>
      <w:r>
        <w:rPr>
          <w:rFonts w:ascii="Arial" w:cs="Arial" w:eastAsia="Arial" w:hAnsi="Arial"/>
          <w:sz w:val="18"/>
          <w:szCs w:val="18"/>
          <w:color w:val="auto"/>
        </w:rPr>
        <w:t>, year ending November 2021).</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contrast to the U.S., international pizza delivery is relatively underdeveloped, with only Domino’s and two other competitors having a significant global presence. We believe that demand for pizza delivery and pizza carryout is large and growing throughout the world, driven by international consumers’ increasing emphasis on convenience, and our proven success of more than 35 years of conducting business abroad.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w:t>
      </w:r>
    </w:p>
    <w:p>
      <w:pPr>
        <w:spacing w:after="0" w:line="15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global pizza delivery and carryout segments, as well as the broader QSR sector, are highly competitive. In the U.S., we compete against regional and local companies as well as national chains Pizza Hut</w:t>
      </w:r>
      <w:r>
        <w:rPr>
          <w:rFonts w:ascii="Arial" w:cs="Arial" w:eastAsia="Arial" w:hAnsi="Arial"/>
          <w:sz w:val="21"/>
          <w:szCs w:val="21"/>
          <w:color w:val="auto"/>
          <w:vertAlign w:val="superscript"/>
        </w:rPr>
        <w:t>®</w:t>
      </w:r>
      <w:r>
        <w:rPr>
          <w:rFonts w:ascii="Arial" w:cs="Arial" w:eastAsia="Arial" w:hAnsi="Arial"/>
          <w:sz w:val="16"/>
          <w:szCs w:val="16"/>
          <w:color w:val="auto"/>
        </w:rPr>
        <w:t>, Papa John’s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Little Caesars Pizza</w:t>
      </w:r>
      <w:r>
        <w:rPr>
          <w:rFonts w:ascii="Arial" w:cs="Arial" w:eastAsia="Arial" w:hAnsi="Arial"/>
          <w:sz w:val="21"/>
          <w:szCs w:val="21"/>
          <w:color w:val="auto"/>
          <w:vertAlign w:val="superscript"/>
        </w:rPr>
        <w:t>®</w:t>
      </w:r>
      <w:r>
        <w:rPr>
          <w:rFonts w:ascii="Arial" w:cs="Arial" w:eastAsia="Arial" w:hAnsi="Arial"/>
          <w:sz w:val="16"/>
          <w:szCs w:val="16"/>
          <w:color w:val="auto"/>
        </w:rPr>
        <w:t>. Internationally, we compete primarily with Pizza Hut</w:t>
      </w:r>
      <w:r>
        <w:rPr>
          <w:rFonts w:ascii="Arial" w:cs="Arial" w:eastAsia="Arial" w:hAnsi="Arial"/>
          <w:sz w:val="21"/>
          <w:szCs w:val="21"/>
          <w:color w:val="auto"/>
          <w:vertAlign w:val="superscript"/>
        </w:rPr>
        <w:t>®</w:t>
      </w:r>
      <w:r>
        <w:rPr>
          <w:rFonts w:ascii="Arial" w:cs="Arial" w:eastAsia="Arial" w:hAnsi="Arial"/>
          <w:sz w:val="16"/>
          <w:szCs w:val="16"/>
          <w:color w:val="auto"/>
        </w:rPr>
        <w:t>, Papa John’s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country-specific national and local pizzerias. We generally compete on the basis of product quality, location, image, service, technology, convenience and price. Our business and those of our competitors can be affected by changes in consumer tastes, economic and health conditions, demographic trends, marketing, advertising, pricing and consumers’ disposable income. We also compete with other food, food delivery and order and delivery aggregation companies, which have continued to grow in size and scale in recent years. We compete not only for customers, but also for management and hourly employees, including store team members, drivers and qualified franchisees, as well as suitable real estate sites.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Customers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business is not dependent upon a single retail customer or small group of customers, including franchisees. No customer accounted for more than 10% of total consolidated revenues in 2021, 2020 or 2019. As of January 2, 2022, our largest franchisee based on store count, Domino’s Pizza Enterprises (DMP: ASX), operated 3,229 stores in ten international markets, and accounted for 17% of our total store count. Revenues from this master franchisee accounted for 1.7% of our consolidated revenues in 2021. Our international franchise segment only requires a modest amount of general and administrative expenses to support its markets and does not have a cost of sales component. Therefore, the vast majority of these royalty revenues result in profits to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Menu</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offer a menu designed to present an attractive, quality offering to customers, while keeping it simple enough to minimize order errors and expedite order-taking and food preparation. Our basic menu features pizza products with varying sizes and crust types. Our typical store also offers oven-baked sandwiches, pasta, boneless chicken and chicken wings, bread and dips side items, desserts and soft drink products. International markets vary toppings by country and culture, such as the Cheese and Corn pizza in India, or the Octopus Bomb Shrimp in Korea, featuring shrimp, octopus, vegetables, feta cream and horseradish sauce.</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Store Image and Operations</w:t>
      </w:r>
    </w:p>
    <w:p>
      <w:pPr>
        <w:spacing w:after="0" w:line="15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have been focused on pizza delivery for over 60 years, and we also emphasize carryout as a significant component of our business. The majority of our U.S. and international stores are constructed in the carryout-friendly Pizza Theater design. Many of these stores offer casual seating and enable customers to watch the preparation of their orders, but do not offer a full-service dine-in experience. As a result, our stores generally do not require expensive restaurant facilities and staffing.</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Segments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report, three business segments: U.S. stores, international franchise and supply chain.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Stores</w:t>
      </w:r>
    </w:p>
    <w:p>
      <w:pPr>
        <w:spacing w:after="0" w:line="158"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During 2021, our U.S. stores segment accounted for $1.50 billion, or 34%, of our consolidated revenues. Our U.S. stores segment consists primarily of our franchise operations, which consisted of 6,185 franchised stores located in the United States as of January 2, 2022. We also operated a network of 375 U.S. Company-owned stores as of January 2, 2022.</w:t>
      </w:r>
    </w:p>
    <w:p>
      <w:pPr>
        <w:spacing w:after="0" w:line="128"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Directly operating Domino’s stores contributes significantly to our ability to act as a credible franchisor. We also use our Company-owned stores as test sites for technological innovation and promotions as well as operational improvements. We also use them for training new store managers and operations team members, as well as developing prospective franchisees. While we are primarily a franchised business, we continuously evaluate our mix of U.S. Company-owned and franchise stores. As of January 2, 2022, franchised stores represented approximately 94% of our total store count within our U.S. stores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Franchise Profile</w:t>
      </w:r>
    </w:p>
    <w:p>
      <w:pPr>
        <w:spacing w:after="0" w:line="15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of January 2, 2022, our network of 6,185 U.S. franchise stores was owned and operated by 735 independent U.S. franchisees. Our franchise formula enables franchisees to benefit from our brand recognition with a relatively low initial capital investment. As of January 2, 2022, the average U.S. franchisee owned and operated approximately eight stores and had been in our franchise system for over 18 years. Additionally, 22 of our U.S. franchisees operated more than 50 stores (including our largest U.S. franchisee who operated 177 stores) and 216 of our U.S. franchisees each operated one store, each as of that date.</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Franchise Agreements</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2021.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ind w:right="20"/>
        <w:spacing w:after="0" w:line="259" w:lineRule="auto"/>
        <w:rPr>
          <w:sz w:val="20"/>
          <w:szCs w:val="20"/>
          <w:color w:val="auto"/>
        </w:rPr>
      </w:pPr>
      <w:r>
        <w:rPr>
          <w:rFonts w:ascii="Arial" w:cs="Arial" w:eastAsia="Arial" w:hAnsi="Arial"/>
          <w:sz w:val="17"/>
          <w:szCs w:val="17"/>
          <w:color w:val="auto"/>
        </w:rPr>
        <w:t>Our stores in the United States currently contribute 6% of their sales to fund national marketing and advertising campaigns (subject, in certain instances, to lower rates based on certain incentives and waivers). These funds are administered by Domino’s National Advertising Fund Inc. (“DNAF”), our consolidated not-for-profit advertising subsidiary. The funds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w:t>
      </w:r>
    </w:p>
    <w:p>
      <w:pPr>
        <w:spacing w:after="0" w:line="120"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Franchise</w:t>
      </w:r>
    </w:p>
    <w:p>
      <w:pPr>
        <w:spacing w:after="0" w:line="77" w:lineRule="exact"/>
        <w:rPr>
          <w:sz w:val="20"/>
          <w:szCs w:val="20"/>
          <w:color w:val="auto"/>
        </w:rPr>
      </w:pPr>
    </w:p>
    <w:p>
      <w:pPr>
        <w:jc w:val="both"/>
        <w:ind w:right="440"/>
        <w:spacing w:after="0" w:line="294" w:lineRule="auto"/>
        <w:rPr>
          <w:sz w:val="20"/>
          <w:szCs w:val="20"/>
          <w:color w:val="auto"/>
        </w:rPr>
      </w:pPr>
      <w:r>
        <w:rPr>
          <w:rFonts w:ascii="Arial" w:cs="Arial" w:eastAsia="Arial" w:hAnsi="Arial"/>
          <w:sz w:val="16"/>
          <w:szCs w:val="16"/>
          <w:color w:val="auto"/>
        </w:rPr>
        <w:t>During 2021, our international franchise segment accounted for $298.0 million, or 7%, of our consolidated revenues. This segment is comprised of a network of franchised stores in more than 90 international markets. As of January 2, 2022, we had 12,288 international franchise stores. The principal sources of revenues from those operations are royalty payments generated by retail sales from franchised stores, as well as certain technology fees.</w:t>
      </w:r>
    </w:p>
    <w:p>
      <w:pPr>
        <w:spacing w:after="0" w:line="53"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Our international franchisees employ our basic standard operating model and adapt it to satisfy the local eating habits and consumer preferences of various regions outside the U.S. Currently, the vast majority of our international stores operate under master franchise agreements.</w:t>
      </w:r>
    </w:p>
    <w:p>
      <w:pPr>
        <w:spacing w:after="0" w:line="5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believe Domino’s appeals to potential international franchisees because of our recognized brand name and technological leadership, the moderate capital expenditures required to open and operate the stores and the system’s desirable store-level profitability. Stores in seven of our ten largest international markets in terms of store count are operated by master franchise companies that are publicly traded on stock exchanges as noted in the below table. The following table shows our store count as of January 2, 2022 in our ten largest international markets, which accounted for approximately 62% of our international stores as of that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w:t>
            </w:r>
          </w:p>
        </w:tc>
        <w:tc>
          <w:tcPr>
            <w:tcW w:w="5860" w:type="dxa"/>
            <w:vAlign w:val="bottom"/>
            <w:tcBorders>
              <w:bottom w:val="single" w:sz="8" w:color="auto"/>
            </w:tcBorders>
          </w:tcPr>
          <w:p>
            <w:pPr>
              <w:jc w:val="right"/>
              <w:ind w:right="1472"/>
              <w:spacing w:after="0"/>
              <w:rPr>
                <w:sz w:val="20"/>
                <w:szCs w:val="20"/>
                <w:color w:val="auto"/>
              </w:rPr>
            </w:pPr>
            <w:r>
              <w:rPr>
                <w:rFonts w:ascii="Arial" w:cs="Arial" w:eastAsia="Arial" w:hAnsi="Arial"/>
                <w:sz w:val="14"/>
                <w:szCs w:val="14"/>
                <w:b w:val="1"/>
                <w:bCs w:val="1"/>
                <w:color w:val="auto"/>
              </w:rPr>
              <w:t>Number of stores</w:t>
            </w:r>
          </w:p>
        </w:tc>
        <w:tc>
          <w:tcPr>
            <w:tcW w:w="100" w:type="dxa"/>
            <w:vAlign w:val="bottom"/>
          </w:tcPr>
          <w:p>
            <w:pPr>
              <w:spacing w:after="0"/>
              <w:rPr>
                <w:sz w:val="16"/>
                <w:szCs w:val="16"/>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India (JUBLFOOD: NS)</w:t>
            </w:r>
          </w:p>
        </w:tc>
        <w:tc>
          <w:tcPr>
            <w:tcW w:w="5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1,495</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United Kingdom (DOM: L)</w:t>
            </w:r>
          </w:p>
        </w:tc>
        <w:tc>
          <w:tcPr>
            <w:tcW w:w="5860" w:type="dxa"/>
            <w:vAlign w:val="bottom"/>
          </w:tcPr>
          <w:p>
            <w:pPr>
              <w:jc w:val="right"/>
              <w:spacing w:after="0" w:line="202" w:lineRule="exact"/>
              <w:rPr>
                <w:sz w:val="20"/>
                <w:szCs w:val="20"/>
                <w:color w:val="auto"/>
              </w:rPr>
            </w:pPr>
            <w:r>
              <w:rPr>
                <w:rFonts w:ascii="Arial" w:cs="Arial" w:eastAsia="Arial" w:hAnsi="Arial"/>
                <w:sz w:val="18"/>
                <w:szCs w:val="18"/>
                <w:color w:val="auto"/>
              </w:rPr>
              <w:t>1,169</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Japan (DMP: ASX)</w:t>
            </w:r>
          </w:p>
        </w:tc>
        <w:tc>
          <w:tcPr>
            <w:tcW w:w="5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Mexico (ALSEA: MX)</w:t>
            </w:r>
          </w:p>
        </w:tc>
        <w:tc>
          <w:tcPr>
            <w:tcW w:w="586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Australia (DMP: ASX)</w:t>
            </w:r>
          </w:p>
        </w:tc>
        <w:tc>
          <w:tcPr>
            <w:tcW w:w="5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Turkey (DPEU: L)</w:t>
            </w:r>
          </w:p>
        </w:tc>
        <w:tc>
          <w:tcPr>
            <w:tcW w:w="586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00" w:type="dxa"/>
            <w:vAlign w:val="bottom"/>
          </w:tcPr>
          <w:p>
            <w:pPr>
              <w:spacing w:after="0"/>
              <w:rPr>
                <w:sz w:val="17"/>
                <w:szCs w:val="17"/>
                <w:color w:val="auto"/>
              </w:rPr>
            </w:pPr>
          </w:p>
        </w:tc>
      </w:tr>
      <w:tr>
        <w:trPr>
          <w:trHeight w:val="202"/>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Canada</w:t>
            </w:r>
          </w:p>
        </w:tc>
        <w:tc>
          <w:tcPr>
            <w:tcW w:w="5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South Korea</w:t>
            </w:r>
          </w:p>
        </w:tc>
        <w:tc>
          <w:tcPr>
            <w:tcW w:w="586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China</w:t>
            </w:r>
          </w:p>
        </w:tc>
        <w:tc>
          <w:tcPr>
            <w:tcW w:w="5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17"/>
                <w:szCs w:val="17"/>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France (DMP: ASX)</w:t>
            </w:r>
          </w:p>
        </w:tc>
        <w:tc>
          <w:tcPr>
            <w:tcW w:w="58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Franchisee Profile</w:t>
      </w:r>
    </w:p>
    <w:p>
      <w:pPr>
        <w:spacing w:after="0" w:line="7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Master Franchise and Other Agreements</w:t>
      </w:r>
    </w:p>
    <w:p>
      <w:pPr>
        <w:spacing w:after="0" w:line="7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3.0% in 2021. We also have agreements with certain of our international master franchisees with respect to certain technology fees.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u w:val="single" w:color="auto"/>
          <w:color w:val="auto"/>
        </w:rPr>
        <w:t>Supply Chain</w:t>
      </w:r>
    </w:p>
    <w:p>
      <w:pPr>
        <w:spacing w:after="0" w:line="7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During 2021, our supply chain segment accounted for $2.56 billion, or 59%, of our consolidated revenues. We operate 21 regional dough manufacturing and supply chain centers in the U.S., two thin crust manufacturing facilities, one vegetable processing center and one center providing equipment and supplies to our U.S. and certain international stores. We also operate five dough manufacturing and supply chain centers in Canada. We plan to continue investing in additional supply chain centers and capacity initiatives in the future, including one additional regional dough manufacturing and supply chain center that is expected to open in fiscal 2022. Our supply chain segment leases a fleet of more than 900 tractors and trailers. Our centers produce fresh dough and purchase, receive, store and deliver quality food and other complementary items to substantially all of our U.S. stores and most of our Canadian franchised stores. We regularly supply over 7,100 stores with various food and supplies.</w:t>
      </w:r>
    </w:p>
    <w:p>
      <w:pPr>
        <w:spacing w:after="0" w:line="15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believe our franchisees voluntarily choose to obtain food, supplies and equipment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(or a higher percentage in the case of Company-owned stores and certain franchisees who operate a larger number of stores) of the pre-tax profit from our supply chain center operations. We believe these arrangements strengthen our ties to and provide aligned benefits with franchisees.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Suppliers</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spacing w:after="0" w:line="15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September 2017 agreement, our U.S. supplier agreed to provide the Company with an uninterrupted supply of cheese and the Company agreed to a seven-year pricing schedule to purchase all of its U.S. pizza cheese from this supplier. While we expect to meet the terms of this agreement, if we do not, we will be required to repay certain negotiated cost savings as provided in the agreement. The majority of our meat toppings in the U.S. come from a single supplier under a contract that expires in June 2022. We have the right to terminate these arrangements for quality failures and for certain uncured breaches.</w:t>
      </w:r>
    </w:p>
    <w:p>
      <w:pPr>
        <w:spacing w:after="0" w:line="180" w:lineRule="exact"/>
        <w:rPr>
          <w:sz w:val="20"/>
          <w:szCs w:val="20"/>
          <w:color w:val="auto"/>
        </w:rPr>
      </w:pPr>
    </w:p>
    <w:p>
      <w:pPr>
        <w:jc w:val="both"/>
        <w:ind w:right="60"/>
        <w:spacing w:after="0" w:line="221" w:lineRule="auto"/>
        <w:rPr>
          <w:sz w:val="20"/>
          <w:szCs w:val="20"/>
          <w:color w:val="auto"/>
        </w:rPr>
      </w:pPr>
      <w:r>
        <w:rPr>
          <w:rFonts w:ascii="Arial" w:cs="Arial" w:eastAsia="Arial" w:hAnsi="Arial"/>
          <w:sz w:val="18"/>
          <w:szCs w:val="18"/>
          <w:color w:val="auto"/>
        </w:rPr>
        <w:t>We have entered into a multi-year agreement with Coca-Cola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U.S. This contract, renegotiated in June 2019, provides for Coca-Cola to continue to be our exclusive beverage supplier and expires on December 31, 2023 or at such time as a minimum number of cases of Coca-Cola products are purchased by Domino’s, whichever occurs later.</w:t>
      </w:r>
    </w:p>
    <w:p>
      <w:pPr>
        <w:spacing w:after="0" w:line="17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Our Strengths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Brand Equity</w:t>
      </w:r>
    </w:p>
    <w:p>
      <w:pPr>
        <w:spacing w:after="0" w:line="19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are the largest pizza company in the world and we believe our Domino’s brand is one of the most widely-recognized consumer brands in the world. We are the recognized world leader in pizza delivery and have a significant business in carryout. We believe consumers associate our brand with the timely delivery of quality, affordable food and technological innovation.</w:t>
      </w:r>
    </w:p>
    <w:p>
      <w:pPr>
        <w:spacing w:after="0" w:line="168"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Over the past five years, our U.S. franchise and Company-owned stores have invested an estimated $2.4 billion in national, co-operative and local advertising. Our international franchisees also invest significant amounts in advertising efforts in their markets. We continue to reinforce our brand with extensive advertising through various media channels.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 are the number one pizza delivery company in the U.S. with approximately 31% share of pizza delivery based on consumer spending data for the year ending November 2021. For the same period, we are also a growing leader in carryout with approximately 16% share of carryout pizza consumer spending (Source: The NPD Group/CREST</w:t>
      </w:r>
      <w:r>
        <w:rPr>
          <w:rFonts w:ascii="Arial" w:cs="Arial" w:eastAsia="Arial" w:hAnsi="Arial"/>
          <w:sz w:val="23"/>
          <w:szCs w:val="23"/>
          <w:color w:val="auto"/>
          <w:vertAlign w:val="superscript"/>
        </w:rPr>
        <w:t>®</w:t>
      </w:r>
      <w:r>
        <w:rPr>
          <w:rFonts w:ascii="Arial" w:cs="Arial" w:eastAsia="Arial" w:hAnsi="Arial"/>
          <w:sz w:val="17"/>
          <w:szCs w:val="17"/>
          <w:color w:val="auto"/>
        </w:rPr>
        <w:t>, year ending November 2021). With 6,560 stores located in the U.S., our store delivery areas cover a majority of U.S. households. Our share position and scale allow us to leverage our purchasing power, supply chain strength and marketing investments. We believe our scale and market coverage allow us to effectively serve our customers’ demands for convenience and timely delivery. Outside the U.S., we have significant market share positions in many of the markets in which we compete.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Proven Business Model</w:t>
      </w:r>
    </w:p>
    <w:p>
      <w:pPr>
        <w:spacing w:after="0" w:line="15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Our business model generates U.S. and international franchise royalties and fees, supply chain revenue and retail sales at Company-owned stores. We have developed this model over our many years of operation, and it is anchored by strong store-level economics, which provide an entrepreneurial incentive for our franchisees and historically has generated demand for new stores. Over the past ten years, average U.S. store profitability in the Domino’s system has increased meaningfully, resulting in higher profitability for our franchise owners. Our franchise system, in turn, has produced strong and consistent earnings for us through royalty payments and through supply chain revenues.</w:t>
      </w:r>
    </w:p>
    <w:p>
      <w:pPr>
        <w:spacing w:after="0" w:line="17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developed a cost-efficient store model, characterized by a delivery- and carryout-oriented store design, with moderate capital requirements and a menu of quality, value-oriented and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spacing w:after="0" w:line="176"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Our menu simplifies and streamlines production and delivery processes and maximizes economies of scale on purchases of our principal food items. In addition, our stores, including those in our Pizza Theater image,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count. In recent years, we have focused specifically on increasing our presence in our existing markets to provide better service to our customers, including shrinking our delivery areas to provide better delivery service and adding locations that are closer to our carryout customers. We call this approach our fortressing strategy.</w:t>
      </w:r>
    </w:p>
    <w:p>
      <w:pPr>
        <w:spacing w:after="0" w:line="150"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Technological Innovation</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Technological innovation is vital to our brand and our long-term success, and digital ordering is critical to competing in the global pizza and broader QSR industries. Emphasis on technological innovation helped us achieve more than half of all global retail sales in 2021 from digital channels. In the U.S., we have developed several innovative ordering platforms, including those for Google Home, Facebook Messenger, Apple Watch, Amazon Echo, Twitter and more. In 2019, we announced a partnership with Nuro to further our exploration and testing of autonomous pizza delivery. In 2020, we added GPS to our Domino’s Tracker, which allows customers to monitor the progress of their food, from the preparation stages to the time it is in the oven to the time it arrives at their doors. In mid-2020, we launched a new way to order contactless carryout nationwide – via Domino’s Carside Delivery, which customers can choose when placing a prepaid online order.</w:t>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Piece of the Pie Rewards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loyalty program is meant to reward customers with a program that is simple to understand and easy to use. Upon signing up for the program, customers become rewards members and can earn points for their orders. When rewards members reach a certain amount of points, they can redeem their points for free pizza. Rewards members may also receive exclusive members-only discounts and bonus offers. We may also occasionally provide additional opportunities for participating customers to benefit under the Piece of the Pie Rewards program.</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This improved functionality has been developed to work seamlessly with our Domino’s PULSE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point-of-sale system. Our Domino’s PULSE system is designed to drive operating efficiencies for our franchisees and our corporate management and assist franchisees in independently managing their business. As of January 2, 2022, Domino’s PULSE is being used in every Company-owned and franchised store in the U.S. and in approximately 77% of our international stores. We believe utilizing Domino’s PULSE with our integrated technology solutions throughout our system provides us with competitive advantages over other concepts. We intend to continue to enhance and grow our online ordering, digital marketing and technological capabilities.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Innovation</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believe our core hand-tossed pizza recipe has contributed to long-term growth in customer reorder rates, consumer traffic and increased sales. This recipe is now in use in other markets around the world. Our more than 60 years of innovation have resulted in numerous new product developments. During 2021, we launched our newest side item, Domino’s Oven-Baked Dips, in three unique flavors including Cheesy Marinara, Five Cheese and Baked Apple to pair with our Domino’s Bread Twists. Product innovation is also present in our global markets, where our master franchisees have the ability to recommend products to suit their local market tastes. Products can range from simple to indulgent, including the Cheese Fondue Fire Meat in Japan (cheese, tomato and truffle cream sauce, barbeque pork, bacon and vegetables) and the Saumoneta in France (light cream, potatoes, onions, smoked salmon and dill).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Dough Manufacturing and Supply Chain System</w:t>
      </w:r>
    </w:p>
    <w:p>
      <w:pPr>
        <w:spacing w:after="0" w:line="198"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In addition to generating significant revenues and earnings in the U.S. and Canada, we believe our vertically integrated dough manufacturing and supply chain system enhances the quality and consistency of our products, enhances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As of January 2, 2022, we had approximately 13,500 employees, including 9,000 employees supporting our U.S. Company-owned stores and U.S. franchise operations (our U.S. stores segment), approximately 3,000 employees supporting our U.S. and Canadian supply chain operations (our supply chain segment), approximately 100 employees supporting our international franchise operations (our international franchise segment) and approximately 1,400 corporate employees. Approximately 6,100 of our employees are part-time and approximately 7,400 are full-time equivalent. Our franchisees are independent business owners, so their employees are not our employees and therefore are not included in our employee count. None of our employees are covered by a collective bargaining agreement. We consider our relationship with our employees to be good.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Purpose and Values</w:t>
      </w:r>
    </w:p>
    <w:p>
      <w:pPr>
        <w:spacing w:after="0" w:line="198"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We are a purpose-inspired and performance-driven company with exceptional people committed to feeding the power of possible, one pizza at a time. At the heart of our brand is a commitment to a set of values that define our core beliefs on how we run our business, treat our people, support our franchisees and serve our customers.</w:t>
      </w:r>
    </w:p>
    <w:p>
      <w:pPr>
        <w:spacing w:after="0" w:line="168" w:lineRule="exact"/>
        <w:rPr>
          <w:sz w:val="20"/>
          <w:szCs w:val="20"/>
          <w:color w:val="auto"/>
        </w:rPr>
      </w:pPr>
    </w:p>
    <w:p>
      <w:pPr>
        <w:ind w:left="460" w:right="120"/>
        <w:spacing w:after="0" w:line="248" w:lineRule="auto"/>
        <w:rPr>
          <w:sz w:val="20"/>
          <w:szCs w:val="20"/>
          <w:color w:val="auto"/>
        </w:rPr>
      </w:pPr>
      <w:r>
        <w:rPr>
          <w:rFonts w:ascii="Arial" w:cs="Arial" w:eastAsia="Arial" w:hAnsi="Arial"/>
          <w:sz w:val="18"/>
          <w:szCs w:val="18"/>
          <w:i w:val="1"/>
          <w:iCs w:val="1"/>
          <w:color w:val="auto"/>
        </w:rPr>
        <w:t xml:space="preserve">Do the Right Thing: </w:t>
      </w:r>
      <w:r>
        <w:rPr>
          <w:rFonts w:ascii="Arial" w:cs="Arial" w:eastAsia="Arial" w:hAnsi="Arial"/>
          <w:sz w:val="18"/>
          <w:szCs w:val="18"/>
          <w:color w:val="auto"/>
        </w:rPr>
        <w:t>We act with integrity and make disciplined decisions, even when it’s difficult or unpopular. High ethical standards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uncommon honesty are at the heart of how we work together. We are committed to safely and responsibly serving our customers, and to giving back to the communities where we live and work.</w:t>
      </w:r>
    </w:p>
    <w:p>
      <w:pPr>
        <w:spacing w:after="0" w:line="168" w:lineRule="exact"/>
        <w:rPr>
          <w:sz w:val="20"/>
          <w:szCs w:val="20"/>
          <w:color w:val="auto"/>
        </w:rPr>
      </w:pPr>
    </w:p>
    <w:p>
      <w:pPr>
        <w:ind w:left="460" w:right="40"/>
        <w:spacing w:after="0" w:line="248" w:lineRule="auto"/>
        <w:rPr>
          <w:sz w:val="20"/>
          <w:szCs w:val="20"/>
          <w:color w:val="auto"/>
        </w:rPr>
      </w:pPr>
      <w:r>
        <w:rPr>
          <w:rFonts w:ascii="Arial" w:cs="Arial" w:eastAsia="Arial" w:hAnsi="Arial"/>
          <w:sz w:val="18"/>
          <w:szCs w:val="18"/>
          <w:i w:val="1"/>
          <w:iCs w:val="1"/>
          <w:color w:val="auto"/>
        </w:rPr>
        <w:t xml:space="preserve">Put People First: </w:t>
      </w:r>
      <w:r>
        <w:rPr>
          <w:rFonts w:ascii="Arial" w:cs="Arial" w:eastAsia="Arial" w:hAnsi="Arial"/>
          <w:sz w:val="18"/>
          <w:szCs w:val="18"/>
          <w:color w:val="auto"/>
        </w:rPr>
        <w:t>We create an inclusive culture, knowing our people are core to our success. We treat each other with dignity and respect,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value the differences each team member brings. We strive to be a company where all team members can bring their full selves to work and know that they can belong, contribute and reach their potential.</w:t>
      </w:r>
    </w:p>
    <w:p>
      <w:pPr>
        <w:spacing w:after="0" w:line="168" w:lineRule="exact"/>
        <w:rPr>
          <w:sz w:val="20"/>
          <w:szCs w:val="20"/>
          <w:color w:val="auto"/>
        </w:rPr>
      </w:pPr>
    </w:p>
    <w:p>
      <w:pPr>
        <w:ind w:left="460" w:right="500"/>
        <w:spacing w:after="0" w:line="248" w:lineRule="auto"/>
        <w:rPr>
          <w:sz w:val="20"/>
          <w:szCs w:val="20"/>
          <w:color w:val="auto"/>
        </w:rPr>
      </w:pPr>
      <w:r>
        <w:rPr>
          <w:rFonts w:ascii="Arial" w:cs="Arial" w:eastAsia="Arial" w:hAnsi="Arial"/>
          <w:sz w:val="18"/>
          <w:szCs w:val="18"/>
          <w:i w:val="1"/>
          <w:iCs w:val="1"/>
          <w:color w:val="auto"/>
        </w:rPr>
        <w:t xml:space="preserve">Create Inspired Solutions: </w:t>
      </w:r>
      <w:r>
        <w:rPr>
          <w:rFonts w:ascii="Arial" w:cs="Arial" w:eastAsia="Arial" w:hAnsi="Arial"/>
          <w:sz w:val="18"/>
          <w:szCs w:val="18"/>
          <w:color w:val="auto"/>
        </w:rPr>
        <w:t>We are a company built on entrepreneurship and innovation. We get better every day by having the humility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courage to embrace and lead change. Together, we unlock our collective potential to be bold and think big. We have a bias for action to solve customer needs in new and relevant ways.</w:t>
      </w:r>
    </w:p>
    <w:p>
      <w:pPr>
        <w:spacing w:after="0" w:line="168" w:lineRule="exact"/>
        <w:rPr>
          <w:sz w:val="20"/>
          <w:szCs w:val="20"/>
          <w:color w:val="auto"/>
        </w:rPr>
      </w:pPr>
    </w:p>
    <w:p>
      <w:pPr>
        <w:ind w:left="460" w:right="140"/>
        <w:spacing w:after="0" w:line="324" w:lineRule="auto"/>
        <w:rPr>
          <w:sz w:val="20"/>
          <w:szCs w:val="20"/>
          <w:color w:val="auto"/>
        </w:rPr>
      </w:pPr>
      <w:r>
        <w:rPr>
          <w:rFonts w:ascii="Arial" w:cs="Arial" w:eastAsia="Arial" w:hAnsi="Arial"/>
          <w:sz w:val="16"/>
          <w:szCs w:val="16"/>
          <w:i w:val="1"/>
          <w:iCs w:val="1"/>
          <w:color w:val="auto"/>
        </w:rPr>
        <w:t xml:space="preserve">Champion our Customers: </w:t>
      </w:r>
      <w:r>
        <w:rPr>
          <w:rFonts w:ascii="Arial" w:cs="Arial" w:eastAsia="Arial" w:hAnsi="Arial"/>
          <w:sz w:val="16"/>
          <w:szCs w:val="16"/>
          <w:color w:val="auto"/>
        </w:rPr>
        <w:t>We deliver on our promises, treating each order and interaction as an opportunity to deepen relationships by delivering</w:t>
      </w:r>
      <w:r>
        <w:rPr>
          <w:rFonts w:ascii="Arial" w:cs="Arial" w:eastAsia="Arial" w:hAnsi="Arial"/>
          <w:sz w:val="16"/>
          <w:szCs w:val="16"/>
          <w:i w:val="1"/>
          <w:iCs w:val="1"/>
          <w:color w:val="auto"/>
        </w:rPr>
        <w:t xml:space="preserve"> </w:t>
      </w:r>
      <w:r>
        <w:rPr>
          <w:rFonts w:ascii="Arial" w:cs="Arial" w:eastAsia="Arial" w:hAnsi="Arial"/>
          <w:sz w:val="16"/>
          <w:szCs w:val="16"/>
          <w:color w:val="auto"/>
        </w:rPr>
        <w:t>great products, services and experiences. We hold ourselves accountable, and if we don’t deliver on a promise, we are committed to making it right.</w:t>
      </w:r>
    </w:p>
    <w:p>
      <w:pPr>
        <w:spacing w:after="0" w:line="111" w:lineRule="exact"/>
        <w:rPr>
          <w:sz w:val="20"/>
          <w:szCs w:val="20"/>
          <w:color w:val="auto"/>
        </w:rPr>
      </w:pPr>
    </w:p>
    <w:p>
      <w:pPr>
        <w:ind w:left="460"/>
        <w:spacing w:after="0" w:line="248" w:lineRule="auto"/>
        <w:rPr>
          <w:sz w:val="20"/>
          <w:szCs w:val="20"/>
          <w:color w:val="auto"/>
        </w:rPr>
      </w:pPr>
      <w:r>
        <w:rPr>
          <w:rFonts w:ascii="Arial" w:cs="Arial" w:eastAsia="Arial" w:hAnsi="Arial"/>
          <w:sz w:val="18"/>
          <w:szCs w:val="18"/>
          <w:i w:val="1"/>
          <w:iCs w:val="1"/>
          <w:color w:val="auto"/>
        </w:rPr>
        <w:t xml:space="preserve">Grow and Win Together: </w:t>
      </w:r>
      <w:r>
        <w:rPr>
          <w:rFonts w:ascii="Arial" w:cs="Arial" w:eastAsia="Arial" w:hAnsi="Arial"/>
          <w:sz w:val="18"/>
          <w:szCs w:val="18"/>
          <w:color w:val="auto"/>
        </w:rPr>
        <w:t>We are not playing a finite game. We are committed to building an enduring brand that outlives any of our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We will grow together, deliver exceptional results together, celebrate wins together, have fun together, and leave the Domino’s brand in a better place for those that come after.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and Benefits</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Exceptional people are the core of our business. We are committed to providing competitive pay and benefits to attract and retain great talent, whether in our U.S. Company-owned stores, in our supply chain centers or in our corporate offices. We enable this by benchmarking and analyzing pay and benefits both externally and internally. In recent years, we have made continued investments in frontline team member wage rates in our U.S. Company-owned stores and supply chain centers. We are committed to providing pay equity for all employees.</w:t>
      </w:r>
    </w:p>
    <w:p>
      <w:pPr>
        <w:spacing w:after="0" w:line="15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Domino’s offers a comprehensive benefits package to eligible team members. We also make available to our team members several benefits designed to promote an inclusive workplace like paid parental leaves, adoption support, discounted childcare tuition, and health plans that are available to dependents, spouses and domestic partners and include fertility and gender transition support. We also offer eligible team members a 401(k) plan, education assistance, access to financial education, a back-up childcare network and access to legal assistance.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ind w:right="40"/>
        <w:spacing w:after="0" w:line="279" w:lineRule="auto"/>
        <w:rPr>
          <w:sz w:val="20"/>
          <w:szCs w:val="20"/>
          <w:color w:val="auto"/>
        </w:rPr>
      </w:pPr>
      <w:r>
        <w:rPr>
          <w:rFonts w:ascii="Arial" w:cs="Arial" w:eastAsia="Arial" w:hAnsi="Arial"/>
          <w:sz w:val="16"/>
          <w:szCs w:val="16"/>
          <w:color w:val="auto"/>
        </w:rPr>
        <w:t>Beyond basic insurance programs, Domino’s offers other wellness services to help team members manage and optimize their health. These no-cost programs include smoking cessation, diabetes and hypertension management, at-home physical therapy, and emotional support through Domino’s team member assistance program for all part-time and full-time team members and their dependents. Additionally, we provide up to 40 hours per year of sick time for all part-time and full-time team members, with no waiting period for our part-time team members who begin accruing sick pay on their first day of hire, and access to an outside wellness platform featuring 4,000+ videos on topics like mindfulness, exercise, nutrition, sleep, and financial well-being.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Talent Development and Recruiting</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Having best-in-class talent across the globe is crucial to all aspects of Domino’s business, brand and long-term success. We are focused on attracting, developing and retaining high-performing, diverse teams and building an inclusive culture that inspires leadership, encourages innovative thinking and supports the development and advancement of all team members. Domino’s team members are empowered to drive their own success through different resources, training, and several development programs, including our G.O.L.D. (Global Operations Leadership Development) Program, our Supply Chain Services Driver Development Program and our Tech Rotation Program.</w:t>
      </w:r>
    </w:p>
    <w:p>
      <w:pPr>
        <w:spacing w:after="0" w:line="16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Our success will continue to depend on our ability to attract and retain qualified personnel to operate our stores, dough manufacturing and supply chain centers and international operations. To continue to strengthen our ability to attract and retain talent, in 2021 we launched a new Applicant Tracking System and have made continued investments in frontline team member wage rates in our U.S. Company-owned stores. On an annual basis, we also review scores for our team member engagement and culture surveys to identify strengths and opportunities for our brand.</w:t>
      </w:r>
    </w:p>
    <w:p>
      <w:pPr>
        <w:spacing w:after="0" w:line="15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opportunity and potential at Domino’s is best represented in a key statistic: substantially all of our U.S. franchisees started as delivery drivers or in other in-store positions. With the vast majority of Domino’s U.S. franchisees developed from within our own system, the opportunity to become a small business owner is a profound and unique aspect of Domino’s culture and strength as a brand. Experienced store managers and other operators can apply for Franchise Management School (“FMS”). At FMS, these operators receive training for a successful transition from store management to store ownership.</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Inclusion and Diversity Efforts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“Do the Right Thing” and “Put People First” are our top two core values at Domino’s. From those two values our Inclusion and Diversity mission was launched, and we have been relentless in our commitment to building and strengthening our culture every day. Our mission is to foster a more diverse, highly engaged workforce that sees our Company as the employer of choice and is representative of the communities we serve. We want our team members to feel comfortable bringing their unique experiences and diverse backgrounds to discussions where they can share, learn and listen together enabled by conscious inclusion practices and our leadership competencies.</w:t>
      </w:r>
    </w:p>
    <w:p>
      <w:pPr>
        <w:spacing w:after="0" w:line="176"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Domino’s is focused on building an inclusive culture that welcomes and supports everyone and seeks to understand and listen to team members and our neighborhood community members. Our Inclusion and Diversity efforts are built with a strategic framework that encompasses three pillars: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Workforce </w:t>
      </w:r>
      <w:r>
        <w:rPr>
          <w:rFonts w:ascii="Arial" w:cs="Arial" w:eastAsia="Arial" w:hAnsi="Arial"/>
          <w:sz w:val="18"/>
          <w:szCs w:val="18"/>
          <w:color w:val="auto"/>
        </w:rPr>
        <w:t>– focused on the diversity of our workforce at all levels of the organization.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Workplace </w:t>
      </w:r>
      <w:r>
        <w:rPr>
          <w:rFonts w:ascii="Arial" w:cs="Arial" w:eastAsia="Arial" w:hAnsi="Arial"/>
          <w:sz w:val="18"/>
          <w:szCs w:val="18"/>
          <w:color w:val="auto"/>
        </w:rPr>
        <w:t>– focused on ensuring that our Company-owned stores, offices and supply chains are inclusive.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Marketplace </w:t>
      </w:r>
      <w:r>
        <w:rPr>
          <w:rFonts w:ascii="Arial" w:cs="Arial" w:eastAsia="Arial" w:hAnsi="Arial"/>
          <w:sz w:val="18"/>
          <w:szCs w:val="18"/>
          <w:color w:val="auto"/>
        </w:rPr>
        <w:t>– focused on ensuring our brand reaches and is relevant to all consumers.</w:t>
      </w:r>
    </w:p>
    <w:p>
      <w:pPr>
        <w:spacing w:after="0" w:line="19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As part our workplace initiatives, we provide leadership and funding to support team members in participating in Employee Resource Groups (“ERGs”). We currently have ERGs representing the Black, Hispanic and LGBTQ communities, as well as women in the workforce and individuals with disabilities, with more to come based on team member interest. We also make available to our team members several benefits designed to promote an inclusive workplace like paid parental leaves, adoption support, discounted childcare tuition, and health plans that are available to dependents, spouses and domestic partners and include fertility and gender transition support.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Corporate Stewardship</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vision for stewardship is for Domino’s to deliver the power of possible every day for the communities we serve, our people and the planet. We drafted this inaugural brand vision, with notable goals and objectives to drive change in the years and decades to come, and with pillars that ladder up to our newly established long-term goals. We have initiated a new drive to better understand our environmental and social impacts. We engaged outside experts to measure and quantify our environmental footprint, and identify opportunities to improve. With the help of these experts, we conducted a materiality assessment, connected with key stakeholders inside and outside of the company and developed a baseline report for our carbon, water and land use footprint in the U.S. We have set two new significant commitments on greenhouse gas emissions, including a commitment to set and reach Science Based Targets by 2035 and achieve net zero carbon emissions by 2050.</w:t>
      </w:r>
    </w:p>
    <w:p>
      <w:pPr>
        <w:spacing w:after="0" w:line="166"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Domino’s also has a long history of caring for the communities we serve. Our national philanthropic partner is St. Jude Children’s Research Hospital</w:t>
      </w:r>
      <w:r>
        <w:rPr>
          <w:rFonts w:ascii="Arial" w:cs="Arial" w:eastAsia="Arial" w:hAnsi="Arial"/>
          <w:sz w:val="24"/>
          <w:szCs w:val="24"/>
          <w:color w:val="auto"/>
          <w:vertAlign w:val="superscript"/>
        </w:rPr>
        <w:t>®</w:t>
      </w:r>
      <w:r>
        <w:rPr>
          <w:rFonts w:ascii="Arial" w:cs="Arial" w:eastAsia="Arial" w:hAnsi="Arial"/>
          <w:sz w:val="18"/>
          <w:szCs w:val="18"/>
          <w:color w:val="auto"/>
        </w:rPr>
        <w:t>, which is internationally recognized for its pioneering work in finding cures and saving children with cancer and other catastrophic diseases. Through a variety of internal and consumer-based activities, including a national fundraising campaign called St. Jude Thanks and Giving</w:t>
      </w:r>
      <w:r>
        <w:rPr>
          <w:rFonts w:ascii="Arial" w:cs="Arial" w:eastAsia="Arial" w:hAnsi="Arial"/>
          <w:sz w:val="24"/>
          <w:szCs w:val="24"/>
          <w:color w:val="auto"/>
          <w:vertAlign w:val="superscript"/>
        </w:rPr>
        <w:t>®</w:t>
      </w:r>
      <w:r>
        <w:rPr>
          <w:rFonts w:ascii="Arial" w:cs="Arial" w:eastAsia="Arial" w:hAnsi="Arial"/>
          <w:sz w:val="18"/>
          <w:szCs w:val="18"/>
          <w:color w:val="auto"/>
        </w:rPr>
        <w:t>, the Domino’s system has contributed $95.7 million to St. Jude since our partnership began in 2004, including raising $13.6 million in 2021. In 2020, we committed to a 10-year, $100 million campaign to raise funds to build Domino’s Village at St. Jude, a planned housing complex that will accommodate up to 140 patient families during long-term stays at the hospital.</w:t>
      </w:r>
    </w:p>
    <w:p>
      <w:pPr>
        <w:spacing w:after="0" w:line="176"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over $9.4 million over the past five years. The Partners Foundation is committed to meeting the needs of Domino’s team members facing crisis situations, such as fire, illness, natural disasters or other personal tragedies.</w:t>
      </w:r>
    </w:p>
    <w:p>
      <w:pPr>
        <w:spacing w:after="0" w:line="6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Domino’s recently announced a pledge of $3.0 million to support the Black community in the U.S., including $1.0 million to create the Company’s first Black Franchisee Opportunity Fund.</w:t>
      </w:r>
    </w:p>
    <w:p>
      <w:pPr>
        <w:spacing w:after="0" w:line="15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You can find more information about our initiatives and read our 2021 Corporate Stewardship Report, which includes both Sustainability Accounting Standards Board (SASB) and Global Reporting Initiative (GRI) indexed tables, at stewardship.dominos.com. The information included in this report is not incorporated by reference herein and should not be considered a part of this document.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Information about the Company’s working capital is included in Management’s Discussion and Analysis of Financial Condition and Results of Operations in Part II, Item 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10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also subject to the Fair Labor Standards Act and various other federal and state laws governing such matters as minimum wage requirements, overtime and other working conditions and citizenship requirements. A significant number of both our and our franchisees’ food service personnel are paid at rates related to the applicable minimum wage, and past increases in the minimum wage have increased labor costs, as would future increases.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right="20"/>
        <w:spacing w:after="0" w:line="276" w:lineRule="auto"/>
        <w:rPr>
          <w:sz w:val="20"/>
          <w:szCs w:val="20"/>
          <w:color w:val="auto"/>
        </w:rPr>
      </w:pPr>
      <w:r>
        <w:rPr>
          <w:rFonts w:ascii="Arial" w:cs="Arial" w:eastAsia="Arial" w:hAnsi="Arial"/>
          <w:sz w:val="16"/>
          <w:szCs w:val="16"/>
          <w:color w:val="auto"/>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the net worth of our subsidiary, Domino’s Pizza Franchising LLC, and experience.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spacing w:after="0" w:line="10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Internationally, our franchise stores are subject to national and local laws and regulations that are often similar to those affecting our U.S. stores, including laws and regulations concerning franchises, labor, health, sanitation and safety. Our international stores are also often subject to tariffs and regulations on imported commodities and equipment, and laws regulating foreign investment. We believe our international disclosure statements, franchise offering documents and franchising procedures comply in all material respects with the laws of the foreign countries in which we have offered franchises.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Any changes in privacy or data protection laws or regulations could also impact our marketing techniques and could change our marketing strategies. We have a privacy policy posted on our website at www.dominos.com. The security of our financial data, customer information and other personal information is a priority for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5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2021, there were no material environmental compliance-related capital expenditures, and no such material expenditures are anticipated in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 makes available, free of charge, through its internet website ir.dominos.com,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www.sec.gov. Retail orders from Domino’s stores can be made through its internet website www.dominos.com. The reference to these website addresses anywhere in this Annual Report on Form 10-K (the “Form 10-K”) does not constitute incorporation by reference of the information contained on the websites and information appearing on those websites, including ir.dominos.com</w:t>
      </w:r>
      <w:r>
        <w:rPr>
          <w:rFonts w:ascii="Arial" w:cs="Arial" w:eastAsia="Arial" w:hAnsi="Arial"/>
          <w:sz w:val="17"/>
          <w:szCs w:val="17"/>
          <w:u w:val="single" w:color="auto"/>
          <w:color w:val="0000FF"/>
        </w:rPr>
        <w:t>, stewardship.dominos.com</w:t>
      </w:r>
      <w:r>
        <w:rPr>
          <w:rFonts w:ascii="Arial" w:cs="Arial" w:eastAsia="Arial" w:hAnsi="Arial"/>
          <w:sz w:val="17"/>
          <w:szCs w:val="17"/>
          <w:color w:val="auto"/>
        </w:rPr>
        <w:t xml:space="preserve"> and www.dominos.com, should not be considered a part of this document.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For a business as large and globally diverse as the Company,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Operational and Industry Risks</w:t>
      </w:r>
    </w:p>
    <w:p>
      <w:pPr>
        <w:spacing w:after="0" w:line="20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The quick service restaurant ("QSR") pizza category and the food service and food delivery markets in general are highly competitive and such competition could adversely affect our operating results.</w:t>
      </w:r>
    </w:p>
    <w:p>
      <w:pPr>
        <w:spacing w:after="0" w:line="157"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In the U.S., we compete primarily against regional and local companies as well as national chains Pizza Hut</w:t>
      </w:r>
      <w:r>
        <w:rPr>
          <w:rFonts w:ascii="Arial" w:cs="Arial" w:eastAsia="Arial" w:hAnsi="Arial"/>
          <w:sz w:val="23"/>
          <w:szCs w:val="23"/>
          <w:color w:val="auto"/>
          <w:vertAlign w:val="superscript"/>
        </w:rPr>
        <w:t>®</w:t>
      </w:r>
      <w:r>
        <w:rPr>
          <w:rFonts w:ascii="Arial" w:cs="Arial" w:eastAsia="Arial" w:hAnsi="Arial"/>
          <w:sz w:val="17"/>
          <w:szCs w:val="17"/>
          <w:color w:val="auto"/>
        </w:rPr>
        <w:t>, Papa John’s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Little Caesars Pizza</w:t>
      </w:r>
      <w:r>
        <w:rPr>
          <w:rFonts w:ascii="Arial" w:cs="Arial" w:eastAsia="Arial" w:hAnsi="Arial"/>
          <w:sz w:val="23"/>
          <w:szCs w:val="23"/>
          <w:color w:val="auto"/>
          <w:vertAlign w:val="superscript"/>
        </w:rPr>
        <w:t>®</w:t>
      </w:r>
      <w:r>
        <w:rPr>
          <w:rFonts w:ascii="Arial" w:cs="Arial" w:eastAsia="Arial" w:hAnsi="Arial"/>
          <w:sz w:val="17"/>
          <w:szCs w:val="17"/>
          <w:color w:val="auto"/>
        </w:rPr>
        <w:t>. Internationally, we compete primarily with Pizza Hut</w:t>
      </w:r>
      <w:r>
        <w:rPr>
          <w:rFonts w:ascii="Arial" w:cs="Arial" w:eastAsia="Arial" w:hAnsi="Arial"/>
          <w:sz w:val="23"/>
          <w:szCs w:val="23"/>
          <w:color w:val="auto"/>
          <w:vertAlign w:val="superscript"/>
        </w:rPr>
        <w:t>®</w:t>
      </w:r>
      <w:r>
        <w:rPr>
          <w:rFonts w:ascii="Arial" w:cs="Arial" w:eastAsia="Arial" w:hAnsi="Arial"/>
          <w:sz w:val="17"/>
          <w:szCs w:val="17"/>
          <w:color w:val="auto"/>
        </w:rPr>
        <w:t>, Papa John’s</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country-specific national and local companies. We may experience increased competition from existing or new companies in the delivery and carryout pizza categories, in addition to competition from order and delivery aggregators both in the pizza category and more broadly, that may create increasing pressures to grow our business in order to maintain our market share. Competition for both customers and drivers from these order and delivery aggregators and other food delivery services has substantially increased as order and delivery aggregators have continued to grow in size and scale. Additionally, we face competition from the supermarket industry and meal kit and food delivery providers, with the improvement of prepared food and meal kit offerings, expansion in meal delivery platforms and services and the trend towards convergence in grocery, deli, retail and restaurant services.</w:t>
      </w:r>
    </w:p>
    <w:p>
      <w:pPr>
        <w:spacing w:after="0" w:line="177"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We also compete on a broader scale with quick service and other international, national, regional and local restaurants. The overall food service market, food delivery market and the QSR market are intensely competitive with respect to food quality, price, service, image, convenience and concept, and are often affected by changes in:</w:t>
      </w:r>
    </w:p>
    <w:p>
      <w:pPr>
        <w:spacing w:after="0" w:line="168"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tastes;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national, regional or local economic conditions;</w:t>
      </w:r>
    </w:p>
    <w:p>
      <w:pPr>
        <w:ind w:left="1020" w:hanging="503"/>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advertising and pricing, including both price increases and discounting;</w:t>
      </w:r>
    </w:p>
    <w:p>
      <w:pPr>
        <w:ind w:left="1020" w:hanging="503"/>
        <w:spacing w:after="0" w:line="23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disposable purchasing power and demographic trends; and</w:t>
      </w: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related to international operations.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compete within the food service market and the QSR market not only for customers, but also for management and hourly employees, including store team members, drivers and qualified franchisees, as well as suitable real estate sites. We and our franchisees have recently faced an increasingly competitive labor market due to sustained labor shortages and increased turnover resulting in part from the COVID-19 pandemic which has caused us and our franchisees to in certain cases reduce store hours and delay store openings, and has prevented us from running promotions, which has impacted our sales, service levels and customer experience and could ultimately impact our growth and competitive position. Our success is also dependent in large part upon our ability to maintain and enhance the goodwill and reputation of our brand, our customers’ connection to our brand, and a positive relationship with our franchisees and the communities in which we and our franchisees operate.</w:t>
      </w:r>
    </w:p>
    <w:p>
      <w:pPr>
        <w:spacing w:after="0" w:line="16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supply chain segment is also subject to competition from outside suppliers. While substantially all U.S. franchisees purchased food, equipment and supplies from us in 2021, U.S. franchisees are not required to purchase food, equipment or supplies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spacing w:after="0" w:line="17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we are unable to maintain our competitive position, we could experience downward pressure on prices, lower demand for our products, reduced margins, loss of management or hourly employees, reduced service levels, disruption in our supply chain, the inability to take advantage of new business opportunities and the loss of market share, all of which would have an adverse effect on our operating results and could cause our stock price to decline.</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4" w:name="page15"/>
    <w:bookmarkEnd w:id="14"/>
    <w:p>
      <w:pPr>
        <w:ind w:right="80"/>
        <w:spacing w:after="0" w:line="291" w:lineRule="auto"/>
        <w:rPr>
          <w:sz w:val="20"/>
          <w:szCs w:val="20"/>
          <w:color w:val="auto"/>
        </w:rPr>
      </w:pPr>
      <w:r>
        <w:rPr>
          <w:rFonts w:ascii="Arial" w:cs="Arial" w:eastAsia="Arial" w:hAnsi="Arial"/>
          <w:sz w:val="17"/>
          <w:szCs w:val="17"/>
          <w:b w:val="1"/>
          <w:bCs w:val="1"/>
          <w:i w:val="1"/>
          <w:iCs w:val="1"/>
          <w:color w:val="auto"/>
        </w:rPr>
        <w:t>Worldwide economic activity has been and is expected to continue to be adversely affected by the ongoing COVID-19 pandemic, the scale and scope of which is ultimately unknown, which could adversely affect our business, financial condition and results of operations.</w:t>
      </w:r>
    </w:p>
    <w:p>
      <w:pPr>
        <w:spacing w:after="0" w:line="13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ongoing global COVID-19 pandemic continues to impact worldwide economic activity and create uncertainty. A public health pandemic such as COVID-19 poses the risk that we and/or our employees, franchisees, supply chain centers, suppliers, customers and other partners may be, or may continue to be, prevented from conducting business activities for an indefinite period of time, including due to shutdowns, travel restrictions, social distancing requirements, and other restrictions that have been or may be suggested or mandated by governmental authorities, or due to the impact of the disease itself on a business’ workforces. In addition, COVID-19 may impact the willingness of customers to purchase food prepared outside of the home. The COVID-19 pandemic may also have the effect of heightening many of the other risks described throughout this report, including but not limited to those relating to our growth strategy, our supply chain and increased food and labor costs, availability of labor, disruption in operations, loss of key employees, our indebtedness, general economic conditions and our international operations. In response to governmental requirements, we and our franchisees have implemented a number of measures, including, among others, temporarily closing certain of our stores, modifying certain stores’ hours and closing locations to in-store dining, though some of these measures have since been rolled back. We continue to monitor additional developments. We have also made additional operating changes in response to changes in consumer behavior and preferences resulting from COVID-19, including offering contactless delivery and carryout options to our customers. While it is not possible at this time to estimate the full impact that COVID-19 could have on our business going forward, the continued spread of the virus and the measures taken in response have disrupted our operations and could disrupt our supply chain, which could adversely impact our business, financial condition and results of operations. The COVID-19 pandemic and mitigation measures have also impacted global economic conditions, which could have an adverse effect on our business and financial condition. The Company’s sales and operating results may be affected by uncertain or changing economic and market conditions arising in connection with and in response to the COVID-19 pandemic, including inflation, changes to consumer demand, availability of labor, political instability or other changes. Potential federal, state, or local COVID-19 vaccine and/or testing mandates could also materially impact our results if we or our franchised stores face a reduction in available labor and/or incur additional compliance costs as a result of any imposed mandate. While the Company has seen an increase in sales in certain markets, including within the U.S., during the COVID-19 pandemic, including increased sales related to heightened reliance on delivery and carry-out businesses, future sales are not possible to estimate and it is unclear whether and to what extent sales will return to more normalized levels if and when consumer behavior and general economic and business activity return to pre-pandemic levels. The significance of the operational and financial impact to the Company will depend on how long and widespread the disruptions caused by COVID-19, and the corresponding response to contain the virus and treat those affected by it, prove to be.</w:t>
      </w:r>
    </w:p>
    <w:p>
      <w:pPr>
        <w:spacing w:after="0" w:line="17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If we fail to successfully implement our growth strategy, which includes opening new U.S. and international stores, our ability to increase our revenues and operating profits could be adversely affected.</w:t>
      </w:r>
    </w:p>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significant component of our growth strategy includes the opening of new U.S. (both Company-owned as well as franchised stores) and international franchised stores. We and our franchisees face many challenges in opening new stores, including, among others:</w:t>
      </w:r>
    </w:p>
    <w:p>
      <w:pPr>
        <w:spacing w:after="0" w:line="76"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construction, permitting or development delays relating to the ongoing COVID-19 pandemic;</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employment and training of qualified personnel, including availability of store team members;</w:t>
      </w:r>
    </w:p>
    <w:p>
      <w:pPr>
        <w:ind w:left="1020" w:hanging="503"/>
        <w:spacing w:after="0" w:line="23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selection and availability of suitable new store sites and the ability to renew leases in quality locations;</w:t>
      </w:r>
    </w:p>
    <w:p>
      <w:pPr>
        <w:ind w:left="1020" w:hanging="503"/>
        <w:spacing w:after="0" w:line="23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negotiation of leases and financing with acceptable terms;</w:t>
      </w:r>
    </w:p>
    <w:p>
      <w:pPr>
        <w:ind w:left="1020" w:hanging="503"/>
        <w:spacing w:after="0" w:line="23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securing required U.S. or foreign governmental permits, licenses and approvals; and</w:t>
      </w: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including increases in food costs and labor costs which could impact profitability.</w:t>
      </w:r>
    </w:p>
    <w:p>
      <w:pPr>
        <w:spacing w:after="0" w:line="10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opening of additional franchise stores also depends, in part, upon the availability of prospective franchisees who meet our criteria and the ability of these franchisees to attract and retain qualified personnel. Our failure to add a significant number of new stores would adversely affect our ability to increase revenues and operating income. Additionally, our growth strategy and the success of new stores depend in large part on the availability of suitable store sites. If we and our franchisees are not able to secure leases in desired locations on favorable terms, or to renew such leases, our business and results of operations may be adversely affected.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5" w:name="page16"/>
    <w:bookmarkEnd w:id="15"/>
    <w:p>
      <w:pPr>
        <w:ind w:right="40"/>
        <w:spacing w:after="0" w:line="253" w:lineRule="auto"/>
        <w:rPr>
          <w:sz w:val="20"/>
          <w:szCs w:val="20"/>
          <w:color w:val="auto"/>
        </w:rPr>
      </w:pPr>
      <w:r>
        <w:rPr>
          <w:rFonts w:ascii="Arial" w:cs="Arial" w:eastAsia="Arial" w:hAnsi="Arial"/>
          <w:sz w:val="17"/>
          <w:szCs w:val="17"/>
          <w:color w:val="auto"/>
        </w:rPr>
        <w:t>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foreign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Therefore, as we continue to expand, we or our franchisees may not experience the operating margins we expect, our results of operations may be negatively impacted, and our stock price may decline. Additionally, we have an equity investment in DPC Dash Ltd (“DPC Dash”), as further discussed elsewhere in this report. Through its subsidiaries, DPC Dash serves as the Company’s master franchisee in China that owns and operates Domino’s Pizza stores in that market. These types of investments are inherently risky. If DPC Dash does not succeed or is unable to successfully execute its growth strategy, we may be forced to record impairment charges and could lose some or all of our investment.</w:t>
      </w:r>
    </w:p>
    <w:p>
      <w:pPr>
        <w:spacing w:after="0" w:line="167"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may also pursue strategic acquisitions as part of our business. If we are able to identify acquisition candidates, such acquisitions may be financed, to the extent permitted under our debt agreements, with substantial debt or with potentially dilutive issuances of equity securities and may not be successful.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shortages and increases in food, labor and other costs could adversely affect our profitability and operating results.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have recently experienced increased labor shortages at many of our stores and supply chain centers and our franchisees have experienced similar labor shortages at their stores. While there historically has been some level of ordinary course turnover of employees, the COVID-19 pandemic and resulting actions and impacts have exacerbated labor shortages and increased turnover. Labor shortages and increased turnover rates within our team members and the employees of our franchisees have led to and could in the future lead to increased costs, such as increased overtime to meet demand and increased wage rates to attract and retain team members and could negatively affect our and our franchisees’ ability to efficiently operate our respective businesses and result in a negative impact on service and customer experience. Given the inflation rates in fiscal 2021, there has been and may continue to be increases in food costs and labor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and increased energy costs may adversely affect our operating costs and profitability and those of our franchisees and could result in menu price increases. Most of the factors affecting costs are beyond our control and, in many cases, we may not be able to pass along these increased costs to our customers or franchisees and to the extent we were to raise menu prices to offset these costs, could result in decreased consumer demand, sales and profitability. Most ingredients used in our pizza, particularly cheese, are subject to significant price fluctuations as a result of seasonality, weather, demand and other factors. For example, we have experienced increased volatility in prices for some ingredients during the COVID-19 pandemic, which may continue even if the pandemic recedes. Cheese is a significant cost to us, representing approximately 25% of the market basket purchased by our Company-owned stores.</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we may be subject to pricing or other terms less favorable to us than those reflected in our current supply arrangements. Labor costs are largely a function of the minimum wage for a majority of our store personnel and certain supply chain center personnel and, generally, are also a function of the availability of labor. In addition to the increases in labor costs described above, several jurisdictions in which we operate have recently approved minimum wage increases. Federal, state and local proposals that increase minimum wage requirements or mandate other employee matters could, to the extent implemented, materially increase our labor and other costs. As more jurisdictions implement minimum wage increases, we expect our labor costs will continue to increase. The advent of legislation aimed at predictive scheduling could impact labor for our stores and our franchisees’ stores. Additionally, while we do not currently have any unionized employees, certain employees of other companies in our industry have recently become unionized. If a significant portion of our employees were to become unionized, our labor costs could increase and our business could be negatively affected by other union requirements that increase our costs, disrupt our business, reduce our flexibility and impact our employee culture. Further, our responses to any union organizing efforts could negatively impact how our brand is perceived. Labor costs and food costs, including cheese, generally represent approximately 50% to 60% of the sales at a typical Company-owned store.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i w:val="1"/>
          <w:iCs w:val="1"/>
          <w:color w:val="auto"/>
        </w:rPr>
        <w:t>Shortages, interruptions or disruptions in the supply or delivery of fresh food products and store equipment could adversely affect our operating results.</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and our franchisees are dependent on frequent deliveries of food products that meet our specifications as well as adequate supply of store equipment.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and store equipment caused by increased demand, capacity constraints, problems in production or distribution, product recalls, financial or other difficulties of suppliers, inclement weather or other conditions could adversely affect the availability, quality and cost of ingredients and equipment. We have in the past experienced disruptions within our supply chain resulting from, among other things, capacity, volume, systems, staffing, operational and COVID-19-related challenges and may experience such supply chain disruptions again in the future, which could materially and adversely affect our business and operational results. Additionally, the effects of climate change could increase the frequency and duration of weather impacts on our operations and could adversely affect our operating results.</w:t>
      </w:r>
    </w:p>
    <w:p>
      <w:pPr>
        <w:spacing w:after="0" w:line="17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food service market is affected by consumer preferences and perceptions. Changes in these preferences and perceptions may reduce the demand for our products, which would reduce sales and harm our business.</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Food service businesses are affected by changes in consumer tastes, international, national, regional and local economic conditions, marketing, advertising, pricing, including both price increases and discounting, and demographic trends. For instance, if prevailing health or dietary preferences cause consumers to avoid pizza and other products we offer in favor of foods that are perceived as healthier, our business and operating results would be harmed. Moreover, because we are primarily dependent on a single product, if consumer demand for pizza should decrease, our business would suffer more than if we had a more diversified menu, as many other food service businesses do. The preferences of customers also may change as a result of advances in technology or alternative delivery methods or channels. If we are not able to respond to these changes, or our competitors respond to these changes more effectively, our business and operating results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 of product contamination, food-borne illness or food tampering may reduce sales and harm our business.</w:t>
      </w:r>
    </w:p>
    <w:p>
      <w:pPr>
        <w:spacing w:after="0" w:line="19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Reports, whether true or not, of product contamination, food-borne illnesses (such as E. coli, avian flu, bovine spongiform encephalopathy, hepatitis A, trichinosis or salmonella) and injuries caused by food tampering have in the past severely injured the reputations of participants in the QSR market and could in the future as well. These events could occur both at the store and supply chain center levels. If such an event was to occur, we may not be able to respond to it quickly and effectively. The potential for acts of terrorism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Media reports of product contamination, illnesses and injuries, whether accurate or not, could force some stores to close or otherwise reduce sales at such stores. Moreover, as further described below, social media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Our international operations expose us to further risk as our master franchisees are responsible for obtaining their own supply of food and equipment, subject to their compliance with our quality standards. A decrease in sales due to these health concerns or negative publicity or as a result of the closure of any Domino’s stores could adversely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have long-term contracts with certain of our suppliers, and as a result they could seek to significantly increase prices or fail to deliver.</w:t>
      </w:r>
    </w:p>
    <w:p>
      <w:pPr>
        <w:spacing w:after="0" w:line="221"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We do not have long-term contracts or arrangements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those of our franchisees and on our results of operations.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Any prolonged disruption in the operations of any of our dough manufacturing and supply chain centers could harm our business.</w:t>
      </w:r>
    </w:p>
    <w:p>
      <w:pPr>
        <w:spacing w:after="0" w:line="1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operate 21 regional dough manufacturing and supply chain centers in the U.S., two thin crust manufacturing facilities, one vegetable processing center and one center providing equipment and supplies to our U.S. and certain international stores. We also operate five dough manufacturing and supply chain centers in Canada. We plan to continue investing in additional supply chain capacity in the future given the capacity limitations we are currently facing resulting from the growth of our business. Our U.S. dough manufacturing and supply chain centers service all of our Company-owned and substantially all of our U.S. franchise stores. As a result, any prolonged disruption in the operations of any of these facilities, whether due to technical, systems, operational or labor difficulties, destruction or damage to the facility, real estate issues, limited capacity or other reasons, could adversely affect our business and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or failure to recognize, respond to and effectively manage the accelerated impact of social media could adversely impact our business.</w:t>
      </w:r>
    </w:p>
    <w:p>
      <w:pPr>
        <w:spacing w:after="0" w:line="23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use of social media platforms, including blogs, social media websites, chat platforms, and other forms of internet-based communications that allow individuals access to a broad audience of consumers and other persons, including to our customers and the general public, and other consumer-oriented technologies has increased the speed and accessibility of information dissemination and given users the ability to more effectively organize collective actions such as boycotts and other brand-damaging behaviors. Negative publicity related to our food products or stores or negative publicity related to actions by our executives, team members or franchisees and their team members or others perceived to be associated with us or our franchisees could harm our business, brand, reputation, marketing partners, financial condition, and results of operations, regardless of the accuracy of such negative publicity. Failure to use or respond to social media campaigns effectively could lead to a decline in brand value and revenue. In addition, a failure of us, our employees, our franchisees or third parties acting at our direction to abide by applicable laws and regulations in the use of social media may adversely impact our brand, reputation, marketing partners, financial condition, and results of operations or subject us or our franchisees to fines or other penalties.</w:t>
      </w:r>
    </w:p>
    <w:p>
      <w:pPr>
        <w:spacing w:after="0" w:line="15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success depends in part upon effective advertising, and lower advertising funds may reduce our ability to adequately market the Domino’s Pizza brand.</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We have been routinely named a Leading National Advertiser by </w:t>
      </w:r>
      <w:r>
        <w:rPr>
          <w:rFonts w:ascii="Arial" w:cs="Arial" w:eastAsia="Arial" w:hAnsi="Arial"/>
          <w:sz w:val="16"/>
          <w:szCs w:val="16"/>
          <w:i w:val="1"/>
          <w:iCs w:val="1"/>
          <w:color w:val="auto"/>
        </w:rPr>
        <w:t>Advertising Age</w:t>
      </w:r>
      <w:r>
        <w:rPr>
          <w:rFonts w:ascii="Arial" w:cs="Arial" w:eastAsia="Arial" w:hAnsi="Arial"/>
          <w:sz w:val="16"/>
          <w:szCs w:val="16"/>
          <w:color w:val="auto"/>
        </w:rPr>
        <w:t xml:space="preserve"> and our success depends in part on continued effective advertising. Each Domino’s store located in the U.S. is obligated to contribute 6% of its sales (subject, in certain instances, to lower rates based on certain incentives and waivers) to DNAF, which uses such fees for national advertising in addition to contributions for local market-level advertising. We currently anticipate that this 6% contribution rate will remain in place for the foreseeable future. While additional funds for advertising in the past have been provided by us, our franchisees and other third parties, none of these additional funds are legally required. The lack of continued financial support for advertising activities could significantly curtail our marketing efforts, which may in turn materially and adversely affect our business and our operating results.</w:t>
      </w:r>
    </w:p>
    <w:p>
      <w:pPr>
        <w:spacing w:after="0" w:line="14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Loss of key employees or our inability to attract and retain new qualified employees could hurt our business and inhibit our ability to operate and grow successfully.</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success in the highly competitive pizza delivery and carryout business will continue to depend to a significant extent on our leadership team and other key management personnel. Although we have entered into employment agreements with Richard E. Allison Jr. and Russell J. Weiner, each of these executives may terminate his agreement on ninety days’ notice. Our other executive officers may terminate their employment pursuant to their employment agreements at any time. As a result, we may not be able to retain our executive officers and key personnel or attract additional qualified management.</w:t>
      </w:r>
    </w:p>
    <w:p>
      <w:pPr>
        <w:spacing w:after="0" w:line="6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While we do not have long-term employment agreements with our executive officers, for all of our executive officers we have non-compete and non-solicitation agreements that extend for 24 months following the termination of such executive officer’s employment. Our success will also continue to depend on our ability to attract and retain qualified personnel to operate our stores, dough manufacturing and supply chain centers and international operations. The loss of these employees or our inability to recruit and retain qualified personnel, including store-level team members, or our inability to adequately respond to changes in the labor market, could have a material adverse effect on our operating results. Changes we make to our current and future work environments may not meet the needs or expectations of our employees and may be perceived as less favorable compared to other companies' policies, which could negatively impact our ability to hire and retain qualified personnel.</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8" w:name="page19"/>
    <w:bookmarkEnd w:id="18"/>
    <w:p>
      <w:pPr>
        <w:ind w:right="20"/>
        <w:spacing w:after="0" w:line="261" w:lineRule="auto"/>
        <w:rPr>
          <w:sz w:val="20"/>
          <w:szCs w:val="20"/>
          <w:color w:val="auto"/>
        </w:rPr>
      </w:pPr>
      <w:r>
        <w:rPr>
          <w:rFonts w:ascii="Arial" w:cs="Arial" w:eastAsia="Arial" w:hAnsi="Arial"/>
          <w:sz w:val="18"/>
          <w:szCs w:val="18"/>
          <w:b w:val="1"/>
          <w:bCs w:val="1"/>
          <w:i w:val="1"/>
          <w:iCs w:val="1"/>
          <w:color w:val="auto"/>
        </w:rPr>
        <w:t>Our international operations subject us to additional risk. Such risks and costs may differ in each country in which we and our franchisees do business and may cause our profitability to decline due to increased costs.</w:t>
      </w:r>
    </w:p>
    <w:p>
      <w:pPr>
        <w:spacing w:after="0" w:line="15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conduct a significant and growing portion of our business outside the U.S. Our financial condition and results of operations may be adversely affected if global markets in which our franchise stores compete are affected by changes in political, economic or other factors. These factors, many over which neither we nor our master franchisees have control, may include both internal and external factors including:</w:t>
      </w:r>
    </w:p>
    <w:p>
      <w:pPr>
        <w:spacing w:after="0" w:line="69"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recessionary or expansive trends in international markets and global markets and economic downturns;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labor conditions and difficulties in staffing and managing our foreign operations;</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taxes we pay and other changes in applicable tax laws both in the U.S. and globally;</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and trade barriers;</w:t>
      </w:r>
    </w:p>
    <w:p>
      <w:pPr>
        <w:ind w:left="1020" w:right="58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and regulatory changes, and the burdens and costs of our compliance with a variety of foreign laws; changes in inflation rates or exchange rates and the imposition of restrictions on currency conversion or the transfer of funds;</w:t>
      </w:r>
    </w:p>
    <w:p>
      <w:pPr>
        <w:spacing w:after="0" w:line="1" w:lineRule="exact"/>
        <w:rPr>
          <w:rFonts w:ascii="Arial" w:cs="Arial" w:eastAsia="Arial" w:hAnsi="Arial"/>
          <w:sz w:val="18"/>
          <w:szCs w:val="18"/>
          <w:color w:val="auto"/>
        </w:rPr>
      </w:pPr>
    </w:p>
    <w:p>
      <w:pPr>
        <w:ind w:left="1020" w:right="20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ongoing and new relationships between our master franchisees and order and delivery aggregators our master franchisees may partner with internationally and the success of those aggregators and relationships;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collecting our royalties and longer payment cycles;</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expropriation of private enterprises;</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inherent risk of doing business in China resulting from our equity investment in DPC Dash;</w:t>
      </w:r>
    </w:p>
    <w:p>
      <w:pPr>
        <w:ind w:left="1020" w:hanging="503"/>
        <w:spacing w:after="0" w:line="23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anti-American sentiment and the identification of Domino’s as an American brand; and</w:t>
      </w:r>
    </w:p>
    <w:p>
      <w:pPr>
        <w:ind w:left="1020" w:hanging="503"/>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political and economic instability and uncertainty around the world, including uncertainty arising from the ongoing COVID-19 pandemic.</w:t>
      </w:r>
    </w:p>
    <w:p>
      <w:pPr>
        <w:spacing w:after="0" w:line="11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earnings and business growth strategy depend on the success of our franchisees, and we may be harmed by actions taken by our franchisees, or employees of our franchisees, that are outside of our control.</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numerous factors beyond our control. Consequently, franchisees may not operate stores in a manner consistent with our standards and requirements or they or their employees may take other actions that adversely affect the value of our brand. In such event, our business and reputation may suffer, and as a result our revenues and stock price could decline. Our success also depends in part on continuing positive relationships with our franchisees (and positive relationships between our international master franchisees and their corresponding sub-franchisees) and if those relationships were to deteriorate, our revenues and stock price could decline. 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under certain circumstances, including the failure by franchisees to uphold quality standards, there can be no assurance that such remedy will be available or sufficient to prevent harm to our brand and protect our intellectual property.</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January 2, 2022, we had 735 U.S. franchisees operating 6,185 U.S. stores. As of that same date, 22 of these franchisees each owned and operated more than 50 U.S. stores, including our largest U.S. franchisee who owned and operated 177 stores and the average U.S. franchisee owned and operated approximately eight stores. Our international master franchisees are generally responsible for the development of significantly more stores than our U.S. franchisees. As a result, our international operations are more closely tied to the success of a smaller number of franchisees than our U.S. operations. As of January 2, 2022, our largest international master franchisee operated 3,229 stores in 10 markets, which accounted for approximately 26% of our total international store count. Our U.S. and international franchisees may not operate their franchises successfully. If one or more of our key franchisees were to become insolvent or otherwise were unable or unwilling to pay us our royalties or other amounts owed, our business and results of operations would be adversely affected.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9" w:name="page20"/>
    <w:bookmarkEnd w:id="19"/>
    <w:p>
      <w:pPr>
        <w:ind w:right="40"/>
        <w:spacing w:after="0" w:line="261"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depend in large part on our brand and branded products and believe that they are very important to our business. We rely on a combination of trademarks, copyrights,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that we currently use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Accordingly, we may not be able to adequately protect our trademarks everywhere in the world and our use of these trademarks may result in liability for trademark infringement, trademark dilution or unfair competition. All of the steps we have taken to protect our intellectual property globally may not be adequate. In addition, the laws of some foreign countries do not protect intellectual property rights to the same extent as the laws of the U.S. We may, from time to time, be required to institute or defend litigation to enforce our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15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spacing w:after="0" w:line="16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Many retailers and other companies have recently experienced serious cyber incidents and breaches of their information technology systems. As our reliance on technology has increased, so have the risks posed to our systems, both internal and those we have outsourced and we may further be negatively impacted to the extent outdated or legacy systems cease to function appropriately. We have in the past been and in the future may also be subject to negative impacts to our business caused by cyber incidents relating to our third-party service providers or the service providers of those third parties or our franchisees.</w:t>
      </w:r>
    </w:p>
    <w:p>
      <w:pPr>
        <w:spacing w:after="0" w:line="150"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three primary risks that could directly result from the occurrence of a cyber incident include operational interruption, damage to our relationships with customers, franchisees and employees and private data exposure, including payment card or other financial data. In addition to maintaining insurance coverage to address cyber incidents, we have also implemented processes, procedures and controls to help mitigate these risks. However, our cyber insurance coverage may not fully cover all of the costs associated with a cyber incident and these measures, as well as our increased awareness of the risk of a cyber incident, do not guarantee that our reputation and financial results will not be materially and adversely affected by such an incident.</w:t>
      </w:r>
    </w:p>
    <w:p>
      <w:pPr>
        <w:spacing w:after="0" w:line="14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Our and our franchisees’ operations depend upon our ability and the ability of franchisees, third-party service providers and the service providers of those third parties (as well as franchisees’ third-party service providers and the service providers of those third parties),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A significant portion of our retail sales depends on the continuing operation of our information technology and communications systems, including Domino’s PULSE™, our online and mobile ordering platforms and our credit card processing systems. The failure of these systems to operate effectively, stemming from maintenance problems, upgrading or transitioning to new platforms, a compromise in our security or other unanticipated problems has at times in the past and in the future could result in interruptions to or delays in our and our franchisees’ operations. Some of our systems are not fully redundant, and our system’s disaster recovery planning cannot account for all eventualities. The occurrence of a natural disaster, intentional sabotage or other unanticipated problems could result in lengthy interruptions in service.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ind w:right="20"/>
        <w:spacing w:after="0" w:line="251" w:lineRule="auto"/>
        <w:rPr>
          <w:sz w:val="20"/>
          <w:szCs w:val="20"/>
          <w:color w:val="auto"/>
        </w:rPr>
      </w:pPr>
      <w:r>
        <w:rPr>
          <w:rFonts w:ascii="Arial" w:cs="Arial" w:eastAsia="Arial" w:hAnsi="Arial"/>
          <w:sz w:val="17"/>
          <w:szCs w:val="17"/>
          <w:color w:val="auto"/>
        </w:rPr>
        <w:t>In addition, the implementation of technology changes and upgrades to maintain and upgrade our systems, errors or vulnerabilities in our systems, or damage to or failure of our systems, including because of systems becoming obsolete, could result in interruptions in our services and non-compliance with certain laws or regulations, which could reduce our sales, revenues and profits and damage our business and brand. Furthermore, as a result of the COVID-19 pandemic, certain of our employees have been required to work from home for an extended period of time. The significant increase in remote working, particularly for an extended period of time, could exacerbate certain risks to our business, including an increased risk of cyber incidents and improper dissemination of personal or confidential information. Because we and our franchisees accept electronic forms of payment from customers including credit cards, our business requires the collection and retention of customer data, including sensitive financial data and other personally identifiable information in various information systems that we and our franchisees maintain and in those maintained by third parties with whom we and our franchisees contract to provide payment processing. A weakness in such third party’s systems or software products (or in the systems or software products in the service providers of those third parties) may provide a mechanism for a cyber threat. In recent years, a significant number of companies have experienced security data breaches in which customer information was stolen through vendor access channels. While we select our third-party suppliers carefully, cyber-attacks and security data breaches at a payment processing contractor could compromise confidential information or adversely affect our ability to deliver products and services to our customers. These problems could negatively affect our results of operations, and remediation could result in significant, unplanned capital investments.</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also maintain important internal Company data, such as personally identifiable information about our employees and franchisees and information relating to our operations. In addition, more than half of all global retail sales in 2021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Court of Justice of the European Union invalidated the U.S. – E.U. Privacy Shield framework, which was a commonly relied upon mechanism for exchanging personal data from the European Union to the U.S., in the July 16, 2020 “Schrems II” decision (Case C-311/18 Data Protection Commissioner v. Facebook Ireland and Maximillian Schrems) and the State of California has adopted the California Privacy Rights Act of 2020, an amendment to the California Consumer Privacy Act, both of which may require companies to change their handling of personal data. In addition, the State of New York promulgated the New York SHIELD Act which imposed obligations on businesses to implement physical, administrative and technical security measures to protect personal data by the March 21, 2020 effective date. As privacy and information security laws and regulations change, we may incur additional costs to ensure that we remain in compliance with those laws and regulations, and our current and future planned uses of personal and other data may be adversely affected by future adopted privacy and information security laws, regulations and rulings. If our security and information systems are compromised or if we, our employees or franchisees fail to comply with these laws, regulations or contract terms, or to successfully implement processes related to requirements, laws and regulations governing cyber incidents could require us to notify customers, employees or other groups, and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or systems failures, user error or cyber-attacks, could similarly result in adverse publicity, loss of sales and cash flows and other costs, which could in turn materially and adversely affect our reputation, business and results of operations.</w:t>
      </w:r>
    </w:p>
    <w:p>
      <w:pPr>
        <w:spacing w:after="0" w:line="163" w:lineRule="exact"/>
        <w:rPr>
          <w:sz w:val="20"/>
          <w:szCs w:val="20"/>
          <w:color w:val="auto"/>
        </w:rPr>
      </w:pPr>
    </w:p>
    <w:p>
      <w:pPr>
        <w:ind w:right="100"/>
        <w:spacing w:after="0" w:line="362" w:lineRule="auto"/>
        <w:rPr>
          <w:sz w:val="20"/>
          <w:szCs w:val="20"/>
          <w:color w:val="auto"/>
        </w:rPr>
      </w:pPr>
      <w:r>
        <w:rPr>
          <w:rFonts w:ascii="Arial" w:cs="Arial" w:eastAsia="Arial" w:hAnsi="Arial"/>
          <w:sz w:val="15"/>
          <w:szCs w:val="15"/>
          <w:b w:val="1"/>
          <w:bCs w:val="1"/>
          <w:i w:val="1"/>
          <w:iCs w:val="1"/>
          <w:color w:val="auto"/>
        </w:rPr>
        <w:t>We cannot predict the impact that new or improved technologies in general, alternative methods of delivery, including autonomous vehicle delivery, or changes in consumer or employee behavior facilitated by these technologies and alternative methods of delivery will have on our business.</w:t>
      </w:r>
    </w:p>
    <w:p>
      <w:pPr>
        <w:spacing w:after="0" w:line="8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Advances in technologies in general or alternative methods of delivery, including advances in digital ordering technology and autonomous vehicle delivery,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 In addition, our competitors, some of whom have greater resources (financial or otherwise) than we do, may be able to benefit from changes in technologies or consumer acceptance of alternative methods of delivery, which could harm our competitive position.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1" w:name="page22"/>
    <w:bookmarkEnd w:id="21"/>
    <w:p>
      <w:pPr>
        <w:ind w:right="140"/>
        <w:spacing w:after="0" w:line="279" w:lineRule="auto"/>
        <w:rPr>
          <w:sz w:val="20"/>
          <w:szCs w:val="20"/>
          <w:color w:val="auto"/>
        </w:rPr>
      </w:pPr>
      <w:r>
        <w:rPr>
          <w:rFonts w:ascii="Arial" w:cs="Arial" w:eastAsia="Arial" w:hAnsi="Arial"/>
          <w:sz w:val="16"/>
          <w:szCs w:val="16"/>
          <w:color w:val="auto"/>
        </w:rPr>
        <w:t>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Alternative methods of delivery may also impact the potential labor pool from which we recruit our delivery experts and could reduce the available supply of labor. If we are not able to successfully respond to these challenges, our business, market share, financial condition, and operating results could be materially and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additional risks associated with our franchisees.</w:t>
      </w:r>
    </w:p>
    <w:p>
      <w:pPr>
        <w:spacing w:after="0" w:line="198"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spacing w:after="0" w:line="168" w:lineRule="exact"/>
        <w:rPr>
          <w:sz w:val="20"/>
          <w:szCs w:val="20"/>
          <w:color w:val="auto"/>
        </w:rPr>
      </w:pPr>
    </w:p>
    <w:p>
      <w:pPr>
        <w:ind w:left="1020" w:right="380" w:hanging="503"/>
        <w:spacing w:after="0" w:line="27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ind w:left="1020" w:right="14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franchisees that are operating entities, which generally are not limited-purpose entities, including business, credit, financial and other risks in addition to risks related to unions;</w:t>
      </w:r>
    </w:p>
    <w:p>
      <w:pPr>
        <w:spacing w:after="0" w:line="1" w:lineRule="exact"/>
        <w:rPr>
          <w:rFonts w:ascii="Arial" w:cs="Arial" w:eastAsia="Arial" w:hAnsi="Arial"/>
          <w:sz w:val="18"/>
          <w:szCs w:val="18"/>
          <w:color w:val="auto"/>
        </w:rPr>
      </w:pPr>
    </w:p>
    <w:p>
      <w:pPr>
        <w:ind w:left="1020" w:right="2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franchisee changes in control and succession in general and the ability to find acceptable successors who would be able to perform a former franchisee’s obligations under applicable franchise agreements or successfully operate impacted stores in the event of a change of control or other succession event;</w:t>
      </w:r>
    </w:p>
    <w:p>
      <w:pPr>
        <w:spacing w:after="0" w:line="2"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losses from us to the extent those losses experienced by such third parties are either not covered by the franchisee’s insurance or exceed the policy limits of the franchisee’s insurance;</w:t>
      </w:r>
    </w:p>
    <w:p>
      <w:pPr>
        <w:spacing w:after="0" w:line="2" w:lineRule="exact"/>
        <w:rPr>
          <w:rFonts w:ascii="Arial" w:cs="Arial" w:eastAsia="Arial" w:hAnsi="Arial"/>
          <w:sz w:val="17"/>
          <w:szCs w:val="17"/>
          <w:color w:val="auto"/>
        </w:rPr>
      </w:pPr>
    </w:p>
    <w:p>
      <w:pPr>
        <w:ind w:left="1020" w:right="8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instances of termination of or default under a franchisee’s franchise agreement or the non-renewal thereof at the end of such agreement’s expiration date and the corresponding impact on the franchisee’s or our operations;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product liability exposure or noncompliance with health and safety regulations and the impact such events could have on a franchisee’s ability to make payments under applicable franchise agreements, on us if an aggrieved party seeks to recover their losses from us and on our brand’s reputation;</w:t>
      </w:r>
    </w:p>
    <w:p>
      <w:pPr>
        <w:spacing w:after="0" w:line="2" w:lineRule="exact"/>
        <w:rPr>
          <w:rFonts w:ascii="Arial" w:cs="Arial" w:eastAsia="Arial" w:hAnsi="Arial"/>
          <w:sz w:val="18"/>
          <w:szCs w:val="18"/>
          <w:color w:val="auto"/>
        </w:rPr>
      </w:pPr>
    </w:p>
    <w:p>
      <w:pPr>
        <w:ind w:left="1020" w:right="3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injunctive relief, fines, damage awards or capital expenditures under the Americans with Disabilities Act of 1990, as amended, or other laws or regulations that could adversely affect the ability of a franchisee to make payments under applicable franchise agreements;</w:t>
      </w:r>
    </w:p>
    <w:p>
      <w:pPr>
        <w:spacing w:after="0" w:line="2" w:lineRule="exact"/>
        <w:rPr>
          <w:rFonts w:ascii="Arial" w:cs="Arial" w:eastAsia="Arial" w:hAnsi="Arial"/>
          <w:sz w:val="18"/>
          <w:szCs w:val="18"/>
          <w:color w:val="auto"/>
        </w:rPr>
      </w:pPr>
    </w:p>
    <w:p>
      <w:pPr>
        <w:ind w:left="1020" w:right="160" w:hanging="503"/>
        <w:spacing w:after="0" w:line="23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involving franchisees, including litigation involving us or litigation involving a third-party directed at a franchisee, which could decrease the ability of a defendant-franchisee to make its royalty payments and divert our resources regardless of whether the allegations in such litigation are valid or whether we are liable; and</w:t>
      </w:r>
    </w:p>
    <w:p>
      <w:pPr>
        <w:spacing w:after="0" w:line="2" w:lineRule="exact"/>
        <w:rPr>
          <w:rFonts w:ascii="Arial" w:cs="Arial" w:eastAsia="Arial" w:hAnsi="Arial"/>
          <w:sz w:val="18"/>
          <w:szCs w:val="18"/>
          <w:color w:val="auto"/>
        </w:rPr>
      </w:pPr>
    </w:p>
    <w:p>
      <w:pPr>
        <w:ind w:left="1020" w:right="100" w:hanging="503"/>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the reliance of a franchised store business on its franchisees and the nature of franchisees in general, including the retention of franchisees (especially including our top-performing franchisees) in the future or our ability to attract, retain, and motivate sufficient numbers of franchisees of the same caliber in the future as well as our ability to maintain a positive and constructive relationship with our franchisees.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157"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For certain periods prior to December 1998 and for periods after December 2001, we maintain insurance coverage for workers’ compensation, general liability and owned and non-owned automobile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2" w:name="page23"/>
    <w:bookmarkEnd w:id="22"/>
    <w:p>
      <w:pPr>
        <w:ind w:right="20"/>
        <w:spacing w:after="0" w:line="259" w:lineRule="auto"/>
        <w:rPr>
          <w:sz w:val="20"/>
          <w:szCs w:val="20"/>
          <w:color w:val="auto"/>
        </w:rPr>
      </w:pPr>
      <w:r>
        <w:rPr>
          <w:rFonts w:ascii="Arial" w:cs="Arial" w:eastAsia="Arial" w:hAnsi="Arial"/>
          <w:sz w:val="17"/>
          <w:szCs w:val="17"/>
          <w:color w:val="auto"/>
        </w:rPr>
        <w:t>Total insurance limits under these retention programs vary depending upon the period covered and range up to $110.0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In addition, major institutional investors have publicly emphasized the importance of such ESG matters to their investment decisions. Further, in December 2021, we announced our goal to set and reach Science Based Targets by 2035 and achieve net zero carbon emissions by 2050. Execution of these strategies and achievement of these goals are subject to risks and uncertainties, many of which are outside of our control and may prove to be more costly than we anticipate. These risks and uncertainties include, but are not limited to, our ability to execute our strategies and achieve our goals within the currently projected costs and the expected timeframes; unforeseen design, operational and technological difficulties; the outcome of research efforts and future technology developments; the success of our collaboration with franchisees and other third parties; and the actions of competitors and competitive pressures. There is no assurance that we will be able to successfully execute our strategies and achieve our goals. Failure to achieve our goals could damage our reputation and customer, investor and other stakeholder relationships. Such conditions could have an adverse effect on our business, results of operations and financial condition, as well as on our stock price. There also has been increased political focus, including by U.S. and foreign governmental authorities, on environmental sustainability matters, such as climate change, the reduction of greenhouse gases and water consumption. Legislative, regulatory or other efforts to combat climate change or other ESG concerns could also result in new or more stringent forms of oversight and expanding mandatory and voluntary reporting, diligence and disclosure, which could increase costs, bring additional focus and further impact our business, results of operations and financial condition. Any failure or perceived failure by us to manage ESG issues successfully could have a material adverse effect on our reputation and on our business, results of operations, financial condition or stock price, including the sustainability of our business over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indebtedness could adversely affect our business and limit our ability to plan for or respond to changes in our business.</w:t>
      </w:r>
    </w:p>
    <w:p>
      <w:pPr>
        <w:spacing w:after="0" w:line="210"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We have a substantial amount of indebtedness. As of January 2, 2022, our consolidated total indebtedness was approximately $5.07 billion. We may also incur additional debt, which would not be prohibited under the terms of our current securitized debt agreements. Our substantial indebtedness could have important consequences for our business and our shareholders. For example, it could:</w:t>
      </w:r>
    </w:p>
    <w:p>
      <w:pPr>
        <w:spacing w:after="0" w:line="87"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debt agreements;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ind w:left="1020" w:right="780" w:hanging="503"/>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and</w:t>
      </w:r>
    </w:p>
    <w:p>
      <w:pPr>
        <w:spacing w:after="0" w:line="1" w:lineRule="exact"/>
        <w:rPr>
          <w:rFonts w:ascii="Arial" w:cs="Arial" w:eastAsia="Arial" w:hAnsi="Arial"/>
          <w:sz w:val="18"/>
          <w:szCs w:val="18"/>
          <w:color w:val="auto"/>
        </w:rPr>
      </w:pPr>
    </w:p>
    <w:p>
      <w:pPr>
        <w:ind w:left="1020" w:right="480" w:hanging="503"/>
        <w:spacing w:after="0" w:line="24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peers that may have less debt.</w:t>
      </w:r>
    </w:p>
    <w:p>
      <w:pPr>
        <w:spacing w:after="0" w:line="7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Further, our variable funding notes bear interest at fluctuating interest rates that in certain circumstances is based on the London interbank offered rate (“LIBOR”), and there is currently uncertainty around whether LIBOR will continue to exist going forward. Following completion of a consultation regarding cessation of LIBOR settings in January 2021 and receipt, from a majority of the panel banks, of notices of future departure with respect to each LIBOR setting, ICE Benchmark Administration Limited, the administrator for LIBOR, confirmed its intention to cease the publication of the one-week and two-month U.S. dollar LIBOR settings immediately after December 31, 2021, and the remaining U.S. dollar LIBOR settings immediately following the LIBOR publication on June 30, 2023.</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line="269" w:lineRule="auto"/>
        <w:rPr>
          <w:sz w:val="20"/>
          <w:szCs w:val="20"/>
          <w:color w:val="auto"/>
        </w:rPr>
      </w:pPr>
      <w:r>
        <w:rPr>
          <w:rFonts w:ascii="Arial" w:cs="Arial" w:eastAsia="Arial" w:hAnsi="Arial"/>
          <w:sz w:val="16"/>
          <w:szCs w:val="16"/>
          <w:color w:val="auto"/>
        </w:rPr>
        <w:t>The Financial Conduct Authority (the “FCA”) also stated that, while most available tenors for U.S. dollar LIBOR will be available for legacy contracts after December 31, 2021, such tenors may not be used in new contracts. The FCA will consult regarding the use of new powers to be granted by the EU and UK governments which would permit the FCA to require panel banks to continue to publish certain LIBOR settings on a “synthetic” basis until the end of 2022, including the use of such powers for one-month, three-month and six-month U.S. dollar LIBOR settings. However, the FCA also stated that any continued publication of “synthetic” LIBOR would not be representative and would only be for use in legacy contracts. In addition, the Federal Reserve Board, the Office of the Comptroller of the Currency and the Federal Deposit Insurance Corporation had previously released a statement that (i) encouraged banks to cease entering into new contracts that use U.S. dollar LIBOR as a reference rate as soon as practicable and in any event by December 31, 2021, (ii) indicated that new contracts entered into before December 31, 2021 should either utilize a reference rate other than U.S. dollar LIBOR or have robust fallback language that includes a clearly defined alternative reference rate after the discontinuation of U.S. dollar LIBOR and (iii) explained that extending the publication of certain U.S. dollar LIBOR tenors until June 30, 2023 would allow most legacy U.S. dollar LIBOR contracts to mature before LIBOR begins experiencing disruptions. In the United States, the U.S. Federal Reserve, in conjunction with the Alternative Reference Rates Committee, a steering committee comprised of large U.S. financial institutions, is considering replacing LIBOR with a new index calculated by short-term repurchase agreements, backed by Treasury securities called the Secured Overnight Financing Rate (“SOFR”).</w:t>
      </w:r>
    </w:p>
    <w:p>
      <w:pPr>
        <w:spacing w:after="0" w:line="154"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Our 2021 Variable Funding Notes loan documents contemplate a transition from LIBOR to SOFR in the event that LIBOR ceases to exist. Because the composition and characteristics of SOFR are not the same as those of LIBOR, in such event, there can be no assurance that SOFR will perform the same way LIBOR would have at any given time or for any applicable period and how markets will respond to SOFR or other alternative reference rates as the transition away from the LIBOR occurs as anticipated. As a result, our interest expense could increase, in which event we may have difficulties making interest payments and funding our other fixed costs, and our available cash flow for general corporate requirements may be adversely affected.</w:t>
      </w:r>
    </w:p>
    <w:p>
      <w:pPr>
        <w:spacing w:after="0" w:line="14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1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Downgrades in our credit ratings could impact our ability to access capital and materially and adversely affect our business, financial condition and results of operations.</w:t>
      </w:r>
    </w:p>
    <w:p>
      <w:pPr>
        <w:spacing w:after="0" w:line="15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 A downgrade of our credit ratings could, among other things, increase our cost of borrowing, limit our ability to access capital, result in more restrictive covenants in agreements governing the terms of any future indebtedness that we may incur, including restrictions on our ability to pay dividends or repurchase shares, or require us to provide collateral for future borrowings, and thereby adversely impact our business and results of operations.</w:t>
      </w:r>
    </w:p>
    <w:p>
      <w:pPr>
        <w:spacing w:after="0" w:line="17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4" w:name="page25"/>
    <w:bookmarkEnd w:id="24"/>
    <w:p>
      <w:pPr>
        <w:ind w:right="300"/>
        <w:spacing w:after="0" w:line="261" w:lineRule="auto"/>
        <w:rPr>
          <w:sz w:val="20"/>
          <w:szCs w:val="20"/>
          <w:color w:val="auto"/>
        </w:rPr>
      </w:pPr>
      <w:r>
        <w:rPr>
          <w:rFonts w:ascii="Arial" w:cs="Arial" w:eastAsia="Arial" w:hAnsi="Arial"/>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15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93"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the business we conduct and engage in mergers, acquisitions and other business combinations;</w:t>
      </w: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assume or permit to exist additional indebtedness or guarantees;</w:t>
      </w: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w:t>
      </w:r>
    </w:p>
    <w:p>
      <w:pPr>
        <w:ind w:left="1020" w:hanging="503"/>
        <w:spacing w:after="0" w:line="23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liens; and</w:t>
      </w: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this covenant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During the term following issuance, the outstanding senior notes will accrue interest in accordance with the terms of the debt agreements. Additionally, our senior notes have original scheduled principal payments of $51.5 million in each of 2022, 2023 and 2024, $1.17 billion in 2025, $39.3 million in 2026, $1.31 billion in 2027, $811.5 million in 2028, $625.9 million in 2029, $10.0 million in 2030 and $905.0 million in 2031. In accordance with our debt agreements, the payment of principal on the outstanding senior notes may be suspended if the leverage ratio for the Company is less than or equal to 5.0x total debt, as defined, to adjusted EBITDA, as defined in the indenture governing our securitized debt, and no catch-up provisions are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refinance or repay amounts under the securitized debt prior to the expiration of the term, our cash flow would be directed to the repayment of the securitized debt and, other than a weekly management fee sufficient to cover minimal selling, general and administrative expenses, would not be available for operating our business. 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w:t>
      </w:r>
    </w:p>
    <w:p>
      <w:pPr>
        <w:spacing w:after="0" w:line="176"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The indenture governing the securitized debt will restrict the cash flow from the entities subject to the securitization to any of our other entities and upon the occurrence of certain events, cash flow would be further restricted. 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Legal and Compliance Risks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spacing w:after="0" w:line="168"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6"/>
          <w:szCs w:val="16"/>
          <w:color w:val="auto"/>
        </w:rPr>
        <w:t>In addition, class action lawsuits have been filed, and may continue to be filed, against various QSR alleging, among other things, that QSRs have failed to disclose the health risks associated with high-fat foods and that QSR marketing practices have encouraged obesity. State attorney general offices or other regulators have initiated and may in the future initiate investigations or enforcement actions against us. 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w:t>
      </w:r>
    </w:p>
    <w:p>
      <w:pPr>
        <w:spacing w:after="0" w:line="146"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Further, we may be subject to employee, franchisee and other claims in the future based on, among other things, discrimination, harassment, working and safety conditions, wrongful termination and wage, expense reimbursement, rest break and meal break issues, including claims relating to overtime compensation. We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spacing w:after="0" w:line="8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and our franchisees are subject to extensive laws and government regulation and requirements issued by other groups and our failure to comply with existing or increased laws and regulations could adversely affect our business and operating results.</w:t>
      </w:r>
    </w:p>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are subject to numerous federal, state, local and foreign laws and regulations, as well as requirements issued by other groups, including those relating to:</w:t>
      </w:r>
    </w:p>
    <w:p>
      <w:pPr>
        <w:spacing w:after="0" w:line="157"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preparation, sale and labeling of food;</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and zoning requirements and environmental protection;</w:t>
      </w:r>
    </w:p>
    <w:p>
      <w:pPr>
        <w:ind w:left="1020" w:right="18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and employment, including minimum wage, overtime, insurance, discrimination and other labor requirements as well as working and safety conditions;</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franchise arrangements;</w:t>
      </w: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taxation;</w:t>
      </w: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antitrust;</w:t>
      </w:r>
    </w:p>
    <w:p>
      <w:pPr>
        <w:ind w:left="1020" w:hanging="503"/>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card industry standards and requirements; and</w:t>
      </w: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privacy and consumer protection.</w:t>
      </w:r>
    </w:p>
    <w:p>
      <w:pPr>
        <w:spacing w:after="0" w:line="182"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and our franchisees face various regulatory and legislative efforts to enforce employment laws, such as efforts to categorize franchisors as the co-employers or joint employers of their franchisees’ employees or to aggregate individual franchised businesses and classify them as large employers for minimum wage or other employment-related purposes. In August 2015, the National Labor Relations Board ("NLRB") adopted a new and broader standard for determining when two or more otherwise unrelated employers may be found to be a joint employer of the same employees under the National Labor Relations Act. The NLRB issued a final rule which became effective April 27, 2020 that reinstates the standard that was in place before August 2015.</w:t>
      </w:r>
    </w:p>
    <w:p>
      <w:pPr>
        <w:spacing w:after="0" w:line="5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December 2019, the NLRB directed an administrative law judge to approve settlement agreements (rather than rejecting the settlement and allowing the claims asserting that the franchisor should be the joint employer of its franchisees’ employees to proceed) in a decision related to another franchise system; however, an appeal of that decision is pending. The National Labor Relations Board (NLRB) announced on December 10, 2021 that it will again revisit its joint employer standard. If the August 2015 standard is restored or is adopted by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6" w:name="page27"/>
    <w:bookmarkEnd w:id="26"/>
    <w:p>
      <w:pPr>
        <w:ind w:right="80"/>
        <w:spacing w:after="0" w:line="269" w:lineRule="auto"/>
        <w:rPr>
          <w:sz w:val="20"/>
          <w:szCs w:val="20"/>
          <w:color w:val="auto"/>
        </w:rPr>
      </w:pPr>
      <w:r>
        <w:rPr>
          <w:rFonts w:ascii="Arial" w:cs="Arial" w:eastAsia="Arial" w:hAnsi="Arial"/>
          <w:sz w:val="16"/>
          <w:szCs w:val="16"/>
          <w:color w:val="auto"/>
        </w:rPr>
        <w:t>Additionally, depending upon the outcome and application of certain legal proceedings pending or concluded in federal court in California involving the California wage and hour laws in another franchise system, franchisors may be subject to claims that their franchisees should be treated as employees and not as independent contractors under the wage and hour laws of that state and, potentially, certain other states and localities with similar wage and hour laws. Further, the California legislature recently enacted a statute known as Assembly Bill 5 (AB-5), which went into effect on January 1, 2020. AB-5 requires “gig economy” workers to be reclassified as employees instead of independent contractors. However, depending upon the application of AB-5, franchisors in certain industries could be deemed to be covered by the statute, in which event certain franchisees could be deemed employees of the franchisors. While active efforts to narrow the reach of AB-5 continue, a bill (SB 967), which was introduced specifically to exempt the relationship between a franchisor and franchisee from the scope of AB-5, was not successful in the legislature. On November 3, 2020, the California electorate approved proposition 22, the effect of which is to exempt app-based transportation (ride shares) and delivery drivers from the application of AB-5 by treating these workers as independent contractors, rather than employees, provided certain conditions are met. The ballot measure does not affect how AB-5 applies to other businesses and workers. If misclassification claims are successful against or applied to a franchisor under AB-5 or any other similar state law, a franchisor could be liable to its franchisees (and potentially their employees) based the rights and remedies available to employees under such laws and, thereafter, have to treat its franchisees (and their employees) as the franchisor’s employees under these laws.</w:t>
      </w:r>
    </w:p>
    <w:p>
      <w:pPr>
        <w:spacing w:after="0" w:line="15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and our franchisees are subject to the Fair Labor Standards Act of 1938, as amended (the “Fair Labor Standards Act”),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and although such increases are not currently expected to be material, there may be material increases in the future.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 On January 12, 2020, the U.S. Department of Labor announced a final rule to update and clarify the definition of joint employer under the Fair Labor Standards Act. Under the final rule, the general test for assessing whether a party can be deemed a joint employer would be based upon whether that party (i) hires or fires the employee; (ii) supervises and controls the employee’s work schedule or conditions of employment; (iii) determines the employee’s rate and method of payment; and (iv) maintains the employee’s employment records. In the final rule, the Department of Labor describes instances in which joint employment would not be more or less likely to be found to exist under the Fair Labor Standards Act, which, according to the Department of Labor, includes the relationships that exist under the typical franchise business model. This rule may reduce a franchisor’s risk of liability that currently exists under the joint employer standard now in effect under the Fair Labor Standards Act (though ultimately, the facts specific to the franchisor-franchisee model at issue would be considered when determining liability). On September 8, 2020, a federal district court struck down a significant portion of the final rule, and an appeal of that decision is currently pending. On July 29, 2021, the current administration’s Department of Labor issued a final rule rescinding the 2020 rule. The Department of Labor may revert to the more expansive interpretation of joint employer that existed prior to the adoption of the 2020 rule and/or interpretations that could result in franchisors being held liable or responsible for Fair Labor Standards Act violations by their franchisees. The rules of the Department of Labor are separate from the joint employer standard under the National Labor Relations Act or, as described above, potential liability as a joint employer under the National Labor Relations Act.</w:t>
      </w:r>
    </w:p>
    <w:p>
      <w:pPr>
        <w:spacing w:after="0" w:line="15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spacing w:after="0" w:line="253" w:lineRule="auto"/>
        <w:rPr>
          <w:sz w:val="20"/>
          <w:szCs w:val="20"/>
          <w:color w:val="auto"/>
        </w:rPr>
      </w:pPr>
      <w:r>
        <w:rPr>
          <w:rFonts w:ascii="Arial" w:cs="Arial" w:eastAsia="Arial" w:hAnsi="Arial"/>
          <w:sz w:val="17"/>
          <w:szCs w:val="17"/>
          <w:color w:val="auto"/>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also possible. 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 We may also become subject to legislation or regulation seeking to tax and/or regulate high-fat foods, foods with high sugar and salt content, or foods otherwise deemed to be “unhealthy,” and our capital expenditures could increase due to remediation and compliance measures related to these laws or regulations.</w:t>
      </w:r>
    </w:p>
    <w:p>
      <w:pPr>
        <w:spacing w:after="0" w:line="143"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Adverse government regulations and enforcement efforts or non-compliance by us or our franchisees with any of the foregoing laws and regulations could lead to various claims or governmental or judicial fines, sanctions or other enforcement measures, which could negatively impact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General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value of the U.S. dollar in relation to other currencies may lead to lower revenues and earnings.</w:t>
      </w:r>
    </w:p>
    <w:p>
      <w:pPr>
        <w:spacing w:after="0" w:line="198"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Exchange rate fluctuations could have an adverse effect on our results of operations. International franchise royalties and fees represented approximately 6.8%, 6.1% and 6.7% of our total revenues in 2021, 2020 and 2019, respectively, a majority of which were denominated in foreign currencies. We also operate dough manufacturing and distribution facilities in Canada, which generate revenues denominated in Canadian dollars. Sales made by franchise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$26.5 million in 2021.</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stock price may decline significantly or be subject to significant fluctuations.</w:t>
      </w:r>
    </w:p>
    <w:p>
      <w:pPr>
        <w:spacing w:after="0" w:line="16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Our annual and quarterly financial results, including our sales and operating results, can vary significantly from quarter-to-quarter and year-to-year depending on various factors, many of which are beyond our control. These factors include, among other things:</w:t>
      </w:r>
    </w:p>
    <w:p>
      <w:pPr>
        <w:spacing w:after="0" w:line="76"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the timing and volume of our sales and our franchisees’ sales, including same store sales;</w:t>
      </w:r>
    </w:p>
    <w:p>
      <w:pPr>
        <w:spacing w:after="0" w:line="11" w:lineRule="exact"/>
        <w:rPr>
          <w:rFonts w:ascii="Arial" w:cs="Arial" w:eastAsia="Arial" w:hAnsi="Arial"/>
          <w:sz w:val="18"/>
          <w:szCs w:val="18"/>
          <w:color w:val="auto"/>
        </w:rPr>
      </w:pP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w:t>
      </w: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planned or actual changes to our capital or debt structure;</w:t>
      </w: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sales promotions, acquisitions or restructurings;</w:t>
      </w: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dividend policy or any share repurchase program;</w:t>
      </w: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litigation or legislation or other regulatory developments affecting us or our industry;</w:t>
      </w:r>
    </w:p>
    <w:p>
      <w:pPr>
        <w:ind w:left="1020" w:hanging="503"/>
        <w:spacing w:after="0" w:line="234"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 as well as general market conditions; and</w:t>
      </w: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exposure.</w:t>
      </w:r>
    </w:p>
    <w:p>
      <w:pPr>
        <w:spacing w:after="0" w:line="1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result, our operational performance may decline quickly and significantly in response to changes in order patterns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stock price.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of activist investors could negatively impact our business and the value of our stock price.</w:t>
      </w:r>
    </w:p>
    <w:p>
      <w:pPr>
        <w:spacing w:after="0" w:line="17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Publicly-traded companies have increasingly become subject to activist investor campaigns. Responding to actions of an activist investor may be a significant distraction for our management and staff and could require us to expend significant time and resources, including legal fees and potential proxy solicitation expenses. Any of these conditions could materially and adversely affect our financial performance.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jc w:val="both"/>
        <w:ind w:right="180"/>
        <w:spacing w:after="0" w:line="248" w:lineRule="auto"/>
        <w:rPr>
          <w:sz w:val="20"/>
          <w:szCs w:val="20"/>
          <w:color w:val="auto"/>
        </w:rPr>
      </w:pPr>
      <w:r>
        <w:rPr>
          <w:rFonts w:ascii="Arial" w:cs="Arial" w:eastAsia="Arial" w:hAnsi="Arial"/>
          <w:sz w:val="18"/>
          <w:szCs w:val="18"/>
          <w:color w:val="auto"/>
        </w:rPr>
        <w:t>We lease approximately 285,000 square feet for our World Resource Center, including our Domino’s Innovation Garage, located in Ann Arbor, Michigan under an operating lease with Domino’s Farms Office Park, L.L.C., an unrelated company. The lease, as amended, expires in 2029 and has two five-year renewal options.</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own five supply chain center buildings. All other U.S. and international supply chain centers are leased by us, under leases ranging between five and 21 years with one or two five-year renewal options. All buildings for U.S. Company-owned stores are leased by us, typically under ten-year leases with one or two five-year renewal options. All other franchise stores are leased or owned directly by the respective franchisees. We believe that our existing headquarters and other leased and owned facilities are adequate to meet our current requirements, but we plan to continue investing in additional capacity initiatives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1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Litigation is subject to many uncertainties, and the outcome of individual litigated matters is not predictable with assurance. These matters referenced above could be decided unfavorably to us and could require us to pay damages or make other expenditures in amounts or a range of amounts that cannot be estimated with accuracy. In management’s opinion, these matters, individually and in the aggregate, should not have a significant adverse effect on the financial condition of the Company, and the established accruals adequately provide for the estimated resolution of such claims.</w:t>
      </w:r>
    </w:p>
    <w:p>
      <w:pPr>
        <w:spacing w:after="0" w:line="14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 of the Registrant.</w:t>
      </w:r>
    </w:p>
    <w:p>
      <w:pPr>
        <w:spacing w:after="0" w:line="20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listing of executive officers of the Company is set forth under Part III Item 10. Directors, Executive Officers and Corporate Governance, which is incorporated herein by reference.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w:t>
      </w:r>
      <w:r>
        <w:rPr>
          <w:sz w:val="20"/>
          <w:szCs w:val="20"/>
          <w:color w:val="auto"/>
        </w:rPr>
        <w:tab/>
      </w:r>
      <w:r>
        <w:rPr>
          <w:rFonts w:ascii="Arial" w:cs="Arial" w:eastAsia="Arial" w:hAnsi="Arial"/>
          <w:sz w:val="16"/>
          <w:szCs w:val="16"/>
          <w:b w:val="1"/>
          <w:bCs w:val="1"/>
          <w:color w:val="auto"/>
        </w:rPr>
        <w:t>Equity Securities.</w:t>
      </w:r>
    </w:p>
    <w:p>
      <w:pPr>
        <w:spacing w:after="0" w:line="162"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As of February 22, 2022, Domino’s Pizza, Inc. had 170,000,000 authorized shares of common stock, par value $0.01 per share, of which 36,036,184 were issued and outstanding. As of February 22, 2022, there were 1,563 registered holders of record of Domino’s Pizza, Inc.’s common stock. Domino’s Pizza, Inc.’s common stock is traded on the New York Stock Exchange (“NYSE”) under the ticker symbol “DPZ.”</w:t>
      </w:r>
    </w:p>
    <w:p>
      <w:pPr>
        <w:spacing w:after="0" w:line="12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Our Board of Directors declared a quarterly dividend of $1.10 per common share on February 24, 2022 payable on March 30, 2022 to shareholders of record at the close of business on March 15, 2022.</w:t>
      </w:r>
    </w:p>
    <w:p>
      <w:pPr>
        <w:spacing w:after="0" w:line="11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17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As of January 2, 2022, we had a Board of Directors-approved share repurchase program for up to $1.0 billion of our common stock, of which $704.1 million remained available for future purchases of our common stock. Any future purchases of our common stock would be funded by current cash amounts, available borrowings or future excess cash flow. The following table summarizes our repurchase activity during the fourth quarter ended January 2,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27"/>
              <w:spacing w:after="0"/>
              <w:rPr>
                <w:sz w:val="20"/>
                <w:szCs w:val="20"/>
                <w:color w:val="auto"/>
              </w:rPr>
            </w:pPr>
            <w:r>
              <w:rPr>
                <w:rFonts w:ascii="Arial" w:cs="Arial" w:eastAsia="Arial" w:hAnsi="Arial"/>
                <w:sz w:val="13"/>
                <w:szCs w:val="13"/>
                <w:b w:val="1"/>
                <w:bCs w:val="1"/>
                <w:color w:val="auto"/>
                <w:w w:val="93"/>
              </w:rPr>
              <w:t>Maximum</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Number of</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7"/>
              <w:spacing w:after="0" w:line="122" w:lineRule="exact"/>
              <w:rPr>
                <w:sz w:val="20"/>
                <w:szCs w:val="20"/>
                <w:color w:val="auto"/>
              </w:rPr>
            </w:pPr>
            <w:r>
              <w:rPr>
                <w:rFonts w:ascii="Arial" w:cs="Arial" w:eastAsia="Arial" w:hAnsi="Arial"/>
                <w:sz w:val="13"/>
                <w:szCs w:val="13"/>
                <w:b w:val="1"/>
                <w:bCs w:val="1"/>
                <w:color w:val="auto"/>
                <w:w w:val="90"/>
              </w:rPr>
              <w:t>Approximate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7"/>
              <w:spacing w:after="0" w:line="122" w:lineRule="exact"/>
              <w:rPr>
                <w:sz w:val="20"/>
                <w:szCs w:val="20"/>
                <w:color w:val="auto"/>
              </w:rPr>
            </w:pPr>
            <w:r>
              <w:rPr>
                <w:rFonts w:ascii="Arial" w:cs="Arial" w:eastAsia="Arial" w:hAnsi="Arial"/>
                <w:sz w:val="13"/>
                <w:szCs w:val="13"/>
                <w:b w:val="1"/>
                <w:bCs w:val="1"/>
                <w:color w:val="auto"/>
                <w:w w:val="90"/>
              </w:rPr>
              <w:t>Dollar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Purchased as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7"/>
              <w:spacing w:after="0" w:line="122" w:lineRule="exact"/>
              <w:rPr>
                <w:sz w:val="20"/>
                <w:szCs w:val="20"/>
                <w:color w:val="auto"/>
              </w:rPr>
            </w:pPr>
            <w:r>
              <w:rPr>
                <w:rFonts w:ascii="Arial" w:cs="Arial" w:eastAsia="Arial" w:hAnsi="Arial"/>
                <w:sz w:val="13"/>
                <w:szCs w:val="13"/>
                <w:b w:val="1"/>
                <w:bCs w:val="1"/>
                <w:color w:val="auto"/>
                <w:w w:val="84"/>
              </w:rPr>
              <w:t>of Shares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Part of</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7"/>
              <w:spacing w:after="0" w:line="122" w:lineRule="exact"/>
              <w:rPr>
                <w:sz w:val="20"/>
                <w:szCs w:val="20"/>
                <w:color w:val="auto"/>
              </w:rPr>
            </w:pPr>
            <w:r>
              <w:rPr>
                <w:rFonts w:ascii="Arial" w:cs="Arial" w:eastAsia="Arial" w:hAnsi="Arial"/>
                <w:sz w:val="13"/>
                <w:szCs w:val="13"/>
                <w:b w:val="1"/>
                <w:bCs w:val="1"/>
                <w:color w:val="auto"/>
                <w:w w:val="91"/>
              </w:rPr>
              <w:t>that May Yet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center"/>
              <w:ind w:right="140"/>
              <w:spacing w:after="0"/>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Publicly</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7"/>
              <w:spacing w:after="0" w:line="122" w:lineRule="exact"/>
              <w:rPr>
                <w:sz w:val="20"/>
                <w:szCs w:val="20"/>
                <w:color w:val="auto"/>
              </w:rPr>
            </w:pPr>
            <w:r>
              <w:rPr>
                <w:rFonts w:ascii="Arial" w:cs="Arial" w:eastAsia="Arial" w:hAnsi="Arial"/>
                <w:sz w:val="13"/>
                <w:szCs w:val="13"/>
                <w:b w:val="1"/>
                <w:bCs w:val="1"/>
                <w:color w:val="auto"/>
                <w:w w:val="85"/>
              </w:rPr>
              <w:t>Be Purchased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of Shares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Announced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47"/>
              <w:spacing w:after="0" w:line="122" w:lineRule="exact"/>
              <w:rPr>
                <w:sz w:val="20"/>
                <w:szCs w:val="20"/>
                <w:color w:val="auto"/>
              </w:rPr>
            </w:pPr>
            <w:r>
              <w:rPr>
                <w:rFonts w:ascii="Arial" w:cs="Arial" w:eastAsia="Arial" w:hAnsi="Arial"/>
                <w:sz w:val="13"/>
                <w:szCs w:val="13"/>
                <w:b w:val="1"/>
                <w:bCs w:val="1"/>
                <w:color w:val="auto"/>
                <w:w w:val="88"/>
              </w:rPr>
              <w:t>Under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Purchased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Price Paid</w:t>
            </w:r>
          </w:p>
        </w:tc>
        <w:tc>
          <w:tcPr>
            <w:tcW w:w="2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Program</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27"/>
              <w:spacing w:after="0" w:line="122" w:lineRule="exact"/>
              <w:rPr>
                <w:sz w:val="20"/>
                <w:szCs w:val="20"/>
                <w:color w:val="auto"/>
              </w:rPr>
            </w:pPr>
            <w:r>
              <w:rPr>
                <w:rFonts w:ascii="Arial" w:cs="Arial" w:eastAsia="Arial" w:hAnsi="Arial"/>
                <w:sz w:val="13"/>
                <w:szCs w:val="13"/>
                <w:b w:val="1"/>
                <w:bCs w:val="1"/>
                <w:color w:val="auto"/>
                <w:w w:val="89"/>
              </w:rPr>
              <w:t>Program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60" w:type="dxa"/>
            <w:vAlign w:val="bottom"/>
            <w:vMerge w:val="continue"/>
          </w:tcPr>
          <w:p>
            <w:pPr>
              <w:spacing w:after="0"/>
              <w:rPr>
                <w:sz w:val="14"/>
                <w:szCs w:val="14"/>
                <w:color w:val="auto"/>
              </w:rPr>
            </w:pPr>
          </w:p>
        </w:tc>
        <w:tc>
          <w:tcPr>
            <w:tcW w:w="134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40"/>
              <w:spacing w:after="0"/>
              <w:rPr>
                <w:sz w:val="20"/>
                <w:szCs w:val="20"/>
                <w:color w:val="auto"/>
              </w:rPr>
            </w:pPr>
            <w:r>
              <w:rPr>
                <w:rFonts w:ascii="Arial" w:cs="Arial" w:eastAsia="Arial" w:hAnsi="Arial"/>
                <w:sz w:val="13"/>
                <w:szCs w:val="13"/>
                <w:b w:val="1"/>
                <w:bCs w:val="1"/>
                <w:color w:val="auto"/>
                <w:w w:val="86"/>
              </w:rPr>
              <w:t>per Share</w:t>
            </w:r>
          </w:p>
        </w:tc>
        <w:tc>
          <w:tcPr>
            <w:tcW w:w="142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rPr>
              <w:t>(2)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7"/>
              <w:spacing w:after="0"/>
              <w:rPr>
                <w:sz w:val="20"/>
                <w:szCs w:val="20"/>
                <w:color w:val="auto"/>
              </w:rPr>
            </w:pPr>
            <w:r>
              <w:rPr>
                <w:rFonts w:ascii="Arial" w:cs="Arial" w:eastAsia="Arial" w:hAnsi="Arial"/>
                <w:sz w:val="13"/>
                <w:szCs w:val="13"/>
                <w:b w:val="1"/>
                <w:bCs w:val="1"/>
                <w:color w:val="auto"/>
                <w:w w:val="84"/>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Period #10 (September 13, 2021 to October 10, 2021)</w:t>
            </w:r>
          </w:p>
        </w:tc>
        <w:tc>
          <w:tcPr>
            <w:tcW w:w="14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195,777</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487.96</w:t>
            </w: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194,860</w:t>
            </w: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825,219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Period #11 (October 11, 2021 to November 7, 2021)</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162,877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472.37</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161,770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748,822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Period #12 (November 8, 2021 to December 5, 2021)</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53,711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512.64</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53,007</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721,660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color w:val="auto"/>
              </w:rPr>
              <w:t>Period #13 (December 6, 2021 to January 2, 2022)</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33,448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525.04</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33,448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704,098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445,813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488.02</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443,085</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704,098</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9" w:lineRule="exact"/>
        <w:rPr>
          <w:sz w:val="20"/>
          <w:szCs w:val="20"/>
          <w:color w:val="auto"/>
        </w:rPr>
      </w:pPr>
    </w:p>
    <w:p>
      <w:pPr>
        <w:ind w:left="580" w:right="180" w:hanging="378"/>
        <w:spacing w:after="0" w:line="258"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2,728 shares were purchased as part of the Company’s employee stock purchase discount plan. During the fourth quarter, the shares were purchased at an average price of $495.08.</w:t>
      </w:r>
    </w:p>
    <w:p>
      <w:pPr>
        <w:spacing w:after="0" w:line="130" w:lineRule="exact"/>
        <w:rPr>
          <w:rFonts w:ascii="Arial" w:cs="Arial" w:eastAsia="Arial" w:hAnsi="Arial"/>
          <w:sz w:val="16"/>
          <w:szCs w:val="16"/>
          <w:color w:val="auto"/>
        </w:rPr>
      </w:pPr>
    </w:p>
    <w:p>
      <w:pPr>
        <w:ind w:left="580" w:right="220" w:hanging="378"/>
        <w:spacing w:after="0" w:line="258"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Subsequent to the end of the fourth quarter of 2021, the Company repurchased and retired an additional 100,810 shares of common stock for $47.7 million, or an average price of $472.78 per share.</w:t>
      </w:r>
    </w:p>
    <w:p>
      <w:pPr>
        <w:spacing w:after="0" w:line="130" w:lineRule="exact"/>
        <w:rPr>
          <w:rFonts w:ascii="Arial" w:cs="Arial" w:eastAsia="Arial" w:hAnsi="Arial"/>
          <w:sz w:val="16"/>
          <w:szCs w:val="16"/>
          <w:color w:val="auto"/>
        </w:rPr>
      </w:pPr>
    </w:p>
    <w:p>
      <w:pPr>
        <w:ind w:left="580" w:right="40"/>
        <w:spacing w:after="0" w:line="329" w:lineRule="auto"/>
        <w:rPr>
          <w:rFonts w:ascii="Arial" w:cs="Arial" w:eastAsia="Arial" w:hAnsi="Arial"/>
          <w:sz w:val="16"/>
          <w:szCs w:val="16"/>
          <w:color w:val="auto"/>
        </w:rPr>
      </w:pPr>
      <w:r>
        <w:rPr>
          <w:rFonts w:ascii="Arial" w:cs="Arial" w:eastAsia="Arial" w:hAnsi="Arial"/>
          <w:sz w:val="14"/>
          <w:szCs w:val="14"/>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line="257" w:lineRule="auto"/>
        <w:rPr>
          <w:sz w:val="20"/>
          <w:szCs w:val="20"/>
          <w:color w:val="auto"/>
        </w:rPr>
      </w:pPr>
      <w:r>
        <w:rPr>
          <w:rFonts w:ascii="Arial" w:cs="Arial" w:eastAsia="Arial" w:hAnsi="Arial"/>
          <w:sz w:val="17"/>
          <w:szCs w:val="17"/>
          <w:color w:val="auto"/>
        </w:rPr>
        <w:t>The following comparative stock performance line graph compares the cumulative shareholder return on the common stock of Domino’s Pizza, Inc. (NYSE: DPZ) for the five-year period between December 31, 2016 and December 31, 2021, with cumulative total return on (i) the Standard &amp; Poor’s 500 Index (the “S&amp;P 500”) and (ii) the peer group, the Standard &amp; Poor’s 400 Restaurant Index (the “S&amp;P 400 Restaurant Index”). Management believes that the companies included in the S&amp;P 400 Restaurant Index appropriately reflect the scope of the Company’s operations and match the competitive market in which the Company operates. The cumulative total return computations set forth in the performance graph assume the investment of $100 in the Company’s common stock, the S&amp;P 500 Index and the S&amp;P 400 Restaurant Index on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111760</wp:posOffset>
            </wp:positionV>
            <wp:extent cx="5349240" cy="254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i w:val="1"/>
          <w:iCs w:val="1"/>
          <w:color w:val="auto"/>
        </w:rPr>
        <w:t>Our fiscal year typically includes 52 weeks, comprised of three twelve-week quarters and one sixteen-week quarter. Every five or six years our fiscal year includes an extra (or 53</w:t>
      </w:r>
      <w:r>
        <w:rPr>
          <w:rFonts w:ascii="Arial" w:cs="Arial" w:eastAsia="Arial" w:hAnsi="Arial"/>
          <w:sz w:val="21"/>
          <w:szCs w:val="21"/>
          <w:i w:val="1"/>
          <w:iCs w:val="1"/>
          <w:color w:val="auto"/>
          <w:vertAlign w:val="superscript"/>
        </w:rPr>
        <w:t>rd</w:t>
      </w:r>
      <w:r>
        <w:rPr>
          <w:rFonts w:ascii="Arial" w:cs="Arial" w:eastAsia="Arial" w:hAnsi="Arial"/>
          <w:sz w:val="16"/>
          <w:szCs w:val="16"/>
          <w:i w:val="1"/>
          <w:iCs w:val="1"/>
          <w:color w:val="auto"/>
        </w:rPr>
        <w:t>) week in the fourth quarter. Fiscal 2021 and 2019 each consisted of 52 weeks and fiscal 2020 consisted of 53 weeks.</w:t>
      </w:r>
    </w:p>
    <w:p>
      <w:pPr>
        <w:spacing w:after="0" w:line="2"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In this section, we discuss the results of our operations for the year ended January 2, 2022 compared to the year ended January 3, 2021. For a discussion of the year ended January 3, 2021 compared to the year ended December 29, 2019, please refer to Part II, Item 7, “Management’s Discussion and Analysis of Financial Condition and Results of Operations” in our Annual Report on Form 10-K for the year ended January 3,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Domino’s is the largest pizza company in the world, with more than 18,800 locations in over 90 markets around the world as of January 2, 2022, and operates two distinct service models within its stores with a significant business in both delivery and carryout. Founded in 1960, our roots are in convenient pizza delivery, while a significant amount of our sales also come from carryout customers. Although we are a highly-recognized global brand, we focus on value while serving neighborhoods locally through our large network of franchise owners and Company-owned stores.</w:t>
      </w:r>
    </w:p>
    <w:p>
      <w:pPr>
        <w:spacing w:after="0" w:line="78"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Our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Domino’s generates revenues and earnings by charging royalties and fees to our independent franchisees. We also generate revenues and earnings by selling food, equipment and supplies to franchisees, primarily in the U.S. and Canada, and by operating a number of Company-owned stores in the U.S. Franchisees profit by selling pizza and other complementary items to their local customers. In our international markets, we generally grant geographical rights to the Domino’s Pizza brand to master franchisees. These master franchisees are charged with developing their geographical area, and they can profit by sub-franchising and selling food and equipment to those sub-franchisees, as well as by running pizza stores directly. We believe that everyone in the system can benefit, including the end consumer, who can feed their family conveniently and economically.</w:t>
      </w:r>
    </w:p>
    <w:p>
      <w:pPr>
        <w:spacing w:after="0" w:line="81"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Our financial results are driven largely by retail sales at our franchise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6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business model can yield strong returns for our franchise owners and our Company-owned stores. It can also yield significant cash flow to us, through a consistent franchise royalty payment and supply chain revenue stream, with moderate capital expenditures. We have historically returned cash to shareholders through dividend payments and share repurchases since becoming a publicly-traded company in 2004. We believe we have a proven business model for success, which includes leading with technology, service and product innovation and leveraging our global scale, which has historically provided strong returns for our shareholders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long-lived assets, casualty insurance reserves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and changes in estimates could materially affect our results of operations and financial condition for any particular period.</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We believe that our most critical accounting estimates 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record long-lived assets, including property, plant and equipment and capitalized software, at cost. For 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Our estimates of the useful lives of our long-lived assets have not changed during the periods presented. We evaluate the potential impairment of long-lived assets at least annually or whenever events or changes in circumstances indicate that the carrying amount of the assets may not be recoverable. Our periodic evaluation is based on various analyses, including, on an annual basis, the projection of undiscounted cash flows. If we determine that the carrying amount of an asset (or asset group) may not be recoverable, we compare the net carrying value of the asset group to the undiscounted net cash flows to be generated from the use and eventual disposition of that asset group. For Company-owned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w:t>
      </w:r>
    </w:p>
    <w:p>
      <w:pPr>
        <w:spacing w:after="0" w:line="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not made any significant changes in the methodology used to project the future market cash flows of Company-owned stores during the years presented. Same store sales fluctuations and the rates at which operating costs will fluctuate in the future are key factors in determining projected cash flows used to evaluate recoverability of the related assets. If our same store sales significantly decline or if operating costs increase and we are unable to recover these costs, the carrying value of our Company-owned stores, by market, may be unrecoverable and we may be required to recognize an impairment charge. There were no triggering events in 2021, 2020 or 2019, and accordingly, we did not record any impairment losses on long-lived assets in 2021,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insurance reserves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For certain periods prior to December 1998 and for periods after December 2001, we maintain insurance coverage for workers’ compensation, general liability and owned and non-owned auto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The related insurance reserves are based on undiscounted independent actuarial estimates, which are based on historical information along with assumptions about future events. There is inherent uncertainty in the ultimate cost for known claims under our insurance coverages, and for incidents that have occurred that will be subject to a claim, but have yet to be reported to us.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8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methodology for determining our exposure has remained consistent throughout the years presented. Management believes that the various assumptions developed, and actuarial methods used to determine our casualty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casualty insurance liability at January 2, 2022 would have affected our income before provision for income taxes by approximately $5.6 million in 2021. We had accruals for casualty insurance reserves of $56.5 million and $54.6 million at January 2, 2022 and January 3, 2021, respectively.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U.S. Federal statutory income tax rate was 21% in each of 2021, 2020 and 2019. Our Federal income tax provision calculated based on the Federal statutory rate was $131.4 million, $116.6 million and $101.4 million in 2021, 2020 and 2019, respectively.</w:t>
      </w:r>
    </w:p>
    <w:p>
      <w:pPr>
        <w:spacing w:after="0" w:line="76"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measure deferred taxes using current enacted tax rates that will apply in the years in which we expect the temporary differences to be recovered or paid. Judgment is required in determining the provision for income taxes, related reserves and deferred taxes.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taxes represents our best estimate of future events. Except with respect to certain foreign tax credits and interest deductibility in separately filed states, our deferred tax assets assume that we will generate sufficient taxable income in specific tax jurisdictions, based on our estimates and assumptions. As of January 2, 2022 and January 3, 2021, we had total foreign tax credits of $10.2 million and $6.6 million, respectively, each of which were fully offset with a corresponding valuation allowance. We also had valuation allowances related to interest deductibility in separately filed states of $1.2 million and $1.0 million as of January 2, 2022 and January 3, 2021, respectively. We believe our remaining deferred tax assets will be realized. Changes in our current estimates due to unanticipated events could have a material impact on our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2021 Highlights</w:t>
      </w:r>
    </w:p>
    <w:p>
      <w:pPr>
        <w:spacing w:after="0" w:line="125" w:lineRule="exact"/>
        <w:rPr>
          <w:sz w:val="20"/>
          <w:szCs w:val="20"/>
          <w:color w:val="auto"/>
        </w:rPr>
      </w:pPr>
    </w:p>
    <w:p>
      <w:pPr>
        <w:ind w:left="760" w:right="4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8.9% as compared to 2020. U.S. retail sales increased 4.3% and international retail sales, excluding foreign currency impact, increased 13.9% as compared to 2020.</w:t>
      </w:r>
    </w:p>
    <w:p>
      <w:pPr>
        <w:spacing w:after="0" w:line="2"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Same store sales increased 3.5% in our U.S. stores and increased 8.0% in our international stores.</w:t>
      </w: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revenues increased 5.8%.</w:t>
      </w: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income from operations increased 7.5%.</w:t>
      </w: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net income increased 3.9%.</w:t>
      </w:r>
    </w:p>
    <w:p>
      <w:pPr>
        <w:ind w:left="760" w:hanging="378"/>
        <w:spacing w:after="0" w:line="234"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diluted earnings per share increased 9.3%.</w:t>
      </w: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inclusion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2020 negatively impacted our results as compared to the prior year.</w:t>
      </w:r>
    </w:p>
    <w:p>
      <w:pPr>
        <w:spacing w:after="0" w:line="32"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During 2021, we experienced global retail sales growth and U.S. and international same store sales growth. We believe our commitment to value, convenience, quality and new products continues to keep consumers engaged with the brand. We launched our newest side item in the U.S., Domino’s Oven-Baked Dips in three unique flavors including Cheesy Marinara, Five Cheese and Baked Apple to pair with our Domino’s Bread Twists.</w:t>
      </w:r>
    </w:p>
    <w:p>
      <w:pPr>
        <w:spacing w:after="0" w:line="5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Same store sales in the U.S. continue to be positively affected by changes in consumer ordering behavior observed since the onset of the COVID-19 pandemic, but have been pressured in part in recent quarters due to labor shortages affecting store hours and staffing levels in many of our markets, as well as a waning in the level of economic stimulus activity in fiscal 2021 in the U.S. as compared to the prior year. Our strong international same store sales performance continued with 112 straight quarters of positive international same store sales. We also continued to experience sustained increases in retail sales during fiscal 2021 resulting from evolving consumer trends, as well as the reopening and resumption of normal store hours and operating procedures at certain of our international franchised stores that had been temporarily closed or affected by changes in operating procedures and store hours for portions of fiscal 2020 as a result of the COVID-19 pandemic. Our U.S. and international same store sales results continue to be impacted by our fortressing strategy, which includes increasing store concentration in certain markets where we compete, as well as from aggressive competitive activity.</w:t>
      </w:r>
    </w:p>
    <w:p>
      <w:pPr>
        <w:spacing w:after="0" w:line="73"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During 2021, we continued our global expansion with the opening of 1,204 net stores. We had 205 net stores open in the U.S. comprised of 214 store openings and 9 closures. We had 999 net stores open internationally comprised of 1,094 store openings and 95 closures.</w:t>
      </w:r>
    </w:p>
    <w:p>
      <w:pPr>
        <w:spacing w:after="0" w:line="52"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We remained focused on improving the customer experience through our technology initiatives, including through our GPS delivery tracking technology, which allows customers to monitor the progress of their food, from the preparation stages to the time it is in the oven to the time it arrives at their doors. Additionally, we offer contactless carryout nationwide – via Domino’s Carside Delivery</w:t>
      </w:r>
      <w:r>
        <w:rPr>
          <w:rFonts w:ascii="Arial" w:cs="Arial" w:eastAsia="Arial" w:hAnsi="Arial"/>
          <w:sz w:val="24"/>
          <w:szCs w:val="24"/>
          <w:color w:val="auto"/>
          <w:vertAlign w:val="superscript"/>
        </w:rPr>
        <w:t>®</w:t>
      </w:r>
      <w:r>
        <w:rPr>
          <w:rFonts w:ascii="Arial" w:cs="Arial" w:eastAsia="Arial" w:hAnsi="Arial"/>
          <w:sz w:val="18"/>
          <w:szCs w:val="18"/>
          <w:color w:val="auto"/>
        </w:rPr>
        <w:t>, which customers can choose when placing a prepaid online order. Our emphasis on technological innovation helped the Domino’s system generate more than half of global retail sales from digital channels in 2021. Overall, we believe our global store growth, strong sales, emphasis on technology, operations and marketing initiatives have combined to strengthen our brand.</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Statistical Measures</w:t>
      </w:r>
    </w:p>
    <w:p>
      <w:pPr>
        <w:spacing w:after="0" w:line="20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Global retail sales growth (excluding foreign currency impact) is a commonly used statistical measure in the quick-service restaurant industry that is important to understanding performance. Global retail sales growth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 Global retail sales growth in 2021 and 2020 reflect the impact of the 53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week in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5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5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stores</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w:t>
            </w:r>
          </w:p>
        </w:tc>
        <w:tc>
          <w:tcPr>
            <w:tcW w:w="60" w:type="dxa"/>
            <w:vAlign w:val="bottom"/>
            <w:shd w:val="clear" w:color="auto" w:fill="CFF0FC"/>
          </w:tcPr>
          <w:p>
            <w:pPr>
              <w:spacing w:after="0"/>
              <w:rPr>
                <w:sz w:val="17"/>
                <w:szCs w:val="17"/>
                <w:color w:val="auto"/>
              </w:rPr>
            </w:pPr>
          </w:p>
        </w:tc>
      </w:tr>
      <w:tr>
        <w:trPr>
          <w:trHeight w:val="203"/>
        </w:trPr>
        <w:tc>
          <w:tcPr>
            <w:tcW w:w="6900" w:type="dxa"/>
            <w:vAlign w:val="bottom"/>
          </w:tcPr>
          <w:p>
            <w:pPr>
              <w:ind w:left="20"/>
              <w:spacing w:after="0" w:line="202" w:lineRule="exact"/>
              <w:rPr>
                <w:sz w:val="20"/>
                <w:szCs w:val="20"/>
                <w:color w:val="auto"/>
              </w:rPr>
            </w:pPr>
            <w:r>
              <w:rPr>
                <w:rFonts w:ascii="Arial" w:cs="Arial" w:eastAsia="Arial" w:hAnsi="Arial"/>
                <w:sz w:val="18"/>
                <w:szCs w:val="18"/>
                <w:color w:val="auto"/>
              </w:rPr>
              <w:t>International stores (excluding foreign currency impact)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w:t>
            </w:r>
          </w:p>
        </w:tc>
        <w:tc>
          <w:tcPr>
            <w:tcW w:w="60" w:type="dxa"/>
            <w:vAlign w:val="bottom"/>
          </w:tcPr>
          <w:p>
            <w:pPr>
              <w:spacing w:after="0"/>
              <w:rPr>
                <w:sz w:val="17"/>
                <w:szCs w:val="17"/>
                <w:color w:val="auto"/>
              </w:rPr>
            </w:pPr>
          </w:p>
        </w:tc>
      </w:tr>
      <w:tr>
        <w:trPr>
          <w:trHeight w:val="196"/>
        </w:trPr>
        <w:tc>
          <w:tcPr>
            <w:tcW w:w="6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(excluding foreign currency impact)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w:t>
            </w:r>
          </w:p>
        </w:tc>
        <w:tc>
          <w:tcPr>
            <w:tcW w:w="2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60" w:type="dxa"/>
            <w:vAlign w:val="bottom"/>
            <w:shd w:val="clear" w:color="auto" w:fill="CFF0FC"/>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Store Sales Growth</w:t>
      </w:r>
    </w:p>
    <w:p>
      <w:pPr>
        <w:spacing w:after="0" w:line="20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years. International same store sales growth is calculated similarly to U.S. same store sales growth. Changes in international same store sales are reported on a constant dollar basis which reflects changes in international local currency sales.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fiscal 2020 had no impact on reported same store sales growth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gridSpan w:val="2"/>
          </w:tcPr>
          <w:p>
            <w:pPr>
              <w:ind w:left="7500"/>
              <w:spacing w:after="0"/>
              <w:rPr>
                <w:sz w:val="20"/>
                <w:szCs w:val="20"/>
                <w:color w:val="auto"/>
              </w:rPr>
            </w:pPr>
            <w:r>
              <w:rPr>
                <w:rFonts w:ascii="Arial" w:cs="Arial" w:eastAsia="Arial" w:hAnsi="Arial"/>
                <w:sz w:val="14"/>
                <w:szCs w:val="14"/>
                <w:b w:val="1"/>
                <w:bCs w:val="1"/>
                <w:color w:val="auto"/>
                <w:w w:val="83"/>
              </w:rPr>
              <w:t>2021</w:t>
            </w:r>
          </w:p>
        </w:tc>
        <w:tc>
          <w:tcPr>
            <w:tcW w:w="520" w:type="dxa"/>
            <w:vAlign w:val="bottom"/>
          </w:tcPr>
          <w:p>
            <w:pPr>
              <w:spacing w:after="0"/>
              <w:rPr>
                <w:sz w:val="16"/>
                <w:szCs w:val="16"/>
                <w:color w:val="auto"/>
              </w:rPr>
            </w:pPr>
          </w:p>
        </w:tc>
        <w:tc>
          <w:tcPr>
            <w:tcW w:w="14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4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2019</w:t>
            </w: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Company-owned stores</w:t>
            </w:r>
          </w:p>
        </w:tc>
        <w:tc>
          <w:tcPr>
            <w:tcW w:w="8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(3.6)%</w:t>
            </w:r>
          </w:p>
        </w:tc>
        <w:tc>
          <w:tcPr>
            <w:tcW w:w="16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3"/>
        </w:trPr>
        <w:tc>
          <w:tcPr>
            <w:tcW w:w="7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 franchise stores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+3.9%</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r>
      <w:tr>
        <w:trPr>
          <w:trHeight w:val="196"/>
        </w:trPr>
        <w:tc>
          <w:tcPr>
            <w:tcW w:w="6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stores</w:t>
            </w:r>
          </w:p>
        </w:tc>
        <w:tc>
          <w:tcPr>
            <w:tcW w:w="8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+3.5%</w:t>
            </w:r>
          </w:p>
        </w:tc>
        <w:tc>
          <w:tcPr>
            <w:tcW w:w="16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International stores (excluding foreign currency impact)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Growth Activity</w:t>
      </w:r>
    </w:p>
    <w:p>
      <w:pPr>
        <w:spacing w:after="0" w:line="20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Store counts and net store growth are commonly used statistical measures in the quick-service restaurant industry that are important to understanding performance.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U.S.</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Company-</w:t>
            </w:r>
          </w:p>
        </w:tc>
        <w:tc>
          <w:tcPr>
            <w:tcW w:w="12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International</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owned</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Franchise</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U.S.</w:t>
            </w:r>
          </w:p>
        </w:tc>
        <w:tc>
          <w:tcPr>
            <w:tcW w:w="1320" w:type="dxa"/>
            <w:vAlign w:val="bottom"/>
            <w:gridSpan w:val="2"/>
            <w:vMerge w:val="continue"/>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Stores</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Stores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Stores</w:t>
            </w: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Stores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Store count at December 30, 2018</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5,486</w:t>
            </w: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5,876</w:t>
            </w: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10,038</w:t>
            </w:r>
          </w:p>
        </w:tc>
        <w:tc>
          <w:tcPr>
            <w:tcW w:w="2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Openings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253</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939</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Closings</w:t>
            </w: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(14 )</w:t>
            </w:r>
          </w:p>
        </w:tc>
        <w:tc>
          <w:tcPr>
            <w:tcW w:w="12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(15 )</w:t>
            </w: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(83 )</w:t>
            </w: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Transfers</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(59 )</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Store count at December 29, 2019</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342</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5,784</w:t>
            </w: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6,126</w:t>
            </w: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10,894</w:t>
            </w:r>
          </w:p>
        </w:tc>
        <w:tc>
          <w:tcPr>
            <w:tcW w:w="2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Openings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718</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Closings</w:t>
            </w: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(10 )</w:t>
            </w:r>
          </w:p>
        </w:tc>
        <w:tc>
          <w:tcPr>
            <w:tcW w:w="12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(11 )</w:t>
            </w: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(323 )</w:t>
            </w: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Store count at January 3, 2021</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363</w:t>
            </w:r>
          </w:p>
        </w:tc>
        <w:tc>
          <w:tcPr>
            <w:tcW w:w="240" w:type="dxa"/>
            <w:vAlign w:val="bottom"/>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5,992</w:t>
            </w:r>
          </w:p>
        </w:tc>
        <w:tc>
          <w:tcPr>
            <w:tcW w:w="240" w:type="dxa"/>
            <w:vAlign w:val="bottom"/>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6,355</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11,289</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Openings</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1,094</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8"/>
                <w:szCs w:val="18"/>
                <w:color w:val="auto"/>
              </w:rPr>
              <w:t>Closings</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(1 )</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(8 )</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(9 )</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(95 )</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196"/>
        </w:trPr>
        <w:tc>
          <w:tcPr>
            <w:tcW w:w="5080" w:type="dxa"/>
            <w:vAlign w:val="bottom"/>
            <w:tcBorders>
              <w:top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Store count at January 2, 2022</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w:t>
            </w:r>
          </w:p>
        </w:tc>
        <w:tc>
          <w:tcPr>
            <w:tcW w:w="24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6,185</w:t>
            </w:r>
          </w:p>
        </w:tc>
        <w:tc>
          <w:tcPr>
            <w:tcW w:w="2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6,560</w:t>
            </w:r>
          </w:p>
        </w:tc>
        <w:tc>
          <w:tcPr>
            <w:tcW w:w="2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12,288</w:t>
            </w:r>
          </w:p>
        </w:tc>
        <w:tc>
          <w:tcPr>
            <w:tcW w:w="2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18,848</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21"/>
        </w:trPr>
        <w:tc>
          <w:tcPr>
            <w:tcW w:w="5080" w:type="dxa"/>
            <w:vAlign w:val="bottom"/>
          </w:tcPr>
          <w:p>
            <w:pPr>
              <w:spacing w:after="0"/>
              <w:rPr>
                <w:sz w:val="24"/>
                <w:szCs w:val="24"/>
                <w:color w:val="auto"/>
              </w:rPr>
            </w:pPr>
          </w:p>
        </w:tc>
        <w:tc>
          <w:tcPr>
            <w:tcW w:w="1020" w:type="dxa"/>
            <w:vAlign w:val="bottom"/>
          </w:tcPr>
          <w:p>
            <w:pPr>
              <w:jc w:val="right"/>
              <w:ind w:right="295"/>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-608330</wp:posOffset>
            </wp:positionV>
            <wp:extent cx="774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-608330</wp:posOffset>
            </wp:positionV>
            <wp:extent cx="768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-608330</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-608330</wp:posOffset>
            </wp:positionV>
            <wp:extent cx="5969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-608330</wp:posOffset>
            </wp:positionV>
            <wp:extent cx="596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Income Statement Data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96"/>
        </w:trPr>
        <w:tc>
          <w:tcPr>
            <w:tcW w:w="4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Company-owned stores</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479.0</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485.6</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453.6</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U.S. franchise royalties and fees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539.9</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428.5</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Supply chain</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2,561.0</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2,416.7</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2,104.9</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International franchise royalties and fees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298.0</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249.8</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241.0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4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479.5</w:t>
            </w:r>
          </w:p>
        </w:tc>
        <w:tc>
          <w:tcPr>
            <w:tcW w:w="2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462.2</w:t>
            </w: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390.8</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r>
      <w:tr>
        <w:trPr>
          <w:trHeight w:val="196"/>
        </w:trPr>
        <w:tc>
          <w:tcPr>
            <w:tcW w:w="4040" w:type="dxa"/>
            <w:vAlign w:val="bottom"/>
          </w:tcPr>
          <w:p>
            <w:pPr>
              <w:ind w:left="120"/>
              <w:spacing w:after="0" w:line="196" w:lineRule="exact"/>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4,357.4</w:t>
            </w:r>
          </w:p>
        </w:tc>
        <w:tc>
          <w:tcPr>
            <w:tcW w:w="240" w:type="dxa"/>
            <w:vAlign w:val="bottom"/>
          </w:tcPr>
          <w:p>
            <w:pPr>
              <w:spacing w:after="0"/>
              <w:rPr>
                <w:sz w:val="17"/>
                <w:szCs w:val="17"/>
                <w:color w:val="auto"/>
              </w:rPr>
            </w:pPr>
          </w:p>
        </w:tc>
        <w:tc>
          <w:tcPr>
            <w:tcW w:w="120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100.0 %</w:t>
            </w:r>
          </w:p>
        </w:tc>
        <w:tc>
          <w:tcPr>
            <w:tcW w:w="2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4,117.4</w:t>
            </w:r>
          </w:p>
        </w:tc>
        <w:tc>
          <w:tcPr>
            <w:tcW w:w="220" w:type="dxa"/>
            <w:vAlign w:val="bottom"/>
          </w:tcPr>
          <w:p>
            <w:pPr>
              <w:spacing w:after="0"/>
              <w:rPr>
                <w:sz w:val="17"/>
                <w:szCs w:val="17"/>
                <w:color w:val="auto"/>
              </w:rPr>
            </w:pPr>
          </w:p>
        </w:tc>
        <w:tc>
          <w:tcPr>
            <w:tcW w:w="11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100.0 %</w:t>
            </w: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3,618.8</w:t>
            </w:r>
          </w:p>
        </w:tc>
        <w:tc>
          <w:tcPr>
            <w:tcW w:w="220" w:type="dxa"/>
            <w:vAlign w:val="bottom"/>
          </w:tcPr>
          <w:p>
            <w:pPr>
              <w:spacing w:after="0"/>
              <w:rPr>
                <w:sz w:val="17"/>
                <w:szCs w:val="17"/>
                <w:color w:val="auto"/>
              </w:rPr>
            </w:pPr>
          </w:p>
        </w:tc>
        <w:tc>
          <w:tcPr>
            <w:tcW w:w="11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100.0 %</w:t>
            </w: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Company-owned stores</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374.1</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379.6</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346.2</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Supply chain</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2,295.0</w:t>
            </w:r>
          </w:p>
        </w:tc>
        <w:tc>
          <w:tcPr>
            <w:tcW w:w="2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2,143.3</w:t>
            </w:r>
          </w:p>
        </w:tc>
        <w:tc>
          <w:tcPr>
            <w:tcW w:w="2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1,870.1</w:t>
            </w: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40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cost of sales</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2,669.1</w:t>
            </w:r>
          </w:p>
        </w:tc>
        <w:tc>
          <w:tcPr>
            <w:tcW w:w="2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w:t>
            </w:r>
          </w:p>
        </w:tc>
        <w:tc>
          <w:tcPr>
            <w:tcW w:w="480" w:type="dxa"/>
            <w:vAlign w:val="bottom"/>
            <w:tcBorders>
              <w:bottom w:val="single" w:sz="8" w:color="CFF0FC"/>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2,522.9</w:t>
            </w:r>
          </w:p>
        </w:tc>
        <w:tc>
          <w:tcPr>
            <w:tcW w:w="2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61.3</w:t>
            </w:r>
          </w:p>
        </w:tc>
        <w:tc>
          <w:tcPr>
            <w:tcW w:w="460" w:type="dxa"/>
            <w:vAlign w:val="bottom"/>
            <w:tcBorders>
              <w:bottom w:val="single" w:sz="8" w:color="CFF0FC"/>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2,216.3</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w:t>
            </w:r>
          </w:p>
        </w:tc>
        <w:tc>
          <w:tcPr>
            <w:tcW w:w="3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040" w:type="dxa"/>
            <w:vAlign w:val="bottom"/>
          </w:tcPr>
          <w:p>
            <w:pPr>
              <w:ind w:left="120"/>
              <w:spacing w:after="0" w:line="196" w:lineRule="exact"/>
              <w:rPr>
                <w:sz w:val="20"/>
                <w:szCs w:val="20"/>
                <w:color w:val="auto"/>
              </w:rPr>
            </w:pPr>
            <w:r>
              <w:rPr>
                <w:rFonts w:ascii="Arial" w:cs="Arial" w:eastAsia="Arial" w:hAnsi="Arial"/>
                <w:sz w:val="18"/>
                <w:szCs w:val="18"/>
                <w:color w:val="auto"/>
              </w:rPr>
              <w:t>Operating margin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1,688.2</w:t>
            </w:r>
          </w:p>
        </w:tc>
        <w:tc>
          <w:tcPr>
            <w:tcW w:w="240" w:type="dxa"/>
            <w:vAlign w:val="bottom"/>
          </w:tcPr>
          <w:p>
            <w:pPr>
              <w:spacing w:after="0"/>
              <w:rPr>
                <w:sz w:val="17"/>
                <w:szCs w:val="17"/>
                <w:color w:val="auto"/>
              </w:rPr>
            </w:pPr>
          </w:p>
        </w:tc>
        <w:tc>
          <w:tcPr>
            <w:tcW w:w="120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38.7 %</w:t>
            </w:r>
          </w:p>
        </w:tc>
        <w:tc>
          <w:tcPr>
            <w:tcW w:w="2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1,594.5</w:t>
            </w:r>
          </w:p>
        </w:tc>
        <w:tc>
          <w:tcPr>
            <w:tcW w:w="220" w:type="dxa"/>
            <w:vAlign w:val="bottom"/>
          </w:tcPr>
          <w:p>
            <w:pPr>
              <w:spacing w:after="0"/>
              <w:rPr>
                <w:sz w:val="17"/>
                <w:szCs w:val="17"/>
                <w:color w:val="auto"/>
              </w:rPr>
            </w:pPr>
          </w:p>
        </w:tc>
        <w:tc>
          <w:tcPr>
            <w:tcW w:w="11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38.7 %</w:t>
            </w: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1,402.5</w:t>
            </w:r>
          </w:p>
        </w:tc>
        <w:tc>
          <w:tcPr>
            <w:tcW w:w="220" w:type="dxa"/>
            <w:vAlign w:val="bottom"/>
          </w:tcPr>
          <w:p>
            <w:pPr>
              <w:spacing w:after="0"/>
              <w:rPr>
                <w:sz w:val="17"/>
                <w:szCs w:val="17"/>
                <w:color w:val="auto"/>
              </w:rPr>
            </w:pPr>
          </w:p>
        </w:tc>
        <w:tc>
          <w:tcPr>
            <w:tcW w:w="11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38.8 %</w:t>
            </w: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428.3</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9.8 %</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406.6</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9.9 %</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382.3</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10.6 %</w:t>
            </w: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479.5</w:t>
            </w:r>
          </w:p>
        </w:tc>
        <w:tc>
          <w:tcPr>
            <w:tcW w:w="240" w:type="dxa"/>
            <w:vAlign w:val="bottom"/>
          </w:tcPr>
          <w:p>
            <w:pPr>
              <w:spacing w:after="0"/>
              <w:rPr>
                <w:sz w:val="17"/>
                <w:szCs w:val="17"/>
                <w:color w:val="auto"/>
              </w:rPr>
            </w:pPr>
          </w:p>
        </w:tc>
        <w:tc>
          <w:tcPr>
            <w:tcW w:w="12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11.0 %</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462.2</w:t>
            </w:r>
          </w:p>
        </w:tc>
        <w:tc>
          <w:tcPr>
            <w:tcW w:w="220" w:type="dxa"/>
            <w:vAlign w:val="bottom"/>
          </w:tcPr>
          <w:p>
            <w:pPr>
              <w:spacing w:after="0"/>
              <w:rPr>
                <w:sz w:val="17"/>
                <w:szCs w:val="17"/>
                <w:color w:val="auto"/>
              </w:rPr>
            </w:pPr>
          </w:p>
        </w:tc>
        <w:tc>
          <w:tcPr>
            <w:tcW w:w="11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11.2 %</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390.8</w:t>
            </w:r>
          </w:p>
        </w:tc>
        <w:tc>
          <w:tcPr>
            <w:tcW w:w="220" w:type="dxa"/>
            <w:vAlign w:val="bottom"/>
          </w:tcPr>
          <w:p>
            <w:pPr>
              <w:spacing w:after="0"/>
              <w:rPr>
                <w:sz w:val="17"/>
                <w:szCs w:val="17"/>
                <w:color w:val="auto"/>
              </w:rPr>
            </w:pPr>
          </w:p>
        </w:tc>
        <w:tc>
          <w:tcPr>
            <w:tcW w:w="11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10.8 %</w:t>
            </w:r>
          </w:p>
        </w:tc>
      </w:tr>
      <w:tr>
        <w:trPr>
          <w:trHeight w:val="196"/>
        </w:trPr>
        <w:tc>
          <w:tcPr>
            <w:tcW w:w="40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780.4</w:t>
            </w:r>
          </w:p>
        </w:tc>
        <w:tc>
          <w:tcPr>
            <w:tcW w:w="24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w:t>
            </w:r>
          </w:p>
        </w:tc>
        <w:tc>
          <w:tcPr>
            <w:tcW w:w="48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725.6</w:t>
            </w:r>
          </w:p>
        </w:tc>
        <w:tc>
          <w:tcPr>
            <w:tcW w:w="22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46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629.4</w:t>
            </w:r>
          </w:p>
        </w:tc>
        <w:tc>
          <w:tcPr>
            <w:tcW w:w="2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w:t>
            </w:r>
          </w:p>
        </w:tc>
        <w:tc>
          <w:tcPr>
            <w:tcW w:w="3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240" w:type="dxa"/>
            <w:vAlign w:val="bottom"/>
          </w:tcPr>
          <w:p>
            <w:pPr>
              <w:spacing w:after="0"/>
              <w:rPr>
                <w:sz w:val="17"/>
                <w:szCs w:val="17"/>
                <w:color w:val="auto"/>
              </w:rPr>
            </w:pPr>
          </w:p>
        </w:tc>
        <w:tc>
          <w:tcPr>
            <w:tcW w:w="12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0.8 %</w:t>
            </w:r>
          </w:p>
        </w:tc>
        <w:tc>
          <w:tcPr>
            <w:tcW w:w="28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0.0 %</w:t>
            </w:r>
          </w:p>
        </w:tc>
        <w:tc>
          <w:tcPr>
            <w:tcW w:w="24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0.0 %</w:t>
            </w: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(191.5 )</w:t>
            </w:r>
          </w:p>
        </w:tc>
        <w:tc>
          <w:tcPr>
            <w:tcW w:w="120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(4.3 )%</w:t>
            </w:r>
          </w:p>
        </w:tc>
        <w:tc>
          <w:tcPr>
            <w:tcW w:w="2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(170.5 )</w:t>
            </w:r>
          </w:p>
        </w:tc>
        <w:tc>
          <w:tcPr>
            <w:tcW w:w="11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(4.1 )%</w:t>
            </w: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(146.8 )</w:t>
            </w:r>
          </w:p>
        </w:tc>
        <w:tc>
          <w:tcPr>
            <w:tcW w:w="11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(4.1 )%</w:t>
            </w: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ind w:left="1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625.7</w:t>
            </w:r>
          </w:p>
        </w:tc>
        <w:tc>
          <w:tcPr>
            <w:tcW w:w="240" w:type="dxa"/>
            <w:vAlign w:val="bottom"/>
          </w:tcPr>
          <w:p>
            <w:pPr>
              <w:spacing w:after="0"/>
              <w:rPr>
                <w:sz w:val="17"/>
                <w:szCs w:val="17"/>
                <w:color w:val="auto"/>
              </w:rPr>
            </w:pPr>
          </w:p>
        </w:tc>
        <w:tc>
          <w:tcPr>
            <w:tcW w:w="120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14.4 %</w:t>
            </w:r>
          </w:p>
        </w:tc>
        <w:tc>
          <w:tcPr>
            <w:tcW w:w="2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555.1</w:t>
            </w:r>
          </w:p>
        </w:tc>
        <w:tc>
          <w:tcPr>
            <w:tcW w:w="220" w:type="dxa"/>
            <w:vAlign w:val="bottom"/>
          </w:tcPr>
          <w:p>
            <w:pPr>
              <w:spacing w:after="0"/>
              <w:rPr>
                <w:sz w:val="17"/>
                <w:szCs w:val="17"/>
                <w:color w:val="auto"/>
              </w:rPr>
            </w:pPr>
          </w:p>
        </w:tc>
        <w:tc>
          <w:tcPr>
            <w:tcW w:w="11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13.5 %</w:t>
            </w: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482.6</w:t>
            </w:r>
          </w:p>
        </w:tc>
        <w:tc>
          <w:tcPr>
            <w:tcW w:w="220" w:type="dxa"/>
            <w:vAlign w:val="bottom"/>
          </w:tcPr>
          <w:p>
            <w:pPr>
              <w:spacing w:after="0"/>
              <w:rPr>
                <w:sz w:val="17"/>
                <w:szCs w:val="17"/>
                <w:color w:val="auto"/>
              </w:rPr>
            </w:pPr>
          </w:p>
        </w:tc>
        <w:tc>
          <w:tcPr>
            <w:tcW w:w="11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13.3 %</w:t>
            </w:r>
          </w:p>
        </w:tc>
      </w:tr>
      <w:tr>
        <w:trPr>
          <w:trHeight w:val="203"/>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115.2</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2.7 %</w:t>
            </w: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63.8</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1.6 %</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81.9</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2.3 %</w:t>
            </w: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ind w:left="12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510.5</w:t>
            </w:r>
          </w:p>
        </w:tc>
        <w:tc>
          <w:tcPr>
            <w:tcW w:w="240" w:type="dxa"/>
            <w:vAlign w:val="bottom"/>
          </w:tcPr>
          <w:p>
            <w:pPr>
              <w:spacing w:after="0"/>
              <w:rPr>
                <w:sz w:val="17"/>
                <w:szCs w:val="17"/>
                <w:color w:val="auto"/>
              </w:rPr>
            </w:pPr>
          </w:p>
        </w:tc>
        <w:tc>
          <w:tcPr>
            <w:tcW w:w="120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11.7 %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491.3</w:t>
            </w:r>
          </w:p>
        </w:tc>
        <w:tc>
          <w:tcPr>
            <w:tcW w:w="220" w:type="dxa"/>
            <w:vAlign w:val="bottom"/>
          </w:tcPr>
          <w:p>
            <w:pPr>
              <w:spacing w:after="0"/>
              <w:rPr>
                <w:sz w:val="17"/>
                <w:szCs w:val="17"/>
                <w:color w:val="auto"/>
              </w:rPr>
            </w:pPr>
          </w:p>
        </w:tc>
        <w:tc>
          <w:tcPr>
            <w:tcW w:w="116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11.9 %</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400.7</w:t>
            </w:r>
          </w:p>
        </w:tc>
        <w:tc>
          <w:tcPr>
            <w:tcW w:w="220" w:type="dxa"/>
            <w:vAlign w:val="bottom"/>
          </w:tcPr>
          <w:p>
            <w:pPr>
              <w:spacing w:after="0"/>
              <w:rPr>
                <w:sz w:val="17"/>
                <w:szCs w:val="17"/>
                <w:color w:val="auto"/>
              </w:rPr>
            </w:pPr>
          </w:p>
        </w:tc>
        <w:tc>
          <w:tcPr>
            <w:tcW w:w="114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11.1 %</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-1727835</wp:posOffset>
            </wp:positionV>
            <wp:extent cx="7747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-1727835</wp:posOffset>
            </wp:positionV>
            <wp:extent cx="23177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-1727835</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-1727835</wp:posOffset>
            </wp:positionV>
            <wp:extent cx="22288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-1727835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-1727835</wp:posOffset>
            </wp:positionV>
            <wp:extent cx="22288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-1196340</wp:posOffset>
            </wp:positionV>
            <wp:extent cx="7747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-1196340</wp:posOffset>
            </wp:positionV>
            <wp:extent cx="23177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-1196340</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-1196340</wp:posOffset>
            </wp:positionV>
            <wp:extent cx="22288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-1196340</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-1196340</wp:posOffset>
            </wp:positionV>
            <wp:extent cx="22288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-407670</wp:posOffset>
            </wp:positionV>
            <wp:extent cx="774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-407670</wp:posOffset>
            </wp:positionV>
            <wp:extent cx="23177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-407670</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-407670</wp:posOffset>
            </wp:positionV>
            <wp:extent cx="22288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-407670</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-407670</wp:posOffset>
            </wp:positionV>
            <wp:extent cx="22288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-142240</wp:posOffset>
            </wp:positionV>
            <wp:extent cx="7747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-142240</wp:posOffset>
            </wp:positionV>
            <wp:extent cx="23177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-142240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-142240</wp:posOffset>
            </wp:positionV>
            <wp:extent cx="22288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-142240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-142240</wp:posOffset>
            </wp:positionV>
            <wp:extent cx="22288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 compared to 2020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millions, except percentages)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Company-owned stores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479.0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485.6</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U.S. franchise royalties and fees</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539.9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12.4 %</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12.2 %</w:t>
            </w: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Supply Chain</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2,561.0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58.8 %</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2,416.7</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58.7 %</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International franchise royalties and fees</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298.0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6.8 %</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249.8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6.1 %</w:t>
            </w: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11.0 %</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462.2</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11.2 %</w:t>
            </w:r>
          </w:p>
        </w:tc>
      </w:tr>
      <w:tr>
        <w:trPr>
          <w:trHeight w:val="20"/>
        </w:trPr>
        <w:tc>
          <w:tcPr>
            <w:tcW w:w="5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4,357.4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100.0 %</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4,117.4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100.0 %</w:t>
            </w:r>
          </w:p>
        </w:tc>
      </w:tr>
      <w:tr>
        <w:trPr>
          <w:trHeight w:val="20"/>
        </w:trPr>
        <w:tc>
          <w:tcPr>
            <w:tcW w:w="5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-142240</wp:posOffset>
            </wp:positionV>
            <wp:extent cx="6032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-142240</wp:posOffset>
            </wp:positionV>
            <wp:extent cx="1714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-142240</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-142240</wp:posOffset>
            </wp:positionV>
            <wp:extent cx="16319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as a result of fluctuations in commodity prices as well as the mix of products we sell.</w:t>
      </w:r>
    </w:p>
    <w:p>
      <w:pPr>
        <w:spacing w:after="0" w:line="176"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color w:val="auto"/>
        </w:rPr>
        <w:t>Consolidated revenues increased $240.0 million, or 5.8%, in 2021 due primarily to higher global retail sales, which resulted in higher supply chain revenues, international franchise royalties and fees, U.S. franchise royalties and fees, and U.S. franchise advertising revenues. These increases were partially offset by the inclusion of the 53</w:t>
      </w:r>
      <w:r>
        <w:rPr>
          <w:rFonts w:ascii="Arial" w:cs="Arial" w:eastAsia="Arial" w:hAnsi="Arial"/>
          <w:sz w:val="21"/>
          <w:szCs w:val="21"/>
          <w:color w:val="auto"/>
          <w:vertAlign w:val="superscript"/>
        </w:rPr>
        <w:t>rd</w:t>
      </w:r>
      <w:r>
        <w:rPr>
          <w:rFonts w:ascii="Arial" w:cs="Arial" w:eastAsia="Arial" w:hAnsi="Arial"/>
          <w:sz w:val="18"/>
          <w:szCs w:val="18"/>
          <w:color w:val="auto"/>
        </w:rPr>
        <w:t xml:space="preserve"> week in 2020 which positively impacted revenues in 2020 by an estimated $88.4 million. These changes in revenues are described in more detail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U.S. Stores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Company-owned stores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479.0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485.6</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U.S. franchise royalties and fees</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539.9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36.0 %</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503.2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34.7 %</w:t>
            </w: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32.0 %</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462.2</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31.9 %</w:t>
            </w:r>
          </w:p>
        </w:tc>
      </w:tr>
      <w:tr>
        <w:trPr>
          <w:trHeight w:val="20"/>
        </w:trPr>
        <w:tc>
          <w:tcPr>
            <w:tcW w:w="5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Total U.S. stores revenues</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1,498.4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100.0 %</w:t>
            </w: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1,451.0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100.0 %</w:t>
            </w:r>
          </w:p>
        </w:tc>
      </w:tr>
      <w:tr>
        <w:trPr>
          <w:trHeight w:val="20"/>
        </w:trPr>
        <w:tc>
          <w:tcPr>
            <w:tcW w:w="5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-142240</wp:posOffset>
            </wp:positionV>
            <wp:extent cx="6032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-142240</wp:posOffset>
            </wp:positionV>
            <wp:extent cx="1714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-142240</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-142240</wp:posOffset>
            </wp:positionV>
            <wp:extent cx="16319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Company-owned Stores</w:t>
      </w:r>
    </w:p>
    <w:p>
      <w:pPr>
        <w:spacing w:after="0" w:line="19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Revenues from U.S. Company-owned store operations decreased $6.6 million, or 1.4%, in 2021 due primarily to an estimated $10.6 million impact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fiscal 2020, as well as a decrease in U.S. Company-owned same store sales. U.S. Company-owned same store sales declined 3.6% in 2021 and increased 11.0% in 2020. These decreases in 2021 were partially offset by an increase in the average number of U.S. Company-owned stores open during the period resulting from net store growth.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Franchise Royalties and Fees</w:t>
      </w:r>
    </w:p>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Revenues from U.S. franchise royalties and fees increased $36.7 million, or 7.3%, in 2021, due primarily to higher same store sales and an increase in the average number of U.S. franchised stores open during the period resulting from net store growth. Revenues were also benefited by approximately $3.0 million related to funding we provided to our franchisees for an effort to donate 10 million slices of pizza to people and organizations at the frontlines of the COVID-19 pandemic in the franchisees’ local communities during 2020 which did not recur in 2021. U.S. franchise same store sales increased 3.9% in 2021 and increased 11.5% in 2020. U.S. franchise royalties and fees further benefited from an increase in revenues from fees paid by franchisees for the use of our technology platforms. These increases were partially offset by an estimated $11.4 million impact of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week in fiscal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Franchise Advertising</w:t>
      </w:r>
    </w:p>
    <w:p>
      <w:pPr>
        <w:spacing w:after="0" w:line="198" w:lineRule="exact"/>
        <w:rPr>
          <w:sz w:val="20"/>
          <w:szCs w:val="20"/>
          <w:color w:val="auto"/>
        </w:rPr>
      </w:pPr>
    </w:p>
    <w:p>
      <w:pPr>
        <w:jc w:val="both"/>
        <w:ind w:right="60"/>
        <w:spacing w:after="0" w:line="208" w:lineRule="auto"/>
        <w:rPr>
          <w:sz w:val="20"/>
          <w:szCs w:val="20"/>
          <w:color w:val="auto"/>
        </w:rPr>
      </w:pPr>
      <w:r>
        <w:rPr>
          <w:rFonts w:ascii="Arial" w:cs="Arial" w:eastAsia="Arial" w:hAnsi="Arial"/>
          <w:sz w:val="18"/>
          <w:szCs w:val="18"/>
          <w:color w:val="auto"/>
        </w:rPr>
        <w:t>Revenues from U.S. franchise advertising increased $17.3 million, or 3.7%, in 2021 due primarily to higher same store sales and an increase in the average number of U.S. franchised stores open during the year resulting from net store growth. These increases were partially offset by an estimated $10.4 million impact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fiscal 2020 as well as approximately $9.3 million in advertising incentives related to the Domino’s Surprise Frees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promotion in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Supply Chain</w:t>
      </w:r>
    </w:p>
    <w:p>
      <w:pPr>
        <w:spacing w:after="0" w:line="19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Supply chain revenues increased $144.3 million or 6.0% in 2021 due primarily to higher volumes resulting from retail sales growth. Our market basket pricing to stores increased 3.3% during 2021, which resulted in an estimated $66.3 million increase in supply chain revenues. These increases were partially offset by an estimated $49.6 million impact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fiscal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Franchise Royalties and Fees</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Revenues from international franchise operations increased $48.3 million, or 19.3%, in 2021 due primarily to higher retail sales resulting from same store sales growth and an increase in the average number of international franchised stores open during the period resulting from net store growth. The reopening and resumption of normal store hours and operating procedures at certain of the Company’s international franchised stores that had been temporarily closed or affected by changes in operating procedures and store hours for portions of 2020 as a result of the COVID-19 pandemic also contributed to the increase in revenues. Excluding the impact of foreign currency exchange rates, international same store sales increased 8.0% in 2021 and increased 4.4% in 2020. Changes in foreign currency exchange rates positively impacted revenue from international royalties and fees by approximately $4.9 million in 2021. These increases were partially offset by an estimated $6.4 million impact of the 53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week in fiscal 2020.</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Cost of sales / Operating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revenues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4,357.4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4,117.4</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Consolidated cost of sales</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2,669.1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61.3 %</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2,522.9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61.3 %</w:t>
            </w:r>
          </w:p>
        </w:tc>
      </w:tr>
      <w:tr>
        <w:trPr>
          <w:trHeight w:val="196"/>
        </w:trPr>
        <w:tc>
          <w:tcPr>
            <w:tcW w:w="5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Consolidated operating margin</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1,688.2</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3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1,594.5</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-5080</wp:posOffset>
            </wp:positionV>
            <wp:extent cx="6032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-5080</wp:posOffset>
            </wp:positionV>
            <wp:extent cx="1714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-5080</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-5080</wp:posOffset>
            </wp:positionV>
            <wp:extent cx="16319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68" w:lineRule="exact"/>
        <w:rPr>
          <w:sz w:val="20"/>
          <w:szCs w:val="20"/>
          <w:color w:val="auto"/>
        </w:rPr>
      </w:pPr>
    </w:p>
    <w:p>
      <w:pPr>
        <w:ind w:right="220"/>
        <w:spacing w:after="0" w:line="221" w:lineRule="auto"/>
        <w:rPr>
          <w:sz w:val="20"/>
          <w:szCs w:val="20"/>
          <w:color w:val="auto"/>
        </w:rPr>
      </w:pPr>
      <w:r>
        <w:rPr>
          <w:rFonts w:ascii="Arial" w:cs="Arial" w:eastAsia="Arial" w:hAnsi="Arial"/>
          <w:sz w:val="18"/>
          <w:szCs w:val="18"/>
          <w:color w:val="auto"/>
        </w:rPr>
        <w:t>Consolidated cost of sales consists primarily of U.S. Company-owned store and supply chain costs incurred to generate related revenues. Components of consolidated cost of sales primarily include food, labor, delivery and occupancy costs. We estimate that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resulted in an increase of approximately $50.6 million to consolidated cost of sales in fiscal 2020.</w:t>
      </w:r>
    </w:p>
    <w:p>
      <w:pPr>
        <w:spacing w:after="0" w:line="134"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Consolidated operating margin (which we define as revenues less cost of sales) increased $93.7 million, or 5.9%, in 2021 due primarily to higher global franchise revenues and higher supply chain volumes. Franchise revenues do not have a cost of sales component, so changes in these revenues have a disproportionate effect on the operating margin. These increases were partially offset by an estimated $37.8 million impact on consolidated operating margin related to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fiscal 2020.</w:t>
      </w:r>
    </w:p>
    <w:p>
      <w:pPr>
        <w:spacing w:after="0" w:line="78"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As a percentage of revenues, the consolidated operating margin was flat at 38.7% in 2021 and 2020. Company-owned store operating margin increased 0.1 percentage points in 2021 and supply chain operating margin decreased 0.9 percentage points in 2021. These changes in operating margin are described in more detail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 Company-owned Stores Operating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479.0</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42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374.1</w:t>
            </w:r>
          </w:p>
        </w:tc>
        <w:tc>
          <w:tcPr>
            <w:tcW w:w="220" w:type="dxa"/>
            <w:vAlign w:val="bottom"/>
          </w:tcPr>
          <w:p>
            <w:pPr>
              <w:spacing w:after="0"/>
              <w:rPr>
                <w:sz w:val="17"/>
                <w:szCs w:val="17"/>
                <w:color w:val="auto"/>
              </w:rPr>
            </w:pPr>
          </w:p>
        </w:tc>
        <w:tc>
          <w:tcPr>
            <w:tcW w:w="14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78.1 %</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379.6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78.2 %</w:t>
            </w:r>
          </w:p>
        </w:tc>
      </w:tr>
      <w:tr>
        <w:trPr>
          <w:trHeight w:val="196"/>
        </w:trPr>
        <w:tc>
          <w:tcPr>
            <w:tcW w:w="58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Store operating margin</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104.9</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w:t>
            </w:r>
          </w:p>
        </w:tc>
        <w:tc>
          <w:tcPr>
            <w:tcW w:w="42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106.0</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-5080</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-5080</wp:posOffset>
            </wp:positionV>
            <wp:extent cx="1714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-5080</wp:posOffset>
            </wp:positionV>
            <wp:extent cx="431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-5080</wp:posOffset>
            </wp:positionV>
            <wp:extent cx="16319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68"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U.S. Company-owned store operating margin (which does not include other store-level costs such as royalties and advertising) decreased $1.1 million, or 1.0%, in 2021 due primarily to lower same store sales, as well an estimated $3.2 million impact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2020. Higher food and occupancy costs also contributed to the decrease in U.S. Company-owned store operating margin. These decreases were partially offset by lower labor costs. As a percentage of store revenues, the store operating margin increased 0.1 percentage points in 2021. These changes in operating margin as a percentage of revenues are discussed in more detail below.</w:t>
      </w:r>
    </w:p>
    <w:p>
      <w:pPr>
        <w:spacing w:after="0" w:line="135" w:lineRule="exact"/>
        <w:rPr>
          <w:sz w:val="20"/>
          <w:szCs w:val="20"/>
          <w:color w:val="auto"/>
        </w:rPr>
      </w:pPr>
    </w:p>
    <w:p>
      <w:pPr>
        <w:jc w:val="both"/>
        <w:ind w:left="760" w:right="3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costs decreased 1.9 percentage points to 29.0% in 2021 due primarily to additional bonus pay incurred during 2020 for frontline team members, as well as lower team member headcount in 2021. These decreases in labor costs were partially offset by continued investments in frontline team member wage rates in our U.S. Company-owned stores in 2021.</w:t>
      </w:r>
    </w:p>
    <w:p>
      <w:pPr>
        <w:spacing w:after="0" w:line="2"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Food costs increased 1.1 percentage points to 28.1% in 2021, due to higher food basket prices.</w:t>
      </w:r>
    </w:p>
    <w:p>
      <w:pPr>
        <w:ind w:left="760" w:right="440" w:hanging="378"/>
        <w:spacing w:after="0" w:line="24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Occupancy costs, which include rent, telephone, utilities and depreciation, increased 0.6 percentage points to 8.0% in 2021 due primarily to lower sales leverage.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Supply Chain Operating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2,561.0</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2,416.7</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2,295.0</w:t>
            </w:r>
          </w:p>
        </w:tc>
        <w:tc>
          <w:tcPr>
            <w:tcW w:w="200" w:type="dxa"/>
            <w:vAlign w:val="bottom"/>
          </w:tcPr>
          <w:p>
            <w:pPr>
              <w:spacing w:after="0"/>
              <w:rPr>
                <w:sz w:val="17"/>
                <w:szCs w:val="17"/>
                <w:color w:val="auto"/>
              </w:rPr>
            </w:pPr>
          </w:p>
        </w:tc>
        <w:tc>
          <w:tcPr>
            <w:tcW w:w="14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89.6 %</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2,143.3</w:t>
            </w:r>
          </w:p>
        </w:tc>
        <w:tc>
          <w:tcPr>
            <w:tcW w:w="1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88.7 %</w:t>
            </w:r>
          </w:p>
        </w:tc>
      </w:tr>
      <w:tr>
        <w:trPr>
          <w:trHeight w:val="196"/>
        </w:trPr>
        <w:tc>
          <w:tcPr>
            <w:tcW w:w="56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Supply chain operating margin</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266.0</w:t>
            </w:r>
          </w:p>
        </w:tc>
        <w:tc>
          <w:tcPr>
            <w:tcW w:w="2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w:t>
            </w:r>
          </w:p>
        </w:tc>
        <w:tc>
          <w:tcPr>
            <w:tcW w:w="400" w:type="dxa"/>
            <w:vAlign w:val="bottom"/>
            <w:tcBorders>
              <w:bottom w:val="single" w:sz="8" w:color="CFF0FC"/>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273.3</w:t>
            </w: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-5080</wp:posOffset>
            </wp:positionV>
            <wp:extent cx="51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-5080</wp:posOffset>
            </wp:positionV>
            <wp:extent cx="17145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-5080</wp:posOffset>
            </wp:positionV>
            <wp:extent cx="431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-5080</wp:posOffset>
            </wp:positionV>
            <wp:extent cx="16319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168"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Supply chain operating margin decreased $7.4 million, or 2.7%, in 2021 due primarily to an estimated $6.4 million impact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2020, as well as higher labor and delivery costs. These decreases were partially offset by higher volumes. As a percentage of supply chain revenues, the supply chain operating margin decreased 0.9 percentage points in 2021, due primarily to higher labor and delivery costs.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increased $21.7 million, or 5.3%, in 2021 driven primarily by higher labor costs, including non-cash equity-based compensation expense. Higher travel and event costs also contributed to the increase in general and administrative expenses. These increases were partially offset by lower professional fees and an estimated $5.6 million impact of the 53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week in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Franchise Advertising Expenses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U.S. franchise advertising expenses increased $17.3 million, or 3.7%, in 2021 due to higher U.S. franchise advertising revenues as discussed above. This increase was partially offset by an estimated $10.4 million impact of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week in 2020. U.S. franchise advertising costs are accrued and expensed when the related U.S. franchise advertising revenues are recognized, as our consolidated not-for-profit advertising fund is obligated to expend such revenues on advertising and other activities to promote the Domino’s brand and these revenues cannot be used for general corporate purposes.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9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Other income was $36.8 million in 2021, representing the unrealized gains recorded on the Company’s investment in DPC Dash resulting from the observable changes in price from the valuation of the Company’s additional $40.0 million investment made in the first quarter of 2021 and the additional $9.1 million investment made in the fourth quarter of 2021.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Interest expense, net, increased $20.9 million, or 12.3%, in 2021 driven primarily by higher average borrowings resulting from the 2021 Recapitalization. In connection with the 2021 Recapitalization, we recorded $2.3 million of incremental interest expense in the second quarter of 2021, primarily representing the expense for $2.0 million of the remaining unamortized debt issuance costs associated with the 2017 Five-Year Fixed Rate Notes and 2017 Floating Rate Notes (each defined in the "2017 Recapitalization" section, below), and $0.3 million of additional interest expense incurred on the 2017 Five-Year Fixed Rate Notes and 2017 Floating Rate Notes subsequent to the closing of the 2021 Recapitalization but prior to the repayment of the 2017 Five-Year Fixed Rate Notes and 2017 Floating Rate Notes, resulting in the payment of interest on both the 2017 Five-Year Fixed Rate Notes and 2017 Floating Rate Notes and the 2021 Notes (as defined in the “2021 Recapitalization” section, below) for a short period of time. This increase was partially offset by an estimated $2.6 million impact of the 53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week in 2020.</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weighted average borrowing rate decreased to 3.8% in 2021, from 3.9% in 2020, resulting from the lower interest rates on the debt outstanding in 2021 as compared to the same periods in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Provision for income taxes increased $51.4 million, or 80.5%, in 2021 and the effective tax rate increased to 18.4% in 2021 as compared to 11.5% in 2020 due primarily to lower excess tax benefits on equity-based compensation, which are recorded as a reduction to the income tax provision. Excess tax benefits from equity-based compensation were $18.9 million in 2021 and were $60.4 million in 2020. The decrease in excess tax benefits resulted from a significant decrease in stock options exercised in 2021 as compared to 2020. Higher pre-tax income also resulted in an increase in the provision for income taxes. These increases were partially offset by an estimated $4.0 million related to the 53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week of 2020.</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19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Stores</w:t>
            </w:r>
          </w:p>
        </w:tc>
        <w:tc>
          <w:tcPr>
            <w:tcW w:w="1140" w:type="dxa"/>
            <w:vAlign w:val="bottom"/>
            <w:shd w:val="clear" w:color="auto" w:fill="CFF0FC"/>
          </w:tcPr>
          <w:p>
            <w:pPr>
              <w:jc w:val="right"/>
              <w:ind w:right="95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7"/>
              </w:rPr>
              <w:t>454.9</w:t>
            </w:r>
          </w:p>
        </w:tc>
        <w:tc>
          <w:tcPr>
            <w:tcW w:w="4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435.1</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Supply Chain</w:t>
            </w:r>
          </w:p>
        </w:tc>
        <w:tc>
          <w:tcPr>
            <w:tcW w:w="1140" w:type="dxa"/>
            <w:vAlign w:val="bottom"/>
          </w:tcPr>
          <w:p>
            <w:pPr>
              <w:spacing w:after="0"/>
              <w:rPr>
                <w:sz w:val="17"/>
                <w:szCs w:val="17"/>
                <w:color w:val="auto"/>
              </w:rPr>
            </w:pPr>
          </w:p>
        </w:tc>
        <w:tc>
          <w:tcPr>
            <w:tcW w:w="64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7"/>
              </w:rPr>
              <w:t>229.9</w:t>
            </w:r>
          </w:p>
        </w:tc>
        <w:tc>
          <w:tcPr>
            <w:tcW w:w="4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238.4</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 Franchise</w:t>
            </w:r>
          </w:p>
        </w:tc>
        <w:tc>
          <w:tcPr>
            <w:tcW w:w="11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7"/>
              </w:rPr>
              <w:t>241.9</w:t>
            </w: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197.6</w:t>
            </w:r>
          </w:p>
        </w:tc>
        <w:tc>
          <w:tcPr>
            <w:tcW w:w="100" w:type="dxa"/>
            <w:vAlign w:val="bottom"/>
            <w:shd w:val="clear" w:color="auto" w:fill="CFF0FC"/>
          </w:tcPr>
          <w:p>
            <w:pPr>
              <w:spacing w:after="0"/>
              <w:rPr>
                <w:sz w:val="17"/>
                <w:szCs w:val="17"/>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9"/>
              </w:rPr>
              <w:t>(42.9 )</w:t>
            </w:r>
          </w:p>
        </w:tc>
        <w:tc>
          <w:tcPr>
            <w:tcW w:w="4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(53.3 )</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Stores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U.S. stores Segment Income increased $19.8 million, or 4.5%, in 2021, primarily as a result of the increase in revenues from U.S. franchise royalties and fees of $36.7 million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 The increase in U.S. stores Segment Income was partially offset by increased investments in technological initiatives as well as the $1.1 million decrease in U.S. Company-owned store operating margin discussed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Chain</w:t>
      </w:r>
    </w:p>
    <w:p>
      <w:pPr>
        <w:spacing w:after="0" w:line="19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Supply chain Segment Income decreased $8.5 million, or 3.6%, in 2021 due primarily to the $7.4 million decrease in supply chain operating margin described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Franchise</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International franchise Segment Income increased $44.3 million, or 22.4%, in 2021 due primarily to the $48.3 million increase in international franchise revenues discussed above. International franchise revenues do not have a cost of sales component, so changes in these revenues have a disproportionate effect on international franchise Segment Income. The increase in international franchise Segment Income driven by higher revenues was partially offset by increased investments in technological initiatives.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Other Segment Income increased $10.3 million, or 19.4%, in 2021 due primarily to higher corporate administrative costs allocated to our segments as compared to 2020. The increase in allocated costs in 2021 was due primarily to higher investments in technological initiatives to support technology for our U.S. and international franchise stores. Lower professional fees also contributed to the increase in other segment income. These increases were partially offset by higher labor and travel costs.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impact of new accounting pronouncements adopted and the estimated impact of new accounting pronouncements that we will adopt in future years is included in Note 1 to the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COVID-19 Impact</w:t>
      </w:r>
    </w:p>
    <w:p>
      <w:pPr>
        <w:spacing w:after="0" w:line="206" w:lineRule="exact"/>
        <w:rPr>
          <w:sz w:val="20"/>
          <w:szCs w:val="20"/>
          <w:color w:val="auto"/>
        </w:rPr>
      </w:pPr>
    </w:p>
    <w:p>
      <w:pPr>
        <w:ind w:right="360"/>
        <w:spacing w:after="0" w:line="324" w:lineRule="auto"/>
        <w:rPr>
          <w:sz w:val="20"/>
          <w:szCs w:val="20"/>
          <w:color w:val="auto"/>
        </w:rPr>
      </w:pPr>
      <w:r>
        <w:rPr>
          <w:rFonts w:ascii="Arial" w:cs="Arial" w:eastAsia="Arial" w:hAnsi="Arial"/>
          <w:sz w:val="16"/>
          <w:szCs w:val="16"/>
          <w:color w:val="auto"/>
        </w:rPr>
        <w:t>As of January 2, 2022, nearly all of our U.S. stores were open, with stores deploying contactless delivery and carryout solutions. Based on information reported to us by our master franchisees, we estimate that as of January 2, 2022, there were fewer than 50 international stores temporarily closed.</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During the COVID-19 pandemic, we made certain investments related to safety and cleaning equipment, enhanced sick pay and compensation for frontline team members and support for our franchisees and their communities. While we have seen an increase in sales in certain markets during the COVID-19 pandemic, including increased sales related to heightened reliance on delivery and carryout businesses, future sales are not possible to estimate and it is unclear whether and to what extent sales will return to more normalized levels if and when consumer behavior and general economic and business activity return to pre-pandemic levels. While it is not possible at this time to estimate the full continued impact that COVID-19 could have on our business, the continued spread of COVID-19 and the measures taken by the governments of countries affected could disrupt our continuing operations and supply chain and, as a result, could adversely impact our business, financial condition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06" w:lineRule="exact"/>
        <w:rPr>
          <w:sz w:val="20"/>
          <w:szCs w:val="20"/>
          <w:color w:val="auto"/>
        </w:rPr>
      </w:pPr>
    </w:p>
    <w:p>
      <w:pPr>
        <w:ind w:right="480"/>
        <w:spacing w:after="0" w:line="274" w:lineRule="auto"/>
        <w:rPr>
          <w:sz w:val="20"/>
          <w:szCs w:val="20"/>
          <w:color w:val="auto"/>
        </w:rPr>
      </w:pPr>
      <w:r>
        <w:rPr>
          <w:rFonts w:ascii="Arial" w:cs="Arial" w:eastAsia="Arial" w:hAnsi="Arial"/>
          <w:sz w:val="16"/>
          <w:szCs w:val="16"/>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January 2, 2022, we had working capital of $82.1 million, excluding restricted cash and cash equivalents of $180.6 million, advertising fund assets, restricted, of $180.9 million and advertising fund liabilities of $173.7 million. Working capital includes total unrestricted cash and cash equivalents of $148.2 million.</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primary source of liquidity is cash flows from operations and availability of borrowings under our variable funding notes. During 2021, we experienced increases in both U.S. and international same store sales versus the comparable periods in the prior year. Additionally, our U.S. and international businesses grew store counts in 2021. These factors contributed to our continued ability to generate positive operating cash flows. The Company has a variable funding note facility which allows for advances of up to $200.0 million of 2021 Variable Funding Notes (defined in the “2021 Recapitalization” section, below). The letters of credit are primarily related to our casualty insurance programs and certain supply chain center leases. As of January 2, 2022, we had no outstanding borrowings and $155.8 million of available borrowing capacity under our 2021 Variable Funding Notes, net of letters of credit issued of $44.2 million.</w:t>
      </w:r>
    </w:p>
    <w:p>
      <w:pPr>
        <w:spacing w:after="0" w:line="17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expect to continue to use our unrestricted cash and cash equivalents, cash flows from operations, excess cash from our recapitalization transactions and available borrowings under our 2021 Variable Funding Notes to, among other things, fund working capital requirements, invest in our core business and other strategic opportunities, pay dividends and repurchase and retire shares of our common stock.</w:t>
      </w:r>
    </w:p>
    <w:p>
      <w:pPr>
        <w:spacing w:after="0" w:line="16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Our ability to continue to fund these items and continue to service our debt could be adversely affected by the occurrence of any of the events described in Item 1A. Risk Factors. There can be no assurance that our business will generate sufficient cash flows from operations or that future borrowings will be available under the 2021 Variable Funding Notes or otherwise to enable us to service our indebtedness, or to make anticipated capital expenditures. Our future operating performance and our ability to service, extend or refinance the 2021, 2019, 2018, 2017 and 2015 Notes and to service, extend or refinance the 2021 Variable Funding Notes will be subject to future economic conditions and to financial, business and other factors, many of which are beyond our control.</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of January 2, 2022, we had $133.2 million of restricted cash and cash equivalents held for future principal and interest payments and other working capital requirements of our asset-backed securitization structure, $47.2 million of restricted cash equivalents held in a three-month interest reserve as required by the related debt agreements and $0.2 million of other restricted cash for a total of $180.6 million of restricted cash and cash equivalents. As of January 2, 2022, we also held $161.7 million of advertising fund restricted cash and cash equivalents, which can only be used for activities that promote the Domino’s brand.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Recapitalization</w:t>
      </w:r>
    </w:p>
    <w:p>
      <w:pPr>
        <w:spacing w:after="0" w:line="19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April 16, 2021, we completed the 2021 Recapitalization in which certain of our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Concurrently, certain of our subsidiaries also issued a new variable funding note facility which allows for advances of up to $200.0 million of Series 2021-1 Variable Funding Senior Secured Notes, Class A-1 Notes and certain other credit instruments, including letters of credit (the “2021 Variable Funding Notes”). In connection with the issuance of the 2021 Variable Funding Notes, our 2019 variable funding notes were canceled.</w:t>
      </w:r>
    </w:p>
    <w:p>
      <w:pPr>
        <w:spacing w:after="0" w:line="15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proceeds from the 2021 Recapitalization was used to repay the remaining $291.0 million in outstanding principal under our 2017 Floating Rate Notes and $582.0 million in outstanding principal under our 2017 Five-Year Fixed Rate Notes, prefund a portion of the interest payable on the 2021 Notes, pay transaction fees and expenses and repurchase and retire shares of our common stock. Additional information related to the 2021 Recapitalization is included in Note 3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Recapitalization</w:t>
      </w:r>
    </w:p>
    <w:p>
      <w:pPr>
        <w:spacing w:after="0" w:line="19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November 19, 2019, we completed the 2019 Recapitalization in which certain of our subsidiaries issued $675.0 million Series 2019-1 3.668% Fixed Rate Senior Secured Notes, Class A-2 with an anticipated term of 10 years (the “2019 Notes”) pursuant to an asset-backed securitization. Concurrently, we also issued the 2019 variable funding notes. Gross proceeds from the issuance of the 2019 Notes was $675.0 million. Additional information related to the 2019 Recapitalization is included in Note 3 to our consolidated financial statements.</w:t>
      </w:r>
    </w:p>
    <w:p>
      <w:pPr>
        <w:spacing w:after="0" w:line="17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 proceeds from the 2019 Recapitalization were used to prefund a portion of the principal and interest payable on the 2019 Notes, pay transaction fees and expenses and repurchase and retire shares of our common stock. In connection with the 2019 Recapitalization, we capitalized $8.1 million of debt issuance costs, which are being amortized into interest expense over the expected term of the 2019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Recapitalization</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April 24, 2018, we completed the 2018 Recapitalization in which certain of our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in an offering exempt from registration under the Securities Act of 1933, as amended. Gross proceeds from the issuance of the 2018 Notes were $825.0 million. Additional information related to the 2018 Recapitalization is included in Note 3 to our 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2017 Recapitalization</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Fixed Rate Notes”), and $1.0 billion Series 2017-1 4.118% Fixed Rate Senior Secured Notes, Class A-2-III with an anticipated term of 10 years (the “2017 Ten-Year Fixed Rate Notes” and, collectively with the 2017 Floating Rate Notes and the 2017 Five-Year Fixed Rate Notes, the “2017 Notes”). The interest rate on the 2017 Floating Rate Notes was payable at a rate equal to LIBOR plus 125 basis points. Gross proceeds from the issuance of the 2017 Notes were $1.9 billion. The 2017 Floating Rate Notes and the 2017 Five-Year Fixed Rate Notes were repaid in connection with the 2021 Recapitalization. Additional information related to the 2017 Recapitalization is included in Note 3 to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2015 Recapitalization</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 October 21, 2015, we completed the 2015 Recapitalization in which certain of our subsidiaries issued notes pursuant to an asset-backed securitization. The notes consisted of $500.0 million of Series 2015-1 3.484% Fixed Rate Senior Secured Notes, Class A-2-I (the “2015 Five-Year Notes”), $800.0 million Series 2015-1 4.474% Fixed Rate Senior Secured Notes, Class A-2-II (the “2015 Ten-Year Notes” and collectively with the 2015 Five-Year Notes, the “2015 Notes”). Gross proceeds from the issuance of the 2015 Notes were $1.3 billion. The 2015 Five-Year Notes were repaid in connection with the 2018 Recapitalization. Additional information related to the 2015 Recapitalization is included in Note 3 to our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2019, 2018, 2017 and 2015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2021 Notes, 2019 Notes, 2018 Notes, 2017 Notes and the 2015 Notes are collectively referred to as the "Notes."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Notes have original scheduled principal payments of $51.5 million in each of 2022, 2023 and 2024, $1.17 billion in 2025, $39.3 million in 2026, $1.31 billion in 2027, $811.5 million in 2028, $625.9 million in 2029, $10.0 million in 2030 and $905.0 million in 2031. However, in accordance with our debt agreements, the payment of principal on the outstanding senior notes may be suspended if our leverage ratio is less than or equal to 5.0x total debt, as defined, to adjusted EBITDA, as defined, and no catch-up provisions are applicable.</w:t>
      </w:r>
    </w:p>
    <w:p>
      <w:pPr>
        <w:spacing w:after="0" w:line="16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the fourth quarter of 2020, we had a leverage ratio of less than 5.0x, and accordingly, did not make the previously scheduled debt amortization payment beginning in the first quarter of 2021. Accordingly, all principal amounts of the then outstanding Notes were classified as long-term debt in the consolidated balance sheet as of January 3, 2021. Subsequent to the closing of the 2021 Recapitalization, the Company had a leverage ratio of greater than 5.0x and, accordingly, the Company resumed making the scheduled amortization payments in the second quarter of 2021.</w:t>
      </w:r>
    </w:p>
    <w:p>
      <w:pPr>
        <w:spacing w:after="0" w:line="12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lease certain retail store and supply chain center locations, supply chain vehicles, various equipment and our World Resource Center under leases with expiration dates through 2041. Refer to Note 5 to the consolidated financial statements for additional information regarding our leases, including future minimum rental commitments.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9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the past three years, we have spent approximately $268.5 million on capital expenditures. In 2021, we spent $94.2 million on capital expenditures which primarily related to investments in our technology initiatives, including our proprietary internally developed point-of-sale system (Domino’s PULSE), our internal enterprise systems and our digital ordering platform, our supply chain centers, new Company-owned stores and asset upgrades for our existing Company-owned stores and other assets. We did not have any material commitments for capital expenditures as of January 2,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During the second quarter of 2020, we acquired a non-controlling interest in DPC Dash (formerly Dash Brands Ltd.), a privately-held company limited by shares incorporated with limited liability under the laws of the British Virgin Islands, for $40.0 million. Through its subsidiaries, DPC Dash serves as the Company’s master franchisee in China that owns and operates Domino’s Pizza stores in that market. Our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the first quarter of 2021, we invested an additional $40.0 million in DPC Dash based on DPC Dash’s achievement of certain pre-established performance conditions and recorded a positive adjustment of $2.5 million to the original carrying amount of $40.0 million resulting from the observable change in price from the valuation of the additional investment, resulting in a net carrying amount of $82.5 million as of the end of the first quarter of 2021. We did not record any adjustments to the carrying amount of $82.5 million in the second or third quarter of 2021. In the fourth quarter of 2021, we invested an additional $9.1 million in DPC Dash and recorded a positive adjustment of $34.3 million to the carrying amount of $82.5 million resulting from the observable change in price from the valuation of the additional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Our share repurchase programs have historically been funded by excess operating cash flows, excess proceeds from our recapitalization transactions and borrowings under our variable funding notes. We used cash of $1.32 billion in 2021, $304.6 million in 2020 and $699.0 million in 2019 for share repurchases.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October 4, 2019, our Board of Directors authorized a share repurchase program to repurchase up to $1.0 billion of the Company’s common stock. On February 24, 2021, our Board of Directors authorized a new share repurchase program to repurchase up to $1.0 billion of the Company's common stock, which was fully utilized in connection with the ASR Agreement, described below. On April 30, 2021, we entered into an accelerated share repurchase agreement with a counterparty (the “ASR Agreement”). Pursuant to the terms of the ASR Agreement, on May 3, 2021, we used a portion of the proceeds from the 2021 Recapitalization to pay the counterparty $1.0 billion in cash and received and retired 2,012,596 shares of our common stock. Final settlement of the ASR Agreement occurred on July 21, 2021. In connection with the ASR Agreement, we received and retired a total of 2,250,786 shares of our common stock at an average price of $444.29, including the 2,012,596 shares of our common stock received and retired during the second quarter of 2021. On July 20, 2021, our Board of Directors authorized a new share repurchase program to repurchase up to $1.0 billion of our common stock. This repurchase program replaced our previously approved $1.0 billion share repurchase program, which was fully utilized in connection with the ASR Agreement.</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had $704.1 million remaining under this share repurchase authorization as of January 2, 2022. Subsequent to the end of fiscal 2021, we repurchased and retired an additional 100,810 shares of common stock for $47.7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declared dividends of $139.6 million (or $3.76 per share) in 2021, $122.2 million (or $3.12 per share) in 2020 and $105.6 million (or $2.60 per share) in 2019. We paid dividends of $139.4 million, $121.9 million and $105.7 million in 2021, 2020 and 2019, respectively.</w:t>
      </w:r>
    </w:p>
    <w:p>
      <w:pPr>
        <w:spacing w:after="0" w:line="15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On February 24, 2022, the Company’s Board of Directors declared a quarterly dividend of $1.10 per common share payable on March 30, 2022 to shareholders of record at the close of business on March 15, 2022.</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Fiscal Year Ended</w:t>
            </w:r>
          </w:p>
        </w:tc>
      </w:tr>
      <w:tr>
        <w:trPr>
          <w:trHeight w:val="169"/>
        </w:trPr>
        <w:tc>
          <w:tcPr>
            <w:tcW w:w="76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January 2, 2022</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January 3, 2021</w:t>
            </w:r>
          </w:p>
        </w:tc>
        <w:tc>
          <w:tcPr>
            <w:tcW w:w="100" w:type="dxa"/>
            <w:vAlign w:val="bottom"/>
          </w:tcPr>
          <w:p>
            <w:pPr>
              <w:spacing w:after="0"/>
              <w:rPr>
                <w:sz w:val="14"/>
                <w:szCs w:val="14"/>
                <w:color w:val="auto"/>
              </w:rPr>
            </w:pPr>
          </w:p>
        </w:tc>
      </w:tr>
      <w:tr>
        <w:trPr>
          <w:trHeight w:val="196"/>
        </w:trPr>
        <w:tc>
          <w:tcPr>
            <w:tcW w:w="75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flows provided by (used in)</w:t>
            </w: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654.2</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592.8</w:t>
            </w:r>
          </w:p>
        </w:tc>
        <w:tc>
          <w:tcPr>
            <w:tcW w:w="1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(142.7 )</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(128.9 )</w:t>
            </w: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7"/>
                <w:szCs w:val="17"/>
                <w:color w:val="auto"/>
              </w:rPr>
            </w:pPr>
          </w:p>
        </w:tc>
        <w:tc>
          <w:tcPr>
            <w:tcW w:w="1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(522.8 )</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(446.4 )</w:t>
            </w: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(0.3 )</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7"/>
                <w:szCs w:val="17"/>
                <w:color w:val="auto"/>
              </w:rPr>
            </w:pPr>
          </w:p>
        </w:tc>
      </w:tr>
      <w:tr>
        <w:trPr>
          <w:trHeight w:val="20"/>
        </w:trPr>
        <w:tc>
          <w:tcPr>
            <w:tcW w:w="75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Change in cash and cash equivalents, restricted cash and cash equivalents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(11.7 )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c>
          <w:tcPr>
            <w:tcW w:w="10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Cash provided by operating activities increased $61.4 million in 2021 primarily due to the positive impact of changes in operating assets and liabilities of $63.9 million. The positive impact of changes in operating assets and liabilities related to the timing of collections on accounts receivable, payments on accounts payable and accrued liabilities and income tax payments in 2021 as compared to 2020. The increase in cash provided by operating activities was also due to a $16.4 million positive impact of changes in advertising fund assets and liabilities, restricted, in 2021 as compared to 2020 due to the receipt of advertising contributions outpacing payments for advertising activities. Additionally, while net income increased $19.2 million, this was comprised of a $38.2 million increase in non-cash transactions, resulting in an overall decrease to cash provided by operating activities in 2021 as compared to 2020 of $18.9 million.</w:t>
      </w:r>
    </w:p>
    <w:p>
      <w:pPr>
        <w:spacing w:after="0" w:line="17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are focused on continually improving our net income and cash flow from operations and management expects to continue to generate positive cash flows from operating activities for the foreseeable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77"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Cash used in investing activities was $142.7 million in 2021 which consisted primarily of capital expenditures of $94.2 million (driven primarily by investments in technological initiatives, supply chain centers and Company-owned stores) and our investments in DPC Dash of $49.1 million.</w:t>
      </w:r>
    </w:p>
    <w:p>
      <w:pPr>
        <w:spacing w:after="0" w:line="111"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Cash used in investing activities was $128.9 million in 2020, which consisted primarily of capital expenditures of $88.8 million (driven primarily by investments in supply chain centers, technological initiatives and Company-owned stores) and our investment in DPC Dash of $40.0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Cash used in financing activities was $522.8 million in 2021. We completed the 2021 Recapitalization and issued $1.85 billion under the 2021 Notes. We made $910.2 million of payments on our long-term debt (of which $291.0 million related to the repayment of outstanding principal under our 2017 Floating Rate Notes and $582.0 million related the repayment of outstanding principal under our 2017 Five-Year Fixed Rate Notes in connection with the 2021 Recapitalization). We also repurchased and retired $1.32 billion in shares of our common stock under our Board of Directors-approved share repurchase program (including $1.0 billion under the ASR Agreement). We also made dividend payments to our shareholders of $139.4 million, paid $14.9 million in financing cost associated with our 2021 Recapitalization and made tax payments for restricted stock upon vesting of $6.8 million. These uses of cash were partially offset by proceeds from the exercise of stock options of $19.7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was $446.4 million in 2020. We borrowed $158.0 million under our 2019 variable funding note facility and repaid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of long-term debt (of which $158.0 million related to the repayment of borrowings under our 2019 variable funding notes). We also repurchased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$304.6 million in common stock under our Board of Directors-approved share repurchase program, made dividend payments to our shareholders of $121.9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million and made tax payments for restricted stock upon vesting of $6.8 million. These uses of cash were partially offset by proceeds from the exercise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of $31.0 million.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Impact of Inflation</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Given the inflation rates in fiscal 2021, there have been and may continue to be increases in food costs and labor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and increased energy costs may adversely affect our operating costs and profitability and those of our franchisees and could result in menu price increases. The impact of inflation is described with respect to our market basket pricing to stores and our labor cost, in the discussion of supply chain revenues and operating margin, above. Severe increases in inflation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02" w:lineRule="exact"/>
        <w:rPr>
          <w:sz w:val="20"/>
          <w:szCs w:val="20"/>
          <w:color w:val="auto"/>
        </w:rPr>
      </w:pPr>
    </w:p>
    <w:p>
      <w:pPr>
        <w:ind w:right="300"/>
        <w:spacing w:after="0" w:line="284" w:lineRule="auto"/>
        <w:rPr>
          <w:sz w:val="20"/>
          <w:szCs w:val="20"/>
          <w:color w:val="auto"/>
        </w:rPr>
      </w:pPr>
      <w:r>
        <w:rPr>
          <w:rFonts w:ascii="Arial" w:cs="Arial" w:eastAsia="Arial" w:hAnsi="Arial"/>
          <w:sz w:val="16"/>
          <w:szCs w:val="16"/>
          <w:color w:val="auto"/>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spacing w:after="0" w:line="14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contribution rate for advertising fees payable to DNAF will remain in place for the foreseeable future, and the availability of our borrowings under the 2021 Variable Funding Notes for, among other things, funding working capital requirements, paying capital expenditures and funding other general corporate purposes, including payment of dividends.</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Forward-looking statements relating to our anticipated profitability, estimates in same store sales growth, the growth of our U.S. and international business,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spacing w:after="0" w:line="16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Actual results may differ materially from those expressed or implied in the forward-looking statements as a result of various factors, including but not limited to, the following:</w:t>
      </w:r>
    </w:p>
    <w:p>
      <w:pPr>
        <w:spacing w:after="0" w:line="157" w:lineRule="exact"/>
        <w:rPr>
          <w:sz w:val="20"/>
          <w:szCs w:val="20"/>
          <w:color w:val="auto"/>
        </w:rPr>
      </w:pPr>
    </w:p>
    <w:p>
      <w:pPr>
        <w:ind w:left="760" w:righ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increased indebtedness as a result of the 2021 Recapitalization, 2019 Recapitalization, 2018 Recapitalization, 2017 Recapitalization and 2015 Recapitalization and our ability to incur additional indebtedness or refinance or renegotiate key terms of that indebtedness in the future;</w:t>
      </w:r>
    </w:p>
    <w:p>
      <w:pPr>
        <w:spacing w:after="0" w:line="2"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a downgrade in our credit rating may have on our business, financial condition and results of operations;</w:t>
      </w: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financial performance and our ability to pay principal and interest on our indebtedness;</w:t>
      </w:r>
    </w:p>
    <w:p>
      <w:pPr>
        <w:ind w:left="760" w:right="58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difficulties associated with or related to the ongoing COVID-19 pandemic and the effects of COVID-19 and related regulations and policies on our business and supply chain, including impacts on the availability of labor;</w:t>
      </w:r>
    </w:p>
    <w:p>
      <w:pPr>
        <w:spacing w:after="0" w:line="1" w:lineRule="exact"/>
        <w:rPr>
          <w:rFonts w:ascii="Arial" w:cs="Arial" w:eastAsia="Arial" w:hAnsi="Arial"/>
          <w:sz w:val="18"/>
          <w:szCs w:val="18"/>
          <w:color w:val="auto"/>
        </w:rPr>
      </w:pPr>
    </w:p>
    <w:p>
      <w:pPr>
        <w:ind w:left="760" w:right="12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shortages or changes in operating expenses resulting from changes in prices of food (particularly cheese), fuel and other commodity costs, labor, utilities, insurance, employee benefits and other operating costs;</w:t>
      </w:r>
    </w:p>
    <w:p>
      <w:pPr>
        <w:spacing w:after="0" w:line="1"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advertising, operations and promotional initiatives;</w:t>
      </w: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interruptions or disruptions in the supply or delivery of fresh food products and store equipment;</w:t>
      </w: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our brand, including our ability to compete in the U.S. and internationally in our intensely competitive industry, including the food service and food delivery markets;</w:t>
      </w:r>
    </w:p>
    <w:p>
      <w:pPr>
        <w:spacing w:after="0" w:line="1"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social media and other consumer-oriented technologies on our business, brand and reputation;</w:t>
      </w: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new or improved technologies and alternative methods of delivery on consumer behavior;</w:t>
      </w:r>
    </w:p>
    <w:p>
      <w:pPr>
        <w:ind w:left="760" w:hanging="752"/>
        <w:spacing w:after="0" w:line="23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digital ordering and concept developments by us, and other food-industry competitors;</w:t>
      </w:r>
    </w:p>
    <w:p>
      <w:pPr>
        <w:ind w:left="760" w:right="540" w:hanging="752"/>
        <w:spacing w:after="0" w:line="24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good relationships with and attract new franchisees and franchisees’ ability to successfully manage their operations without negatively impacting our royalty payments and fees or our brand’s reputation;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7" w:name="page48"/>
    <w:bookmarkEnd w:id="47"/>
    <w:p>
      <w:pPr>
        <w:ind w:left="760" w:hanging="75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implement cost-saving strategies;</w:t>
      </w:r>
    </w:p>
    <w:p>
      <w:pPr>
        <w:spacing w:after="0" w:line="11"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that of our franchisees to successfully operate in the current and future credit environment;</w:t>
      </w:r>
    </w:p>
    <w:p>
      <w:pPr>
        <w:ind w:left="760" w:hanging="752"/>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level of consumer spending given general economic conditions, including interest rates, energy prices and consumer confidence;</w:t>
      </w:r>
    </w:p>
    <w:p>
      <w:pPr>
        <w:spacing w:after="0" w:line="18" w:lineRule="exact"/>
        <w:rPr>
          <w:rFonts w:ascii="Arial" w:cs="Arial" w:eastAsia="Arial" w:hAnsi="Arial"/>
          <w:sz w:val="16"/>
          <w:szCs w:val="16"/>
          <w:color w:val="auto"/>
        </w:rPr>
      </w:pP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that of our franchisees to open new restaurants and keep existing restaurants in operation;</w:t>
      </w:r>
    </w:p>
    <w:p>
      <w:pPr>
        <w:ind w:left="760" w:right="8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that widespread illness, health epidemics or general health concerns, severe weather conditions and natural disasters may have on our business and the economies of the countries where we operate;</w:t>
      </w:r>
    </w:p>
    <w:p>
      <w:pPr>
        <w:spacing w:after="0" w:line="1"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income tax rates;</w:t>
      </w:r>
    </w:p>
    <w:p>
      <w:pPr>
        <w:ind w:left="760" w:right="32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or replace our executive officers and other key members of management and our ability to adequately staff our stores and supply chain centers with qualified personnel;</w:t>
      </w:r>
    </w:p>
    <w:p>
      <w:pPr>
        <w:spacing w:after="0" w:line="1"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find and/or retain suitable real estate for our stores and supply chain centers;</w:t>
      </w:r>
    </w:p>
    <w:p>
      <w:pPr>
        <w:ind w:left="760" w:right="8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legislation or regulation, including changes in laws and regulations regarding information privacy, payment methods and consumer protection and social media;</w:t>
      </w:r>
    </w:p>
    <w:p>
      <w:pPr>
        <w:spacing w:after="0" w:line="1" w:lineRule="exact"/>
        <w:rPr>
          <w:rFonts w:ascii="Arial" w:cs="Arial" w:eastAsia="Arial" w:hAnsi="Arial"/>
          <w:sz w:val="18"/>
          <w:szCs w:val="18"/>
          <w:color w:val="auto"/>
        </w:rPr>
      </w:pP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legal judgments or settlements;</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food-borne illness or contamination of products or food tampering;</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breaches, power loss, technological failures, user error or other cyber risks threatening us or our franchisees;</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that environmental, social and governance matters may have on our business and reputation;</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war, terrorism, catastrophic events or climate change;</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pay dividends and repurchase shares;</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taste, spending and traffic patterns and demographic trends;</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activist investors;</w:t>
      </w:r>
    </w:p>
    <w:p>
      <w:pPr>
        <w:ind w:left="760" w:hanging="752"/>
        <w:spacing w:after="0" w:line="23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policies; and</w:t>
      </w:r>
    </w:p>
    <w:p>
      <w:pPr>
        <w:ind w:left="760" w:hanging="75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adequacy of our insurance coverage.</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spacing w:after="0" w:line="176"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9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do not engage in speculative transactions nor do we hold or issue financial instruments for trading purposes. In connection with the recapitalizations of our business, we have issued fixed rate notes and entered into variable funding notes and, at January 2, 2022, we are exposed to interest rate risk on borrowings under our variable funding notes. As of January 2, 2022, we did not have any outstanding borrowings under our 2021 Variable Funding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2021 Variable Funding Notes bear interest at fluctuating interest rates based on LIBOR. There is currently uncertainty around whether LIBOR will continue to exist after 2023. Our 2021 Variable Funding Notes loan documents contemplate a transition from LIBOR to secured overnight financing rate (“SOFR”) in the event that LIBOR ceases to exist. Because the composition and characteristics of SOFR are not the same as those of LIBOR, in such event, there can be no assurance that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w:t>
      </w:r>
    </w:p>
    <w:p>
      <w:pPr>
        <w:spacing w:after="0" w:line="17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5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have exposure to various foreign currency exchange rate fluctuations for revenues generated by our operations outside the U.S., which can adversely impact our net income and cash flows. Approximately 6.8% of our total revenues in 2021, 6.1% of our total revenues in 2020 and 6.7% of our total revenues in 2019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$26.5 million in 2021.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of Domino’s Pizza, Inc.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have audited the accompanying consolidated balance sheets of Domino’s Pizza, Inc. and its subsidiaries (the “Company”) as of January 2, 2022 and January 3, 2021, and the related consolidated statements of income, comprehensive income, stockholders’ deficit and cash flows for each of the three years in the period ended January 2, 2022, including the related notes and schedule of condensed financial information of the registrant as of January 2, 2022 and January 3, 2021 and for each of the three years in the period ended January 2, 2022 appearing under Item 15 (collectively referred to as the “consolidated financial statements”). We also have audited the Company’s internal control over financial reporting as of January 2, 2022, based on criteria established in Internal Control - Integrated Framework (2013) issued by the Committee of Sponsoring Organizations of the Treadway Commission (COSO).</w:t>
      </w:r>
    </w:p>
    <w:p>
      <w:pPr>
        <w:spacing w:after="0" w:line="67" w:lineRule="exact"/>
        <w:rPr>
          <w:sz w:val="20"/>
          <w:szCs w:val="20"/>
          <w:color w:val="auto"/>
        </w:rPr>
      </w:pPr>
    </w:p>
    <w:p>
      <w:pPr>
        <w:jc w:val="both"/>
        <w:ind w:right="200"/>
        <w:spacing w:after="0" w:line="24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2, 2022 and January 3, 2021, and the results of its operations and its cash flows for each of the three years in the period ended January 2, 2022 in conformity with accounting principles generally accepted in the United States of America. Also in our opinion, the Company maintained, in all material respects, effective internal control over financial reporting as of January 2, 2022, based on criteria established in Internal Control - Integrated Framework (2013) issued by the COSO.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Casualty Insurance Reserves</w:t>
      </w:r>
    </w:p>
    <w:p>
      <w:pPr>
        <w:spacing w:after="0" w:line="11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January 2, 2022, the Company had accruals for these casualty insurance matters of $56.5 million. The casualty insurance reserves are based on undiscounted independent actuarial estimates, which are based on historical information along with assumptions about future events. Management utilizes various methods, including analyses of historical trends and actuarial valuation methods,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w:t>
      </w:r>
    </w:p>
    <w:p>
      <w:pPr>
        <w:spacing w:after="0" w:line="9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casualty insurance reserves is a critical audit matter are (i) the significant judgment by management when developing the estimated reserves; (ii) a high degree of auditor judgment and effort in performing procedures relating to the actuarial valuation methods used to develop future ultimate claim costs and actuarial assumptions related to the severity, duration and frequency of claims, legal cost associated with claims, healthcare trends and projected inflation; and (iii) the audit effort involved the use of professionals with specialized skill and knowledge.</w:t>
      </w:r>
    </w:p>
    <w:p>
      <w:pPr>
        <w:spacing w:after="0" w:line="9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casualty insurance reserves. These procedures also included, among others, obtaining and evaluating the Company’s casualty insurance program documents and testing the underlying historical claims data. Professionals with specialized skill and knowledge were used to assist in testing management’s process for estimating the valuation of casualty insurance reserves, including evaluating the appropriateness of the actuarial valuation methods and the reasonableness of actuarial assumptions related to the severity, duration and frequency of claims, legal cost associated with claims, healthcare trends and projected inflation.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right"/>
              <w:ind w:right="760"/>
              <w:spacing w:after="0" w:line="148" w:lineRule="exact"/>
              <w:rPr>
                <w:sz w:val="20"/>
                <w:szCs w:val="20"/>
                <w:color w:val="auto"/>
              </w:rPr>
            </w:pPr>
            <w:r>
              <w:rPr>
                <w:rFonts w:ascii="Arial" w:cs="Arial" w:eastAsia="Arial" w:hAnsi="Arial"/>
                <w:sz w:val="13"/>
                <w:szCs w:val="13"/>
                <w:b w:val="1"/>
                <w:bCs w:val="1"/>
                <w:color w:val="auto"/>
              </w:rPr>
              <w:t>January 2,</w:t>
            </w:r>
          </w:p>
        </w:tc>
        <w:tc>
          <w:tcPr>
            <w:tcW w:w="280" w:type="dxa"/>
            <w:vAlign w:val="bottom"/>
          </w:tcPr>
          <w:p>
            <w:pPr>
              <w:spacing w:after="0"/>
              <w:rPr>
                <w:sz w:val="12"/>
                <w:szCs w:val="12"/>
                <w:color w:val="auto"/>
              </w:rPr>
            </w:pPr>
          </w:p>
        </w:tc>
        <w:tc>
          <w:tcPr>
            <w:tcW w:w="1380" w:type="dxa"/>
            <w:vAlign w:val="bottom"/>
            <w:gridSpan w:val="2"/>
          </w:tcPr>
          <w:p>
            <w:pPr>
              <w:jc w:val="right"/>
              <w:ind w:right="560"/>
              <w:spacing w:after="0" w:line="148" w:lineRule="exact"/>
              <w:rPr>
                <w:sz w:val="20"/>
                <w:szCs w:val="20"/>
                <w:color w:val="auto"/>
              </w:rPr>
            </w:pPr>
            <w:r>
              <w:rPr>
                <w:rFonts w:ascii="Arial" w:cs="Arial" w:eastAsia="Arial" w:hAnsi="Arial"/>
                <w:sz w:val="13"/>
                <w:szCs w:val="13"/>
                <w:b w:val="1"/>
                <w:bCs w:val="1"/>
                <w:color w:val="auto"/>
              </w:rPr>
              <w:t>January 3,</w:t>
            </w: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140" w:type="dxa"/>
            <w:vAlign w:val="bottom"/>
            <w:gridSpan w:val="3"/>
            <w:shd w:val="clear" w:color="auto" w:fill="CFF0FC"/>
          </w:tcPr>
          <w:p>
            <w:pPr>
              <w:jc w:val="center"/>
              <w:ind w:right="3720"/>
              <w:spacing w:after="0" w:line="156" w:lineRule="exact"/>
              <w:rPr>
                <w:sz w:val="20"/>
                <w:szCs w:val="20"/>
                <w:color w:val="auto"/>
              </w:rPr>
            </w:pPr>
            <w:r>
              <w:rPr>
                <w:rFonts w:ascii="Arial" w:cs="Arial" w:eastAsia="Arial" w:hAnsi="Arial"/>
                <w:sz w:val="16"/>
                <w:szCs w:val="16"/>
                <w:b w:val="1"/>
                <w:bCs w:val="1"/>
                <w:color w:val="auto"/>
                <w:w w:val="79"/>
              </w:rPr>
              <w:t>Assets</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Borders>
              <w:top w:val="single" w:sz="8" w:color="auto"/>
            </w:tcBorders>
          </w:tcPr>
          <w:p>
            <w:pPr>
              <w:spacing w:after="0"/>
              <w:rPr>
                <w:sz w:val="16"/>
                <w:szCs w:val="16"/>
                <w:color w:val="auto"/>
              </w:rPr>
            </w:pPr>
          </w:p>
        </w:tc>
        <w:tc>
          <w:tcPr>
            <w:tcW w:w="3720" w:type="dxa"/>
            <w:vAlign w:val="bottom"/>
            <w:tcBorders>
              <w:top w:val="single" w:sz="8" w:color="CFF0FC"/>
            </w:tcBorders>
            <w:gridSpan w:val="2"/>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32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8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148,160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168,821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Restricted cash and cash equivalents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180,579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217,453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Accounts receivable, net of reserves of $1,869 in 2021 and $1,793 in 2020</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255,327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244,560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68,328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66,683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Prepaid expenses and other</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27,242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Advertising fund assets, restricted</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180,904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gridSpan w:val="5"/>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860,540</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869,384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gridSpan w:val="5"/>
          </w:tcPr>
          <w:p>
            <w:pPr>
              <w:ind w:left="20"/>
              <w:spacing w:after="0" w:line="183" w:lineRule="exact"/>
              <w:rPr>
                <w:sz w:val="20"/>
                <w:szCs w:val="20"/>
                <w:color w:val="auto"/>
              </w:rPr>
            </w:pPr>
            <w:r>
              <w:rPr>
                <w:rFonts w:ascii="Arial" w:cs="Arial" w:eastAsia="Arial" w:hAnsi="Arial"/>
                <w:sz w:val="16"/>
                <w:szCs w:val="16"/>
                <w:color w:val="auto"/>
              </w:rPr>
              <w:t>Property, plant and equipment:</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Land and buildings</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108,372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Leasehold and other improvements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193,572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186,456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Equipment</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312,772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292,456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Construction in progress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27,815</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642,531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579,989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Accumulated depreciation and amortization</w:t>
            </w:r>
          </w:p>
        </w:tc>
        <w:tc>
          <w:tcPr>
            <w:tcW w:w="30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(318,466 )</w:t>
            </w:r>
          </w:p>
        </w:tc>
        <w:tc>
          <w:tcPr>
            <w:tcW w:w="28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(282,625 )</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gridSpan w:val="5"/>
            <w:shd w:val="clear" w:color="auto" w:fill="CFF0FC"/>
          </w:tcPr>
          <w:p>
            <w:pPr>
              <w:ind w:left="380"/>
              <w:spacing w:after="0" w:line="183" w:lineRule="exact"/>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3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324,065</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297,364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gridSpan w:val="5"/>
          </w:tcPr>
          <w:p>
            <w:pPr>
              <w:ind w:left="20"/>
              <w:spacing w:after="0" w:line="183" w:lineRule="exact"/>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210,702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Investments in marketable securities, restricted</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15,433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00" w:type="dxa"/>
            <w:vAlign w:val="bottom"/>
            <w:gridSpan w:val="5"/>
          </w:tcPr>
          <w:p>
            <w:pPr>
              <w:ind w:left="200"/>
              <w:spacing w:after="0" w:line="152" w:lineRule="exact"/>
              <w:rPr>
                <w:sz w:val="20"/>
                <w:szCs w:val="20"/>
                <w:color w:val="auto"/>
              </w:rPr>
            </w:pPr>
            <w:r>
              <w:rPr>
                <w:rFonts w:ascii="Arial" w:cs="Arial" w:eastAsia="Arial" w:hAnsi="Arial"/>
                <w:sz w:val="16"/>
                <w:szCs w:val="16"/>
                <w:color w:val="auto"/>
              </w:rPr>
              <w:t>Capitalized software, net of accumulated amortization of $142,509 in 2021</w:t>
            </w:r>
          </w:p>
        </w:tc>
        <w:tc>
          <w:tcPr>
            <w:tcW w:w="3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95,558</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81,306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700" w:type="dxa"/>
            <w:vAlign w:val="bottom"/>
            <w:gridSpan w:val="5"/>
          </w:tcPr>
          <w:p>
            <w:pPr>
              <w:ind w:left="320"/>
              <w:spacing w:after="0"/>
              <w:rPr>
                <w:sz w:val="20"/>
                <w:szCs w:val="20"/>
                <w:color w:val="auto"/>
              </w:rPr>
            </w:pPr>
            <w:r>
              <w:rPr>
                <w:rFonts w:ascii="Arial" w:cs="Arial" w:eastAsia="Arial" w:hAnsi="Arial"/>
                <w:sz w:val="16"/>
                <w:szCs w:val="16"/>
                <w:color w:val="auto"/>
              </w:rPr>
              <w:t>and $124,043 in 2020</w:t>
            </w:r>
          </w:p>
        </w:tc>
        <w:tc>
          <w:tcPr>
            <w:tcW w:w="3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Investments</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125,840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22,535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gridSpan w:val="5"/>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gridSpan w:val="5"/>
          </w:tcPr>
          <w:p>
            <w:pPr>
              <w:ind w:left="380"/>
              <w:spacing w:after="0" w:line="183" w:lineRule="exact"/>
              <w:rPr>
                <w:sz w:val="20"/>
                <w:szCs w:val="20"/>
                <w:color w:val="auto"/>
              </w:rPr>
            </w:pPr>
            <w:r>
              <w:rPr>
                <w:rFonts w:ascii="Arial" w:cs="Arial" w:eastAsia="Arial" w:hAnsi="Arial"/>
                <w:sz w:val="16"/>
                <w:szCs w:val="16"/>
                <w:color w:val="auto"/>
              </w:rPr>
              <w:t>Total other assets</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487,211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400,420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gridSpan w:val="5"/>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1,671,816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1,567,168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700" w:type="dxa"/>
            <w:vAlign w:val="bottom"/>
            <w:gridSpan w:val="5"/>
          </w:tcPr>
          <w:p>
            <w:pPr>
              <w:jc w:val="center"/>
              <w:ind w:right="160"/>
              <w:spacing w:after="0" w:line="142" w:lineRule="exact"/>
              <w:rPr>
                <w:sz w:val="20"/>
                <w:szCs w:val="20"/>
                <w:color w:val="auto"/>
              </w:rPr>
            </w:pPr>
            <w:r>
              <w:rPr>
                <w:rFonts w:ascii="Arial" w:cs="Arial" w:eastAsia="Arial" w:hAnsi="Arial"/>
                <w:sz w:val="16"/>
                <w:szCs w:val="16"/>
                <w:b w:val="1"/>
                <w:bCs w:val="1"/>
                <w:color w:val="auto"/>
                <w:w w:val="90"/>
              </w:rPr>
              <w:t>Liabilities and stockholders' deficit</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420" w:type="dxa"/>
            <w:vAlign w:val="bottom"/>
            <w:tcBorders>
              <w:top w:val="single" w:sz="8" w:color="auto"/>
            </w:tcBorders>
            <w:gridSpan w:val="3"/>
            <w:shd w:val="clear" w:color="auto" w:fill="CFF0FC"/>
          </w:tcPr>
          <w:p>
            <w:pPr>
              <w:spacing w:after="0"/>
              <w:rPr>
                <w:sz w:val="16"/>
                <w:szCs w:val="16"/>
                <w:color w:val="auto"/>
              </w:rPr>
            </w:pPr>
          </w:p>
        </w:tc>
        <w:tc>
          <w:tcPr>
            <w:tcW w:w="27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55,588</w:t>
            </w:r>
          </w:p>
        </w:tc>
        <w:tc>
          <w:tcPr>
            <w:tcW w:w="26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91,547</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59,567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58,520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Accrued interest</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37,982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37,155</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Insurance reserves</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32,588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Advertising fund liabilities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173,737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141,175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tcBorders>
              <w:bottom w:val="single" w:sz="8" w:color="CFF0FC"/>
            </w:tcBorders>
            <w:gridSpan w:val="5"/>
            <w:shd w:val="clear" w:color="auto" w:fill="CFF0FC"/>
          </w:tcPr>
          <w:p>
            <w:pPr>
              <w:ind w:left="20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102,577</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79,837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00" w:type="dxa"/>
            <w:vAlign w:val="bottom"/>
            <w:gridSpan w:val="5"/>
          </w:tcPr>
          <w:p>
            <w:pPr>
              <w:ind w:left="380"/>
              <w:spacing w:after="0" w:line="183" w:lineRule="exact"/>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590,741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470,819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gridSpan w:val="5"/>
            <w:shd w:val="clear" w:color="auto" w:fill="CFF0FC"/>
          </w:tcPr>
          <w:p>
            <w:pPr>
              <w:ind w:left="20"/>
              <w:spacing w:after="0" w:line="183" w:lineRule="exact"/>
              <w:rPr>
                <w:sz w:val="20"/>
                <w:szCs w:val="20"/>
                <w:color w:val="auto"/>
              </w:rPr>
            </w:pPr>
            <w:r>
              <w:rPr>
                <w:rFonts w:ascii="Arial" w:cs="Arial" w:eastAsia="Arial" w:hAnsi="Arial"/>
                <w:sz w:val="16"/>
                <w:szCs w:val="16"/>
                <w:color w:val="auto"/>
              </w:rPr>
              <w:t>Long-term liabilities:</w:t>
            </w: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Long-term debt, less current portion</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5,014,638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4,116,018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184,471</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Insurance reserves</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36,913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50,667</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Borders>
              <w:bottom w:val="single" w:sz="8" w:color="CFF0FC"/>
            </w:tcBorders>
            <w:gridSpan w:val="5"/>
            <w:shd w:val="clear" w:color="auto" w:fill="CFF0FC"/>
          </w:tcPr>
          <w:p>
            <w:pPr>
              <w:ind w:left="380"/>
              <w:spacing w:after="0" w:line="183" w:lineRule="exact"/>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5,290,611</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4,396,754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gridSpan w:val="5"/>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5,881,352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4,867,573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00" w:type="dxa"/>
            <w:vAlign w:val="bottom"/>
            <w:gridSpan w:val="5"/>
            <w:shd w:val="clear" w:color="auto" w:fill="CFF0FC"/>
          </w:tcPr>
          <w:p>
            <w:pPr>
              <w:ind w:left="20"/>
              <w:spacing w:after="0" w:line="183" w:lineRule="exact"/>
              <w:rPr>
                <w:sz w:val="20"/>
                <w:szCs w:val="20"/>
                <w:color w:val="auto"/>
              </w:rPr>
            </w:pPr>
            <w:r>
              <w:rPr>
                <w:rFonts w:ascii="Arial" w:cs="Arial" w:eastAsia="Arial" w:hAnsi="Arial"/>
                <w:sz w:val="16"/>
                <w:szCs w:val="16"/>
                <w:color w:val="auto"/>
              </w:rPr>
              <w:t>Commitments and contingencies (Note 6)</w:t>
            </w: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
              <w:spacing w:after="0"/>
              <w:rPr>
                <w:sz w:val="20"/>
                <w:szCs w:val="20"/>
                <w:color w:val="auto"/>
              </w:rPr>
            </w:pPr>
            <w:r>
              <w:rPr>
                <w:rFonts w:ascii="Arial" w:cs="Arial" w:eastAsia="Arial" w:hAnsi="Arial"/>
                <w:sz w:val="16"/>
                <w:szCs w:val="16"/>
                <w:color w:val="auto"/>
              </w:rPr>
              <w:t>Stockholders' deficit</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00" w:type="dxa"/>
            <w:vAlign w:val="bottom"/>
            <w:gridSpan w:val="5"/>
            <w:shd w:val="clear" w:color="auto" w:fill="CFF0FC"/>
          </w:tcPr>
          <w:p>
            <w:pPr>
              <w:ind w:left="200"/>
              <w:spacing w:after="0" w:line="152" w:lineRule="exact"/>
              <w:rPr>
                <w:sz w:val="20"/>
                <w:szCs w:val="20"/>
                <w:color w:val="auto"/>
              </w:rPr>
            </w:pPr>
            <w:r>
              <w:rPr>
                <w:rFonts w:ascii="Arial" w:cs="Arial" w:eastAsia="Arial" w:hAnsi="Arial"/>
                <w:sz w:val="16"/>
                <w:szCs w:val="16"/>
                <w:color w:val="auto"/>
              </w:rPr>
              <w:t>Common stock, par value $0.01 per share; 170,000,000 shares authorized;</w:t>
            </w:r>
          </w:p>
        </w:tc>
        <w:tc>
          <w:tcPr>
            <w:tcW w:w="30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700" w:type="dxa"/>
            <w:vAlign w:val="bottom"/>
            <w:gridSpan w:val="5"/>
            <w:shd w:val="clear" w:color="auto" w:fill="CFF0FC"/>
          </w:tcPr>
          <w:p>
            <w:pPr>
              <w:ind w:left="280"/>
              <w:spacing w:after="0"/>
              <w:rPr>
                <w:sz w:val="20"/>
                <w:szCs w:val="20"/>
                <w:color w:val="auto"/>
              </w:rPr>
            </w:pPr>
            <w:r>
              <w:rPr>
                <w:rFonts w:ascii="Arial" w:cs="Arial" w:eastAsia="Arial" w:hAnsi="Arial"/>
                <w:sz w:val="16"/>
                <w:szCs w:val="16"/>
                <w:color w:val="auto"/>
              </w:rPr>
              <w:t>36,138,273 in 2021 and 38,868,350 in 2020 issued and outstanding</w:t>
            </w:r>
          </w:p>
        </w:tc>
        <w:tc>
          <w:tcPr>
            <w:tcW w:w="300" w:type="dxa"/>
            <w:vAlign w:val="bottom"/>
            <w:shd w:val="clear" w:color="auto" w:fill="CFF0FC"/>
          </w:tcPr>
          <w:p>
            <w:pPr>
              <w:spacing w:after="0"/>
              <w:rPr>
                <w:sz w:val="17"/>
                <w:szCs w:val="17"/>
                <w:color w:val="auto"/>
              </w:rPr>
            </w:pPr>
          </w:p>
        </w:tc>
        <w:tc>
          <w:tcPr>
            <w:tcW w:w="132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700" w:type="dxa"/>
            <w:vAlign w:val="bottom"/>
            <w:gridSpan w:val="5"/>
          </w:tcPr>
          <w:p>
            <w:pPr>
              <w:ind w:left="200"/>
              <w:spacing w:after="0" w:line="152" w:lineRule="exact"/>
              <w:rPr>
                <w:sz w:val="20"/>
                <w:szCs w:val="20"/>
                <w:color w:val="auto"/>
              </w:rPr>
            </w:pPr>
            <w:r>
              <w:rPr>
                <w:rFonts w:ascii="Arial" w:cs="Arial" w:eastAsia="Arial" w:hAnsi="Arial"/>
                <w:sz w:val="16"/>
                <w:szCs w:val="16"/>
                <w:color w:val="auto"/>
              </w:rPr>
              <w:t>Preferred stock, par value $0.01 per share; 5,000,000 shares authorized,</w:t>
            </w:r>
          </w:p>
        </w:tc>
        <w:tc>
          <w:tcPr>
            <w:tcW w:w="300" w:type="dxa"/>
            <w:vAlign w:val="bottom"/>
          </w:tcPr>
          <w:p>
            <w:pPr>
              <w:spacing w:after="0"/>
              <w:rPr>
                <w:sz w:val="13"/>
                <w:szCs w:val="13"/>
                <w:color w:val="auto"/>
              </w:rPr>
            </w:pPr>
          </w:p>
        </w:tc>
        <w:tc>
          <w:tcPr>
            <w:tcW w:w="15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700" w:type="dxa"/>
            <w:vAlign w:val="bottom"/>
            <w:gridSpan w:val="5"/>
          </w:tcPr>
          <w:p>
            <w:pPr>
              <w:ind w:left="320"/>
              <w:spacing w:after="0"/>
              <w:rPr>
                <w:sz w:val="20"/>
                <w:szCs w:val="20"/>
                <w:color w:val="auto"/>
              </w:rPr>
            </w:pPr>
            <w:r>
              <w:rPr>
                <w:rFonts w:ascii="Arial" w:cs="Arial" w:eastAsia="Arial" w:hAnsi="Arial"/>
                <w:sz w:val="16"/>
                <w:szCs w:val="16"/>
                <w:color w:val="auto"/>
              </w:rPr>
              <w:t>none issued</w:t>
            </w:r>
          </w:p>
        </w:tc>
        <w:tc>
          <w:tcPr>
            <w:tcW w:w="3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00" w:type="dxa"/>
            <w:vAlign w:val="bottom"/>
            <w:gridSpan w:val="5"/>
          </w:tcPr>
          <w:p>
            <w:pPr>
              <w:ind w:left="200"/>
              <w:spacing w:after="0"/>
              <w:rPr>
                <w:sz w:val="20"/>
                <w:szCs w:val="20"/>
                <w:color w:val="auto"/>
              </w:rPr>
            </w:pPr>
            <w:r>
              <w:rPr>
                <w:rFonts w:ascii="Arial" w:cs="Arial" w:eastAsia="Arial" w:hAnsi="Arial"/>
                <w:sz w:val="16"/>
                <w:szCs w:val="16"/>
                <w:color w:val="auto"/>
              </w:rPr>
              <w:t>Retained deficit</w:t>
            </w:r>
          </w:p>
        </w:tc>
        <w:tc>
          <w:tcPr>
            <w:tcW w:w="30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(4,207,917 )</w:t>
            </w:r>
          </w:p>
        </w:tc>
        <w:tc>
          <w:tcPr>
            <w:tcW w:w="28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(3,303,492 )</w:t>
            </w:r>
          </w:p>
        </w:tc>
        <w:tc>
          <w:tcPr>
            <w:tcW w:w="0" w:type="dxa"/>
            <w:vAlign w:val="bottom"/>
          </w:tcPr>
          <w:p>
            <w:pPr>
              <w:spacing w:after="0"/>
              <w:rPr>
                <w:sz w:val="1"/>
                <w:szCs w:val="1"/>
                <w:color w:val="auto"/>
              </w:rPr>
            </w:pPr>
          </w:p>
        </w:tc>
      </w:tr>
      <w:tr>
        <w:trPr>
          <w:trHeight w:val="189"/>
        </w:trPr>
        <w:tc>
          <w:tcPr>
            <w:tcW w:w="770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(2,820 )</w:t>
            </w:r>
          </w:p>
        </w:tc>
        <w:tc>
          <w:tcPr>
            <w:tcW w:w="2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(2,424 )</w:t>
            </w:r>
          </w:p>
        </w:tc>
        <w:tc>
          <w:tcPr>
            <w:tcW w:w="0" w:type="dxa"/>
            <w:vAlign w:val="bottom"/>
          </w:tcPr>
          <w:p>
            <w:pPr>
              <w:spacing w:after="0"/>
              <w:rPr>
                <w:sz w:val="1"/>
                <w:szCs w:val="1"/>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gridSpan w:val="5"/>
          </w:tcPr>
          <w:p>
            <w:pPr>
              <w:ind w:left="380"/>
              <w:spacing w:after="0" w:line="183" w:lineRule="exact"/>
              <w:rPr>
                <w:sz w:val="20"/>
                <w:szCs w:val="20"/>
                <w:color w:val="auto"/>
              </w:rPr>
            </w:pPr>
            <w:r>
              <w:rPr>
                <w:rFonts w:ascii="Arial" w:cs="Arial" w:eastAsia="Arial" w:hAnsi="Arial"/>
                <w:sz w:val="16"/>
                <w:szCs w:val="16"/>
                <w:color w:val="auto"/>
              </w:rPr>
              <w:t>Total stockholders’ deficit</w:t>
            </w:r>
          </w:p>
        </w:tc>
        <w:tc>
          <w:tcPr>
            <w:tcW w:w="300" w:type="dxa"/>
            <w:vAlign w:val="bottom"/>
          </w:tcPr>
          <w:p>
            <w:pPr>
              <w:spacing w:after="0"/>
              <w:rPr>
                <w:sz w:val="15"/>
                <w:szCs w:val="15"/>
                <w:color w:val="auto"/>
              </w:rPr>
            </w:pPr>
          </w:p>
        </w:tc>
        <w:tc>
          <w:tcPr>
            <w:tcW w:w="15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(4,209,536 )</w:t>
            </w:r>
          </w:p>
        </w:tc>
        <w:tc>
          <w:tcPr>
            <w:tcW w:w="280" w:type="dxa"/>
            <w:vAlign w:val="bottom"/>
          </w:tcPr>
          <w:p>
            <w:pPr>
              <w:spacing w:after="0"/>
              <w:rPr>
                <w:sz w:val="15"/>
                <w:szCs w:val="15"/>
                <w:color w:val="auto"/>
              </w:rPr>
            </w:pPr>
          </w:p>
        </w:tc>
        <w:tc>
          <w:tcPr>
            <w:tcW w:w="13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(3,300,405 )</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gridSpan w:val="5"/>
            <w:shd w:val="clear" w:color="auto" w:fill="CFF0FC"/>
          </w:tcPr>
          <w:p>
            <w:pPr>
              <w:ind w:left="380"/>
              <w:spacing w:after="0" w:line="169" w:lineRule="exact"/>
              <w:rPr>
                <w:sz w:val="20"/>
                <w:szCs w:val="20"/>
                <w:color w:val="auto"/>
              </w:rPr>
            </w:pPr>
            <w:r>
              <w:rPr>
                <w:rFonts w:ascii="Arial" w:cs="Arial" w:eastAsia="Arial" w:hAnsi="Arial"/>
                <w:sz w:val="16"/>
                <w:szCs w:val="16"/>
                <w:color w:val="auto"/>
              </w:rPr>
              <w:t>Total liabilities and stockholders’ deficit</w:t>
            </w:r>
          </w:p>
        </w:tc>
        <w:tc>
          <w:tcPr>
            <w:tcW w:w="300" w:type="dxa"/>
            <w:vAlign w:val="bottom"/>
            <w:tcBorders>
              <w:top w:val="single" w:sz="8" w:color="auto"/>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1,671,816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1,567,168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-5988685</wp:posOffset>
            </wp:positionV>
            <wp:extent cx="603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-5988685</wp:posOffset>
            </wp:positionV>
            <wp:extent cx="596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-5002530</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-5002530</wp:posOffset>
            </wp:positionV>
            <wp:extent cx="596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-3931285</wp:posOffset>
            </wp:positionV>
            <wp:extent cx="603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-3931285</wp:posOffset>
            </wp:positionV>
            <wp:extent cx="596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-3676650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-3659505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-3676650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-3659505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-2447925</wp:posOffset>
            </wp:positionV>
            <wp:extent cx="6032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-2447925</wp:posOffset>
            </wp:positionV>
            <wp:extent cx="5969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-1462405</wp:posOffset>
            </wp:positionV>
            <wp:extent cx="60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-1462405</wp:posOffset>
            </wp:positionV>
            <wp:extent cx="596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-279400</wp:posOffset>
            </wp:positionV>
            <wp:extent cx="6032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-279400</wp:posOffset>
            </wp:positionV>
            <wp:extent cx="5969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620"/>
              <w:spacing w:after="0" w:line="160" w:lineRule="exact"/>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3"/>
                <w:szCs w:val="13"/>
                <w:color w:val="auto"/>
              </w:rPr>
            </w:pPr>
          </w:p>
        </w:tc>
        <w:tc>
          <w:tcPr>
            <w:tcW w:w="1340" w:type="dxa"/>
            <w:vAlign w:val="bottom"/>
            <w:gridSpan w:val="2"/>
          </w:tcPr>
          <w:p>
            <w:pPr>
              <w:jc w:val="right"/>
              <w:ind w:right="580"/>
              <w:spacing w:after="0" w:line="160" w:lineRule="exact"/>
              <w:rPr>
                <w:sz w:val="20"/>
                <w:szCs w:val="20"/>
                <w:color w:val="auto"/>
              </w:rPr>
            </w:pPr>
            <w:r>
              <w:rPr>
                <w:rFonts w:ascii="Arial" w:cs="Arial" w:eastAsia="Arial" w:hAnsi="Arial"/>
                <w:sz w:val="14"/>
                <w:szCs w:val="14"/>
                <w:b w:val="1"/>
                <w:bCs w:val="1"/>
                <w:color w:val="auto"/>
              </w:rPr>
              <w:t>January 3,</w:t>
            </w:r>
          </w:p>
        </w:tc>
        <w:tc>
          <w:tcPr>
            <w:tcW w:w="180" w:type="dxa"/>
            <w:vAlign w:val="bottom"/>
          </w:tcPr>
          <w:p>
            <w:pPr>
              <w:spacing w:after="0"/>
              <w:rPr>
                <w:sz w:val="13"/>
                <w:szCs w:val="13"/>
                <w:color w:val="auto"/>
              </w:rPr>
            </w:pPr>
          </w:p>
        </w:tc>
        <w:tc>
          <w:tcPr>
            <w:tcW w:w="1160" w:type="dxa"/>
            <w:vAlign w:val="bottom"/>
          </w:tcPr>
          <w:p>
            <w:pPr>
              <w:jc w:val="right"/>
              <w:ind w:right="152"/>
              <w:spacing w:after="0" w:line="160" w:lineRule="exact"/>
              <w:rPr>
                <w:sz w:val="20"/>
                <w:szCs w:val="20"/>
                <w:color w:val="auto"/>
              </w:rPr>
            </w:pPr>
            <w:r>
              <w:rPr>
                <w:rFonts w:ascii="Arial" w:cs="Arial" w:eastAsia="Arial" w:hAnsi="Arial"/>
                <w:sz w:val="14"/>
                <w:szCs w:val="14"/>
                <w:b w:val="1"/>
                <w:bCs w:val="1"/>
                <w:color w:val="auto"/>
                <w:w w:val="98"/>
              </w:rPr>
              <w:t>December 29,</w:t>
            </w:r>
          </w:p>
        </w:tc>
        <w:tc>
          <w:tcPr>
            <w:tcW w:w="100" w:type="dxa"/>
            <w:vAlign w:val="bottom"/>
          </w:tcPr>
          <w:p>
            <w:pPr>
              <w:spacing w:after="0"/>
              <w:rPr>
                <w:sz w:val="13"/>
                <w:szCs w:val="13"/>
                <w:color w:val="auto"/>
              </w:rPr>
            </w:pPr>
          </w:p>
        </w:tc>
      </w:tr>
      <w:tr>
        <w:trPr>
          <w:trHeight w:val="185"/>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U.S. Company-owned stores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478,976</w:t>
            </w:r>
          </w:p>
        </w:tc>
        <w:tc>
          <w:tcPr>
            <w:tcW w:w="260" w:type="dxa"/>
            <w:vAlign w:val="bottom"/>
          </w:tcPr>
          <w:p>
            <w:pPr>
              <w:spacing w:after="0"/>
              <w:rPr>
                <w:sz w:val="17"/>
                <w:szCs w:val="17"/>
                <w:color w:val="auto"/>
              </w:rPr>
            </w:pP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485,569</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453,560</w:t>
            </w:r>
          </w:p>
        </w:tc>
        <w:tc>
          <w:tcPr>
            <w:tcW w:w="10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franchise royalties and fees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539,883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503,196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428,504</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Supply chain</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2,560,977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2,416,651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2,104,936</w:t>
            </w:r>
          </w:p>
        </w:tc>
        <w:tc>
          <w:tcPr>
            <w:tcW w:w="10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International franchise royalties and fees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298,036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249,757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240,975</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U.S. franchise advertising</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479,501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462,238</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390,799</w:t>
            </w:r>
          </w:p>
        </w:tc>
        <w:tc>
          <w:tcPr>
            <w:tcW w:w="10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4,357,373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4,117,411</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3,618,774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Company-owned stores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374,104</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379,598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346,168</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Supply chain</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2,295,027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2,143,320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1,870,107</w:t>
            </w:r>
          </w:p>
        </w:tc>
        <w:tc>
          <w:tcPr>
            <w:tcW w:w="10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cost of sales</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2,669,131</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2,522,918</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2,216,275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Operating margin</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1,688,242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1,594,493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1,402,499</w:t>
            </w:r>
          </w:p>
        </w:tc>
        <w:tc>
          <w:tcPr>
            <w:tcW w:w="10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428,333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406,613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382,293</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U.S. franchise advertising</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479,501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462,238</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390,799</w:t>
            </w:r>
          </w:p>
        </w:tc>
        <w:tc>
          <w:tcPr>
            <w:tcW w:w="10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780,408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725,642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629,407</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36,758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4,048</w:t>
            </w:r>
          </w:p>
        </w:tc>
        <w:tc>
          <w:tcPr>
            <w:tcW w:w="100" w:type="dxa"/>
            <w:vAlign w:val="bottom"/>
            <w:shd w:val="clear" w:color="auto" w:fill="CFF0FC"/>
          </w:tcPr>
          <w:p>
            <w:pPr>
              <w:spacing w:after="0"/>
              <w:rPr>
                <w:sz w:val="17"/>
                <w:szCs w:val="17"/>
                <w:color w:val="auto"/>
              </w:rPr>
            </w:pPr>
          </w:p>
        </w:tc>
      </w:tr>
      <w:tr>
        <w:trPr>
          <w:trHeight w:val="202"/>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(191,806 )</w:t>
            </w:r>
          </w:p>
        </w:tc>
        <w:tc>
          <w:tcPr>
            <w:tcW w:w="2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(172,166 )</w:t>
            </w:r>
          </w:p>
        </w:tc>
        <w:tc>
          <w:tcPr>
            <w:tcW w:w="180" w:type="dxa"/>
            <w:vAlign w:val="bottom"/>
          </w:tcPr>
          <w:p>
            <w:pPr>
              <w:spacing w:after="0"/>
              <w:rPr>
                <w:sz w:val="17"/>
                <w:szCs w:val="17"/>
                <w:color w:val="auto"/>
              </w:rPr>
            </w:pP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(150,818 )</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625,705</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555,130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482,637</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115,238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63,834</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81,928</w:t>
            </w:r>
          </w:p>
        </w:tc>
        <w:tc>
          <w:tcPr>
            <w:tcW w:w="10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510,467</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491,296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400,709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 – basic</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w:t>
            </w:r>
          </w:p>
        </w:tc>
        <w:tc>
          <w:tcPr>
            <w:tcW w:w="100" w:type="dxa"/>
            <w:vAlign w:val="bottom"/>
            <w:shd w:val="clear" w:color="auto" w:fill="CFF0FC"/>
          </w:tcPr>
          <w:p>
            <w:pPr>
              <w:spacing w:after="0"/>
              <w:rPr>
                <w:sz w:val="17"/>
                <w:szCs w:val="17"/>
                <w:color w:val="auto"/>
              </w:rPr>
            </w:pPr>
          </w:p>
        </w:tc>
      </w:tr>
      <w:tr>
        <w:trPr>
          <w:trHeight w:val="230"/>
        </w:trPr>
        <w:tc>
          <w:tcPr>
            <w:tcW w:w="6580" w:type="dxa"/>
            <w:vAlign w:val="bottom"/>
          </w:tcPr>
          <w:p>
            <w:pPr>
              <w:ind w:left="200"/>
              <w:spacing w:after="0"/>
              <w:rPr>
                <w:sz w:val="20"/>
                <w:szCs w:val="20"/>
                <w:color w:val="auto"/>
              </w:rPr>
            </w:pPr>
            <w:r>
              <w:rPr>
                <w:rFonts w:ascii="Arial" w:cs="Arial" w:eastAsia="Arial" w:hAnsi="Arial"/>
                <w:sz w:val="18"/>
                <w:szCs w:val="18"/>
                <w:color w:val="auto"/>
              </w:rPr>
              <w:t>Common Stock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13.54</w:t>
            </w:r>
          </w:p>
        </w:tc>
        <w:tc>
          <w:tcPr>
            <w:tcW w:w="26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-2286000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-2286000</wp:posOffset>
            </wp:positionV>
            <wp:extent cx="59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-2286000</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-1754505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-1754505</wp:posOffset>
            </wp:positionV>
            <wp:extent cx="59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-1754505</wp:posOffset>
            </wp:positionV>
            <wp:extent cx="5969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-428625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-411480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-428625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-411480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-428625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-411480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For the Years Ended</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00"/>
              <w:spacing w:after="0" w:line="160" w:lineRule="exact"/>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3"/>
                <w:szCs w:val="13"/>
                <w:color w:val="auto"/>
              </w:rPr>
            </w:pPr>
          </w:p>
        </w:tc>
        <w:tc>
          <w:tcPr>
            <w:tcW w:w="1140" w:type="dxa"/>
            <w:vAlign w:val="bottom"/>
          </w:tcPr>
          <w:p>
            <w:pPr>
              <w:jc w:val="right"/>
              <w:ind w:right="277"/>
              <w:spacing w:after="0" w:line="160" w:lineRule="exact"/>
              <w:rPr>
                <w:sz w:val="20"/>
                <w:szCs w:val="20"/>
                <w:color w:val="auto"/>
              </w:rPr>
            </w:pPr>
            <w:r>
              <w:rPr>
                <w:rFonts w:ascii="Arial" w:cs="Arial" w:eastAsia="Arial" w:hAnsi="Arial"/>
                <w:sz w:val="14"/>
                <w:szCs w:val="14"/>
                <w:b w:val="1"/>
                <w:bCs w:val="1"/>
                <w:color w:val="auto"/>
              </w:rPr>
              <w:t>January 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7"/>
              <w:spacing w:after="0" w:line="160" w:lineRule="exact"/>
              <w:rPr>
                <w:sz w:val="20"/>
                <w:szCs w:val="20"/>
                <w:color w:val="auto"/>
              </w:rPr>
            </w:pPr>
            <w:r>
              <w:rPr>
                <w:rFonts w:ascii="Arial" w:cs="Arial" w:eastAsia="Arial" w:hAnsi="Arial"/>
                <w:sz w:val="14"/>
                <w:szCs w:val="14"/>
                <w:b w:val="1"/>
                <w:bCs w:val="1"/>
                <w:color w:val="auto"/>
                <w:w w:val="98"/>
              </w:rPr>
              <w:t>December 29,</w:t>
            </w:r>
          </w:p>
        </w:tc>
        <w:tc>
          <w:tcPr>
            <w:tcW w:w="100" w:type="dxa"/>
            <w:vAlign w:val="bottom"/>
          </w:tcPr>
          <w:p>
            <w:pPr>
              <w:spacing w:after="0"/>
              <w:rPr>
                <w:sz w:val="13"/>
                <w:szCs w:val="13"/>
                <w:color w:val="auto"/>
              </w:rPr>
            </w:pPr>
          </w:p>
        </w:tc>
      </w:tr>
      <w:tr>
        <w:trPr>
          <w:trHeight w:val="185"/>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510,467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491,296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400,709</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(396 )</w:t>
            </w: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687</w:t>
            </w:r>
          </w:p>
        </w:tc>
        <w:tc>
          <w:tcPr>
            <w:tcW w:w="100" w:type="dxa"/>
            <w:vAlign w:val="bottom"/>
          </w:tcPr>
          <w:p>
            <w:pPr>
              <w:spacing w:after="0"/>
              <w:rPr>
                <w:sz w:val="17"/>
                <w:szCs w:val="17"/>
                <w:color w:val="auto"/>
              </w:rPr>
            </w:pP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510,071</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492,614</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401,396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DEFICIT</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60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44"/>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26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44"/>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60"/>
              <w:spacing w:after="0" w:line="160"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3"/>
                <w:szCs w:val="13"/>
                <w:color w:val="auto"/>
              </w:rPr>
            </w:pPr>
          </w:p>
        </w:tc>
        <w:tc>
          <w:tcPr>
            <w:tcW w:w="1160" w:type="dxa"/>
            <w:vAlign w:val="bottom"/>
            <w:gridSpan w:val="2"/>
          </w:tcPr>
          <w:p>
            <w:pPr>
              <w:jc w:val="right"/>
              <w:ind w:right="424"/>
              <w:spacing w:after="0" w:line="160"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3"/>
                <w:szCs w:val="13"/>
                <w:color w:val="auto"/>
              </w:rPr>
            </w:pPr>
          </w:p>
        </w:tc>
        <w:tc>
          <w:tcPr>
            <w:tcW w:w="1260" w:type="dxa"/>
            <w:vAlign w:val="bottom"/>
            <w:gridSpan w:val="2"/>
          </w:tcPr>
          <w:p>
            <w:pPr>
              <w:jc w:val="center"/>
              <w:ind w:right="144"/>
              <w:spacing w:after="0" w:line="160"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160" w:type="dxa"/>
            <w:vAlign w:val="bottom"/>
            <w:gridSpan w:val="2"/>
          </w:tcPr>
          <w:p>
            <w:pPr>
              <w:jc w:val="right"/>
              <w:ind w:right="484"/>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60" w:type="dxa"/>
            <w:vAlign w:val="bottom"/>
            <w:gridSpan w:val="2"/>
          </w:tcPr>
          <w:p>
            <w:pPr>
              <w:jc w:val="center"/>
              <w:ind w:right="144"/>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169"/>
        </w:trPr>
        <w:tc>
          <w:tcPr>
            <w:tcW w:w="474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Balance at December 30, 2018</w:t>
            </w:r>
          </w:p>
        </w:tc>
        <w:tc>
          <w:tcPr>
            <w:tcW w:w="11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40,977,561</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410</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569</w:t>
            </w: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(3,036,471</w:t>
            </w:r>
          </w:p>
        </w:tc>
        <w:tc>
          <w:tcPr>
            <w:tcW w:w="18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9"/>
              </w:rPr>
              <w:t>)</w:t>
            </w:r>
          </w:p>
        </w:tc>
        <w:tc>
          <w:tcPr>
            <w:tcW w:w="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(4,429</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400,709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4740" w:type="dxa"/>
            <w:vAlign w:val="bottom"/>
            <w:shd w:val="clear" w:color="auto" w:fill="CFF0FC"/>
          </w:tcPr>
          <w:p>
            <w:pPr>
              <w:ind w:left="20"/>
              <w:spacing w:after="0" w:line="136" w:lineRule="exact"/>
              <w:rPr>
                <w:sz w:val="20"/>
                <w:szCs w:val="20"/>
                <w:color w:val="auto"/>
              </w:rPr>
            </w:pPr>
            <w:r>
              <w:rPr>
                <w:rFonts w:ascii="Arial" w:cs="Arial" w:eastAsia="Arial" w:hAnsi="Arial"/>
                <w:sz w:val="15"/>
                <w:szCs w:val="15"/>
                <w:color w:val="auto"/>
              </w:rPr>
              <w:t>Dividends declared on common stock and equivalents</w:t>
            </w:r>
          </w:p>
        </w:tc>
        <w:tc>
          <w:tcPr>
            <w:tcW w:w="14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jc w:val="right"/>
              <w:ind w:right="44"/>
              <w:spacing w:after="0"/>
              <w:rPr>
                <w:sz w:val="20"/>
                <w:szCs w:val="20"/>
                <w:color w:val="auto"/>
              </w:rPr>
            </w:pPr>
            <w:r>
              <w:rPr>
                <w:rFonts w:ascii="Arial" w:cs="Arial" w:eastAsia="Arial" w:hAnsi="Arial"/>
                <w:sz w:val="15"/>
                <w:szCs w:val="15"/>
                <w:color w:val="auto"/>
              </w:rPr>
              <w:t>(105,605 )</w:t>
            </w:r>
          </w:p>
        </w:tc>
        <w:tc>
          <w:tcPr>
            <w:tcW w:w="120" w:type="dxa"/>
            <w:vAlign w:val="bottom"/>
            <w:shd w:val="clear" w:color="auto" w:fill="CFF0FC"/>
          </w:tcPr>
          <w:p>
            <w:pPr>
              <w:spacing w:after="0"/>
              <w:rPr>
                <w:sz w:val="11"/>
                <w:szCs w:val="11"/>
                <w:color w:val="auto"/>
              </w:rPr>
            </w:pPr>
          </w:p>
        </w:tc>
        <w:tc>
          <w:tcPr>
            <w:tcW w:w="1260" w:type="dxa"/>
            <w:vAlign w:val="bottom"/>
            <w:gridSpan w:val="2"/>
            <w:vMerge w:val="restart"/>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3"/>
        </w:trPr>
        <w:tc>
          <w:tcPr>
            <w:tcW w:w="4740" w:type="dxa"/>
            <w:vAlign w:val="bottom"/>
            <w:vMerge w:val="restart"/>
            <w:shd w:val="clear" w:color="auto" w:fill="CFF0FC"/>
          </w:tcPr>
          <w:p>
            <w:pPr>
              <w:ind w:left="100"/>
              <w:spacing w:after="0"/>
              <w:rPr>
                <w:sz w:val="20"/>
                <w:szCs w:val="20"/>
                <w:color w:val="auto"/>
              </w:rPr>
            </w:pPr>
            <w:r>
              <w:rPr>
                <w:rFonts w:ascii="Arial" w:cs="Arial" w:eastAsia="Arial" w:hAnsi="Arial"/>
                <w:sz w:val="15"/>
                <w:szCs w:val="15"/>
                <w:color w:val="auto"/>
              </w:rPr>
              <w:t>($2.60 per share)</w:t>
            </w:r>
          </w:p>
        </w:tc>
        <w:tc>
          <w:tcPr>
            <w:tcW w:w="14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4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740" w:type="dxa"/>
            <w:vAlign w:val="bottom"/>
            <w:vMerge w:val="continue"/>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4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Issuance and cancellation of stock awards, net</w:t>
            </w:r>
          </w:p>
        </w:tc>
        <w:tc>
          <w:tcPr>
            <w:tcW w:w="1180" w:type="dxa"/>
            <w:vAlign w:val="bottom"/>
          </w:tcPr>
          <w:p>
            <w:pPr>
              <w:jc w:val="right"/>
              <w:spacing w:after="0"/>
              <w:rPr>
                <w:sz w:val="20"/>
                <w:szCs w:val="20"/>
                <w:color w:val="auto"/>
              </w:rPr>
            </w:pPr>
            <w:r>
              <w:rPr>
                <w:rFonts w:ascii="Arial" w:cs="Arial" w:eastAsia="Arial" w:hAnsi="Arial"/>
                <w:sz w:val="15"/>
                <w:szCs w:val="15"/>
                <w:color w:val="auto"/>
              </w:rPr>
              <w:t>46,913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Tax payments for restricted stock upon vesting</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(22,506 )</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(5,951 )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Purchases of common stock</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(2,493,560 )</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(25 )</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(27,700 )</w:t>
            </w:r>
          </w:p>
        </w:tc>
        <w:tc>
          <w:tcPr>
            <w:tcW w:w="200" w:type="dxa"/>
            <w:vAlign w:val="bottom"/>
          </w:tcPr>
          <w:p>
            <w:pPr>
              <w:spacing w:after="0"/>
              <w:rPr>
                <w:sz w:val="15"/>
                <w:szCs w:val="15"/>
                <w:color w:val="auto"/>
              </w:rPr>
            </w:pPr>
          </w:p>
        </w:tc>
        <w:tc>
          <w:tcPr>
            <w:tcW w:w="1160" w:type="dxa"/>
            <w:vAlign w:val="bottom"/>
            <w:gridSpan w:val="2"/>
          </w:tcPr>
          <w:p>
            <w:pPr>
              <w:jc w:val="right"/>
              <w:ind w:right="44"/>
              <w:spacing w:after="0"/>
              <w:rPr>
                <w:sz w:val="20"/>
                <w:szCs w:val="20"/>
                <w:color w:val="auto"/>
              </w:rPr>
            </w:pPr>
            <w:r>
              <w:rPr>
                <w:rFonts w:ascii="Arial" w:cs="Arial" w:eastAsia="Arial" w:hAnsi="Arial"/>
                <w:sz w:val="15"/>
                <w:szCs w:val="15"/>
                <w:color w:val="auto"/>
              </w:rPr>
              <w:t>(671,282 )</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Exercises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425,601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13,060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Non-cash equity-based compensation expense</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20,265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Currency translation adjustment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687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tcPr>
          <w:p>
            <w:pPr>
              <w:ind w:left="20"/>
              <w:spacing w:after="0" w:line="169" w:lineRule="exact"/>
              <w:rPr>
                <w:sz w:val="20"/>
                <w:szCs w:val="20"/>
                <w:color w:val="auto"/>
              </w:rPr>
            </w:pPr>
            <w:r>
              <w:rPr>
                <w:rFonts w:ascii="Arial" w:cs="Arial" w:eastAsia="Arial" w:hAnsi="Arial"/>
                <w:sz w:val="15"/>
                <w:szCs w:val="15"/>
                <w:color w:val="auto"/>
              </w:rPr>
              <w:t>Balance at December 29, 2019</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38,934,009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389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243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4"/>
              <w:spacing w:after="0" w:line="169" w:lineRule="exact"/>
              <w:rPr>
                <w:sz w:val="20"/>
                <w:szCs w:val="20"/>
                <w:color w:val="auto"/>
              </w:rPr>
            </w:pPr>
            <w:r>
              <w:rPr>
                <w:rFonts w:ascii="Arial" w:cs="Arial" w:eastAsia="Arial" w:hAnsi="Arial"/>
                <w:sz w:val="15"/>
                <w:szCs w:val="15"/>
                <w:color w:val="auto"/>
              </w:rPr>
              <w:t>(3,412,649 )</w:t>
            </w:r>
          </w:p>
        </w:tc>
        <w:tc>
          <w:tcPr>
            <w:tcW w:w="120" w:type="dxa"/>
            <w:vAlign w:val="bottom"/>
          </w:tcPr>
          <w:p>
            <w:pPr>
              <w:spacing w:after="0"/>
              <w:rPr>
                <w:sz w:val="14"/>
                <w:szCs w:val="14"/>
                <w:color w:val="auto"/>
              </w:rPr>
            </w:pPr>
          </w:p>
        </w:tc>
        <w:tc>
          <w:tcPr>
            <w:tcW w:w="1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(3,742 )</w:t>
            </w:r>
          </w:p>
        </w:tc>
        <w:tc>
          <w:tcPr>
            <w:tcW w:w="0" w:type="dxa"/>
            <w:vAlign w:val="bottom"/>
          </w:tcPr>
          <w:p>
            <w:pPr>
              <w:spacing w:after="0"/>
              <w:rPr>
                <w:sz w:val="1"/>
                <w:szCs w:val="1"/>
                <w:color w:val="auto"/>
              </w:rPr>
            </w:pPr>
          </w:p>
        </w:tc>
      </w:tr>
      <w:tr>
        <w:trPr>
          <w:trHeight w:val="17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income</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491,296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4740" w:type="dxa"/>
            <w:vAlign w:val="bottom"/>
          </w:tcPr>
          <w:p>
            <w:pPr>
              <w:ind w:left="20"/>
              <w:spacing w:after="0" w:line="136" w:lineRule="exact"/>
              <w:rPr>
                <w:sz w:val="20"/>
                <w:szCs w:val="20"/>
                <w:color w:val="auto"/>
              </w:rPr>
            </w:pPr>
            <w:r>
              <w:rPr>
                <w:rFonts w:ascii="Arial" w:cs="Arial" w:eastAsia="Arial" w:hAnsi="Arial"/>
                <w:sz w:val="15"/>
                <w:szCs w:val="15"/>
                <w:color w:val="auto"/>
              </w:rPr>
              <w:t>Dividends declared on common stock and equivalents</w:t>
            </w: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116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(122,183 )</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3"/>
        </w:trPr>
        <w:tc>
          <w:tcPr>
            <w:tcW w:w="4740" w:type="dxa"/>
            <w:vAlign w:val="bottom"/>
            <w:vMerge w:val="restart"/>
          </w:tcPr>
          <w:p>
            <w:pPr>
              <w:ind w:left="100"/>
              <w:spacing w:after="0"/>
              <w:rPr>
                <w:sz w:val="20"/>
                <w:szCs w:val="20"/>
                <w:color w:val="auto"/>
              </w:rPr>
            </w:pPr>
            <w:r>
              <w:rPr>
                <w:rFonts w:ascii="Arial" w:cs="Arial" w:eastAsia="Arial" w:hAnsi="Arial"/>
                <w:sz w:val="15"/>
                <w:szCs w:val="15"/>
                <w:color w:val="auto"/>
              </w:rPr>
              <w:t>($3.12 per share)</w:t>
            </w: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7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Issuance and cancellation of stock awards, net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Tax payments for restricted stock upon vesting</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(18,681 )</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(6,803 )</w:t>
            </w: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Purchases of common stock</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(838,871 )</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(43,524 )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(261,058 )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Exercises of stock options</w:t>
            </w:r>
          </w:p>
        </w:tc>
        <w:tc>
          <w:tcPr>
            <w:tcW w:w="1180" w:type="dxa"/>
            <w:vAlign w:val="bottom"/>
          </w:tcPr>
          <w:p>
            <w:pPr>
              <w:jc w:val="right"/>
              <w:spacing w:after="0"/>
              <w:rPr>
                <w:sz w:val="20"/>
                <w:szCs w:val="20"/>
                <w:color w:val="auto"/>
              </w:rPr>
            </w:pPr>
            <w:r>
              <w:rPr>
                <w:rFonts w:ascii="Arial" w:cs="Arial" w:eastAsia="Arial" w:hAnsi="Arial"/>
                <w:sz w:val="15"/>
                <w:szCs w:val="15"/>
                <w:color w:val="auto"/>
              </w:rPr>
              <w:t>756,683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30,962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Non-cash equity-based compensation expense</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24,244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rPr>
                <w:sz w:val="20"/>
                <w:szCs w:val="20"/>
                <w:color w:val="auto"/>
              </w:rPr>
            </w:pPr>
            <w:r>
              <w:rPr>
                <w:rFonts w:ascii="Arial" w:cs="Arial" w:eastAsia="Arial" w:hAnsi="Arial"/>
                <w:sz w:val="15"/>
                <w:szCs w:val="15"/>
                <w:color w:val="auto"/>
              </w:rPr>
              <w:t>Adoption of ASC 326 (Note 1)</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Currency translation adjustment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1,318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tcPr>
          <w:p>
            <w:pPr>
              <w:ind w:left="20"/>
              <w:spacing w:after="0" w:line="169" w:lineRule="exact"/>
              <w:rPr>
                <w:sz w:val="20"/>
                <w:szCs w:val="20"/>
                <w:color w:val="auto"/>
              </w:rPr>
            </w:pPr>
            <w:r>
              <w:rPr>
                <w:rFonts w:ascii="Arial" w:cs="Arial" w:eastAsia="Arial" w:hAnsi="Arial"/>
                <w:sz w:val="15"/>
                <w:szCs w:val="15"/>
                <w:color w:val="auto"/>
              </w:rPr>
              <w:t>Balance at January 3, 2021</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38,868,350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389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5,122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4"/>
              <w:spacing w:after="0" w:line="169" w:lineRule="exact"/>
              <w:rPr>
                <w:sz w:val="20"/>
                <w:szCs w:val="20"/>
                <w:color w:val="auto"/>
              </w:rPr>
            </w:pPr>
            <w:r>
              <w:rPr>
                <w:rFonts w:ascii="Arial" w:cs="Arial" w:eastAsia="Arial" w:hAnsi="Arial"/>
                <w:sz w:val="15"/>
                <w:szCs w:val="15"/>
                <w:color w:val="auto"/>
              </w:rPr>
              <w:t>(3,303,492 )</w:t>
            </w:r>
          </w:p>
        </w:tc>
        <w:tc>
          <w:tcPr>
            <w:tcW w:w="120" w:type="dxa"/>
            <w:vAlign w:val="bottom"/>
          </w:tcPr>
          <w:p>
            <w:pPr>
              <w:spacing w:after="0"/>
              <w:rPr>
                <w:sz w:val="14"/>
                <w:szCs w:val="14"/>
                <w:color w:val="auto"/>
              </w:rPr>
            </w:pPr>
          </w:p>
        </w:tc>
        <w:tc>
          <w:tcPr>
            <w:tcW w:w="1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(2,424 )</w:t>
            </w: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income</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510,467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4740" w:type="dxa"/>
            <w:vAlign w:val="bottom"/>
          </w:tcPr>
          <w:p>
            <w:pPr>
              <w:ind w:left="20"/>
              <w:spacing w:after="0" w:line="136" w:lineRule="exact"/>
              <w:rPr>
                <w:sz w:val="20"/>
                <w:szCs w:val="20"/>
                <w:color w:val="auto"/>
              </w:rPr>
            </w:pPr>
            <w:r>
              <w:rPr>
                <w:rFonts w:ascii="Arial" w:cs="Arial" w:eastAsia="Arial" w:hAnsi="Arial"/>
                <w:sz w:val="15"/>
                <w:szCs w:val="15"/>
                <w:color w:val="auto"/>
              </w:rPr>
              <w:t>Dividends declared on common stock and equivalents</w:t>
            </w: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1"/>
                <w:szCs w:val="11"/>
                <w:color w:val="auto"/>
              </w:rPr>
            </w:pPr>
          </w:p>
        </w:tc>
        <w:tc>
          <w:tcPr>
            <w:tcW w:w="116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(139,588 )</w:t>
            </w:r>
          </w:p>
        </w:tc>
        <w:tc>
          <w:tcPr>
            <w:tcW w:w="120" w:type="dxa"/>
            <w:vAlign w:val="bottom"/>
          </w:tcPr>
          <w:p>
            <w:pPr>
              <w:spacing w:after="0"/>
              <w:rPr>
                <w:sz w:val="11"/>
                <w:szCs w:val="11"/>
                <w:color w:val="auto"/>
              </w:rPr>
            </w:pPr>
          </w:p>
        </w:tc>
        <w:tc>
          <w:tcPr>
            <w:tcW w:w="126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3"/>
        </w:trPr>
        <w:tc>
          <w:tcPr>
            <w:tcW w:w="4740" w:type="dxa"/>
            <w:vAlign w:val="bottom"/>
            <w:vMerge w:val="restart"/>
          </w:tcPr>
          <w:p>
            <w:pPr>
              <w:ind w:left="100"/>
              <w:spacing w:after="0"/>
              <w:rPr>
                <w:sz w:val="20"/>
                <w:szCs w:val="20"/>
                <w:color w:val="auto"/>
              </w:rPr>
            </w:pPr>
            <w:r>
              <w:rPr>
                <w:rFonts w:ascii="Arial" w:cs="Arial" w:eastAsia="Arial" w:hAnsi="Arial"/>
                <w:sz w:val="15"/>
                <w:szCs w:val="15"/>
                <w:color w:val="auto"/>
              </w:rPr>
              <w:t>($3.76 per share)</w:t>
            </w: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7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Issuance and cancellation of stock awards, net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(1,994 )</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Arial" w:cs="Arial" w:eastAsia="Arial" w:hAnsi="Arial"/>
                <w:sz w:val="15"/>
                <w:szCs w:val="15"/>
                <w:color w:val="auto"/>
              </w:rPr>
              <w:t>Tax payments for restricted stock upon vesting</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(14,826 )</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(6,820 )</w:t>
            </w: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Purchases of common stock</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(2,912,558 )</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(30 )</w:t>
            </w: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(45,568 )</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(1,275,304 )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rPr>
                <w:sz w:val="20"/>
                <w:szCs w:val="20"/>
                <w:color w:val="auto"/>
              </w:rPr>
            </w:pPr>
            <w:r>
              <w:rPr>
                <w:rFonts w:ascii="Arial" w:cs="Arial" w:eastAsia="Arial" w:hAnsi="Arial"/>
                <w:sz w:val="15"/>
                <w:szCs w:val="15"/>
                <w:color w:val="auto"/>
              </w:rPr>
              <w:t>Exercises of stock options</w:t>
            </w:r>
          </w:p>
        </w:tc>
        <w:tc>
          <w:tcPr>
            <w:tcW w:w="1180" w:type="dxa"/>
            <w:vAlign w:val="bottom"/>
          </w:tcPr>
          <w:p>
            <w:pPr>
              <w:jc w:val="right"/>
              <w:spacing w:after="0"/>
              <w:rPr>
                <w:sz w:val="20"/>
                <w:szCs w:val="20"/>
                <w:color w:val="auto"/>
              </w:rPr>
            </w:pPr>
            <w:r>
              <w:rPr>
                <w:rFonts w:ascii="Arial" w:cs="Arial" w:eastAsia="Arial" w:hAnsi="Arial"/>
                <w:sz w:val="15"/>
                <w:szCs w:val="15"/>
                <w:color w:val="auto"/>
              </w:rPr>
              <w:t>199,301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19,680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Non-cash equity-based compensation expense</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28,670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tcPr>
          <w:p>
            <w:pPr>
              <w:ind w:left="20"/>
              <w:spacing w:after="0"/>
              <w:rPr>
                <w:sz w:val="20"/>
                <w:szCs w:val="20"/>
                <w:color w:val="auto"/>
              </w:rPr>
            </w:pPr>
            <w:r>
              <w:rPr>
                <w:rFonts w:ascii="Arial" w:cs="Arial" w:eastAsia="Arial" w:hAnsi="Arial"/>
                <w:sz w:val="15"/>
                <w:szCs w:val="15"/>
                <w:color w:val="auto"/>
              </w:rPr>
              <w:t>Other</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(244 )</w:t>
            </w:r>
          </w:p>
        </w:tc>
        <w:tc>
          <w:tcPr>
            <w:tcW w:w="200" w:type="dxa"/>
            <w:vAlign w:val="bottom"/>
          </w:tcPr>
          <w:p>
            <w:pPr>
              <w:spacing w:after="0"/>
              <w:rPr>
                <w:sz w:val="15"/>
                <w:szCs w:val="15"/>
                <w:color w:val="auto"/>
              </w:rPr>
            </w:pPr>
          </w:p>
        </w:tc>
        <w:tc>
          <w:tcPr>
            <w:tcW w:w="116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Currency translation adjustment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(396 )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tcPr>
          <w:p>
            <w:pPr>
              <w:ind w:left="20"/>
              <w:spacing w:after="0" w:line="169" w:lineRule="exact"/>
              <w:rPr>
                <w:sz w:val="20"/>
                <w:szCs w:val="20"/>
                <w:color w:val="auto"/>
              </w:rPr>
            </w:pPr>
            <w:r>
              <w:rPr>
                <w:rFonts w:ascii="Arial" w:cs="Arial" w:eastAsia="Arial" w:hAnsi="Arial"/>
                <w:sz w:val="15"/>
                <w:szCs w:val="15"/>
                <w:color w:val="auto"/>
              </w:rPr>
              <w:t>Balance at January 2, 2022</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36,138,273</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361</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840</w:t>
            </w:r>
          </w:p>
        </w:tc>
        <w:tc>
          <w:tcPr>
            <w:tcW w:w="200" w:type="dxa"/>
            <w:vAlign w:val="bottom"/>
          </w:tcPr>
          <w:p>
            <w:pPr>
              <w:spacing w:after="0"/>
              <w:rPr>
                <w:sz w:val="14"/>
                <w:szCs w:val="14"/>
                <w:color w:val="auto"/>
              </w:rPr>
            </w:pP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
              <w:spacing w:after="0" w:line="169" w:lineRule="exact"/>
              <w:rPr>
                <w:sz w:val="20"/>
                <w:szCs w:val="20"/>
                <w:color w:val="auto"/>
              </w:rPr>
            </w:pPr>
            <w:r>
              <w:rPr>
                <w:rFonts w:ascii="Arial" w:cs="Arial" w:eastAsia="Arial" w:hAnsi="Arial"/>
                <w:sz w:val="15"/>
                <w:szCs w:val="15"/>
                <w:color w:val="auto"/>
              </w:rPr>
              <w:t>(4,207,917 )</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(2,820 )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-2576830</wp:posOffset>
            </wp:positionV>
            <wp:extent cx="603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-2576830</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-2576830</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-2576830</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-1359535</wp:posOffset>
            </wp:positionV>
            <wp:extent cx="603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-1359535</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-1359535</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-1359535</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-1359535</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-142240</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-142240</wp:posOffset>
            </wp:positionV>
            <wp:extent cx="603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-142240</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-142240</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479"/>
              <w:spacing w:after="0" w:line="160" w:lineRule="exact"/>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13"/>
                <w:szCs w:val="13"/>
                <w:color w:val="auto"/>
              </w:rPr>
            </w:pPr>
          </w:p>
        </w:tc>
        <w:tc>
          <w:tcPr>
            <w:tcW w:w="1340" w:type="dxa"/>
            <w:vAlign w:val="bottom"/>
            <w:gridSpan w:val="3"/>
          </w:tcPr>
          <w:p>
            <w:pPr>
              <w:ind w:left="120"/>
              <w:spacing w:after="0" w:line="160" w:lineRule="exact"/>
              <w:rPr>
                <w:sz w:val="20"/>
                <w:szCs w:val="20"/>
                <w:color w:val="auto"/>
              </w:rPr>
            </w:pPr>
            <w:r>
              <w:rPr>
                <w:rFonts w:ascii="Arial" w:cs="Arial" w:eastAsia="Arial" w:hAnsi="Arial"/>
                <w:sz w:val="14"/>
                <w:szCs w:val="14"/>
                <w:b w:val="1"/>
                <w:bCs w:val="1"/>
                <w:color w:val="auto"/>
              </w:rPr>
              <w:t>January 3,</w:t>
            </w:r>
          </w:p>
        </w:tc>
        <w:tc>
          <w:tcPr>
            <w:tcW w:w="160" w:type="dxa"/>
            <w:vAlign w:val="bottom"/>
          </w:tcPr>
          <w:p>
            <w:pPr>
              <w:spacing w:after="0"/>
              <w:rPr>
                <w:sz w:val="13"/>
                <w:szCs w:val="13"/>
                <w:color w:val="auto"/>
              </w:rPr>
            </w:pPr>
          </w:p>
        </w:tc>
        <w:tc>
          <w:tcPr>
            <w:tcW w:w="1100" w:type="dxa"/>
            <w:vAlign w:val="bottom"/>
          </w:tcPr>
          <w:p>
            <w:pPr>
              <w:jc w:val="right"/>
              <w:ind w:right="119"/>
              <w:spacing w:after="0" w:line="160" w:lineRule="exact"/>
              <w:rPr>
                <w:sz w:val="20"/>
                <w:szCs w:val="20"/>
                <w:color w:val="auto"/>
              </w:rPr>
            </w:pPr>
            <w:r>
              <w:rPr>
                <w:rFonts w:ascii="Arial" w:cs="Arial" w:eastAsia="Arial" w:hAnsi="Arial"/>
                <w:sz w:val="14"/>
                <w:szCs w:val="14"/>
                <w:b w:val="1"/>
                <w:bCs w:val="1"/>
                <w:color w:val="auto"/>
                <w:w w:val="96"/>
              </w:rPr>
              <w:t>December 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510,467</w:t>
            </w:r>
          </w:p>
        </w:tc>
        <w:tc>
          <w:tcPr>
            <w:tcW w:w="24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491,296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400,709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72,923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65,038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sale/disposal of assets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Provision (benefit) for deferred income taxes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14,424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(3,297 )</w:t>
            </w:r>
          </w:p>
        </w:tc>
        <w:tc>
          <w:tcPr>
            <w:tcW w:w="0" w:type="dxa"/>
            <w:vAlign w:val="bottom"/>
          </w:tcPr>
          <w:p>
            <w:pPr>
              <w:spacing w:after="0"/>
              <w:rPr>
                <w:sz w:val="1"/>
                <w:szCs w:val="1"/>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6"/>
                <w:szCs w:val="16"/>
                <w:color w:val="auto"/>
              </w:rPr>
              <w:t>Non-cash equity-based compensation expense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28,670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Excess tax benefits from equity-based compensation</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(18,911 )</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(60,364 )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(25,735 )</w:t>
            </w:r>
          </w:p>
        </w:tc>
        <w:tc>
          <w:tcPr>
            <w:tcW w:w="0" w:type="dxa"/>
            <w:vAlign w:val="bottom"/>
          </w:tcPr>
          <w:p>
            <w:pPr>
              <w:spacing w:after="0"/>
              <w:rPr>
                <w:sz w:val="1"/>
                <w:szCs w:val="1"/>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6"/>
                <w:szCs w:val="16"/>
                <w:color w:val="auto"/>
              </w:rPr>
              <w:t>Provision for losses on accounts and notes receivable</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gain on investments</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(36,758 )</w:t>
            </w:r>
          </w:p>
        </w:tc>
        <w:tc>
          <w:tcPr>
            <w:tcW w:w="220" w:type="dxa"/>
            <w:vAlign w:val="bottom"/>
            <w:shd w:val="clear" w:color="auto" w:fill="CFF0FC"/>
          </w:tcPr>
          <w:p>
            <w:pPr>
              <w:spacing w:after="0"/>
              <w:rPr>
                <w:sz w:val="16"/>
                <w:szCs w:val="16"/>
                <w:color w:val="auto"/>
              </w:rPr>
            </w:pPr>
          </w:p>
        </w:tc>
        <w:tc>
          <w:tcPr>
            <w:tcW w:w="13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Changes in accounts receivable</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(8,107 )</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(33,334 )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(20,900 )</w:t>
            </w:r>
          </w:p>
        </w:tc>
        <w:tc>
          <w:tcPr>
            <w:tcW w:w="0" w:type="dxa"/>
            <w:vAlign w:val="bottom"/>
          </w:tcPr>
          <w:p>
            <w:pPr>
              <w:spacing w:after="0"/>
              <w:rPr>
                <w:sz w:val="1"/>
                <w:szCs w:val="1"/>
                <w:color w:val="auto"/>
              </w:rPr>
            </w:pPr>
          </w:p>
        </w:tc>
      </w:tr>
      <w:tr>
        <w:trPr>
          <w:trHeight w:val="189"/>
        </w:trPr>
        <w:tc>
          <w:tcPr>
            <w:tcW w:w="6800" w:type="dxa"/>
            <w:vAlign w:val="bottom"/>
          </w:tcPr>
          <w:p>
            <w:pPr>
              <w:ind w:left="780"/>
              <w:spacing w:after="0"/>
              <w:rPr>
                <w:sz w:val="20"/>
                <w:szCs w:val="20"/>
                <w:color w:val="auto"/>
              </w:rPr>
            </w:pPr>
            <w:r>
              <w:rPr>
                <w:rFonts w:ascii="Arial" w:cs="Arial" w:eastAsia="Arial" w:hAnsi="Arial"/>
                <w:sz w:val="16"/>
                <w:szCs w:val="16"/>
                <w:color w:val="auto"/>
              </w:rPr>
              <w:t>Changes in inventories, prepaid expenses and other</w:t>
            </w:r>
          </w:p>
        </w:tc>
        <w:tc>
          <w:tcPr>
            <w:tcW w:w="20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(9,420 )</w:t>
            </w: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(24,959 )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(6,741 )</w:t>
            </w: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Changes in accounts payable and accrued liabilities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51,346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66,137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780"/>
              <w:spacing w:after="0"/>
              <w:rPr>
                <w:sz w:val="20"/>
                <w:szCs w:val="20"/>
                <w:color w:val="auto"/>
              </w:rPr>
            </w:pPr>
            <w:r>
              <w:rPr>
                <w:rFonts w:ascii="Arial" w:cs="Arial" w:eastAsia="Arial" w:hAnsi="Arial"/>
                <w:sz w:val="16"/>
                <w:szCs w:val="16"/>
                <w:color w:val="auto"/>
              </w:rPr>
              <w:t>Changes in insurance reserves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5,544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780"/>
              <w:spacing w:after="0"/>
              <w:rPr>
                <w:sz w:val="20"/>
                <w:szCs w:val="20"/>
                <w:color w:val="auto"/>
              </w:rPr>
            </w:pPr>
            <w:r>
              <w:rPr>
                <w:rFonts w:ascii="Arial" w:cs="Arial" w:eastAsia="Arial" w:hAnsi="Arial"/>
                <w:sz w:val="16"/>
                <w:szCs w:val="16"/>
                <w:color w:val="auto"/>
              </w:rPr>
              <w:t>Changes in operating lease assets and liabilities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780"/>
              <w:spacing w:after="0"/>
              <w:rPr>
                <w:sz w:val="20"/>
                <w:szCs w:val="20"/>
                <w:color w:val="auto"/>
              </w:rPr>
            </w:pPr>
            <w:r>
              <w:rPr>
                <w:rFonts w:ascii="Arial" w:cs="Arial" w:eastAsia="Arial" w:hAnsi="Arial"/>
                <w:sz w:val="16"/>
                <w:szCs w:val="16"/>
                <w:color w:val="auto"/>
              </w:rPr>
              <w:t>Changes in advertising fund assets and liabilities, restricted</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45,225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(10,008 )</w:t>
            </w:r>
          </w:p>
        </w:tc>
        <w:tc>
          <w:tcPr>
            <w:tcW w:w="0" w:type="dxa"/>
            <w:vAlign w:val="bottom"/>
          </w:tcPr>
          <w:p>
            <w:pPr>
              <w:spacing w:after="0"/>
              <w:rPr>
                <w:sz w:val="1"/>
                <w:szCs w:val="1"/>
                <w:color w:val="auto"/>
              </w:rPr>
            </w:pPr>
          </w:p>
        </w:tc>
      </w:tr>
      <w:tr>
        <w:trPr>
          <w:trHeight w:val="183"/>
        </w:trPr>
        <w:tc>
          <w:tcPr>
            <w:tcW w:w="68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654,206</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592,794</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496,950</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line="183" w:lineRule="exact"/>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(94,172 )</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(88,768 )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(85,565 )</w:t>
            </w: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Purchase of investments</w:t>
            </w:r>
          </w:p>
        </w:tc>
        <w:tc>
          <w:tcPr>
            <w:tcW w:w="20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(49,082 )</w:t>
            </w: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(40,000 )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assets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Maturities of advertising fund investments, restricted</w:t>
            </w:r>
          </w:p>
        </w:tc>
        <w:tc>
          <w:tcPr>
            <w:tcW w:w="200" w:type="dxa"/>
            <w:vAlign w:val="bottom"/>
          </w:tcPr>
          <w:p>
            <w:pPr>
              <w:spacing w:after="0"/>
              <w:rPr>
                <w:sz w:val="16"/>
                <w:szCs w:val="16"/>
                <w:color w:val="auto"/>
              </w:rPr>
            </w:pPr>
          </w:p>
        </w:tc>
        <w:tc>
          <w:tcPr>
            <w:tcW w:w="13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50,152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franchise operations and other assets</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3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(3,423 )</w:t>
            </w: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(1,276 )</w:t>
            </w:r>
          </w:p>
        </w:tc>
        <w:tc>
          <w:tcPr>
            <w:tcW w:w="0" w:type="dxa"/>
            <w:vAlign w:val="bottom"/>
          </w:tcPr>
          <w:p>
            <w:pPr>
              <w:spacing w:after="0"/>
              <w:rPr>
                <w:sz w:val="1"/>
                <w:szCs w:val="1"/>
                <w:color w:val="auto"/>
              </w:rPr>
            </w:pPr>
          </w:p>
        </w:tc>
      </w:tr>
      <w:tr>
        <w:trPr>
          <w:trHeight w:val="183"/>
        </w:trPr>
        <w:tc>
          <w:tcPr>
            <w:tcW w:w="68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(142,723</w:t>
            </w:r>
          </w:p>
        </w:tc>
        <w:tc>
          <w:tcPr>
            <w:tcW w:w="24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(128,927</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(27,854</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line="183" w:lineRule="exact"/>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long-term debt</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1,850,000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158,000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Repayments of long-term debt and finance lease obligations</w:t>
            </w:r>
          </w:p>
        </w:tc>
        <w:tc>
          <w:tcPr>
            <w:tcW w:w="20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(910,212 )</w:t>
            </w: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(202,058 )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(92,085 )</w:t>
            </w: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19,682</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Purchases of common stock</w:t>
            </w:r>
          </w:p>
        </w:tc>
        <w:tc>
          <w:tcPr>
            <w:tcW w:w="20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(1,320,902 )</w:t>
            </w: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(304,590 )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(699,007 )</w:t>
            </w: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 payments for restricted stock upon vesting</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(6,820 )</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(6,803 )</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(5,951 )</w:t>
            </w: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Payments of common stock dividends and equivalents</w:t>
            </w:r>
          </w:p>
        </w:tc>
        <w:tc>
          <w:tcPr>
            <w:tcW w:w="20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(139,399 )</w:t>
            </w:r>
          </w:p>
        </w:tc>
        <w:tc>
          <w:tcPr>
            <w:tcW w:w="2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(121,925 )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(105,715 )</w:t>
            </w: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financing costs</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(14,938 )</w:t>
            </w:r>
          </w:p>
        </w:tc>
        <w:tc>
          <w:tcPr>
            <w:tcW w:w="220" w:type="dxa"/>
            <w:vAlign w:val="bottom"/>
            <w:shd w:val="clear" w:color="auto" w:fill="CFF0FC"/>
          </w:tcPr>
          <w:p>
            <w:pPr>
              <w:spacing w:after="0"/>
              <w:rPr>
                <w:sz w:val="16"/>
                <w:szCs w:val="16"/>
                <w:color w:val="auto"/>
              </w:rPr>
            </w:pPr>
          </w:p>
        </w:tc>
        <w:tc>
          <w:tcPr>
            <w:tcW w:w="13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(8,098 )</w:t>
            </w:r>
          </w:p>
        </w:tc>
        <w:tc>
          <w:tcPr>
            <w:tcW w:w="0" w:type="dxa"/>
            <w:vAlign w:val="bottom"/>
          </w:tcPr>
          <w:p>
            <w:pPr>
              <w:spacing w:after="0"/>
              <w:rPr>
                <w:sz w:val="1"/>
                <w:szCs w:val="1"/>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(244 )</w:t>
            </w:r>
          </w:p>
        </w:tc>
        <w:tc>
          <w:tcPr>
            <w:tcW w:w="22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8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(522,833</w:t>
            </w:r>
          </w:p>
        </w:tc>
        <w:tc>
          <w:tcPr>
            <w:tcW w:w="24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(446,406</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(222,792</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6800" w:type="dxa"/>
            <w:vAlign w:val="bottom"/>
          </w:tcPr>
          <w:p>
            <w:pPr>
              <w:ind w:left="20"/>
              <w:spacing w:after="0" w:line="183" w:lineRule="exact"/>
              <w:rPr>
                <w:sz w:val="20"/>
                <w:szCs w:val="20"/>
                <w:color w:val="auto"/>
              </w:rPr>
            </w:pPr>
            <w:r>
              <w:rPr>
                <w:rFonts w:ascii="Arial" w:cs="Arial" w:eastAsia="Arial" w:hAnsi="Arial"/>
                <w:sz w:val="16"/>
                <w:szCs w:val="16"/>
                <w:color w:val="auto"/>
              </w:rPr>
              <w:t>Effect of exchange rate changes on cash</w:t>
            </w:r>
          </w:p>
        </w:tc>
        <w:tc>
          <w:tcPr>
            <w:tcW w:w="200" w:type="dxa"/>
            <w:vAlign w:val="bottom"/>
          </w:tcPr>
          <w:p>
            <w:pPr>
              <w:spacing w:after="0"/>
              <w:rPr>
                <w:sz w:val="15"/>
                <w:szCs w:val="15"/>
                <w:color w:val="auto"/>
              </w:rPr>
            </w:pPr>
          </w:p>
        </w:tc>
        <w:tc>
          <w:tcPr>
            <w:tcW w:w="1340" w:type="dxa"/>
            <w:vAlign w:val="bottom"/>
            <w:gridSpan w:val="2"/>
          </w:tcPr>
          <w:p>
            <w:pPr>
              <w:jc w:val="right"/>
              <w:ind w:right="79"/>
              <w:spacing w:after="0" w:line="183" w:lineRule="exact"/>
              <w:rPr>
                <w:sz w:val="20"/>
                <w:szCs w:val="20"/>
                <w:color w:val="auto"/>
              </w:rPr>
            </w:pPr>
            <w:r>
              <w:rPr>
                <w:rFonts w:ascii="Arial" w:cs="Arial" w:eastAsia="Arial" w:hAnsi="Arial"/>
                <w:sz w:val="16"/>
                <w:szCs w:val="16"/>
                <w:color w:val="auto"/>
              </w:rPr>
              <w:t>(316 )</w:t>
            </w:r>
          </w:p>
        </w:tc>
        <w:tc>
          <w:tcPr>
            <w:tcW w:w="22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761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201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Change in cash and cash equivalents, restricted cash and cash equivalents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(11,666</w:t>
            </w:r>
          </w:p>
        </w:tc>
        <w:tc>
          <w:tcPr>
            <w:tcW w:w="240" w:type="dxa"/>
            <w:vAlign w:val="bottom"/>
            <w:tcBorders>
              <w:bottom w:val="single" w:sz="8" w:color="CFF0FC"/>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18,222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246,505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168,821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190,615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25,438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20"/>
              <w:spacing w:after="0"/>
              <w:rPr>
                <w:sz w:val="20"/>
                <w:szCs w:val="20"/>
                <w:color w:val="auto"/>
              </w:rPr>
            </w:pPr>
            <w:r>
              <w:rPr>
                <w:rFonts w:ascii="Arial" w:cs="Arial" w:eastAsia="Arial" w:hAnsi="Arial"/>
                <w:sz w:val="16"/>
                <w:szCs w:val="16"/>
                <w:color w:val="auto"/>
              </w:rPr>
              <w:t>Restricted cash and cash equivalents, beginning of period</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217,453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209,269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166,993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0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Cash and cash equivalents included in advertising fund assets, restricted,</w:t>
            </w:r>
          </w:p>
        </w:tc>
        <w:tc>
          <w:tcPr>
            <w:tcW w:w="20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115,872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84,040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44,988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800" w:type="dxa"/>
            <w:vAlign w:val="bottom"/>
          </w:tcPr>
          <w:p>
            <w:pPr>
              <w:ind w:left="20"/>
              <w:spacing w:after="0" w:line="146" w:lineRule="exact"/>
              <w:rPr>
                <w:sz w:val="20"/>
                <w:szCs w:val="20"/>
                <w:color w:val="auto"/>
              </w:rPr>
            </w:pPr>
            <w:r>
              <w:rPr>
                <w:rFonts w:ascii="Arial" w:cs="Arial" w:eastAsia="Arial" w:hAnsi="Arial"/>
                <w:sz w:val="16"/>
                <w:szCs w:val="16"/>
                <w:color w:val="auto"/>
              </w:rPr>
              <w:t>Cash and cash equivalents, restricted cash and cash equivalents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0" w:type="dxa"/>
            <w:vAlign w:val="bottom"/>
          </w:tcPr>
          <w:p>
            <w:pPr>
              <w:ind w:left="140"/>
              <w:spacing w:after="0" w:line="162" w:lineRule="exact"/>
              <w:rPr>
                <w:sz w:val="20"/>
                <w:szCs w:val="20"/>
                <w:color w:val="auto"/>
              </w:rPr>
            </w:pPr>
            <w:r>
              <w:rPr>
                <w:rFonts w:ascii="Arial" w:cs="Arial" w:eastAsia="Arial" w:hAnsi="Arial"/>
                <w:sz w:val="16"/>
                <w:szCs w:val="16"/>
                <w:color w:val="auto"/>
              </w:rPr>
              <w:t>and cash and cash equivalents included in advertising fund assets, restricted,</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502,146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483,924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237,419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0" w:type="dxa"/>
            <w:vAlign w:val="bottom"/>
          </w:tcPr>
          <w:p>
            <w:pPr>
              <w:ind w:left="140"/>
              <w:spacing w:after="0" w:line="138" w:lineRule="exact"/>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148,160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168,821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and cash equivalents, end of period</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180,579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217,453</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209,269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800" w:type="dxa"/>
            <w:vAlign w:val="bottom"/>
          </w:tcPr>
          <w:p>
            <w:pPr>
              <w:ind w:left="20"/>
              <w:spacing w:after="0" w:line="152" w:lineRule="exact"/>
              <w:rPr>
                <w:sz w:val="20"/>
                <w:szCs w:val="20"/>
                <w:color w:val="auto"/>
              </w:rPr>
            </w:pPr>
            <w:r>
              <w:rPr>
                <w:rFonts w:ascii="Arial" w:cs="Arial" w:eastAsia="Arial" w:hAnsi="Arial"/>
                <w:sz w:val="16"/>
                <w:szCs w:val="16"/>
                <w:color w:val="auto"/>
              </w:rPr>
              <w:t>Cash and cash equivalents included in advertising fund assets, restricted,</w:t>
            </w:r>
          </w:p>
        </w:tc>
        <w:tc>
          <w:tcPr>
            <w:tcW w:w="2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161,741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115,872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84,040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00" w:type="dxa"/>
            <w:vAlign w:val="bottom"/>
          </w:tcPr>
          <w:p>
            <w:pPr>
              <w:ind w:left="140"/>
              <w:spacing w:after="0"/>
              <w:rPr>
                <w:sz w:val="20"/>
                <w:szCs w:val="20"/>
                <w:color w:val="auto"/>
              </w:rPr>
            </w:pPr>
            <w:r>
              <w:rPr>
                <w:rFonts w:ascii="Arial" w:cs="Arial" w:eastAsia="Arial" w:hAnsi="Arial"/>
                <w:sz w:val="16"/>
                <w:szCs w:val="16"/>
                <w:color w:val="auto"/>
              </w:rPr>
              <w:t>end of period</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80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Cash and cash equivalents, restricted cash and cash equivalents</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0" w:type="dxa"/>
            <w:vAlign w:val="bottom"/>
            <w:shd w:val="clear" w:color="auto" w:fill="CFF0FC"/>
          </w:tcPr>
          <w:p>
            <w:pPr>
              <w:ind w:left="140"/>
              <w:spacing w:after="0" w:line="162" w:lineRule="exact"/>
              <w:rPr>
                <w:sz w:val="20"/>
                <w:szCs w:val="20"/>
                <w:color w:val="auto"/>
              </w:rPr>
            </w:pPr>
            <w:r>
              <w:rPr>
                <w:rFonts w:ascii="Arial" w:cs="Arial" w:eastAsia="Arial" w:hAnsi="Arial"/>
                <w:sz w:val="16"/>
                <w:szCs w:val="16"/>
                <w:color w:val="auto"/>
              </w:rPr>
              <w:t>and cash and cash equivalents included in advertising fund assets, restricted,</w:t>
            </w: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490,480</w:t>
            </w:r>
          </w:p>
        </w:tc>
        <w:tc>
          <w:tcPr>
            <w:tcW w:w="24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502,146</w:t>
            </w: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483,924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800" w:type="dxa"/>
            <w:vAlign w:val="bottom"/>
            <w:tcBorders>
              <w:bottom w:val="single" w:sz="8" w:color="CFF0FC"/>
            </w:tcBorders>
            <w:shd w:val="clear" w:color="auto" w:fill="CFF0FC"/>
          </w:tcPr>
          <w:p>
            <w:pPr>
              <w:ind w:left="140"/>
              <w:spacing w:after="0" w:line="138" w:lineRule="exact"/>
              <w:rPr>
                <w:sz w:val="20"/>
                <w:szCs w:val="20"/>
                <w:color w:val="auto"/>
              </w:rPr>
            </w:pPr>
            <w:r>
              <w:rPr>
                <w:rFonts w:ascii="Arial" w:cs="Arial" w:eastAsia="Arial" w:hAnsi="Arial"/>
                <w:sz w:val="16"/>
                <w:szCs w:val="16"/>
                <w:color w:val="auto"/>
              </w:rPr>
              <w:t>end of period</w:t>
            </w: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vMerge w:val="continue"/>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-4368165</wp:posOffset>
            </wp:positionV>
            <wp:extent cx="768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-4368165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-4368165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-3390900</wp:posOffset>
            </wp:positionV>
            <wp:extent cx="768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-3390900</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-3390900</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-2173605</wp:posOffset>
            </wp:positionV>
            <wp:extent cx="768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-2173605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-2173605</wp:posOffset>
            </wp:positionV>
            <wp:extent cx="514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-1919605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-1902460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-1919605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-1902460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-1919605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-1902460</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-1316355</wp:posOffset>
            </wp:positionV>
            <wp:extent cx="768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-1316355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-1316355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Domino’s Pizza, Inc.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except percentages, share and per share amounts)</w:t>
      </w:r>
    </w:p>
    <w:p>
      <w:pPr>
        <w:spacing w:after="0" w:line="193"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ind w:firstLine="449"/>
        <w:spacing w:after="0" w:line="227" w:lineRule="auto"/>
        <w:rPr>
          <w:sz w:val="20"/>
          <w:szCs w:val="20"/>
          <w:color w:val="auto"/>
        </w:rPr>
      </w:pPr>
      <w:r>
        <w:rPr>
          <w:rFonts w:ascii="Arial" w:cs="Arial" w:eastAsia="Arial" w:hAnsi="Arial"/>
          <w:sz w:val="18"/>
          <w:szCs w:val="18"/>
          <w:color w:val="auto"/>
        </w:rPr>
        <w:t>Domino’s Pizza, Inc. (“DPI”), a Delaware corporation, conducts its operations and derives substantially all of its operating income and cash flows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Company-owned and franchised Domino’s Pizza stores through Company-owned supply chain centers; (iii) receipt of royalties, advertising contributions and fees from U.S. Domino’s Pizza franchisees; and (iv) receipt of royalties and fees from international Domino’s Pizza franchisees.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8" w:lineRule="exact"/>
        <w:rPr>
          <w:sz w:val="20"/>
          <w:szCs w:val="20"/>
          <w:color w:val="auto"/>
        </w:rPr>
      </w:pPr>
    </w:p>
    <w:p>
      <w:pPr>
        <w:ind w:right="380" w:firstLine="449"/>
        <w:spacing w:after="0" w:line="246" w:lineRule="auto"/>
        <w:rPr>
          <w:sz w:val="20"/>
          <w:szCs w:val="20"/>
          <w:color w:val="auto"/>
        </w:rPr>
      </w:pPr>
      <w:r>
        <w:rPr>
          <w:rFonts w:ascii="Arial" w:cs="Arial" w:eastAsia="Arial" w:hAnsi="Arial"/>
          <w:sz w:val="18"/>
          <w:szCs w:val="18"/>
          <w:color w:val="auto"/>
        </w:rPr>
        <w:t>The accompanying consolidated financial statements include the accounts of DPI and its subsidiaries. All significant intercompany accounts and transactions have been eliminated.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89" w:lineRule="exact"/>
        <w:rPr>
          <w:sz w:val="20"/>
          <w:szCs w:val="20"/>
          <w:color w:val="auto"/>
        </w:rPr>
      </w:pPr>
    </w:p>
    <w:p>
      <w:pPr>
        <w:ind w:firstLine="449"/>
        <w:spacing w:after="0" w:line="248" w:lineRule="auto"/>
        <w:rPr>
          <w:sz w:val="20"/>
          <w:szCs w:val="20"/>
          <w:color w:val="auto"/>
        </w:rPr>
      </w:pPr>
      <w:r>
        <w:rPr>
          <w:rFonts w:ascii="Arial" w:cs="Arial" w:eastAsia="Arial" w:hAnsi="Arial"/>
          <w:sz w:val="18"/>
          <w:szCs w:val="18"/>
          <w:color w:val="auto"/>
        </w:rPr>
        <w:t>The Company’s fiscal year ends on the Sunday closest to December 31. The 2021 fiscal year ended on January 2, 2022, the 2020 fiscal year ended on January 3, 2021 and the 2019 fiscal year ended on December 29, 2019. The 2021 and 2019 fiscal years each consisted of fifty-two weeks and the 2020 fiscal year consisted of fifty-three weeks.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80" w:firstLine="449"/>
        <w:spacing w:after="0" w:line="246"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189" w:lineRule="exact"/>
        <w:rPr>
          <w:sz w:val="20"/>
          <w:szCs w:val="20"/>
          <w:color w:val="auto"/>
        </w:rPr>
      </w:pPr>
    </w:p>
    <w:p>
      <w:pPr>
        <w:ind w:right="40" w:firstLine="469"/>
        <w:spacing w:after="0" w:line="241" w:lineRule="auto"/>
        <w:rPr>
          <w:sz w:val="20"/>
          <w:szCs w:val="20"/>
          <w:color w:val="auto"/>
        </w:rPr>
      </w:pPr>
      <w:r>
        <w:rPr>
          <w:rFonts w:ascii="Arial" w:cs="Arial" w:eastAsia="Arial" w:hAnsi="Arial"/>
          <w:sz w:val="18"/>
          <w:szCs w:val="18"/>
          <w:color w:val="auto"/>
        </w:rPr>
        <w:t>Restricted cash and cash equivalents at January 2, 2022 included $133.2 million of restricted cash and cash equivalents held for future principal and interest payments and other working capital requirements of the Company’s asset-backed securitization structure, $47.2 million of restricted cash equivalents held in a three-month interest reserve as required by the related debt agreements and $0.2 million of other restricted cash. As of January 2, 2022, the Company also held $161.7 million of advertising fund restricted cash and cash equivalents, which can only be used for activities that promote the Domino’s Pizza brand.</w:t>
      </w:r>
    </w:p>
    <w:p>
      <w:pPr>
        <w:spacing w:after="0" w:line="162" w:lineRule="exact"/>
        <w:rPr>
          <w:sz w:val="20"/>
          <w:szCs w:val="20"/>
          <w:color w:val="auto"/>
        </w:rPr>
      </w:pPr>
    </w:p>
    <w:p>
      <w:pPr>
        <w:ind w:right="60" w:firstLine="469"/>
        <w:spacing w:after="0" w:line="241" w:lineRule="auto"/>
        <w:rPr>
          <w:sz w:val="20"/>
          <w:szCs w:val="20"/>
          <w:color w:val="auto"/>
        </w:rPr>
      </w:pPr>
      <w:r>
        <w:rPr>
          <w:rFonts w:ascii="Arial" w:cs="Arial" w:eastAsia="Arial" w:hAnsi="Arial"/>
          <w:sz w:val="18"/>
          <w:szCs w:val="18"/>
          <w:color w:val="auto"/>
        </w:rPr>
        <w:t>Restricted cash and cash equivalents at January 3, 2021 included $177.1 million of restricted cash and cash equivalents held for future principal and interest payments and other working capital requirements of the Company’s asset-backed securitization structure, $39.6 million of restricted cash equivalents held in a three-month interest reserve as required by the related debt agreements and $0.8 million of other restricted cash. As of January 3, 2021, the Company also held $115.9 million of advertising fund restricted cash and cash equivalents, which can only be used for activities that promote the Domino’s Pizza brand.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Credit Losses</w:t>
      </w:r>
    </w:p>
    <w:p>
      <w:pPr>
        <w:spacing w:after="0" w:line="189" w:lineRule="exact"/>
        <w:rPr>
          <w:sz w:val="20"/>
          <w:szCs w:val="20"/>
          <w:color w:val="auto"/>
        </w:rPr>
      </w:pPr>
    </w:p>
    <w:p>
      <w:pPr>
        <w:ind w:right="100" w:firstLine="469"/>
        <w:spacing w:after="0" w:line="248" w:lineRule="auto"/>
        <w:rPr>
          <w:sz w:val="20"/>
          <w:szCs w:val="20"/>
          <w:color w:val="auto"/>
        </w:rPr>
      </w:pPr>
      <w:r>
        <w:rPr>
          <w:rFonts w:ascii="Arial" w:cs="Arial" w:eastAsia="Arial" w:hAnsi="Arial"/>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168" w:lineRule="exact"/>
        <w:rPr>
          <w:sz w:val="20"/>
          <w:szCs w:val="20"/>
          <w:color w:val="auto"/>
        </w:rPr>
      </w:pPr>
    </w:p>
    <w:p>
      <w:pPr>
        <w:ind w:right="160" w:firstLine="469"/>
        <w:spacing w:after="0" w:line="294" w:lineRule="auto"/>
        <w:rPr>
          <w:sz w:val="20"/>
          <w:szCs w:val="20"/>
          <w:color w:val="auto"/>
        </w:rPr>
      </w:pPr>
      <w:r>
        <w:rPr>
          <w:rFonts w:ascii="Arial" w:cs="Arial" w:eastAsia="Arial" w:hAnsi="Arial"/>
          <w:sz w:val="16"/>
          <w:szCs w:val="16"/>
          <w:color w:val="auto"/>
        </w:rPr>
        <w:t>The Company also monitors its off-balance sheet exposures under its letters of credit (Note 3), lease guarantees (Note 5) and surety bonds. Total conditional commitments under surety bonds were $15.3 million and $11.0 million as of January 2, 2022 and January 3, 2021, respectively. None of these arrangements has had or is likely to have a material effect on the Company’s results of operations, financial condition, revenues, expenses or liquidity.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right="280" w:firstLine="449"/>
        <w:spacing w:after="0" w:line="243" w:lineRule="auto"/>
        <w:rPr>
          <w:sz w:val="20"/>
          <w:szCs w:val="20"/>
          <w:color w:val="auto"/>
        </w:rPr>
      </w:pPr>
      <w:r>
        <w:rPr>
          <w:rFonts w:ascii="Arial" w:cs="Arial" w:eastAsia="Arial" w:hAnsi="Arial"/>
          <w:sz w:val="18"/>
          <w:szCs w:val="18"/>
          <w:color w:val="auto"/>
        </w:rPr>
        <w:t>Inventories are valued at the lower of cost (on a first-in, first-out basis) or net realizable value. Inventories at January 2, 2022 and January 3, 2021 were comprised of the following:</w:t>
      </w:r>
    </w:p>
    <w:tbl>
      <w:tblPr>
        <w:tblLayout w:type="fixed"/>
        <w:tblInd w:w="0" w:type="dxa"/>
        <w:tblCellMar>
          <w:top w:w="0" w:type="dxa"/>
          <w:left w:w="0" w:type="dxa"/>
          <w:bottom w:w="0" w:type="dxa"/>
          <w:right w:w="0" w:type="dxa"/>
        </w:tblCellMar>
      </w:tblPr>
      <w:tr>
        <w:trPr>
          <w:trHeight w:val="139"/>
        </w:trPr>
        <w:tc>
          <w:tcPr>
            <w:tcW w:w="7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397"/>
              <w:spacing w:after="0" w:line="139" w:lineRule="exact"/>
              <w:rPr>
                <w:sz w:val="20"/>
                <w:szCs w:val="20"/>
                <w:color w:val="auto"/>
              </w:rPr>
            </w:pPr>
            <w:r>
              <w:rPr>
                <w:rFonts w:ascii="Arial" w:cs="Arial" w:eastAsia="Arial" w:hAnsi="Arial"/>
                <w:sz w:val="14"/>
                <w:szCs w:val="14"/>
                <w:b w:val="1"/>
                <w:bCs w:val="1"/>
                <w:color w:val="auto"/>
              </w:rPr>
              <w:t>January 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377"/>
              <w:spacing w:after="0" w:line="139" w:lineRule="exact"/>
              <w:rPr>
                <w:sz w:val="20"/>
                <w:szCs w:val="20"/>
                <w:color w:val="auto"/>
              </w:rPr>
            </w:pPr>
            <w:r>
              <w:rPr>
                <w:rFonts w:ascii="Arial" w:cs="Arial" w:eastAsia="Arial" w:hAnsi="Arial"/>
                <w:sz w:val="14"/>
                <w:szCs w:val="14"/>
                <w:b w:val="1"/>
                <w:bCs w:val="1"/>
                <w:color w:val="auto"/>
              </w:rPr>
              <w:t>January 3,</w:t>
            </w:r>
          </w:p>
        </w:tc>
        <w:tc>
          <w:tcPr>
            <w:tcW w:w="100" w:type="dxa"/>
            <w:vAlign w:val="bottom"/>
          </w:tcPr>
          <w:p>
            <w:pPr>
              <w:spacing w:after="0"/>
              <w:rPr>
                <w:sz w:val="12"/>
                <w:szCs w:val="12"/>
                <w:color w:val="auto"/>
              </w:rPr>
            </w:pPr>
          </w:p>
        </w:tc>
      </w:tr>
      <w:tr>
        <w:trPr>
          <w:trHeight w:val="185"/>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Food</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61,994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57,116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Equipment and supplies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6,334</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9,567</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68,328</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66,683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62" w:lineRule="exact"/>
        <w:rPr>
          <w:sz w:val="20"/>
          <w:szCs w:val="20"/>
          <w:color w:val="auto"/>
        </w:rPr>
      </w:pPr>
    </w:p>
    <w:p>
      <w:pPr>
        <w:ind w:right="440" w:firstLine="469"/>
        <w:spacing w:after="0" w:line="248" w:lineRule="auto"/>
        <w:rPr>
          <w:sz w:val="20"/>
          <w:szCs w:val="20"/>
          <w:color w:val="auto"/>
        </w:rPr>
      </w:pPr>
      <w:r>
        <w:rPr>
          <w:rFonts w:ascii="Arial" w:cs="Arial" w:eastAsia="Arial" w:hAnsi="Arial"/>
          <w:sz w:val="18"/>
          <w:szCs w:val="18"/>
          <w:color w:val="auto"/>
        </w:rPr>
        <w:t>Current and long-term other assets primarily include prepaid expenses such as insurance, taxes, deposits, notes receivable, software licenses, implementation costs for cloud-based computing arrangements, covenants not-to-compete and other intangible assets primarily arising from franchise acquisitions.</w:t>
      </w:r>
    </w:p>
    <w:p>
      <w:pPr>
        <w:spacing w:after="0" w:line="168" w:lineRule="exact"/>
        <w:rPr>
          <w:sz w:val="20"/>
          <w:szCs w:val="20"/>
          <w:color w:val="auto"/>
        </w:rPr>
      </w:pPr>
    </w:p>
    <w:p>
      <w:pPr>
        <w:ind w:right="40" w:firstLine="469"/>
        <w:spacing w:after="0" w:line="262" w:lineRule="auto"/>
        <w:rPr>
          <w:sz w:val="20"/>
          <w:szCs w:val="20"/>
          <w:color w:val="auto"/>
        </w:rPr>
      </w:pPr>
      <w:r>
        <w:rPr>
          <w:rFonts w:ascii="Arial" w:cs="Arial" w:eastAsia="Arial" w:hAnsi="Arial"/>
          <w:sz w:val="17"/>
          <w:szCs w:val="17"/>
          <w:color w:val="auto"/>
        </w:rPr>
        <w:t>Other long-term assets included implementation costs for cloud-based computing arrangements (primarily related to certain enterprise systems) of $10.6 million and $8.4 million, net of accumulated amortization of $1.7 million and $0.4 million as of January 2, 2022 and January 3, 2021, respectively. Amortization expense for implementation costs for cloud-based computing arrangements was $1.3 million and $0.4 million in 2021 and 2020, respectively. Amortization expense for implementation costs for cloud-based computing arrangements in 2019 was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02" w:lineRule="exact"/>
        <w:rPr>
          <w:sz w:val="20"/>
          <w:szCs w:val="20"/>
          <w:color w:val="auto"/>
        </w:rPr>
      </w:pPr>
    </w:p>
    <w:p>
      <w:pPr>
        <w:ind w:firstLine="449"/>
        <w:spacing w:after="0" w:line="248" w:lineRule="auto"/>
        <w:rPr>
          <w:sz w:val="20"/>
          <w:szCs w:val="20"/>
          <w:color w:val="auto"/>
        </w:rPr>
      </w:pPr>
      <w:r>
        <w:rPr>
          <w:rFonts w:ascii="Arial" w:cs="Arial" w:eastAsia="Arial" w:hAnsi="Arial"/>
          <w:sz w:val="18"/>
          <w:szCs w:val="18"/>
          <w:color w:val="auto"/>
        </w:rPr>
        <w:t>Additions to property, plant and equipment are recorded at cost. Repair and maintenance costs are expensed as incurred. Depreciation and amortization expense are provided using the straight-line method over the estimated useful lives of the related assets. Estimated useful lives are generally as follows (in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3840" w:type="dxa"/>
            <w:vAlign w:val="bottom"/>
            <w:shd w:val="clear" w:color="auto" w:fill="CFF0FC"/>
          </w:tcPr>
          <w:p>
            <w:pPr>
              <w:spacing w:after="0"/>
              <w:rPr>
                <w:sz w:val="17"/>
                <w:szCs w:val="17"/>
                <w:color w:val="auto"/>
              </w:rPr>
            </w:pPr>
          </w:p>
        </w:tc>
        <w:tc>
          <w:tcPr>
            <w:tcW w:w="112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Leasehold and other improvements</w:t>
            </w:r>
          </w:p>
        </w:tc>
        <w:tc>
          <w:tcPr>
            <w:tcW w:w="3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tcPr>
          <w:p>
            <w:pPr>
              <w:ind w:left="40"/>
              <w:spacing w:after="0" w:line="202" w:lineRule="exact"/>
              <w:rPr>
                <w:sz w:val="20"/>
                <w:szCs w:val="20"/>
                <w:color w:val="auto"/>
              </w:rPr>
            </w:pPr>
            <w:r>
              <w:rPr>
                <w:rFonts w:ascii="Arial" w:cs="Arial" w:eastAsia="Arial" w:hAnsi="Arial"/>
                <w:sz w:val="18"/>
                <w:szCs w:val="18"/>
                <w:color w:val="auto"/>
              </w:rPr>
              <w:t>– 15</w:t>
            </w:r>
          </w:p>
        </w:tc>
      </w:tr>
      <w:tr>
        <w:trPr>
          <w:trHeight w:val="203"/>
        </w:trPr>
        <w:tc>
          <w:tcPr>
            <w:tcW w:w="6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Equipment</w:t>
            </w:r>
          </w:p>
        </w:tc>
        <w:tc>
          <w:tcPr>
            <w:tcW w:w="3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12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15</w:t>
            </w:r>
          </w:p>
        </w:tc>
      </w:tr>
    </w:tbl>
    <w:p>
      <w:pPr>
        <w:spacing w:after="0" w:line="188"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Depreciation and amortization expense on property, plant and equipment was $48.6 million, $42.0 million and $37.1 million in 2021, 2020 and 2019,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 of Long-Lived Assets</w:t>
      </w:r>
    </w:p>
    <w:p>
      <w:pPr>
        <w:spacing w:after="0" w:line="202" w:lineRule="exact"/>
        <w:rPr>
          <w:sz w:val="20"/>
          <w:szCs w:val="20"/>
          <w:color w:val="auto"/>
        </w:rPr>
      </w:pPr>
    </w:p>
    <w:p>
      <w:pPr>
        <w:ind w:right="60" w:firstLine="449"/>
        <w:spacing w:after="0" w:line="271" w:lineRule="auto"/>
        <w:rPr>
          <w:sz w:val="20"/>
          <w:szCs w:val="20"/>
          <w:color w:val="auto"/>
        </w:rPr>
      </w:pPr>
      <w:r>
        <w:rPr>
          <w:rFonts w:ascii="Arial" w:cs="Arial" w:eastAsia="Arial" w:hAnsi="Arial"/>
          <w:sz w:val="16"/>
          <w:szCs w:val="16"/>
          <w:color w:val="auto"/>
        </w:rPr>
        <w:t>The Company evaluates the potential impairment of long-lived assets at least annually based on various analyses including, on an annual basis, the projection of undiscounted cash flows and whenever events or changes in circumstances indicate that the carrying amount of the assets may not be recoverable. If the Company determines that the carrying amount of an asset (or asset group) may not be recoverable, the Company compares the net carrying value of the asset group to the undiscounted net cash flows to be generated from the use and eventual disposition of that asset group.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There were no triggering events in 2021, 2020 and 2019 and accordingly, the Company did not record any impairment losses on long-lived assets in 2021, 2020 and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202" w:lineRule="exact"/>
        <w:rPr>
          <w:sz w:val="20"/>
          <w:szCs w:val="20"/>
          <w:color w:val="auto"/>
        </w:rPr>
      </w:pPr>
    </w:p>
    <w:p>
      <w:pPr>
        <w:ind w:right="140" w:firstLine="449"/>
        <w:spacing w:after="0" w:line="243" w:lineRule="auto"/>
        <w:rPr>
          <w:sz w:val="20"/>
          <w:szCs w:val="20"/>
          <w:color w:val="auto"/>
        </w:rPr>
      </w:pPr>
      <w:r>
        <w:rPr>
          <w:rFonts w:ascii="Arial" w:cs="Arial" w:eastAsia="Arial" w:hAnsi="Arial"/>
          <w:sz w:val="18"/>
          <w:szCs w:val="18"/>
          <w:color w:val="auto"/>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ind w:right="100" w:firstLine="449"/>
        <w:spacing w:after="0" w:line="261" w:lineRule="auto"/>
        <w:rPr>
          <w:sz w:val="20"/>
          <w:szCs w:val="20"/>
          <w:color w:val="auto"/>
        </w:rPr>
      </w:pPr>
      <w:r>
        <w:rPr>
          <w:rFonts w:ascii="Arial" w:cs="Arial" w:eastAsia="Arial" w:hAnsi="Arial"/>
          <w:sz w:val="18"/>
          <w:szCs w:val="18"/>
          <w:color w:val="auto"/>
        </w:rPr>
        <w:t>The Company’s goodwill amounts primarily relate to franchise store acquisitions. The Company performs its required impairment tests in the fourth quarter of each fiscal year and did not recognize any goodwill impairment charges in 2021, 2020 and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189"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seven years. Capitalized software amortization expense was $24.3 million, $23.0 million and $22.8 million in 2021, 2020 and 2019, respectively.</w:t>
      </w:r>
    </w:p>
    <w:p>
      <w:pPr>
        <w:spacing w:after="0" w:line="134" w:lineRule="exact"/>
        <w:rPr>
          <w:sz w:val="20"/>
          <w:szCs w:val="20"/>
          <w:color w:val="auto"/>
        </w:rPr>
      </w:pPr>
    </w:p>
    <w:p>
      <w:pPr>
        <w:ind w:right="80" w:firstLine="449"/>
        <w:spacing w:after="0" w:line="291" w:lineRule="auto"/>
        <w:rPr>
          <w:sz w:val="20"/>
          <w:szCs w:val="20"/>
          <w:color w:val="auto"/>
        </w:rPr>
      </w:pPr>
      <w:r>
        <w:rPr>
          <w:rFonts w:ascii="Arial" w:cs="Arial" w:eastAsia="Arial" w:hAnsi="Arial"/>
          <w:sz w:val="17"/>
          <w:szCs w:val="17"/>
          <w:color w:val="auto"/>
        </w:rPr>
        <w:t>As of January 2, 2022, scheduled amortization for capitalized software that has been placed in service as of January 2, 2022 is as follows in the table below. As of January 2, 2022, the Company also had $61.0 million of capitalized software that had not yet been placed in service.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19,059</w:t>
            </w:r>
          </w:p>
        </w:tc>
        <w:tc>
          <w:tcPr>
            <w:tcW w:w="60" w:type="dxa"/>
            <w:vAlign w:val="bottom"/>
            <w:shd w:val="clear" w:color="auto" w:fill="CFF0FC"/>
          </w:tcPr>
          <w:p>
            <w:pPr>
              <w:spacing w:after="0"/>
              <w:rPr>
                <w:sz w:val="17"/>
                <w:szCs w:val="17"/>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10,075</w:t>
            </w:r>
          </w:p>
        </w:tc>
        <w:tc>
          <w:tcPr>
            <w:tcW w:w="60" w:type="dxa"/>
            <w:vAlign w:val="bottom"/>
          </w:tcPr>
          <w:p>
            <w:pPr>
              <w:spacing w:after="0"/>
              <w:rPr>
                <w:sz w:val="17"/>
                <w:szCs w:val="17"/>
                <w:color w:val="auto"/>
              </w:rPr>
            </w:pP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3,522</w:t>
            </w:r>
          </w:p>
        </w:tc>
        <w:tc>
          <w:tcPr>
            <w:tcW w:w="60" w:type="dxa"/>
            <w:vAlign w:val="bottom"/>
            <w:shd w:val="clear" w:color="auto" w:fill="CFF0FC"/>
          </w:tcPr>
          <w:p>
            <w:pPr>
              <w:spacing w:after="0"/>
              <w:rPr>
                <w:sz w:val="17"/>
                <w:szCs w:val="17"/>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1,158</w:t>
            </w:r>
          </w:p>
        </w:tc>
        <w:tc>
          <w:tcPr>
            <w:tcW w:w="60" w:type="dxa"/>
            <w:vAlign w:val="bottom"/>
          </w:tcPr>
          <w:p>
            <w:pPr>
              <w:spacing w:after="0"/>
              <w:rPr>
                <w:sz w:val="17"/>
                <w:szCs w:val="17"/>
                <w:color w:val="auto"/>
              </w:rPr>
            </w:pP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w:t>
            </w:r>
          </w:p>
        </w:tc>
        <w:tc>
          <w:tcPr>
            <w:tcW w:w="60" w:type="dxa"/>
            <w:vAlign w:val="bottom"/>
            <w:shd w:val="clear" w:color="auto" w:fill="CFF0FC"/>
          </w:tcPr>
          <w:p>
            <w:pPr>
              <w:spacing w:after="0"/>
              <w:rPr>
                <w:sz w:val="17"/>
                <w:szCs w:val="17"/>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17"/>
                <w:szCs w:val="17"/>
                <w:color w:val="auto"/>
              </w:rPr>
            </w:pP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36"/>
        </w:trPr>
        <w:tc>
          <w:tcPr>
            <w:tcW w:w="9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34,582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02"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Equity investments without readily determinable fair values are recorded at cost with adjustments for observable changes in prices resulting from orderly transactions for the identical or a similar investment of the same issuer or impairments (Note 4). These amounts are recorded in investments in the consolidated balance sheet. Any adjustments to the carrying amount are recognized in other income in the Company’s consolidated statements of income.</w:t>
      </w:r>
    </w:p>
    <w:p>
      <w:pPr>
        <w:spacing w:after="0" w:line="134"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Company evaluates the potential impairment of its investments based on various analyses including financial results and operating trends, implied values from recent similar transactions and other relevant available information. If the carrying amount of the investment exceeds the estimated fair value of the investment, an impairment loss is recognized, and the investment is written down to its estimated fair value.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02" w:lineRule="exact"/>
        <w:rPr>
          <w:sz w:val="20"/>
          <w:szCs w:val="20"/>
          <w:color w:val="auto"/>
        </w:rPr>
      </w:pPr>
    </w:p>
    <w:p>
      <w:pPr>
        <w:ind w:firstLine="449"/>
        <w:spacing w:after="0" w:line="243" w:lineRule="auto"/>
        <w:rPr>
          <w:sz w:val="20"/>
          <w:szCs w:val="20"/>
          <w:color w:val="auto"/>
        </w:rPr>
      </w:pPr>
      <w:r>
        <w:rPr>
          <w:rFonts w:ascii="Arial" w:cs="Arial" w:eastAsia="Arial" w:hAnsi="Arial"/>
          <w:sz w:val="18"/>
          <w:szCs w:val="18"/>
          <w:color w:val="auto"/>
        </w:rPr>
        <w:t>Debt issuance costs are recorded as a reduction to the Company’s debt balance and primarily include the expenses incurred by the Company as part of the 2021, 2019, 2018, 2017 and 2015 Recapitalizations. Refer to Note 3 for a description of the 2021, 2019, 2018, 2017 and 2015 Recapitalizations. Amortization is recorded on a straight-line basis (which is materially consistent with the effective interest method) over the expected terms of the respective debt instrument to which the costs relate and is included in interest expense.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 amortization expense was $7.5 million, $5.5 million and $4.7 million in 2021, 2020 and 2019,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Insurance Reserves</w:t>
      </w:r>
    </w:p>
    <w:p>
      <w:pPr>
        <w:spacing w:after="0" w:line="121" w:lineRule="exact"/>
        <w:rPr>
          <w:sz w:val="20"/>
          <w:szCs w:val="20"/>
          <w:color w:val="auto"/>
        </w:rPr>
      </w:pPr>
    </w:p>
    <w:p>
      <w:pPr>
        <w:ind w:right="80" w:firstLine="449"/>
        <w:spacing w:after="0" w:line="257" w:lineRule="auto"/>
        <w:rPr>
          <w:sz w:val="20"/>
          <w:szCs w:val="20"/>
          <w:color w:val="auto"/>
        </w:rPr>
      </w:pPr>
      <w:r>
        <w:rPr>
          <w:rFonts w:ascii="Arial" w:cs="Arial" w:eastAsia="Arial" w:hAnsi="Arial"/>
          <w:sz w:val="17"/>
          <w:szCs w:val="17"/>
          <w:color w:val="auto"/>
        </w:rPr>
        <w:t>The Company has retention programs for workers’ compensation, general liability and owned and non-owned automobile liabilities for certain periods prior to December 1998 and for periods after December 2001. The Company is generally responsible for up to $2.0 million per occurrence under these retention programs for workers’ compensation and general liability exposures. The Company is also generally responsible for between $500,000 and $5.5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162" w:lineRule="exact"/>
        <w:rPr>
          <w:sz w:val="20"/>
          <w:szCs w:val="20"/>
          <w:color w:val="auto"/>
        </w:rPr>
      </w:pPr>
    </w:p>
    <w:p>
      <w:pPr>
        <w:ind w:right="120" w:firstLine="449"/>
        <w:spacing w:after="0"/>
        <w:rPr>
          <w:sz w:val="20"/>
          <w:szCs w:val="20"/>
          <w:color w:val="auto"/>
        </w:rPr>
      </w:pPr>
      <w:r>
        <w:rPr>
          <w:rFonts w:ascii="Arial" w:cs="Arial" w:eastAsia="Arial" w:hAnsi="Arial"/>
          <w:sz w:val="18"/>
          <w:szCs w:val="18"/>
          <w:color w:val="auto"/>
        </w:rPr>
        <w:t>Casualty insurance reserves relating to the Company's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casualty insurance exposures from its independent actuary twice per year and differences between these estimated actuarial exposures and the Company’s recorded amounts are adjusted as appropriate. The Company had reserves for these programs of $56.5 million and $54.6 million as of January 2, 2022 and January 3, 2021, respectively.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Company maintains reserves for its share of employee health costs as part of the health care benefits offered to its employees.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Reserves are based on estimated claims incurred that have not yet been paid, based on historical claims and payment lag times.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right="20" w:firstLine="449"/>
        <w:spacing w:after="0" w:line="243" w:lineRule="auto"/>
        <w:rPr>
          <w:sz w:val="20"/>
          <w:szCs w:val="20"/>
          <w:color w:val="auto"/>
        </w:rPr>
      </w:pPr>
      <w:r>
        <w:rPr>
          <w:rFonts w:ascii="Arial" w:cs="Arial" w:eastAsia="Arial" w:hAnsi="Arial"/>
          <w:sz w:val="18"/>
          <w:szCs w:val="18"/>
          <w:color w:val="auto"/>
        </w:rPr>
        <w:t>Contract liabilities consist primarily of deferred franchise fees and deferred development fees. Deferred franchise fees and deferred development fees of $5.4 million and $4.1 million were included in current other accrued liabilities as of January 2, 2022 and January 3, 2021, respectively. Deferred franchise fees and deferred development fees of $24.3 million and $15.0 million were included in long-term other accrued liabilities as of January 2, 2022 and January 3, 2021, respectively.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deferred franchise fees and deferred development fees in 2021 and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9"/>
        </w:trPr>
        <w:tc>
          <w:tcPr>
            <w:tcW w:w="7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right"/>
              <w:ind w:right="780"/>
              <w:spacing w:after="0" w:line="139" w:lineRule="exact"/>
              <w:rPr>
                <w:sz w:val="20"/>
                <w:szCs w:val="20"/>
                <w:color w:val="auto"/>
              </w:rPr>
            </w:pPr>
            <w:r>
              <w:rPr>
                <w:rFonts w:ascii="Arial" w:cs="Arial" w:eastAsia="Arial" w:hAnsi="Arial"/>
                <w:sz w:val="14"/>
                <w:szCs w:val="14"/>
                <w:b w:val="1"/>
                <w:bCs w:val="1"/>
                <w:color w:val="auto"/>
              </w:rPr>
              <w:t>January 2,</w:t>
            </w:r>
          </w:p>
        </w:tc>
        <w:tc>
          <w:tcPr>
            <w:tcW w:w="420" w:type="dxa"/>
            <w:vAlign w:val="bottom"/>
          </w:tcPr>
          <w:p>
            <w:pPr>
              <w:spacing w:after="0"/>
              <w:rPr>
                <w:sz w:val="12"/>
                <w:szCs w:val="12"/>
                <w:color w:val="auto"/>
              </w:rPr>
            </w:pPr>
          </w:p>
        </w:tc>
        <w:tc>
          <w:tcPr>
            <w:tcW w:w="1180" w:type="dxa"/>
            <w:vAlign w:val="bottom"/>
          </w:tcPr>
          <w:p>
            <w:pPr>
              <w:jc w:val="right"/>
              <w:ind w:right="396"/>
              <w:spacing w:after="0" w:line="139" w:lineRule="exact"/>
              <w:rPr>
                <w:sz w:val="20"/>
                <w:szCs w:val="20"/>
                <w:color w:val="auto"/>
              </w:rPr>
            </w:pPr>
            <w:r>
              <w:rPr>
                <w:rFonts w:ascii="Arial" w:cs="Arial" w:eastAsia="Arial" w:hAnsi="Arial"/>
                <w:sz w:val="14"/>
                <w:szCs w:val="14"/>
                <w:b w:val="1"/>
                <w:bCs w:val="1"/>
                <w:color w:val="auto"/>
                <w:w w:val="98"/>
              </w:rPr>
              <w:t>January 3,</w:t>
            </w:r>
          </w:p>
        </w:tc>
        <w:tc>
          <w:tcPr>
            <w:tcW w:w="100" w:type="dxa"/>
            <w:vAlign w:val="bottom"/>
          </w:tcPr>
          <w:p>
            <w:pPr>
              <w:spacing w:after="0"/>
              <w:rPr>
                <w:sz w:val="12"/>
                <w:szCs w:val="12"/>
                <w:color w:val="auto"/>
              </w:rPr>
            </w:pPr>
          </w:p>
        </w:tc>
      </w:tr>
      <w:tr>
        <w:trPr>
          <w:trHeight w:val="185"/>
        </w:trPr>
        <w:tc>
          <w:tcPr>
            <w:tcW w:w="7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franchise fees and deferred development fees, beginning of period</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19,090</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20,463</w:t>
            </w:r>
          </w:p>
        </w:tc>
        <w:tc>
          <w:tcPr>
            <w:tcW w:w="100" w:type="dxa"/>
            <w:vAlign w:val="bottom"/>
            <w:shd w:val="clear" w:color="auto" w:fill="CFF0FC"/>
          </w:tcPr>
          <w:p>
            <w:pPr>
              <w:spacing w:after="0"/>
              <w:rPr>
                <w:sz w:val="17"/>
                <w:szCs w:val="17"/>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Revenue recognized during the period</w:t>
            </w:r>
          </w:p>
        </w:tc>
        <w:tc>
          <w:tcPr>
            <w:tcW w:w="3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(5,845 )</w:t>
            </w:r>
          </w:p>
        </w:tc>
        <w:tc>
          <w:tcPr>
            <w:tcW w:w="4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(6,205 )</w:t>
            </w: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New deferrals due to cash received and other</w:t>
            </w:r>
          </w:p>
        </w:tc>
        <w:tc>
          <w:tcPr>
            <w:tcW w:w="3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16,449</w:t>
            </w:r>
          </w:p>
        </w:tc>
        <w:tc>
          <w:tcPr>
            <w:tcW w:w="2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Deferred franchise fees and deferred development fees, end of period</w:t>
            </w: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29,694</w:t>
            </w:r>
          </w:p>
        </w:tc>
        <w:tc>
          <w:tcPr>
            <w:tcW w:w="2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19,090</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-159385</wp:posOffset>
            </wp:positionV>
            <wp:extent cx="77470" cy="160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1600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1600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60020"/>
                    </a:xfrm>
                    <a:prstGeom prst="rect">
                      <a:avLst/>
                    </a:prstGeom>
                    <a:noFill/>
                  </pic:spPr>
                </pic:pic>
              </a:graphicData>
            </a:graphic>
          </wp:anchor>
        </w:drawing>
      </w:r>
    </w:p>
    <w:p>
      <w:pPr>
        <w:spacing w:after="0" w:line="168" w:lineRule="exact"/>
        <w:rPr>
          <w:sz w:val="20"/>
          <w:szCs w:val="20"/>
          <w:color w:val="auto"/>
        </w:rPr>
      </w:pPr>
    </w:p>
    <w:p>
      <w:pPr>
        <w:ind w:right="80" w:firstLine="449"/>
        <w:spacing w:after="0" w:line="248" w:lineRule="auto"/>
        <w:rPr>
          <w:sz w:val="20"/>
          <w:szCs w:val="20"/>
          <w:color w:val="auto"/>
        </w:rPr>
      </w:pPr>
      <w:r>
        <w:rPr>
          <w:rFonts w:ascii="Arial" w:cs="Arial" w:eastAsia="Arial" w:hAnsi="Arial"/>
          <w:sz w:val="18"/>
          <w:szCs w:val="18"/>
          <w:color w:val="auto"/>
        </w:rPr>
        <w:t>The Company expects to recognize revenue associated with deferred franchise fees and deferred development fees as follows in the table below. The Company has applied the sales-based royalty exemption which permits exclusion of variable consideration in the form of sales-based royalties from the disclosure of remaining performance obligations.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5,403</w:t>
            </w:r>
          </w:p>
        </w:tc>
        <w:tc>
          <w:tcPr>
            <w:tcW w:w="60" w:type="dxa"/>
            <w:vAlign w:val="bottom"/>
            <w:shd w:val="clear" w:color="auto" w:fill="CFF0FC"/>
          </w:tcPr>
          <w:p>
            <w:pPr>
              <w:spacing w:after="0"/>
              <w:rPr>
                <w:sz w:val="18"/>
                <w:szCs w:val="18"/>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5,162</w:t>
            </w:r>
          </w:p>
        </w:tc>
        <w:tc>
          <w:tcPr>
            <w:tcW w:w="60" w:type="dxa"/>
            <w:vAlign w:val="bottom"/>
          </w:tcPr>
          <w:p>
            <w:pPr>
              <w:spacing w:after="0"/>
              <w:rPr>
                <w:sz w:val="17"/>
                <w:szCs w:val="17"/>
                <w:color w:val="auto"/>
              </w:rPr>
            </w:pP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4,855</w:t>
            </w:r>
          </w:p>
        </w:tc>
        <w:tc>
          <w:tcPr>
            <w:tcW w:w="60" w:type="dxa"/>
            <w:vAlign w:val="bottom"/>
            <w:shd w:val="clear" w:color="auto" w:fill="CFF0FC"/>
          </w:tcPr>
          <w:p>
            <w:pPr>
              <w:spacing w:after="0"/>
              <w:rPr>
                <w:sz w:val="17"/>
                <w:szCs w:val="17"/>
                <w:color w:val="auto"/>
              </w:rPr>
            </w:pP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4,406</w:t>
            </w:r>
          </w:p>
        </w:tc>
        <w:tc>
          <w:tcPr>
            <w:tcW w:w="60" w:type="dxa"/>
            <w:vAlign w:val="bottom"/>
          </w:tcPr>
          <w:p>
            <w:pPr>
              <w:spacing w:after="0"/>
              <w:rPr>
                <w:sz w:val="17"/>
                <w:szCs w:val="17"/>
                <w:color w:val="auto"/>
              </w:rPr>
            </w:pP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4,003</w:t>
            </w:r>
          </w:p>
        </w:tc>
        <w:tc>
          <w:tcPr>
            <w:tcW w:w="60" w:type="dxa"/>
            <w:vAlign w:val="bottom"/>
            <w:shd w:val="clear" w:color="auto" w:fill="CFF0FC"/>
          </w:tcPr>
          <w:p>
            <w:pPr>
              <w:spacing w:after="0"/>
              <w:rPr>
                <w:sz w:val="17"/>
                <w:szCs w:val="17"/>
                <w:color w:val="auto"/>
              </w:rPr>
            </w:pPr>
          </w:p>
        </w:tc>
      </w:tr>
      <w:tr>
        <w:trPr>
          <w:trHeight w:val="202"/>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5,865</w:t>
            </w:r>
          </w:p>
        </w:tc>
        <w:tc>
          <w:tcPr>
            <w:tcW w:w="60" w:type="dxa"/>
            <w:vAlign w:val="bottom"/>
          </w:tcPr>
          <w:p>
            <w:pPr>
              <w:spacing w:after="0"/>
              <w:rPr>
                <w:sz w:val="17"/>
                <w:szCs w:val="17"/>
                <w:color w:val="auto"/>
              </w:rPr>
            </w:pPr>
          </w:p>
        </w:tc>
      </w:tr>
      <w:tr>
        <w:trPr>
          <w:trHeight w:val="236"/>
        </w:trPr>
        <w:tc>
          <w:tcPr>
            <w:tcW w:w="9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29,694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Liabilities</w:t>
      </w:r>
    </w:p>
    <w:p>
      <w:pPr>
        <w:spacing w:after="0" w:line="121"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color w:val="auto"/>
        </w:rPr>
        <w:t>Current and long-term other accrued liabilities primarily include accruals for income, sales, property and other taxes, legal reserves, store operating expenses, dividends payable, deferred compensation and contract liabilities.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jc w:val="both"/>
        <w:ind w:right="80" w:firstLine="469"/>
        <w:spacing w:after="0" w:line="243" w:lineRule="auto"/>
        <w:rPr>
          <w:sz w:val="20"/>
          <w:szCs w:val="20"/>
          <w:color w:val="auto"/>
        </w:rPr>
      </w:pPr>
      <w:r>
        <w:rPr>
          <w:rFonts w:ascii="Arial" w:cs="Arial" w:eastAsia="Arial" w:hAnsi="Arial"/>
          <w:sz w:val="18"/>
          <w:szCs w:val="18"/>
          <w:color w:val="auto"/>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spacing w:after="0" w:line="80" w:lineRule="exact"/>
        <w:rPr>
          <w:sz w:val="20"/>
          <w:szCs w:val="20"/>
          <w:color w:val="auto"/>
        </w:rPr>
      </w:pPr>
    </w:p>
    <w:p>
      <w:pPr>
        <w:ind w:right="160" w:firstLine="449"/>
        <w:spacing w:after="0"/>
        <w:rPr>
          <w:sz w:val="20"/>
          <w:szCs w:val="20"/>
          <w:color w:val="auto"/>
        </w:rPr>
      </w:pPr>
      <w:r>
        <w:rPr>
          <w:rFonts w:ascii="Arial" w:cs="Arial" w:eastAsia="Arial" w:hAnsi="Arial"/>
          <w:sz w:val="18"/>
          <w:szCs w:val="18"/>
          <w:color w:val="auto"/>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 to per-transaction technology fees that are recognized as the related sales occur. Payments for U.S. royalties and fees are generally due within seven days of the prior week end date.</w:t>
      </w:r>
    </w:p>
    <w:p>
      <w:pPr>
        <w:spacing w:after="0" w:line="8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7"/>
          <w:szCs w:val="17"/>
          <w:color w:val="auto"/>
        </w:rPr>
        <w:t>Supply chain revenues are primarily comprised of sales of food, equipment and supplies to franchised Domino’s Pizza stores located in the U.S. and Canada. Revenues from the sale of food are recognized upon delivery of the food to franchisees and payments for food purchases are generally due within 30 days of the shipping date. Revenues from the sale of equipment and supplies are recognized upon delivery or shipment of the related products to franchisees, based on shipping terms, and payments for equipment and supplies are generally due within 90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 throughout the year.</w:t>
      </w:r>
    </w:p>
    <w:p>
      <w:pPr>
        <w:spacing w:after="0" w:line="72" w:lineRule="exact"/>
        <w:rPr>
          <w:sz w:val="20"/>
          <w:szCs w:val="20"/>
          <w:color w:val="auto"/>
        </w:rPr>
      </w:pPr>
    </w:p>
    <w:p>
      <w:pPr>
        <w:ind w:right="60" w:firstLine="449"/>
        <w:spacing w:after="0" w:line="239" w:lineRule="auto"/>
        <w:rPr>
          <w:sz w:val="20"/>
          <w:szCs w:val="20"/>
          <w:color w:val="auto"/>
        </w:rPr>
      </w:pPr>
      <w:r>
        <w:rPr>
          <w:rFonts w:ascii="Arial" w:cs="Arial" w:eastAsia="Arial" w:hAnsi="Arial"/>
          <w:sz w:val="18"/>
          <w:szCs w:val="18"/>
          <w:color w:val="auto"/>
        </w:rPr>
        <w:t>International franchise royalties and fees are primarily comprised of royalties and fees from Domino’s Pizza franchisees outside of the U.S. Royalty revenues are recognized when the items are delivered to or carried out by franchisees’ customers. Store opening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 primarily relates to per-transaction technology fees that are recognized as the related sales occur. International franchise royalties and fees are invoiced at least quarterly and payments are generally due within 60 days.</w:t>
      </w:r>
    </w:p>
    <w:p>
      <w:pPr>
        <w:spacing w:after="0" w:line="83" w:lineRule="exact"/>
        <w:rPr>
          <w:sz w:val="20"/>
          <w:szCs w:val="20"/>
          <w:color w:val="auto"/>
        </w:rPr>
      </w:pPr>
    </w:p>
    <w:p>
      <w:pPr>
        <w:ind w:firstLine="449"/>
        <w:spacing w:after="0" w:line="238" w:lineRule="auto"/>
        <w:rPr>
          <w:sz w:val="20"/>
          <w:szCs w:val="20"/>
          <w:color w:val="auto"/>
        </w:rPr>
      </w:pPr>
      <w:r>
        <w:rPr>
          <w:rFonts w:ascii="Arial" w:cs="Arial" w:eastAsia="Arial" w:hAnsi="Arial"/>
          <w:sz w:val="18"/>
          <w:szCs w:val="18"/>
          <w:color w:val="auto"/>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 of their retail sales to fund national marketing and advertising campaigns (subject, in certain instances, to lower rates based on certain incentives and waivers).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its U.S. royalty payment stream and as a result, these franchise contributions and the related expenses are presented gross in the Company’s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jc w:val="both"/>
        <w:ind w:right="120" w:firstLine="449"/>
        <w:spacing w:after="0" w:line="248" w:lineRule="auto"/>
        <w:rPr>
          <w:sz w:val="20"/>
          <w:szCs w:val="20"/>
          <w:color w:val="auto"/>
        </w:rPr>
      </w:pPr>
      <w:r>
        <w:rPr>
          <w:rFonts w:ascii="Arial" w:cs="Arial" w:eastAsia="Arial" w:hAnsi="Arial"/>
          <w:sz w:val="18"/>
          <w:szCs w:val="18"/>
          <w:color w:val="auto"/>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Supply Chain Profit-Sharing Arrangements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7"/>
          <w:szCs w:val="17"/>
          <w:color w:val="auto"/>
        </w:rPr>
        <w:t>The Company enters into profit-sharing arrangements with U.S. and Canadian franchisees that purchase all of their food from the Company’s supply chain centers. These profit-sharing arrangements generally offer Company-owned stores and participating franchisees 50% (or a higher percentage in the case of Company-owned stores and certain franchisees who operate a larger number of stores) of the pre-tax profit from the Company’s supply chain center operations. Profit-sharing obligations are recorded as a reduction to supply chain revenues in the same period as the related revenues and costs are recorded, and were $148.3 million, $169.0 million and $143.5 million in 2021, 2020 and 2019,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60" w:firstLine="449"/>
        <w:spacing w:after="0" w:line="248" w:lineRule="auto"/>
        <w:rPr>
          <w:sz w:val="20"/>
          <w:szCs w:val="20"/>
          <w:color w:val="auto"/>
        </w:rPr>
      </w:pPr>
      <w:r>
        <w:rPr>
          <w:rFonts w:ascii="Arial" w:cs="Arial" w:eastAsia="Arial" w:hAnsi="Arial"/>
          <w:sz w:val="18"/>
          <w:szCs w:val="18"/>
          <w:color w:val="auto"/>
        </w:rPr>
        <w:t>Cost of sales consists primarily of U.S. Company-owned store and supply chain costs incurred to generate related revenues. Components of consolidated cost of sales primarily include food, labor, delivery, occupancy costs (including rent, telephone, utilities and depreciation) and insurance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260" w:firstLine="449"/>
        <w:spacing w:after="0" w:line="248" w:lineRule="auto"/>
        <w:rPr>
          <w:sz w:val="20"/>
          <w:szCs w:val="20"/>
          <w:color w:val="auto"/>
        </w:rPr>
      </w:pPr>
      <w:r>
        <w:rPr>
          <w:rFonts w:ascii="Arial" w:cs="Arial" w:eastAsia="Arial" w:hAnsi="Arial"/>
          <w:sz w:val="18"/>
          <w:szCs w:val="18"/>
          <w:color w:val="auto"/>
        </w:rPr>
        <w:t>General and administrative expense consists primarily of labor cost (including variable performance-based compensation expense and non-cash equity-based compensation expense), depreciation and amortization, computer expenses, professional fees, travel and entertainment, rent, insurance and other corporate administrative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200" w:firstLine="449"/>
        <w:spacing w:after="0"/>
        <w:rPr>
          <w:sz w:val="20"/>
          <w:szCs w:val="20"/>
          <w:color w:val="auto"/>
        </w:rPr>
      </w:pPr>
      <w:r>
        <w:rPr>
          <w:rFonts w:ascii="Arial" w:cs="Arial" w:eastAsia="Arial" w:hAnsi="Arial"/>
          <w:sz w:val="18"/>
          <w:szCs w:val="18"/>
          <w:color w:val="auto"/>
        </w:rPr>
        <w:t>U.S. stores are generally required to contribute 6% of sales to DNAF. U.S. franchise advertising costs are accrued and expensed when the related U.S. franchise advertising revenues are recognized, as DNAF is obligated to expend such revenues on advertising and other activities to promote the Domino’s brand.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w:t>
      </w:r>
    </w:p>
    <w:p>
      <w:pPr>
        <w:spacing w:after="0" w:line="81" w:lineRule="exact"/>
        <w:rPr>
          <w:sz w:val="20"/>
          <w:szCs w:val="20"/>
          <w:color w:val="auto"/>
        </w:rPr>
      </w:pPr>
    </w:p>
    <w:p>
      <w:pPr>
        <w:ind w:firstLine="449"/>
        <w:spacing w:after="0" w:line="243" w:lineRule="auto"/>
        <w:rPr>
          <w:sz w:val="20"/>
          <w:szCs w:val="20"/>
          <w:color w:val="auto"/>
        </w:rPr>
      </w:pPr>
      <w:r>
        <w:rPr>
          <w:rFonts w:ascii="Arial" w:cs="Arial" w:eastAsia="Arial" w:hAnsi="Arial"/>
          <w:sz w:val="18"/>
          <w:szCs w:val="18"/>
          <w:color w:val="auto"/>
        </w:rPr>
        <w:t>Advertising expense included $479.5 million, $462.2 million and $390.8 million of U.S. franchise advertising expense in 2021, 2020 and 2019, respectively. Advertising expense also included $42.1 million, $35.7 million and $37.6 million in 2021, 2020 and 2019, respectively, primarily related to advertising costs funded by U.S. Company-owned stores and other general marketing expenses which are included in general and administrative expense in the consolidated statements of income.</w:t>
      </w:r>
    </w:p>
    <w:p>
      <w:pPr>
        <w:spacing w:after="0" w:line="93" w:lineRule="exact"/>
        <w:rPr>
          <w:sz w:val="20"/>
          <w:szCs w:val="20"/>
          <w:color w:val="auto"/>
        </w:rPr>
      </w:pPr>
    </w:p>
    <w:p>
      <w:pPr>
        <w:jc w:val="both"/>
        <w:ind w:right="40" w:firstLine="449"/>
        <w:spacing w:after="0" w:line="248" w:lineRule="auto"/>
        <w:rPr>
          <w:sz w:val="20"/>
          <w:szCs w:val="20"/>
          <w:color w:val="auto"/>
        </w:rPr>
      </w:pPr>
      <w:r>
        <w:rPr>
          <w:rFonts w:ascii="Arial" w:cs="Arial" w:eastAsia="Arial" w:hAnsi="Arial"/>
          <w:sz w:val="18"/>
          <w:szCs w:val="18"/>
          <w:color w:val="auto"/>
        </w:rPr>
        <w:t>As of January 2, 2022, advertising fund assets, restricted of $180.9 million consisted of $161.7 million of cash and cash equivalents, $14.5 million of accounts receivable and $4.7 million of prepaid expenses. As of January 2, 2022, advertising fund cash and cash equivalents included $7.2 million of cash contributed from U.S. Company-owned stores that had not yet been expended.</w:t>
      </w:r>
    </w:p>
    <w:p>
      <w:pPr>
        <w:spacing w:after="0" w:line="87" w:lineRule="exact"/>
        <w:rPr>
          <w:sz w:val="20"/>
          <w:szCs w:val="20"/>
          <w:color w:val="auto"/>
        </w:rPr>
      </w:pPr>
    </w:p>
    <w:p>
      <w:pPr>
        <w:jc w:val="both"/>
        <w:ind w:right="40" w:firstLine="449"/>
        <w:spacing w:after="0" w:line="248" w:lineRule="auto"/>
        <w:rPr>
          <w:sz w:val="20"/>
          <w:szCs w:val="20"/>
          <w:color w:val="auto"/>
        </w:rPr>
      </w:pPr>
      <w:r>
        <w:rPr>
          <w:rFonts w:ascii="Arial" w:cs="Arial" w:eastAsia="Arial" w:hAnsi="Arial"/>
          <w:sz w:val="18"/>
          <w:szCs w:val="18"/>
          <w:color w:val="auto"/>
        </w:rPr>
        <w:t>As of January 3, 2021, advertising fund assets, restricted of $147.7 million consisted of $115.9 million of cash and cash equivalents, $27.0 million of accounts receivable and $4.8 million of prepaid expenses. As of January 3, 2021, advertising fund cash and cash equivalents included $6.5 million of cash contributed from U.S. Company-owned stores that had not yet been expended.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80" w:firstLine="449"/>
        <w:spacing w:after="0" w:line="284" w:lineRule="auto"/>
        <w:rPr>
          <w:sz w:val="20"/>
          <w:szCs w:val="20"/>
          <w:color w:val="auto"/>
        </w:rPr>
      </w:pPr>
      <w:r>
        <w:rPr>
          <w:rFonts w:ascii="Arial" w:cs="Arial" w:eastAsia="Arial" w:hAnsi="Arial"/>
          <w:sz w:val="16"/>
          <w:szCs w:val="16"/>
          <w:color w:val="auto"/>
        </w:rPr>
        <w:t>The Company leases certain retail store and supply chain center locations, supply chain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 Finance leases are included in property, plant and equipment, current portion of long-term debt and long-term debt on the Company’s consolidated balance sheet.</w:t>
      </w:r>
    </w:p>
    <w:p>
      <w:pPr>
        <w:spacing w:after="0" w:line="47" w:lineRule="exact"/>
        <w:rPr>
          <w:sz w:val="20"/>
          <w:szCs w:val="20"/>
          <w:color w:val="auto"/>
        </w:rPr>
      </w:pPr>
    </w:p>
    <w:p>
      <w:pPr>
        <w:jc w:val="both"/>
        <w:ind w:right="260" w:firstLine="449"/>
        <w:spacing w:after="0" w:line="239" w:lineRule="auto"/>
        <w:rPr>
          <w:sz w:val="20"/>
          <w:szCs w:val="20"/>
          <w:color w:val="auto"/>
        </w:rPr>
      </w:pPr>
      <w:r>
        <w:rPr>
          <w:rFonts w:ascii="Arial" w:cs="Arial" w:eastAsia="Arial" w:hAnsi="Arial"/>
          <w:sz w:val="18"/>
          <w:szCs w:val="18"/>
          <w:color w:val="auto"/>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2" w:name="page63"/>
    <w:bookmarkEnd w:id="62"/>
    <w:p>
      <w:pPr>
        <w:jc w:val="both"/>
        <w:ind w:right="200" w:firstLine="449"/>
        <w:spacing w:after="0" w:line="294" w:lineRule="auto"/>
        <w:rPr>
          <w:sz w:val="20"/>
          <w:szCs w:val="20"/>
          <w:color w:val="auto"/>
        </w:rPr>
      </w:pPr>
      <w:r>
        <w:rPr>
          <w:rFonts w:ascii="Arial" w:cs="Arial" w:eastAsia="Arial" w:hAnsi="Arial"/>
          <w:sz w:val="16"/>
          <w:szCs w:val="16"/>
          <w:color w:val="auto"/>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spacing w:after="0" w:line="39"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Dividends</w:t>
      </w:r>
    </w:p>
    <w:p>
      <w:pPr>
        <w:spacing w:after="0" w:line="189" w:lineRule="exact"/>
        <w:rPr>
          <w:sz w:val="20"/>
          <w:szCs w:val="20"/>
          <w:color w:val="auto"/>
        </w:rPr>
      </w:pPr>
    </w:p>
    <w:p>
      <w:pPr>
        <w:ind w:right="80" w:firstLine="449"/>
        <w:spacing w:after="0" w:line="324" w:lineRule="auto"/>
        <w:rPr>
          <w:sz w:val="20"/>
          <w:szCs w:val="20"/>
          <w:color w:val="auto"/>
        </w:rPr>
      </w:pPr>
      <w:r>
        <w:rPr>
          <w:rFonts w:ascii="Arial" w:cs="Arial" w:eastAsia="Arial" w:hAnsi="Arial"/>
          <w:sz w:val="16"/>
          <w:szCs w:val="16"/>
          <w:color w:val="auto"/>
        </w:rPr>
        <w:t>The Company declared dividends of $139.6 million (or $3.76 per share) in 2021, $122.2 million (or $3.12 per share) in 2020 and $105.6 million (or $2.60 per share) in 2019. The Company paid dividends of $139.4 million, $121.9 million, and $105.7 million in 2021, 2020 and 2019, respectively.</w:t>
      </w:r>
    </w:p>
    <w:p>
      <w:pPr>
        <w:spacing w:after="0" w:line="16" w:lineRule="exact"/>
        <w:rPr>
          <w:sz w:val="20"/>
          <w:szCs w:val="20"/>
          <w:color w:val="auto"/>
        </w:rPr>
      </w:pPr>
    </w:p>
    <w:p>
      <w:pPr>
        <w:ind w:right="200" w:firstLine="449"/>
        <w:spacing w:after="0" w:line="261" w:lineRule="auto"/>
        <w:rPr>
          <w:sz w:val="20"/>
          <w:szCs w:val="20"/>
          <w:color w:val="auto"/>
        </w:rPr>
      </w:pPr>
      <w:r>
        <w:rPr>
          <w:rFonts w:ascii="Arial" w:cs="Arial" w:eastAsia="Arial" w:hAnsi="Arial"/>
          <w:sz w:val="18"/>
          <w:szCs w:val="18"/>
          <w:color w:val="auto"/>
        </w:rPr>
        <w:t>On February 24, 2022, the Company’s Board of Directors declared a quarterly dividend of $1.10 per common share payable on March 30, 2022 to shareholders of record at the close of business on March 15,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Other Equity-Based Compensation Arrangements</w:t>
      </w:r>
    </w:p>
    <w:p>
      <w:pPr>
        <w:spacing w:after="0" w:line="121" w:lineRule="exact"/>
        <w:rPr>
          <w:sz w:val="20"/>
          <w:szCs w:val="20"/>
          <w:color w:val="auto"/>
        </w:rPr>
      </w:pPr>
    </w:p>
    <w:p>
      <w:pPr>
        <w:ind w:right="320" w:firstLine="449"/>
        <w:spacing w:after="0" w:line="261" w:lineRule="auto"/>
        <w:rPr>
          <w:sz w:val="20"/>
          <w:szCs w:val="20"/>
          <w:color w:val="auto"/>
        </w:rPr>
      </w:pPr>
      <w:r>
        <w:rPr>
          <w:rFonts w:ascii="Arial" w:cs="Arial" w:eastAsia="Arial" w:hAnsi="Arial"/>
          <w:sz w:val="18"/>
          <w:szCs w:val="18"/>
          <w:color w:val="auto"/>
        </w:rPr>
        <w:t>The cost of all of the Company’s stock options, as well as other equity-based compensation arrangements, is reflected in the financial statements based on the estimated fair value of the awards (Note 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80" w:firstLine="449"/>
        <w:spacing w:after="0" w:line="243" w:lineRule="auto"/>
        <w:rPr>
          <w:sz w:val="20"/>
          <w:szCs w:val="20"/>
          <w:color w:val="auto"/>
        </w:rPr>
      </w:pPr>
      <w:r>
        <w:rPr>
          <w:rFonts w:ascii="Arial" w:cs="Arial" w:eastAsia="Arial" w:hAnsi="Arial"/>
          <w:sz w:val="18"/>
          <w:szCs w:val="18"/>
          <w:color w:val="auto"/>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grants and unvested performance-based restricted stock grants.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paid interest of $174.6 million, $160.6 million and $142.3 million during 2021, 2020 and 2019, respectively, on its Notes (Note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income taxes was $106.3 million, $60.4 million and $80.3 million in 2021, 2020 and 2019, respectively.</w:t>
      </w:r>
    </w:p>
    <w:p>
      <w:pPr>
        <w:spacing w:after="0" w:line="88" w:lineRule="exact"/>
        <w:rPr>
          <w:sz w:val="20"/>
          <w:szCs w:val="20"/>
          <w:color w:val="auto"/>
        </w:rPr>
      </w:pPr>
    </w:p>
    <w:p>
      <w:pPr>
        <w:ind w:right="100" w:firstLine="449"/>
        <w:spacing w:after="0" w:line="248" w:lineRule="auto"/>
        <w:rPr>
          <w:sz w:val="20"/>
          <w:szCs w:val="20"/>
          <w:color w:val="auto"/>
        </w:rPr>
      </w:pPr>
      <w:r>
        <w:rPr>
          <w:rFonts w:ascii="Arial" w:cs="Arial" w:eastAsia="Arial" w:hAnsi="Arial"/>
          <w:sz w:val="18"/>
          <w:szCs w:val="18"/>
          <w:color w:val="auto"/>
        </w:rPr>
        <w:t>The Company had $5.4 million, $4.3 million and $6.9 million of non-cash investing activities related to accruals for capital expenditures at January 2, 2022, January 3, 2021 and December 29, 2019, respectively. The Company also had $0.4 million, $0.7 million and $0.0 million of non-cash investing activities related to lease incentives in 2021, 2020 and 2019 respectively.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2019-12, Income Taxes – Simplifying the Accounting for Income Taxes (Topic 740)</w:t>
      </w:r>
    </w:p>
    <w:p>
      <w:pPr>
        <w:spacing w:after="0" w:line="117" w:lineRule="exact"/>
        <w:rPr>
          <w:sz w:val="20"/>
          <w:szCs w:val="20"/>
          <w:color w:val="auto"/>
        </w:rPr>
      </w:pPr>
    </w:p>
    <w:p>
      <w:pPr>
        <w:ind w:right="80" w:firstLine="449"/>
        <w:spacing w:after="0" w:line="243" w:lineRule="auto"/>
        <w:rPr>
          <w:sz w:val="20"/>
          <w:szCs w:val="20"/>
          <w:color w:val="auto"/>
        </w:rPr>
      </w:pPr>
      <w:r>
        <w:rPr>
          <w:rFonts w:ascii="Arial" w:cs="Arial" w:eastAsia="Arial" w:hAnsi="Arial"/>
          <w:sz w:val="18"/>
          <w:szCs w:val="18"/>
          <w:color w:val="auto"/>
        </w:rPr>
        <w:t xml:space="preserve">In December 2019, the Financial Accounting Standards Board (“FASB”) issued ASU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 (“ASU 2019-12”)</w:t>
      </w:r>
      <w:r>
        <w:rPr>
          <w:rFonts w:ascii="Arial" w:cs="Arial" w:eastAsia="Arial" w:hAnsi="Arial"/>
          <w:sz w:val="18"/>
          <w:szCs w:val="18"/>
          <w:color w:val="auto"/>
        </w:rPr>
        <w:t>, which simplifies the accounting for income taxes. ASU 2019-12 was effective for fiscal years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after December 15, 2020, including applicable interim periods. The Company adopted this accounting standard in the first quarter of 2021, and it did not have a material impact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2016-13, Financial Instruments – Credit Losses (Topic 326)</w:t>
      </w:r>
    </w:p>
    <w:p>
      <w:pPr>
        <w:spacing w:after="0" w:line="117" w:lineRule="exact"/>
        <w:rPr>
          <w:sz w:val="20"/>
          <w:szCs w:val="20"/>
          <w:color w:val="auto"/>
        </w:rPr>
      </w:pPr>
    </w:p>
    <w:p>
      <w:pPr>
        <w:ind w:firstLine="449"/>
        <w:spacing w:after="0" w:line="241" w:lineRule="auto"/>
        <w:rPr>
          <w:sz w:val="20"/>
          <w:szCs w:val="20"/>
          <w:color w:val="auto"/>
        </w:rPr>
      </w:pPr>
      <w:r>
        <w:rPr>
          <w:rFonts w:ascii="Arial" w:cs="Arial" w:eastAsia="Arial" w:hAnsi="Arial"/>
          <w:sz w:val="18"/>
          <w:szCs w:val="18"/>
          <w:color w:val="auto"/>
        </w:rPr>
        <w:t xml:space="preserve">In June 2016, the Financial Accounting Standards Board (“FASB”) issued </w:t>
      </w:r>
      <w:r>
        <w:rPr>
          <w:rFonts w:ascii="Arial" w:cs="Arial" w:eastAsia="Arial" w:hAnsi="Arial"/>
          <w:sz w:val="18"/>
          <w:szCs w:val="18"/>
          <w:i w:val="1"/>
          <w:iCs w:val="1"/>
          <w:color w:val="auto"/>
        </w:rPr>
        <w:t>ASU 2016-13, 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Credit Losses on Financial Instruments </w:t>
      </w:r>
      <w:r>
        <w:rPr>
          <w:rFonts w:ascii="Arial" w:cs="Arial" w:eastAsia="Arial" w:hAnsi="Arial"/>
          <w:sz w:val="18"/>
          <w:szCs w:val="18"/>
          <w:color w:val="auto"/>
        </w:rPr>
        <w:t>(“ASC 326”). ASC 326 requires companies to measure credit losses utilizing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a consideration of a broader range of reasonable and supportable information to inform credit loss estimates. The Company adopted this standard as of December 30, 2019, the first day of its 2020 fiscal year, using the modified retrospective approach and it did not have a material impact on its consolidated financial statements.</w:t>
      </w:r>
    </w:p>
    <w:p>
      <w:pPr>
        <w:spacing w:after="0" w:line="95" w:lineRule="exact"/>
        <w:rPr>
          <w:sz w:val="20"/>
          <w:szCs w:val="20"/>
          <w:color w:val="auto"/>
        </w:rPr>
      </w:pPr>
    </w:p>
    <w:p>
      <w:pPr>
        <w:ind w:firstLine="449"/>
        <w:spacing w:after="0" w:line="259" w:lineRule="auto"/>
        <w:rPr>
          <w:sz w:val="20"/>
          <w:szCs w:val="20"/>
          <w:color w:val="auto"/>
        </w:rPr>
      </w:pPr>
      <w:r>
        <w:rPr>
          <w:rFonts w:ascii="Arial" w:cs="Arial" w:eastAsia="Arial" w:hAnsi="Arial"/>
          <w:sz w:val="17"/>
          <w:szCs w:val="17"/>
          <w:color w:val="auto"/>
        </w:rPr>
        <w:t>The Company recognized the cumulative effect of initially applying ASC 326 as an adjustment to the opening balance of retained deficit. The comparative information has not been restated and continues to be reported under the accounting standards in effect for that period. An adjustment to beginning retained deficit and a corresponding adjustment to the allowance for doubtful accounts and notes receivable of $1.5 million was recorded on the date of adoption, representing the remeasurement of these accounts to the Company’s estimate for current expected credit losses. The adjustment to beginning retained deficit was also net of a $0.4 million adjustment to deferred income taxes.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98"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color w:val="auto"/>
        </w:rPr>
        <w:t>The Company has considered all new accounting pronouncements issued by the FASB. The Company has not yet completed its assessment of the following standard.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2020-04, Facilitation of the Effects of Reference Rate Reform on Financial Reporting (Topic 848)</w:t>
      </w:r>
    </w:p>
    <w:p>
      <w:pPr>
        <w:spacing w:after="0" w:line="117" w:lineRule="exact"/>
        <w:rPr>
          <w:sz w:val="20"/>
          <w:szCs w:val="20"/>
          <w:color w:val="auto"/>
        </w:rPr>
      </w:pPr>
    </w:p>
    <w:p>
      <w:pPr>
        <w:ind w:right="180" w:firstLine="449"/>
        <w:spacing w:after="0" w:line="238"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 (“ASU 2020-04”)</w:t>
      </w:r>
      <w:r>
        <w:rPr>
          <w:rFonts w:ascii="Arial" w:cs="Arial" w:eastAsia="Arial" w:hAnsi="Arial"/>
          <w:sz w:val="18"/>
          <w:szCs w:val="18"/>
          <w:color w:val="auto"/>
        </w:rPr>
        <w:t>, which provides temporary optional expedients and exceptions for applying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to contracts, hedging relationships and other transactions affected by reference rate reform. Subsequent to the closing of the 2021 Recapitalization, the Company’s 2021 Variable Funding Notes bear interest at fluctuating interest rates based on LIBOR. However, the associated loan documents contemplate a transition from LIBOR to secured overnight financing rate (“SOFR”) in the event that LIBOR ceases to exist. If the Company further needs to renegotiate its loan documents, the Company cannot predict what alternative index would be negotiated with its lenders. ASU 2020-04 may currently be adopted and may be applied prospectively to contract modifications made on or before December 31, 2022. The Company is currently assessing the impact of adopting this standard but does not expect the adoption of this guidance to have a material impact on its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20" w:firstLine="449"/>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4" w:right="459" w:bottom="1440" w:gutter="0" w:footer="0" w:header="0"/>
        </w:sectPr>
      </w:pPr>
    </w:p>
    <w:bookmarkStart w:id="64" w:name="page65"/>
    <w:bookmarkEnd w:id="64"/>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basic and diluted earnings per common share for 2021, 2020 and 2019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36"/>
        </w:trPr>
        <w:tc>
          <w:tcPr>
            <w:tcW w:w="6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available to common stockholders – basic and diluted</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510,467</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491,296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400,709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number of common shares</w:t>
            </w:r>
          </w:p>
        </w:tc>
        <w:tc>
          <w:tcPr>
            <w:tcW w:w="32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37,198,292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38,974,037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40,766,362</w:t>
            </w:r>
          </w:p>
        </w:tc>
        <w:tc>
          <w:tcPr>
            <w:tcW w:w="60" w:type="dxa"/>
            <w:vAlign w:val="bottom"/>
          </w:tcPr>
          <w:p>
            <w:pPr>
              <w:spacing w:after="0"/>
              <w:rPr>
                <w:sz w:val="15"/>
                <w:szCs w:val="15"/>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per common share – basic</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13.72</w:t>
            </w:r>
          </w:p>
        </w:tc>
        <w:tc>
          <w:tcPr>
            <w:tcW w:w="5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12.61</w:t>
            </w:r>
          </w:p>
        </w:tc>
        <w:tc>
          <w:tcPr>
            <w:tcW w:w="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Diluted weighted average number of common shares</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37,691,351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39,640,791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41,923,062</w:t>
            </w:r>
          </w:p>
        </w:tc>
        <w:tc>
          <w:tcPr>
            <w:tcW w:w="6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per common share – diluted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13.54</w:t>
            </w:r>
          </w:p>
        </w:tc>
        <w:tc>
          <w:tcPr>
            <w:tcW w:w="5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12.39</w:t>
            </w:r>
          </w:p>
        </w:tc>
        <w:tc>
          <w:tcPr>
            <w:tcW w:w="54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w:t>
            </w:r>
          </w:p>
        </w:tc>
        <w:tc>
          <w:tcPr>
            <w:tcW w:w="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-539115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-521970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-539115</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-521970</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-539115</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-521970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40" w:firstLine="449"/>
        <w:spacing w:after="0" w:line="291" w:lineRule="auto"/>
        <w:rPr>
          <w:sz w:val="20"/>
          <w:szCs w:val="20"/>
          <w:color w:val="auto"/>
        </w:rPr>
      </w:pPr>
      <w:r>
        <w:rPr>
          <w:rFonts w:ascii="Arial" w:cs="Arial" w:eastAsia="Arial" w:hAnsi="Arial"/>
          <w:sz w:val="17"/>
          <w:szCs w:val="17"/>
          <w:color w:val="auto"/>
        </w:rPr>
        <w:t>The denominators used in calculating diluted earnings per share for common stock for 2021, 2020 and 2019 do not include the following because the effect of including these shares would be anti-dilutive or because the performance targets for these awards had not yet been met: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gridSpan w:val="2"/>
          </w:tcPr>
          <w:p>
            <w:pPr>
              <w:ind w:left="7100"/>
              <w:spacing w:after="0"/>
              <w:rPr>
                <w:sz w:val="20"/>
                <w:szCs w:val="20"/>
                <w:color w:val="auto"/>
              </w:rPr>
            </w:pPr>
            <w:r>
              <w:rPr>
                <w:rFonts w:ascii="Arial" w:cs="Arial" w:eastAsia="Arial" w:hAnsi="Arial"/>
                <w:sz w:val="14"/>
                <w:szCs w:val="14"/>
                <w:b w:val="1"/>
                <w:bCs w:val="1"/>
                <w:color w:val="auto"/>
                <w:w w:val="96"/>
              </w:rPr>
              <w:t>2021</w:t>
            </w:r>
          </w:p>
        </w:tc>
        <w:tc>
          <w:tcPr>
            <w:tcW w:w="1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60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Anti-dilutive shares underlying stock-based awards</w:t>
            </w:r>
          </w:p>
        </w:tc>
        <w:tc>
          <w:tcPr>
            <w:tcW w:w="8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4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Stock options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41,215</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52,330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160,980</w:t>
            </w:r>
          </w:p>
        </w:tc>
        <w:tc>
          <w:tcPr>
            <w:tcW w:w="60" w:type="dxa"/>
            <w:vAlign w:val="bottom"/>
          </w:tcPr>
          <w:p>
            <w:pPr>
              <w:spacing w:after="0"/>
              <w:rPr>
                <w:sz w:val="17"/>
                <w:szCs w:val="17"/>
                <w:color w:val="auto"/>
              </w:rPr>
            </w:pPr>
          </w:p>
        </w:tc>
      </w:tr>
      <w:tr>
        <w:trPr>
          <w:trHeight w:val="203"/>
        </w:trPr>
        <w:tc>
          <w:tcPr>
            <w:tcW w:w="74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Restricted stock awards and units</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1,010</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Performance condition not met</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Restricted stock awards and units</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29,704</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68,159</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82,647</w:t>
            </w:r>
          </w:p>
        </w:tc>
        <w:tc>
          <w:tcPr>
            <w:tcW w:w="60" w:type="dxa"/>
            <w:vAlign w:val="bottom"/>
            <w:shd w:val="clear" w:color="auto" w:fill="CFF0FC"/>
          </w:tcPr>
          <w:p>
            <w:pPr>
              <w:spacing w:after="0"/>
              <w:rPr>
                <w:sz w:val="17"/>
                <w:szCs w:val="17"/>
                <w:color w:val="auto"/>
              </w:rPr>
            </w:pPr>
          </w:p>
        </w:tc>
      </w:tr>
    </w:tbl>
    <w:p>
      <w:pPr>
        <w:spacing w:after="0" w:line="292"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Recapitalizations and Financing Arrangements</w:t>
      </w:r>
    </w:p>
    <w:p>
      <w:pPr>
        <w:spacing w:after="0" w:line="121" w:lineRule="exact"/>
        <w:rPr>
          <w:sz w:val="20"/>
          <w:szCs w:val="20"/>
          <w:color w:val="auto"/>
        </w:rPr>
      </w:pPr>
    </w:p>
    <w:p>
      <w:pPr>
        <w:ind w:right="180" w:firstLine="449"/>
        <w:spacing w:after="0" w:line="294" w:lineRule="auto"/>
        <w:rPr>
          <w:sz w:val="20"/>
          <w:szCs w:val="20"/>
          <w:color w:val="auto"/>
        </w:rPr>
      </w:pPr>
      <w:r>
        <w:rPr>
          <w:rFonts w:ascii="Arial" w:cs="Arial" w:eastAsia="Arial" w:hAnsi="Arial"/>
          <w:sz w:val="16"/>
          <w:szCs w:val="16"/>
          <w:color w:val="auto"/>
        </w:rPr>
        <w:t>The 2021 Notes, 2019 Notes, 2018 Notes, 2017 Notes and 2015 Notes (each, as defined below) are collectively referred to as the “Notes.” The Company made payments of $907.0 million, $42.0 million and $26.4 million in 2021, 2020 and 2019, respectively on the Notes. The Company borrowed and repaid $158.0 million under its variable funding note facility in 2020, and repaid $65.0 million under its variable funding note facility in 2019.</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Recapitalization</w:t>
      </w:r>
    </w:p>
    <w:p>
      <w:pPr>
        <w:spacing w:after="0" w:line="202" w:lineRule="exact"/>
        <w:rPr>
          <w:sz w:val="20"/>
          <w:szCs w:val="20"/>
          <w:color w:val="auto"/>
        </w:rPr>
      </w:pPr>
    </w:p>
    <w:p>
      <w:pPr>
        <w:ind w:right="180" w:firstLine="464"/>
        <w:spacing w:after="0" w:line="241" w:lineRule="auto"/>
        <w:rPr>
          <w:sz w:val="20"/>
          <w:szCs w:val="20"/>
          <w:color w:val="auto"/>
        </w:rPr>
      </w:pPr>
      <w:r>
        <w:rPr>
          <w:rFonts w:ascii="Arial" w:cs="Arial" w:eastAsia="Arial" w:hAnsi="Arial"/>
          <w:sz w:val="18"/>
          <w:szCs w:val="18"/>
          <w:color w:val="auto"/>
        </w:rPr>
        <w:t>On April 16, 2021, the Company completed a recapitalization transaction (the “2021 Recapitalization”) in which certain of the Company’s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95" w:lineRule="exact"/>
        <w:rPr>
          <w:sz w:val="20"/>
          <w:szCs w:val="20"/>
          <w:color w:val="auto"/>
        </w:rPr>
      </w:pPr>
    </w:p>
    <w:p>
      <w:pPr>
        <w:ind w:firstLine="464"/>
        <w:spacing w:after="0" w:line="243" w:lineRule="auto"/>
        <w:rPr>
          <w:sz w:val="20"/>
          <w:szCs w:val="20"/>
          <w:color w:val="auto"/>
        </w:rPr>
      </w:pPr>
      <w:r>
        <w:rPr>
          <w:rFonts w:ascii="Arial" w:cs="Arial" w:eastAsia="Arial" w:hAnsi="Arial"/>
          <w:sz w:val="18"/>
          <w:szCs w:val="18"/>
          <w:color w:val="auto"/>
        </w:rPr>
        <w:t>Concurrently, certain of the Company’s subsidiaries also issued a new variable funding note facility which allows for advances of up to $200.0 million of Series 2021-1 Variable Funding Senior Secured Notes, Class A-1 Notes and certain other credit instruments, including letters of credit (the “2021 Variable Funding Notes”). In connection with the issuance of the 2021 Variable Funding Notes, the Company’s 2019 Variable Funding Notes (as defined below) were canceled.</w:t>
      </w:r>
    </w:p>
    <w:p>
      <w:pPr>
        <w:spacing w:after="0" w:line="93" w:lineRule="exact"/>
        <w:rPr>
          <w:sz w:val="20"/>
          <w:szCs w:val="20"/>
          <w:color w:val="auto"/>
        </w:rPr>
      </w:pPr>
    </w:p>
    <w:p>
      <w:pPr>
        <w:ind w:right="200" w:firstLine="464"/>
        <w:spacing w:after="0" w:line="243" w:lineRule="auto"/>
        <w:rPr>
          <w:sz w:val="20"/>
          <w:szCs w:val="20"/>
          <w:color w:val="auto"/>
        </w:rPr>
      </w:pPr>
      <w:r>
        <w:rPr>
          <w:rFonts w:ascii="Arial" w:cs="Arial" w:eastAsia="Arial" w:hAnsi="Arial"/>
          <w:sz w:val="18"/>
          <w:szCs w:val="18"/>
          <w:color w:val="auto"/>
        </w:rPr>
        <w:t>The proceeds from the 2021 Recapitalization were used to repay the remaining $291.0 million in outstanding principal under the Company’s 2017 Floating Rate Notes (as defined below) and $582.0 million in outstanding principal under the Company’s 2017 Five-Year Fixed Rate Notes (as defined below), prefund a portion of the interest payable on the 2021 Notes, pay transaction fees and expenses and repurchase and retire shares of the Company’s common stock (Note 10).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Recapitalization</w:t>
      </w:r>
    </w:p>
    <w:p>
      <w:pPr>
        <w:spacing w:after="0" w:line="202" w:lineRule="exact"/>
        <w:rPr>
          <w:sz w:val="20"/>
          <w:szCs w:val="20"/>
          <w:color w:val="auto"/>
        </w:rPr>
      </w:pPr>
    </w:p>
    <w:p>
      <w:pPr>
        <w:ind w:right="120" w:firstLine="469"/>
        <w:spacing w:after="0" w:line="279" w:lineRule="auto"/>
        <w:rPr>
          <w:sz w:val="20"/>
          <w:szCs w:val="20"/>
          <w:color w:val="auto"/>
        </w:rPr>
      </w:pPr>
      <w:r>
        <w:rPr>
          <w:rFonts w:ascii="Arial" w:cs="Arial" w:eastAsia="Arial" w:hAnsi="Arial"/>
          <w:sz w:val="16"/>
          <w:szCs w:val="16"/>
          <w:color w:val="auto"/>
        </w:rPr>
        <w:t>On November 19, 2019, the Company completed a recapitalization transaction (the “2019 Recapitalization”) in which certain of the Company’s subsidiaries issued notes pursuant to an asset-backed securitization. The notes consist of $675.0 million Series 2019-1 3.668% Fixed Rate Senior Secured Notes, Class A-2 with an anticipated term of 10 years (the “2019 Notes”). The Company also entered into a variable funding note facility, which allowed for the issuance of up to $200.0 million Series 2019-1 Variable Funding Senior Secured Notes, Class A-1 (the “2019 Variable Funding Notes”) and certain other credit instruments, including letters of credit. Gross proceeds from the issuance of the 2019 Notes were $675.0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ind w:right="100" w:firstLine="469"/>
        <w:spacing w:after="0" w:line="261" w:lineRule="auto"/>
        <w:rPr>
          <w:sz w:val="20"/>
          <w:szCs w:val="20"/>
          <w:color w:val="auto"/>
        </w:rPr>
      </w:pPr>
      <w:r>
        <w:rPr>
          <w:rFonts w:ascii="Arial" w:cs="Arial" w:eastAsia="Arial" w:hAnsi="Arial"/>
          <w:sz w:val="18"/>
          <w:szCs w:val="18"/>
          <w:color w:val="auto"/>
        </w:rPr>
        <w:t>The proceeds from the 2019 Recapitalization were used to prefund a portion of the principal and interest payable on the 2019 Notes, pay transaction fees and expenses and repurchase and retire shares of the Company’s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Recapitalization</w:t>
      </w:r>
    </w:p>
    <w:p>
      <w:pPr>
        <w:spacing w:after="0" w:line="202" w:lineRule="exact"/>
        <w:rPr>
          <w:sz w:val="20"/>
          <w:szCs w:val="20"/>
          <w:color w:val="auto"/>
        </w:rPr>
      </w:pPr>
    </w:p>
    <w:p>
      <w:pPr>
        <w:ind w:right="80" w:firstLine="469"/>
        <w:spacing w:after="0" w:line="241" w:lineRule="auto"/>
        <w:rPr>
          <w:sz w:val="20"/>
          <w:szCs w:val="20"/>
          <w:color w:val="auto"/>
        </w:rPr>
      </w:pPr>
      <w:r>
        <w:rPr>
          <w:rFonts w:ascii="Arial" w:cs="Arial" w:eastAsia="Arial" w:hAnsi="Arial"/>
          <w:sz w:val="18"/>
          <w:szCs w:val="18"/>
          <w:color w:val="auto"/>
        </w:rPr>
        <w:t>On April 24, 2018, the Company completed a recapitalization transaction (the “2018 Recapitalization”) in which certain of the Company’s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Gross proceeds from the issuance of the 2018 Notes were $825.0 million.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Recapitalization</w:t>
      </w:r>
    </w:p>
    <w:p>
      <w:pPr>
        <w:spacing w:after="0" w:line="202" w:lineRule="exact"/>
        <w:rPr>
          <w:sz w:val="20"/>
          <w:szCs w:val="20"/>
          <w:color w:val="auto"/>
        </w:rPr>
      </w:pPr>
    </w:p>
    <w:p>
      <w:pPr>
        <w:ind w:right="180" w:firstLine="449"/>
        <w:spacing w:after="0" w:line="255" w:lineRule="auto"/>
        <w:rPr>
          <w:sz w:val="20"/>
          <w:szCs w:val="20"/>
          <w:color w:val="auto"/>
        </w:rPr>
      </w:pPr>
      <w:r>
        <w:rPr>
          <w:rFonts w:ascii="Arial" w:cs="Arial" w:eastAsia="Arial" w:hAnsi="Arial"/>
          <w:sz w:val="17"/>
          <w:szCs w:val="17"/>
          <w:color w:val="auto"/>
        </w:rPr>
        <w:t>On July 24, 2017, the Company completed a recapitalization transaction (the “2017 Recapitalization”) in which certain of the Company’s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Fixed Rate Notes”) and $1.0 billion Series 2017-1 4.118% Fixed Rate Senior Secured Notes, Class A-2-III with an anticipated term of ten years (the “2017 Ten-Year Fixed Rate Notes” and, collectively with the 2017 Floating Rate Notes and the 2017 Five-Year Fixed Rate Notes, the “2017 Notes”). The interest rate on the 2017 Floating Rate Notes was payable at a rate equal to LIBOR plus 125 basis points. Gross proceeds from the issuance of the 2017 Notes were $1.9 billion.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Recapitalization</w:t>
      </w:r>
    </w:p>
    <w:p>
      <w:pPr>
        <w:spacing w:after="0" w:line="20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On October 21, 2015, the Company completed a recapitalization transaction (the “2015 Recapitalization”) in which certain of the Company’s subsidiaries issued notes pursuant to an asset-backed securitization. The notes consisted of $500.0 million Series 2015-1 3.484% Fixed Rate Senior Secured Notes, Class A-2-I (the “2015 Five-Year Notes”) and $800.0 million Series 2015-1 4.474% Fixed Rate Senior Secured Notes, Class A-2-II (the “2015 Ten-Year Notes” and, together with the 2015 Five-Year Notes, the “2015 Notes”). Gross proceeds from the issuance of the 2015 Notes were $1.3 billion.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Notes</w:t>
      </w:r>
    </w:p>
    <w:p>
      <w:pPr>
        <w:spacing w:after="0" w:line="202" w:lineRule="exact"/>
        <w:rPr>
          <w:sz w:val="20"/>
          <w:szCs w:val="20"/>
          <w:color w:val="auto"/>
        </w:rPr>
      </w:pPr>
    </w:p>
    <w:p>
      <w:pPr>
        <w:ind w:right="120" w:firstLine="449"/>
        <w:spacing w:after="0" w:line="261" w:lineRule="auto"/>
        <w:rPr>
          <w:sz w:val="20"/>
          <w:szCs w:val="20"/>
          <w:color w:val="auto"/>
        </w:rPr>
      </w:pPr>
      <w:r>
        <w:rPr>
          <w:rFonts w:ascii="Arial" w:cs="Arial" w:eastAsia="Arial" w:hAnsi="Arial"/>
          <w:sz w:val="18"/>
          <w:szCs w:val="18"/>
          <w:color w:val="auto"/>
        </w:rPr>
        <w:t>The 2021 Notes have remaining scheduled principal payments of $18.5 million in each of 2022 through 2027, $804.8 million in 2028, $10.0 million in each of 2029 and 2030 and $905.0 million in 2031.</w:t>
      </w:r>
    </w:p>
    <w:p>
      <w:pPr>
        <w:spacing w:after="0" w:line="76" w:lineRule="exact"/>
        <w:rPr>
          <w:sz w:val="20"/>
          <w:szCs w:val="20"/>
          <w:color w:val="auto"/>
        </w:rPr>
      </w:pPr>
    </w:p>
    <w:p>
      <w:pPr>
        <w:ind w:right="80" w:firstLine="449"/>
        <w:spacing w:after="0" w:line="284" w:lineRule="auto"/>
        <w:rPr>
          <w:sz w:val="20"/>
          <w:szCs w:val="20"/>
          <w:color w:val="auto"/>
        </w:rPr>
      </w:pPr>
      <w:r>
        <w:rPr>
          <w:rFonts w:ascii="Arial" w:cs="Arial" w:eastAsia="Arial" w:hAnsi="Arial"/>
          <w:sz w:val="16"/>
          <w:szCs w:val="16"/>
          <w:color w:val="auto"/>
        </w:rPr>
        <w:t>The legal final maturity date of the 2021 Notes is April 2051, but it is anticipated that, unless earlier prepaid to the extent permitted under the related debt agreements, the 2021 7.5-Year Notes will be repaid on or prior to the anticipated repayment date occurring in October 2028, and the 2021 Ten-Year Notes will be repaid on or prior to the anticipated repayment date occurring in April 2031. If the Company has not repaid or refinanced the 2021 Notes prior to the applicable anticipated repayment dates, additional interest of at least 5% per annum will accrue, as defined in the related agreements.</w:t>
      </w:r>
    </w:p>
    <w:p>
      <w:pPr>
        <w:spacing w:after="0" w:line="61" w:lineRule="exact"/>
        <w:rPr>
          <w:sz w:val="20"/>
          <w:szCs w:val="20"/>
          <w:color w:val="auto"/>
        </w:rPr>
      </w:pPr>
    </w:p>
    <w:p>
      <w:pPr>
        <w:ind w:right="60" w:firstLine="449"/>
        <w:spacing w:after="0" w:line="255" w:lineRule="auto"/>
        <w:rPr>
          <w:sz w:val="20"/>
          <w:szCs w:val="20"/>
          <w:color w:val="auto"/>
        </w:rPr>
      </w:pPr>
      <w:r>
        <w:rPr>
          <w:rFonts w:ascii="Arial" w:cs="Arial" w:eastAsia="Arial" w:hAnsi="Arial"/>
          <w:sz w:val="17"/>
          <w:szCs w:val="17"/>
          <w:color w:val="auto"/>
        </w:rPr>
        <w:t>The 2021 Variable Funding Notes allow for advances of up to $200.0 million and issuance of certain other credit instruments, including letters of credit. The letters of credit are primarily related to our casualty insurance programs and certain supply chain center leases. Interest on the 2021 Variable Funding Notes is payable at a per year rate equal to LIBOR plus 150 basis points. The 2021 Variable Funding Notes were undrawn at closing of the 2021 Recapitalization. The unused portion of the 2021 Variable Funding Notes is subject to a commitment fee ranging from 50 to 100 basis points depending on utilization. It is anticipated that any amounts outstanding on the 2021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2021 Variable Funding Notes equal to 5% per annum.</w:t>
      </w:r>
    </w:p>
    <w:p>
      <w:pPr>
        <w:spacing w:after="0" w:line="85" w:lineRule="exact"/>
        <w:rPr>
          <w:sz w:val="20"/>
          <w:szCs w:val="20"/>
          <w:color w:val="auto"/>
        </w:rPr>
      </w:pPr>
    </w:p>
    <w:p>
      <w:pPr>
        <w:ind w:right="400" w:firstLine="449"/>
        <w:spacing w:after="0" w:line="261" w:lineRule="auto"/>
        <w:rPr>
          <w:sz w:val="20"/>
          <w:szCs w:val="20"/>
          <w:color w:val="auto"/>
        </w:rPr>
      </w:pPr>
      <w:r>
        <w:rPr>
          <w:rFonts w:ascii="Arial" w:cs="Arial" w:eastAsia="Arial" w:hAnsi="Arial"/>
          <w:sz w:val="18"/>
          <w:szCs w:val="18"/>
          <w:color w:val="auto"/>
        </w:rPr>
        <w:t>As of January 2, 2022, the Company had no outstanding borrowings and $155.8 million of available borrowing capacity under its 2021 Variable Funding Notes, net of letters of credit issued of $44.2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2019 Notes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2019 Fixed Rate Notes have remaining scheduled principal payments of $6.8 million in each of 2022 through 2028 and $615.9 million in 2029.</w:t>
      </w:r>
    </w:p>
    <w:p>
      <w:pPr>
        <w:spacing w:after="0" w:line="140" w:lineRule="exact"/>
        <w:rPr>
          <w:sz w:val="20"/>
          <w:szCs w:val="20"/>
          <w:color w:val="auto"/>
        </w:rPr>
      </w:pPr>
    </w:p>
    <w:p>
      <w:pPr>
        <w:ind w:right="20" w:firstLine="449"/>
        <w:spacing w:after="0" w:line="243" w:lineRule="auto"/>
        <w:rPr>
          <w:sz w:val="20"/>
          <w:szCs w:val="20"/>
          <w:color w:val="auto"/>
        </w:rPr>
      </w:pPr>
      <w:r>
        <w:rPr>
          <w:rFonts w:ascii="Arial" w:cs="Arial" w:eastAsia="Arial" w:hAnsi="Arial"/>
          <w:sz w:val="18"/>
          <w:szCs w:val="18"/>
          <w:color w:val="auto"/>
        </w:rPr>
        <w:t>The legal final maturity date of the 2019 Notes is October 2049, but it is anticipated that, unless earlier prepaid to the extent permitted under the related debt agreements, the 2019 Notes will be repaid on or prior to the anticipated repayment date occurring in October 2029. If the Company has not repaid or refinanced the 2019 Notes prior to the applicable anticipated repayment dates, additional interest of at least 5% per annum will accrue, as defined in the related agreements.</w:t>
      </w:r>
    </w:p>
    <w:p>
      <w:pPr>
        <w:spacing w:after="0" w:line="93" w:lineRule="exact"/>
        <w:rPr>
          <w:sz w:val="20"/>
          <w:szCs w:val="20"/>
          <w:color w:val="auto"/>
        </w:rPr>
      </w:pPr>
    </w:p>
    <w:p>
      <w:pPr>
        <w:ind w:right="100" w:firstLine="449"/>
        <w:spacing w:after="0" w:line="243" w:lineRule="auto"/>
        <w:rPr>
          <w:sz w:val="20"/>
          <w:szCs w:val="20"/>
          <w:color w:val="auto"/>
        </w:rPr>
      </w:pPr>
      <w:r>
        <w:rPr>
          <w:rFonts w:ascii="Arial" w:cs="Arial" w:eastAsia="Arial" w:hAnsi="Arial"/>
          <w:sz w:val="18"/>
          <w:szCs w:val="18"/>
          <w:color w:val="auto"/>
        </w:rPr>
        <w:t>The 2019 Variable Funding Notes allowed for advances of up to $200.0 million and issuance of certain other credit instruments, including letters of credit. The letters of credit are primarily related to our casualty insurance programs and certain supply chain center leases. Interest on the 2019 Variable Funding Notes was payable at a per year rate equal to LIBOR plus 150 basis points. The 2019 Variable Funding Notes were cancelled in connection with the 2021 Recapitalization.</w:t>
      </w:r>
    </w:p>
    <w:p>
      <w:pPr>
        <w:spacing w:after="0" w:line="93" w:lineRule="exact"/>
        <w:rPr>
          <w:sz w:val="20"/>
          <w:szCs w:val="20"/>
          <w:color w:val="auto"/>
        </w:rPr>
      </w:pPr>
    </w:p>
    <w:p>
      <w:pPr>
        <w:ind w:right="340" w:firstLine="449"/>
        <w:spacing w:after="0" w:line="261" w:lineRule="auto"/>
        <w:rPr>
          <w:sz w:val="20"/>
          <w:szCs w:val="20"/>
          <w:color w:val="auto"/>
        </w:rPr>
      </w:pPr>
      <w:r>
        <w:rPr>
          <w:rFonts w:ascii="Arial" w:cs="Arial" w:eastAsia="Arial" w:hAnsi="Arial"/>
          <w:sz w:val="18"/>
          <w:szCs w:val="18"/>
          <w:color w:val="auto"/>
        </w:rPr>
        <w:t>As of January 3, 2021, the Company had no outstanding borrowings and $157.5 million of available borrowing capacity under its 2019 Variable Funding Notes, net of letters of credit issued of $42.5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Notes</w:t>
      </w:r>
    </w:p>
    <w:p>
      <w:pPr>
        <w:spacing w:after="0" w:line="202"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The 2018 Notes have remaining scheduled principal payments of $8.3 million in each of 2022 through 2024, $403.5 million in 2025, $4.0 million in 2026 and $368.0 million in 2027.</w:t>
      </w:r>
    </w:p>
    <w:p>
      <w:pPr>
        <w:spacing w:after="0" w:line="76"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The legal final maturity date of the 2018 Notes is July 2048, but it is anticipated that, unless earlier prepaid to the extent permitted under the related debt agreements, the 2018 7.5-Year Notes will be repaid on or prior to the anticipated repayment date occurring in October 2025, and the 2018 9.25-Year Notes will be repaid on or prior to the anticipated repayment date occurring in July 2027. If the Company has not repaid or refinanced the 2018 Notes prior to the applicable anticipated repayment dates, additional interest of at least 5% per annum will accrue, as defined in the related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Notes</w:t>
      </w:r>
    </w:p>
    <w:p>
      <w:pPr>
        <w:spacing w:after="0" w:line="202" w:lineRule="exact"/>
        <w:rPr>
          <w:sz w:val="20"/>
          <w:szCs w:val="20"/>
          <w:color w:val="auto"/>
        </w:rPr>
      </w:pPr>
    </w:p>
    <w:p>
      <w:pPr>
        <w:ind w:right="220" w:firstLine="449"/>
        <w:spacing w:after="0" w:line="324" w:lineRule="auto"/>
        <w:rPr>
          <w:sz w:val="20"/>
          <w:szCs w:val="20"/>
          <w:color w:val="auto"/>
        </w:rPr>
      </w:pPr>
      <w:r>
        <w:rPr>
          <w:rFonts w:ascii="Arial" w:cs="Arial" w:eastAsia="Arial" w:hAnsi="Arial"/>
          <w:sz w:val="16"/>
          <w:szCs w:val="16"/>
          <w:color w:val="auto"/>
        </w:rPr>
        <w:t>The 2017 Five-Year Fixed Rate Notes and the 2017 Floating Rate Notes were repaid in connection with the 2021 Recapitalization. The 2017 Ten-Year Fixed Rate Notes have remaining scheduled principal payments of $10.0 million in each of 2022 through 2026 and $912.5 million in 2027.</w:t>
      </w:r>
    </w:p>
    <w:p>
      <w:pPr>
        <w:spacing w:after="0" w:line="30" w:lineRule="exact"/>
        <w:rPr>
          <w:sz w:val="20"/>
          <w:szCs w:val="20"/>
          <w:color w:val="auto"/>
        </w:rPr>
      </w:pPr>
    </w:p>
    <w:p>
      <w:pPr>
        <w:ind w:right="40" w:firstLine="449"/>
        <w:spacing w:after="0" w:line="243" w:lineRule="auto"/>
        <w:rPr>
          <w:sz w:val="20"/>
          <w:szCs w:val="20"/>
          <w:color w:val="auto"/>
        </w:rPr>
      </w:pPr>
      <w:r>
        <w:rPr>
          <w:rFonts w:ascii="Arial" w:cs="Arial" w:eastAsia="Arial" w:hAnsi="Arial"/>
          <w:sz w:val="18"/>
          <w:szCs w:val="18"/>
          <w:color w:val="auto"/>
        </w:rPr>
        <w:t>The legal final maturity date of the 2017 Ten-Year Fixed Rate Notes is October 2047, but it is anticipated that, unless earlier prepaid to the extent permitted under the related debt agreements, the 2017 Ten-Year Fixed Rate Notes will be repaid on or prior to the anticipated repayment date occurring in July 2027. If the Company has not repaid or refinanced the 2017 Ten-Year Fixed Rate Notes prior to the applicable anticipated repayment dates, additional interest of at least 5% per annum will accrue, as defined in the related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Notes</w:t>
      </w:r>
    </w:p>
    <w:p>
      <w:pPr>
        <w:spacing w:after="0" w:line="202"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color w:val="auto"/>
        </w:rPr>
        <w:t>The 2015 Five-Year Notes were repaid in connection with the 2018 Recapitalization. The 2015 Ten-Year Notes have original remaining scheduled principal payments of $8.0 million in 2022 through 2024 and $736.0 million in 2025.</w:t>
      </w:r>
    </w:p>
    <w:p>
      <w:pPr>
        <w:spacing w:after="0" w:line="171" w:lineRule="exact"/>
        <w:rPr>
          <w:sz w:val="20"/>
          <w:szCs w:val="20"/>
          <w:color w:val="auto"/>
        </w:rPr>
      </w:pPr>
    </w:p>
    <w:p>
      <w:pPr>
        <w:ind w:firstLine="449"/>
        <w:spacing w:after="0" w:line="243" w:lineRule="auto"/>
        <w:rPr>
          <w:sz w:val="20"/>
          <w:szCs w:val="20"/>
          <w:color w:val="auto"/>
        </w:rPr>
      </w:pPr>
      <w:r>
        <w:rPr>
          <w:rFonts w:ascii="Arial" w:cs="Arial" w:eastAsia="Arial" w:hAnsi="Arial"/>
          <w:sz w:val="18"/>
          <w:szCs w:val="18"/>
          <w:color w:val="auto"/>
        </w:rPr>
        <w:t>The legal final maturity date of the 2015 Ten-Year Notes is in October 2045, but it is anticipated that, unless earlier prepaid to the extent permitted under the related debt agreements, the 2015 Ten-Year Notes will be repaid on or prior to the anticipated repayment date occurring in October 2025. If the Company has not repaid or refinanced the 2015 Ten-Year Notes prior to the applicable anticipated repayment date, additional interest will accrue of at least 5% per annum, as defined in the related agreements.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Debt Issuance Costs and Transaction-Related Expenses</w:t>
      </w:r>
    </w:p>
    <w:p>
      <w:pPr>
        <w:spacing w:after="0" w:line="17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6"/>
          <w:szCs w:val="16"/>
          <w:color w:val="auto"/>
        </w:rPr>
        <w:t>During 2021 and in connection with the 2021 Recapitalization, the Company incurred approximately $2.8 million of net pre-tax expenses, primarily related to $2.0 million in expense related to the write-off of debt issuance costs associated with the repayment of the 2017 Five-Year Fixed Rate Notes and 2017 Floating Rate Notes. The Company also incurred approximately $0.3 million of interest expense on the 2017 Five-Year Fixed Rate Notes and the 2017 Floating Rate Notes subsequent to the closing of the Company’s 2021 Recapitalization, but prior to the repayment of the 2017 Five-Year Fixed Rate Notes and the 2017 Floating Rate Notes, resulting in the payment of interest on both the 2017 Five-Year Fixed Rate Notes and the 2017 Floating Rate Notes as well as the 2021 Notes for a short period of time. Further, the Company incurred $0.5 million of 2021 Recapitalization-related general and administrative expenses, including legal and professional fees. In connection with the 2021 Recapitalization, the Company recorded $14.9 million of debt issuance costs, which are being amortized into interest expense over the respective terms of the 2021 Notes.</w:t>
      </w:r>
    </w:p>
    <w:p>
      <w:pPr>
        <w:spacing w:after="0" w:line="137" w:lineRule="exact"/>
        <w:rPr>
          <w:sz w:val="20"/>
          <w:szCs w:val="20"/>
          <w:color w:val="auto"/>
        </w:rPr>
      </w:pPr>
    </w:p>
    <w:p>
      <w:pPr>
        <w:jc w:val="both"/>
        <w:ind w:right="460" w:firstLine="449"/>
        <w:spacing w:after="0" w:line="276" w:lineRule="auto"/>
        <w:rPr>
          <w:sz w:val="20"/>
          <w:szCs w:val="20"/>
          <w:color w:val="auto"/>
        </w:rPr>
      </w:pPr>
      <w:r>
        <w:rPr>
          <w:rFonts w:ascii="Arial" w:cs="Arial" w:eastAsia="Arial" w:hAnsi="Arial"/>
          <w:sz w:val="16"/>
          <w:szCs w:val="16"/>
          <w:color w:val="auto"/>
        </w:rPr>
        <w:t>During 2019 and in connection with the 2019 Recapitalization, the Company incurred $0.5 million of net pre-tax 2019 Recapitalization-related general and administrative expenses, including legal and professional fees. In connection with the 2019 Recapitalization, the Company recorded $8.1 million of debt issuance costs, which are being amortized into interest expense over the ten-year expected term of the 2019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Covenants of the Notes</w:t>
      </w:r>
    </w:p>
    <w:p>
      <w:pPr>
        <w:spacing w:after="0" w:line="175" w:lineRule="exact"/>
        <w:rPr>
          <w:sz w:val="20"/>
          <w:szCs w:val="20"/>
          <w:color w:val="auto"/>
        </w:rPr>
      </w:pPr>
    </w:p>
    <w:p>
      <w:pPr>
        <w:ind w:firstLine="449"/>
        <w:spacing w:after="0"/>
        <w:rPr>
          <w:sz w:val="20"/>
          <w:szCs w:val="20"/>
          <w:color w:val="auto"/>
        </w:rPr>
      </w:pPr>
      <w:r>
        <w:rPr>
          <w:rFonts w:ascii="Arial" w:cs="Arial" w:eastAsia="Arial" w:hAnsi="Arial"/>
          <w:sz w:val="17"/>
          <w:szCs w:val="17"/>
          <w:color w:val="auto"/>
        </w:rPr>
        <w:t>The Notes are guaranteed by certain subsidiaries of DPLLC and secured by a security interest in substantially all of the assets of the Company, including royalty and certain other income from all U.S. and international stores, U.S. supply chain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w:t>
      </w:r>
    </w:p>
    <w:p>
      <w:pPr>
        <w:spacing w:after="0" w:line="150" w:lineRule="exact"/>
        <w:rPr>
          <w:sz w:val="20"/>
          <w:szCs w:val="20"/>
          <w:color w:val="auto"/>
        </w:rPr>
      </w:pPr>
    </w:p>
    <w:p>
      <w:pPr>
        <w:ind w:right="140" w:firstLine="449"/>
        <w:spacing w:after="0" w:line="261" w:lineRule="auto"/>
        <w:rPr>
          <w:sz w:val="20"/>
          <w:szCs w:val="20"/>
          <w:color w:val="auto"/>
        </w:rPr>
      </w:pPr>
      <w:r>
        <w:rPr>
          <w:rFonts w:ascii="Arial" w:cs="Arial" w:eastAsia="Arial" w:hAnsi="Arial"/>
          <w:sz w:val="16"/>
          <w:szCs w:val="16"/>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spacing w:after="0" w:line="134" w:lineRule="exact"/>
        <w:rPr>
          <w:sz w:val="20"/>
          <w:szCs w:val="20"/>
          <w:color w:val="auto"/>
        </w:rPr>
      </w:pPr>
    </w:p>
    <w:p>
      <w:pPr>
        <w:ind w:right="40" w:firstLine="449"/>
        <w:spacing w:after="0" w:line="231" w:lineRule="auto"/>
        <w:rPr>
          <w:sz w:val="20"/>
          <w:szCs w:val="20"/>
          <w:color w:val="auto"/>
        </w:rPr>
      </w:pPr>
      <w:r>
        <w:rPr>
          <w:rFonts w:ascii="Arial" w:cs="Arial" w:eastAsia="Arial" w:hAnsi="Arial"/>
          <w:sz w:val="18"/>
          <w:szCs w:val="18"/>
          <w:color w:val="auto"/>
        </w:rPr>
        <w:t>While the Notes are outstanding, scheduled payments of principal and interest are required to be made on a quarterly basis. The payment of principal of the Notes may be suspended if the leverage ratio for the Company is less than or equal to 5.0x total debt, as defined, to adjusted EBITDA, as defined in the related agreements. Scheduled principal payments will resume upon failure to satisfy the aforementioned leverage ratio on an ongoing basis and no catch-up provisions are applicable.</w:t>
      </w:r>
    </w:p>
    <w:p>
      <w:pPr>
        <w:spacing w:after="0" w:line="148" w:lineRule="exact"/>
        <w:rPr>
          <w:sz w:val="20"/>
          <w:szCs w:val="20"/>
          <w:color w:val="auto"/>
        </w:rPr>
      </w:pPr>
    </w:p>
    <w:p>
      <w:pPr>
        <w:ind w:right="60" w:firstLine="449"/>
        <w:spacing w:after="0" w:line="228" w:lineRule="auto"/>
        <w:rPr>
          <w:sz w:val="20"/>
          <w:szCs w:val="20"/>
          <w:color w:val="auto"/>
        </w:rPr>
      </w:pPr>
      <w:r>
        <w:rPr>
          <w:rFonts w:ascii="Arial" w:cs="Arial" w:eastAsia="Arial" w:hAnsi="Arial"/>
          <w:sz w:val="18"/>
          <w:szCs w:val="18"/>
          <w:color w:val="auto"/>
        </w:rPr>
        <w:t>As of the fourth quarter of 2020, the Company had a leverage ratio of less than 5.0x, and accordingly, did not make the previously scheduled debt amortization payment in the first quarter of 2021. Accordingly, all principal amounts of the Company’s then outstanding 2019 Notes, 2018 Notes, the 2017 Notes and the 2015 Notes were classified as long-term debt in the consolidated balance sheet as of January 3, 2021. Subsequent to the closing of the 2021 Recapitalization, the Company had a leverage ratio of greater than 5.0x and, accordingly, the Company resumed making the scheduled amortization payments on its then outstanding notes in the second quarter of 2021.</w:t>
      </w:r>
    </w:p>
    <w:p>
      <w:pPr>
        <w:spacing w:after="0" w:line="151" w:lineRule="exact"/>
        <w:rPr>
          <w:sz w:val="20"/>
          <w:szCs w:val="20"/>
          <w:color w:val="auto"/>
        </w:rPr>
      </w:pPr>
    </w:p>
    <w:p>
      <w:pPr>
        <w:ind w:firstLine="449"/>
        <w:spacing w:after="0" w:line="276" w:lineRule="auto"/>
        <w:rPr>
          <w:sz w:val="20"/>
          <w:szCs w:val="20"/>
          <w:color w:val="auto"/>
        </w:rPr>
      </w:pPr>
      <w:r>
        <w:rPr>
          <w:rFonts w:ascii="Arial" w:cs="Arial" w:eastAsia="Arial" w:hAnsi="Arial"/>
          <w:sz w:val="16"/>
          <w:szCs w:val="16"/>
          <w:color w:val="auto"/>
        </w:rPr>
        <w:t>As of the third quarter of 2019, the Company had a leverage ratio of less than 5.0x, and, in accordance with the Company’s debt agreements, ceased debt amortization payments in the fourth quarter of 2019. Subsequent to the 2019 Recapitalization, the Company’s leverage ratios exceeded the leverage ratio of 5.0x and, accordingly, the Company resumed making the scheduled amortization payments on its then outstanding notes in the first quarter of 2020.</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Consolidated Long-Term Debt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January 2, 2022 and January 3, 2021, consolidated long-term debt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January 2,</w:t>
            </w:r>
          </w:p>
        </w:tc>
        <w:tc>
          <w:tcPr>
            <w:tcW w:w="28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3,</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2015</w:t>
            </w:r>
          </w:p>
        </w:tc>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Ten-Year Notes</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760,000</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766,000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2017</w:t>
            </w: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Five-Year Fixed Rate Notes</w:t>
            </w:r>
          </w:p>
        </w:tc>
        <w:tc>
          <w:tcPr>
            <w:tcW w:w="300" w:type="dxa"/>
            <w:vAlign w:val="bottom"/>
          </w:tcPr>
          <w:p>
            <w:pPr>
              <w:spacing w:after="0"/>
              <w:rPr>
                <w:sz w:val="17"/>
                <w:szCs w:val="17"/>
                <w:color w:val="auto"/>
              </w:rPr>
            </w:pPr>
          </w:p>
        </w:tc>
        <w:tc>
          <w:tcPr>
            <w:tcW w:w="16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582,000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2017</w:t>
            </w: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Fixed Rate Notes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962,500</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2017</w:t>
            </w: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Floating Rate Notes</w:t>
            </w:r>
          </w:p>
        </w:tc>
        <w:tc>
          <w:tcPr>
            <w:tcW w:w="300" w:type="dxa"/>
            <w:vAlign w:val="bottom"/>
          </w:tcPr>
          <w:p>
            <w:pPr>
              <w:spacing w:after="0"/>
              <w:rPr>
                <w:sz w:val="17"/>
                <w:szCs w:val="17"/>
                <w:color w:val="auto"/>
              </w:rPr>
            </w:pPr>
          </w:p>
        </w:tc>
        <w:tc>
          <w:tcPr>
            <w:tcW w:w="16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2018</w:t>
            </w: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7.5-Year Notes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412,250</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415,438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2018</w:t>
            </w: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9.25-Year Notes</w:t>
            </w:r>
          </w:p>
        </w:tc>
        <w:tc>
          <w:tcPr>
            <w:tcW w:w="3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388,000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2019</w:t>
            </w: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Notes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663,188</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2021</w:t>
            </w:r>
          </w:p>
        </w:tc>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7.5-Year Notes</w:t>
            </w:r>
          </w:p>
        </w:tc>
        <w:tc>
          <w:tcPr>
            <w:tcW w:w="3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845,750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2021</w:t>
            </w:r>
          </w:p>
        </w:tc>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Notes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995,000</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76,338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Debt issuance costs, net of accumulated amortization</w:t>
            </w:r>
          </w:p>
        </w:tc>
        <w:tc>
          <w:tcPr>
            <w:tcW w:w="300" w:type="dxa"/>
            <w:vAlign w:val="bottom"/>
            <w:shd w:val="clear" w:color="auto" w:fill="CFF0FC"/>
          </w:tcPr>
          <w:p>
            <w:pPr>
              <w:spacing w:after="0"/>
              <w:rPr>
                <w:sz w:val="14"/>
                <w:szCs w:val="14"/>
                <w:color w:val="auto"/>
              </w:rPr>
            </w:pPr>
          </w:p>
        </w:tc>
        <w:tc>
          <w:tcPr>
            <w:tcW w:w="16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(32,800 )</w:t>
            </w:r>
          </w:p>
        </w:tc>
        <w:tc>
          <w:tcPr>
            <w:tcW w:w="280" w:type="dxa"/>
            <w:vAlign w:val="bottom"/>
            <w:shd w:val="clear" w:color="auto" w:fill="CFF0FC"/>
          </w:tcPr>
          <w:p>
            <w:pPr>
              <w:spacing w:after="0"/>
              <w:rPr>
                <w:sz w:val="14"/>
                <w:szCs w:val="14"/>
                <w:color w:val="auto"/>
              </w:rPr>
            </w:pPr>
          </w:p>
        </w:tc>
        <w:tc>
          <w:tcPr>
            <w:tcW w:w="1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(25,370 )</w:t>
            </w: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of $18.0 million in 2021 and $18.4 million in 2020</w:t>
            </w:r>
          </w:p>
        </w:tc>
        <w:tc>
          <w:tcPr>
            <w:tcW w:w="300" w:type="dxa"/>
            <w:vAlign w:val="bottom"/>
            <w:shd w:val="clear" w:color="auto" w:fill="CFF0FC"/>
          </w:tcPr>
          <w:p>
            <w:pPr>
              <w:spacing w:after="0"/>
              <w:rPr>
                <w:sz w:val="17"/>
                <w:szCs w:val="17"/>
                <w:color w:val="auto"/>
              </w:rPr>
            </w:pPr>
          </w:p>
        </w:tc>
        <w:tc>
          <w:tcPr>
            <w:tcW w:w="1600" w:type="dxa"/>
            <w:vAlign w:val="bottom"/>
            <w:gridSpan w:val="3"/>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5,070,226</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4,118,873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Less – current portion</w:t>
            </w:r>
          </w:p>
        </w:tc>
        <w:tc>
          <w:tcPr>
            <w:tcW w:w="30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(55,588 )</w:t>
            </w:r>
          </w:p>
        </w:tc>
        <w:tc>
          <w:tcPr>
            <w:tcW w:w="2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(2,855 )</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Consolidated long-term debt, net of debt issuance costs</w:t>
            </w: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5,014,638</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4,116,018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80" w:type="dxa"/>
            <w:vAlign w:val="bottom"/>
            <w:vMerge w:val="restart"/>
          </w:tcPr>
          <w:p>
            <w:pPr>
              <w:ind w:left="60"/>
              <w:spacing w:after="0"/>
              <w:rPr>
                <w:sz w:val="20"/>
                <w:szCs w:val="20"/>
                <w:color w:val="auto"/>
              </w:rPr>
            </w:pPr>
            <w:r>
              <w:rPr>
                <w:rFonts w:ascii="Arial" w:cs="Arial" w:eastAsia="Arial" w:hAnsi="Arial"/>
                <w:sz w:val="18"/>
                <w:szCs w:val="18"/>
                <w:color w:val="auto"/>
                <w:w w:val="95"/>
              </w:rPr>
              <w:t>At January 2, 2022, maturities of long-term debt and finance lease obligations were as follows:</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00" w:type="dxa"/>
            <w:vAlign w:val="bottom"/>
          </w:tcPr>
          <w:p>
            <w:pPr>
              <w:spacing w:after="0"/>
              <w:rPr>
                <w:sz w:val="8"/>
                <w:szCs w:val="8"/>
                <w:color w:val="auto"/>
              </w:rPr>
            </w:pPr>
          </w:p>
        </w:tc>
        <w:tc>
          <w:tcPr>
            <w:tcW w:w="7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2022</w:t>
            </w:r>
          </w:p>
        </w:tc>
        <w:tc>
          <w:tcPr>
            <w:tcW w:w="7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55,588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2023</w:t>
            </w:r>
          </w:p>
        </w:tc>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55,438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2024</w:t>
            </w:r>
          </w:p>
        </w:tc>
        <w:tc>
          <w:tcPr>
            <w:tcW w:w="7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ind w:left="20"/>
              <w:spacing w:after="0" w:line="202" w:lineRule="exact"/>
              <w:rPr>
                <w:sz w:val="20"/>
                <w:szCs w:val="20"/>
                <w:color w:val="auto"/>
              </w:rPr>
            </w:pPr>
            <w:r>
              <w:rPr>
                <w:rFonts w:ascii="Arial" w:cs="Arial" w:eastAsia="Arial" w:hAnsi="Arial"/>
                <w:sz w:val="18"/>
                <w:szCs w:val="18"/>
                <w:color w:val="auto"/>
                <w:w w:val="89"/>
              </w:rPr>
              <w:t>2025</w:t>
            </w:r>
          </w:p>
        </w:tc>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1,178,971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89"/>
              </w:rPr>
              <w:t>2026</w:t>
            </w:r>
          </w:p>
        </w:tc>
        <w:tc>
          <w:tcPr>
            <w:tcW w:w="7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3,713,234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0" w:type="dxa"/>
            <w:vAlign w:val="bottom"/>
            <w:tcBorders>
              <w:bottom w:val="single" w:sz="8" w:color="CFF0FC"/>
            </w:tcBorders>
            <w:shd w:val="clear" w:color="auto" w:fill="CFF0FC"/>
          </w:tcPr>
          <w:p>
            <w:pPr>
              <w:spacing w:after="0"/>
              <w:rPr>
                <w:sz w:val="20"/>
                <w:szCs w:val="20"/>
                <w:color w:val="auto"/>
              </w:rPr>
            </w:pPr>
          </w:p>
        </w:tc>
        <w:tc>
          <w:tcPr>
            <w:tcW w:w="7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5,103,026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-1668145</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-1668145</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-1402080</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-1402080</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-7620</wp:posOffset>
            </wp:positionV>
            <wp:extent cx="285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9" w:lineRule="exact"/>
        <w:rPr>
          <w:sz w:val="20"/>
          <w:szCs w:val="20"/>
          <w:color w:val="auto"/>
        </w:rPr>
      </w:pPr>
    </w:p>
    <w:p>
      <w:pPr>
        <w:ind w:right="60" w:firstLine="449"/>
        <w:spacing w:after="0" w:line="248"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Cash Equivalents and Investments</w:t>
      </w:r>
    </w:p>
    <w:p>
      <w:pPr>
        <w:spacing w:after="0" w:line="198" w:lineRule="exact"/>
        <w:rPr>
          <w:sz w:val="20"/>
          <w:szCs w:val="20"/>
          <w:color w:val="auto"/>
        </w:rPr>
      </w:pPr>
    </w:p>
    <w:p>
      <w:pPr>
        <w:ind w:right="20" w:firstLine="469"/>
        <w:spacing w:after="0" w:line="270" w:lineRule="auto"/>
        <w:rPr>
          <w:sz w:val="20"/>
          <w:szCs w:val="20"/>
          <w:color w:val="auto"/>
        </w:rPr>
      </w:pPr>
      <w:r>
        <w:rPr>
          <w:rFonts w:ascii="Arial" w:cs="Arial" w:eastAsia="Arial" w:hAnsi="Arial"/>
          <w:sz w:val="17"/>
          <w:szCs w:val="17"/>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carrying amounts and fair values of certain assets at January 2,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110"/>
              <w:spacing w:after="0"/>
              <w:rPr>
                <w:sz w:val="20"/>
                <w:szCs w:val="20"/>
                <w:color w:val="auto"/>
              </w:rPr>
            </w:pPr>
            <w:r>
              <w:rPr>
                <w:rFonts w:ascii="Arial" w:cs="Arial" w:eastAsia="Arial" w:hAnsi="Arial"/>
                <w:sz w:val="14"/>
                <w:szCs w:val="14"/>
                <w:b w:val="1"/>
                <w:bCs w:val="1"/>
                <w:color w:val="auto"/>
              </w:rPr>
              <w:t>At January 2, 2022</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left="598"/>
              <w:spacing w:after="0"/>
              <w:rPr>
                <w:sz w:val="20"/>
                <w:szCs w:val="20"/>
                <w:color w:val="auto"/>
              </w:rPr>
            </w:pPr>
            <w:r>
              <w:rPr>
                <w:rFonts w:ascii="Arial" w:cs="Arial" w:eastAsia="Arial" w:hAnsi="Arial"/>
                <w:sz w:val="14"/>
                <w:szCs w:val="14"/>
                <w:b w:val="1"/>
                <w:bCs w:val="1"/>
                <w:color w:val="auto"/>
                <w:w w:val="94"/>
              </w:rPr>
              <w:t>Fair Value Estimated Using</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4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460"/>
              <w:spacing w:after="0" w:line="160"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960" w:type="dxa"/>
            <w:vAlign w:val="bottom"/>
          </w:tcPr>
          <w:p>
            <w:pPr>
              <w:jc w:val="right"/>
              <w:ind w:right="298"/>
              <w:spacing w:after="0" w:line="160"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center"/>
              <w:ind w:right="570"/>
              <w:spacing w:after="0" w:line="160"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Pr>
          <w:p>
            <w:pPr>
              <w:jc w:val="right"/>
              <w:ind w:right="275"/>
              <w:spacing w:after="0" w:line="160"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85"/>
        </w:trPr>
        <w:tc>
          <w:tcPr>
            <w:tcW w:w="4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960" w:type="dxa"/>
            <w:vAlign w:val="bottom"/>
          </w:tcPr>
          <w:p>
            <w:pPr>
              <w:jc w:val="right"/>
              <w:ind w:right="318"/>
              <w:spacing w:after="0"/>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right="570"/>
              <w:spacing w:after="0"/>
              <w:rPr>
                <w:sz w:val="20"/>
                <w:szCs w:val="20"/>
                <w:color w:val="auto"/>
              </w:rPr>
            </w:pPr>
            <w:r>
              <w:rPr>
                <w:rFonts w:ascii="Arial" w:cs="Arial" w:eastAsia="Arial" w:hAnsi="Arial"/>
                <w:sz w:val="14"/>
                <w:szCs w:val="14"/>
                <w:b w:val="1"/>
                <w:bCs w:val="1"/>
                <w:color w:val="auto"/>
                <w:w w:val="95"/>
              </w:rPr>
              <w:t>Inputs</w:t>
            </w: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r>
      <w:tr>
        <w:trPr>
          <w:trHeight w:val="196"/>
        </w:trPr>
        <w:tc>
          <w:tcPr>
            <w:tcW w:w="4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87,384</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87,384</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equivalents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115,185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115,185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 in marketable securities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15,433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15,433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2"/>
        </w:trPr>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Advertising fund cash equivalents, restricted</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140,115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140,115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125,840</w:t>
            </w:r>
          </w:p>
        </w:tc>
        <w:tc>
          <w:tcPr>
            <w:tcW w:w="100" w:type="dxa"/>
            <w:vAlign w:val="bottom"/>
            <w:shd w:val="clear" w:color="auto" w:fill="CFF0FC"/>
          </w:tcPr>
          <w:p>
            <w:pPr>
              <w:spacing w:after="0"/>
              <w:rPr>
                <w:sz w:val="17"/>
                <w:szCs w:val="17"/>
                <w:color w:val="auto"/>
              </w:rPr>
            </w:pPr>
          </w:p>
        </w:tc>
      </w:tr>
      <w:tr>
        <w:trPr>
          <w:trHeight w:val="419"/>
        </w:trPr>
        <w:tc>
          <w:tcPr>
            <w:tcW w:w="4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9" w:name="page70"/>
    <w:bookmarkEnd w:id="69"/>
    <w:p>
      <w:pPr>
        <w:ind w:left="480"/>
        <w:spacing w:after="0"/>
        <w:rPr>
          <w:sz w:val="20"/>
          <w:szCs w:val="20"/>
          <w:color w:val="auto"/>
        </w:rPr>
      </w:pPr>
      <w:r>
        <w:rPr>
          <w:rFonts w:ascii="Arial" w:cs="Arial" w:eastAsia="Arial" w:hAnsi="Arial"/>
          <w:sz w:val="18"/>
          <w:szCs w:val="18"/>
          <w:color w:val="auto"/>
        </w:rPr>
        <w:t>The following table summarizes the carrying amounts and fair values of certain assets at January 3,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090"/>
              <w:spacing w:after="0"/>
              <w:rPr>
                <w:sz w:val="20"/>
                <w:szCs w:val="20"/>
                <w:color w:val="auto"/>
              </w:rPr>
            </w:pPr>
            <w:r>
              <w:rPr>
                <w:rFonts w:ascii="Arial" w:cs="Arial" w:eastAsia="Arial" w:hAnsi="Arial"/>
                <w:sz w:val="14"/>
                <w:szCs w:val="14"/>
                <w:b w:val="1"/>
                <w:bCs w:val="1"/>
                <w:color w:val="auto"/>
              </w:rPr>
              <w:t>At January 3, 2021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left="618"/>
              <w:spacing w:after="0"/>
              <w:rPr>
                <w:sz w:val="20"/>
                <w:szCs w:val="20"/>
                <w:color w:val="auto"/>
              </w:rPr>
            </w:pPr>
            <w:r>
              <w:rPr>
                <w:rFonts w:ascii="Arial" w:cs="Arial" w:eastAsia="Arial" w:hAnsi="Arial"/>
                <w:sz w:val="14"/>
                <w:szCs w:val="14"/>
                <w:b w:val="1"/>
                <w:bCs w:val="1"/>
                <w:color w:val="auto"/>
                <w:w w:val="93"/>
              </w:rPr>
              <w:t>Fair Value Estimated Using</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5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960" w:type="dxa"/>
            <w:vAlign w:val="bottom"/>
          </w:tcPr>
          <w:p>
            <w:pPr>
              <w:jc w:val="right"/>
              <w:ind w:right="298"/>
              <w:spacing w:after="0" w:line="160"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right="590"/>
              <w:spacing w:after="0" w:line="160" w:lineRule="exact"/>
              <w:rPr>
                <w:sz w:val="20"/>
                <w:szCs w:val="20"/>
                <w:color w:val="auto"/>
              </w:rPr>
            </w:pPr>
            <w:r>
              <w:rPr>
                <w:rFonts w:ascii="Arial" w:cs="Arial" w:eastAsia="Arial" w:hAnsi="Arial"/>
                <w:sz w:val="14"/>
                <w:szCs w:val="14"/>
                <w:b w:val="1"/>
                <w:bCs w:val="1"/>
                <w:color w:val="auto"/>
                <w:w w:val="96"/>
              </w:rPr>
              <w:t>Level 2</w:t>
            </w:r>
          </w:p>
        </w:tc>
        <w:tc>
          <w:tcPr>
            <w:tcW w:w="940" w:type="dxa"/>
            <w:vAlign w:val="bottom"/>
          </w:tcPr>
          <w:p>
            <w:pPr>
              <w:jc w:val="right"/>
              <w:ind w:right="295"/>
              <w:spacing w:after="0" w:line="160"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5"/>
        </w:trPr>
        <w:tc>
          <w:tcPr>
            <w:tcW w:w="5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960" w:type="dxa"/>
            <w:vAlign w:val="bottom"/>
          </w:tcPr>
          <w:p>
            <w:pPr>
              <w:jc w:val="right"/>
              <w:ind w:right="318"/>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610"/>
              <w:spacing w:after="0"/>
              <w:rPr>
                <w:sz w:val="20"/>
                <w:szCs w:val="20"/>
                <w:color w:val="auto"/>
              </w:rPr>
            </w:pPr>
            <w:r>
              <w:rPr>
                <w:rFonts w:ascii="Arial" w:cs="Arial" w:eastAsia="Arial" w:hAnsi="Arial"/>
                <w:sz w:val="14"/>
                <w:szCs w:val="14"/>
                <w:b w:val="1"/>
                <w:bCs w:val="1"/>
                <w:color w:val="auto"/>
                <w:w w:val="95"/>
              </w:rPr>
              <w:t>Inputs</w:t>
            </w: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Inputs</w:t>
            </w:r>
          </w:p>
        </w:tc>
        <w:tc>
          <w:tcPr>
            <w:tcW w:w="60" w:type="dxa"/>
            <w:vAlign w:val="bottom"/>
          </w:tcPr>
          <w:p>
            <w:pPr>
              <w:spacing w:after="0"/>
              <w:rPr>
                <w:sz w:val="16"/>
                <w:szCs w:val="16"/>
                <w:color w:val="auto"/>
              </w:rPr>
            </w:pPr>
          </w:p>
        </w:tc>
      </w:tr>
      <w:tr>
        <w:trPr>
          <w:trHeight w:val="196"/>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151,502</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151,502</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equivalents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126,595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126,595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 in marketable securities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Advertising fund cash equivalents, restricted</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104,197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104,197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7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w:t>
            </w:r>
          </w:p>
        </w:tc>
        <w:tc>
          <w:tcPr>
            <w:tcW w:w="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60" w:firstLine="449"/>
        <w:spacing w:after="0"/>
        <w:rPr>
          <w:sz w:val="20"/>
          <w:szCs w:val="20"/>
          <w:color w:val="auto"/>
        </w:rPr>
      </w:pPr>
      <w:r>
        <w:rPr>
          <w:rFonts w:ascii="Arial" w:cs="Arial" w:eastAsia="Arial" w:hAnsi="Arial"/>
          <w:sz w:val="18"/>
          <w:szCs w:val="18"/>
          <w:color w:val="auto"/>
        </w:rPr>
        <w:t>During the second quarter of 2020, a subsidiary of the Company acquired a non-controlling interest in DPC Dash Ltd (formerly Dash Brands Ltd.), a privately-held company limited by shares incorporated with limited liability under the laws of the British Virgin Islands (“DPC Dash”), for $40.0 million. Through its subsidiaries, DPC Dash serves as the Company’s master franchisee in China that owns and operates Domino’s Pizza stores in that market. The Company’s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176" w:lineRule="exact"/>
        <w:rPr>
          <w:sz w:val="20"/>
          <w:szCs w:val="20"/>
          <w:color w:val="auto"/>
        </w:rPr>
      </w:pPr>
    </w:p>
    <w:p>
      <w:pPr>
        <w:ind w:right="180" w:firstLine="449"/>
        <w:spacing w:after="0" w:line="255" w:lineRule="auto"/>
        <w:rPr>
          <w:sz w:val="20"/>
          <w:szCs w:val="20"/>
          <w:color w:val="auto"/>
        </w:rPr>
      </w:pPr>
      <w:r>
        <w:rPr>
          <w:rFonts w:ascii="Arial" w:cs="Arial" w:eastAsia="Arial" w:hAnsi="Arial"/>
          <w:sz w:val="17"/>
          <w:szCs w:val="17"/>
          <w:color w:val="auto"/>
        </w:rPr>
        <w:t>During the first quarter of 2021, the Company invested an additional $40.0 million in DPC Dash based on DPC Dash’s achievement of certain pre-established performance conditions and recorded a positive adjustment of $2.5 million to the original carrying amount of $40.0 million resulting from the observable change in price from the valuation of the additional investment, resulting in a net carrying amount of $82.5 million as of the end of the first quarter of 2021. The Company did not record any adjustments to the carrying amount of $82.5 million in the second or third quarter of 2021. During the fourth quarter of 2021, the Company invested an additional $9.1 million in DPC Dash and recorded a positive adjustment of $34.3 million to the carrying amount of $82.5 million resulting from the observable change in price from the valuation of the additional investment. These amounts were recorded in other income in the Company’s consolidated statements of income.</w:t>
      </w:r>
    </w:p>
    <w:p>
      <w:pPr>
        <w:spacing w:after="0" w:line="166" w:lineRule="exact"/>
        <w:rPr>
          <w:sz w:val="20"/>
          <w:szCs w:val="20"/>
          <w:color w:val="auto"/>
        </w:rPr>
      </w:pPr>
    </w:p>
    <w:p>
      <w:pPr>
        <w:ind w:right="260" w:firstLine="449"/>
        <w:spacing w:after="0" w:line="261" w:lineRule="auto"/>
        <w:rPr>
          <w:sz w:val="20"/>
          <w:szCs w:val="20"/>
          <w:color w:val="auto"/>
        </w:rPr>
      </w:pPr>
      <w:r>
        <w:rPr>
          <w:rFonts w:ascii="Arial" w:cs="Arial" w:eastAsia="Arial" w:hAnsi="Arial"/>
          <w:sz w:val="18"/>
          <w:szCs w:val="18"/>
          <w:color w:val="auto"/>
        </w:rPr>
        <w:t>The following table summarizes the reconciliation of the carrying amount of the Company’s investment in DPC Dash from the opening balance at January 3, 2021 to the closing balance at January 2,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2021</w:t>
            </w: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Carrying Amount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Carrying Amount</w:t>
            </w:r>
          </w:p>
        </w:tc>
        <w:tc>
          <w:tcPr>
            <w:tcW w:w="80" w:type="dxa"/>
            <w:vAlign w:val="bottom"/>
          </w:tcPr>
          <w:p>
            <w:pPr>
              <w:spacing w:after="0"/>
              <w:rPr>
                <w:sz w:val="14"/>
                <w:szCs w:val="14"/>
                <w:color w:val="auto"/>
              </w:rPr>
            </w:pPr>
          </w:p>
        </w:tc>
      </w:tr>
      <w:tr>
        <w:trPr>
          <w:trHeight w:val="160"/>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64"/>
              <w:spacing w:after="0" w:line="160" w:lineRule="exact"/>
              <w:rPr>
                <w:sz w:val="20"/>
                <w:szCs w:val="20"/>
                <w:color w:val="auto"/>
              </w:rPr>
            </w:pPr>
            <w:r>
              <w:rPr>
                <w:rFonts w:ascii="Arial" w:cs="Arial" w:eastAsia="Arial" w:hAnsi="Arial"/>
                <w:sz w:val="14"/>
                <w:szCs w:val="14"/>
                <w:b w:val="1"/>
                <w:bCs w:val="1"/>
                <w:color w:val="auto"/>
                <w:w w:val="95"/>
              </w:rPr>
              <w:t>January 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3"/>
                <w:szCs w:val="13"/>
                <w:color w:val="auto"/>
              </w:rPr>
            </w:pPr>
          </w:p>
        </w:tc>
        <w:tc>
          <w:tcPr>
            <w:tcW w:w="1260" w:type="dxa"/>
            <w:vAlign w:val="bottom"/>
          </w:tcPr>
          <w:p>
            <w:pPr>
              <w:jc w:val="center"/>
              <w:ind w:right="44"/>
              <w:spacing w:after="0" w:line="160" w:lineRule="exact"/>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3"/>
                <w:szCs w:val="13"/>
                <w:color w:val="auto"/>
              </w:rPr>
            </w:pPr>
          </w:p>
        </w:tc>
      </w:tr>
      <w:tr>
        <w:trPr>
          <w:trHeight w:val="185"/>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22"/>
              <w:spacing w:after="0"/>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6"/>
                <w:szCs w:val="16"/>
                <w:color w:val="auto"/>
              </w:rPr>
            </w:pPr>
          </w:p>
        </w:tc>
        <w:tc>
          <w:tcPr>
            <w:tcW w:w="126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r>
      <w:tr>
        <w:trPr>
          <w:trHeight w:val="196"/>
        </w:trPr>
        <w:tc>
          <w:tcPr>
            <w:tcW w:w="4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40,000</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49,082</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36,758</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125,840</w:t>
            </w:r>
          </w:p>
        </w:tc>
        <w:tc>
          <w:tcPr>
            <w:tcW w:w="8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260" w:firstLine="449"/>
        <w:spacing w:after="0" w:line="261" w:lineRule="auto"/>
        <w:rPr>
          <w:sz w:val="20"/>
          <w:szCs w:val="20"/>
          <w:color w:val="auto"/>
        </w:rPr>
      </w:pPr>
      <w:r>
        <w:rPr>
          <w:rFonts w:ascii="Arial" w:cs="Arial" w:eastAsia="Arial" w:hAnsi="Arial"/>
          <w:sz w:val="18"/>
          <w:szCs w:val="18"/>
          <w:color w:val="auto"/>
        </w:rPr>
        <w:t>The following table summarizes the reconciliation of the carrying amount of the Company’s investment in DPC Dash from the opening balance at December 29, 2019 to the closing balance at January 3, 2021 .</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Fiscal 2020</w:t>
            </w: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center"/>
              <w:ind w:right="530"/>
              <w:spacing w:after="0"/>
              <w:rPr>
                <w:sz w:val="20"/>
                <w:szCs w:val="20"/>
                <w:color w:val="auto"/>
              </w:rPr>
            </w:pPr>
            <w:r>
              <w:rPr>
                <w:rFonts w:ascii="Arial" w:cs="Arial" w:eastAsia="Arial" w:hAnsi="Arial"/>
                <w:sz w:val="14"/>
                <w:szCs w:val="14"/>
                <w:b w:val="1"/>
                <w:bCs w:val="1"/>
                <w:color w:val="auto"/>
                <w:w w:val="96"/>
              </w:rPr>
              <w:t>Carrying Amount</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Carrying Amount</w:t>
            </w:r>
          </w:p>
        </w:tc>
        <w:tc>
          <w:tcPr>
            <w:tcW w:w="60" w:type="dxa"/>
            <w:vAlign w:val="bottom"/>
          </w:tcPr>
          <w:p>
            <w:pPr>
              <w:spacing w:after="0"/>
              <w:rPr>
                <w:sz w:val="14"/>
                <w:szCs w:val="14"/>
                <w:color w:val="auto"/>
              </w:rPr>
            </w:pPr>
          </w:p>
        </w:tc>
      </w:tr>
      <w:tr>
        <w:trPr>
          <w:trHeight w:val="160"/>
        </w:trPr>
        <w:tc>
          <w:tcPr>
            <w:tcW w:w="48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64"/>
              <w:spacing w:after="0" w:line="160" w:lineRule="exact"/>
              <w:rPr>
                <w:sz w:val="20"/>
                <w:szCs w:val="20"/>
                <w:color w:val="auto"/>
              </w:rPr>
            </w:pPr>
            <w:r>
              <w:rPr>
                <w:rFonts w:ascii="Arial" w:cs="Arial" w:eastAsia="Arial" w:hAnsi="Arial"/>
                <w:sz w:val="14"/>
                <w:szCs w:val="14"/>
                <w:b w:val="1"/>
                <w:bCs w:val="1"/>
                <w:color w:val="auto"/>
                <w:w w:val="90"/>
              </w:rPr>
              <w:t>December 29,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80"/>
              <w:spacing w:after="0" w:line="160"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44"/>
              <w:spacing w:after="0" w:line="160" w:lineRule="exact"/>
              <w:rPr>
                <w:sz w:val="20"/>
                <w:szCs w:val="20"/>
                <w:color w:val="auto"/>
              </w:rPr>
            </w:pPr>
            <w:r>
              <w:rPr>
                <w:rFonts w:ascii="Arial" w:cs="Arial" w:eastAsia="Arial" w:hAnsi="Arial"/>
                <w:sz w:val="14"/>
                <w:szCs w:val="14"/>
                <w:b w:val="1"/>
                <w:bCs w:val="1"/>
                <w:color w:val="auto"/>
                <w:w w:val="95"/>
              </w:rPr>
              <w:t>January 3,</w:t>
            </w:r>
          </w:p>
        </w:tc>
        <w:tc>
          <w:tcPr>
            <w:tcW w:w="60" w:type="dxa"/>
            <w:vAlign w:val="bottom"/>
          </w:tcPr>
          <w:p>
            <w:pPr>
              <w:spacing w:after="0"/>
              <w:rPr>
                <w:sz w:val="13"/>
                <w:szCs w:val="13"/>
                <w:color w:val="auto"/>
              </w:rPr>
            </w:pPr>
          </w:p>
        </w:tc>
      </w:tr>
      <w:tr>
        <w:trPr>
          <w:trHeight w:val="185"/>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42"/>
              <w:spacing w:after="0"/>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center"/>
              <w:ind w:right="510"/>
              <w:spacing w:after="0"/>
              <w:rPr>
                <w:sz w:val="20"/>
                <w:szCs w:val="20"/>
                <w:color w:val="auto"/>
              </w:rPr>
            </w:pPr>
            <w:r>
              <w:rPr>
                <w:rFonts w:ascii="Arial" w:cs="Arial" w:eastAsia="Arial" w:hAnsi="Arial"/>
                <w:sz w:val="14"/>
                <w:szCs w:val="14"/>
                <w:b w:val="1"/>
                <w:bCs w:val="1"/>
                <w:color w:val="auto"/>
                <w:w w:val="96"/>
              </w:rPr>
              <w:t>Gain</w:t>
            </w:r>
          </w:p>
        </w:tc>
        <w:tc>
          <w:tcPr>
            <w:tcW w:w="130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ind w:left="112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40,000</w:t>
            </w: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ind w:left="96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40,000</w:t>
            </w:r>
          </w:p>
        </w:tc>
        <w:tc>
          <w:tcPr>
            <w:tcW w:w="6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Debt</w:t>
      </w:r>
    </w:p>
    <w:p>
      <w:pPr>
        <w:spacing w:after="0" w:line="306" w:lineRule="exact"/>
        <w:rPr>
          <w:sz w:val="20"/>
          <w:szCs w:val="20"/>
          <w:color w:val="auto"/>
        </w:rPr>
      </w:pPr>
    </w:p>
    <w:p>
      <w:pPr>
        <w:ind w:right="40" w:firstLine="449"/>
        <w:spacing w:after="0" w:line="237" w:lineRule="auto"/>
        <w:rPr>
          <w:sz w:val="20"/>
          <w:szCs w:val="20"/>
          <w:color w:val="auto"/>
        </w:rPr>
      </w:pPr>
      <w:r>
        <w:rPr>
          <w:rFonts w:ascii="Arial" w:cs="Arial" w:eastAsia="Arial" w:hAnsi="Arial"/>
          <w:sz w:val="18"/>
          <w:szCs w:val="18"/>
          <w:color w:val="auto"/>
        </w:rPr>
        <w:t>The estimated fair values of the Company’s Notes (Note 3)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t>Management estimated the approximate fair values of the Notes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January 2, 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January 3, 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2015</w:t>
            </w:r>
          </w:p>
        </w:tc>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Ten-Year Notes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777,480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766,000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809,662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2017</w:t>
            </w:r>
          </w:p>
        </w:tc>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Five-Year Fixed Rate Notes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582,000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582,582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2017</w:t>
            </w:r>
          </w:p>
        </w:tc>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Fixed Rate Notes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962,500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1,000,038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970,000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1,035,960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2017</w:t>
            </w:r>
          </w:p>
        </w:tc>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Floating Rate Notes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291,000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291,000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2018</w:t>
            </w:r>
          </w:p>
        </w:tc>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7.5-Year Notes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412,250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420,907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415,438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437,456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2018</w:t>
            </w:r>
          </w:p>
        </w:tc>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9.25-Year Notes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388,000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407,788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391,000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422,280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2019</w:t>
            </w:r>
          </w:p>
        </w:tc>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Notes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663,188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693,031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668,250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712,355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89"/>
              </w:rPr>
              <w:t>2021</w:t>
            </w:r>
          </w:p>
        </w:tc>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7.5-Year Notes</w:t>
            </w:r>
          </w:p>
        </w:tc>
        <w:tc>
          <w:tcPr>
            <w:tcW w:w="2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845,750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849,133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2021</w:t>
            </w:r>
          </w:p>
        </w:tc>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Ten-Year Notes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995,000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1,017,885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outstanding borrowings under its variable funding notes at January 2, 2022 or January 3, 2021.</w:t>
      </w:r>
    </w:p>
    <w:p>
      <w:pPr>
        <w:spacing w:after="0" w:line="194"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440" w:firstLine="449"/>
        <w:spacing w:after="0" w:line="261"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with expiration dates through 2041.</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operating and finance lease cost for 2021, 2020 and 2019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5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200" w:type="dxa"/>
            <w:vAlign w:val="bottom"/>
            <w:tcBorders>
              <w:top w:val="single" w:sz="8" w:color="auto"/>
            </w:tcBorders>
            <w:shd w:val="clear" w:color="auto" w:fill="CFF0FC"/>
          </w:tcPr>
          <w:p>
            <w:pPr>
              <w:jc w:val="right"/>
              <w:ind w:right="101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44,913</w:t>
            </w:r>
          </w:p>
        </w:tc>
        <w:tc>
          <w:tcPr>
            <w:tcW w:w="32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44,679</w:t>
            </w:r>
          </w:p>
        </w:tc>
        <w:tc>
          <w:tcPr>
            <w:tcW w:w="30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42,903</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right-of-use assets</w:t>
            </w:r>
          </w:p>
        </w:tc>
        <w:tc>
          <w:tcPr>
            <w:tcW w:w="1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4,373</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2,186</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c>
          <w:tcPr>
            <w:tcW w:w="60" w:type="dxa"/>
            <w:vAlign w:val="bottom"/>
          </w:tcPr>
          <w:p>
            <w:pPr>
              <w:spacing w:after="0"/>
              <w:rPr>
                <w:sz w:val="17"/>
                <w:szCs w:val="17"/>
                <w:color w:val="auto"/>
              </w:rPr>
            </w:pPr>
          </w:p>
        </w:tc>
      </w:tr>
      <w:tr>
        <w:trPr>
          <w:trHeight w:val="203"/>
        </w:trPr>
        <w:tc>
          <w:tcPr>
            <w:tcW w:w="50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on lease liabilities</w:t>
            </w:r>
          </w:p>
        </w:tc>
        <w:tc>
          <w:tcPr>
            <w:tcW w:w="1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4,233</w:t>
            </w:r>
          </w:p>
        </w:tc>
        <w:tc>
          <w:tcPr>
            <w:tcW w:w="3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3,340</w:t>
            </w:r>
          </w:p>
        </w:tc>
        <w:tc>
          <w:tcPr>
            <w:tcW w:w="3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80" w:type="dxa"/>
            <w:vAlign w:val="bottom"/>
          </w:tcPr>
          <w:p>
            <w:pPr>
              <w:ind w:left="20"/>
              <w:spacing w:after="0" w:line="182" w:lineRule="exact"/>
              <w:rPr>
                <w:sz w:val="20"/>
                <w:szCs w:val="20"/>
                <w:color w:val="auto"/>
              </w:rPr>
            </w:pPr>
            <w:r>
              <w:rPr>
                <w:rFonts w:ascii="Arial" w:cs="Arial" w:eastAsia="Arial" w:hAnsi="Arial"/>
                <w:sz w:val="18"/>
                <w:szCs w:val="18"/>
                <w:color w:val="auto"/>
              </w:rPr>
              <w:t>Total finance lease cost</w:t>
            </w:r>
          </w:p>
        </w:tc>
        <w:tc>
          <w:tcPr>
            <w:tcW w:w="1200" w:type="dxa"/>
            <w:vAlign w:val="bottom"/>
          </w:tcPr>
          <w:p>
            <w:pPr>
              <w:jc w:val="right"/>
              <w:ind w:right="1016"/>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8,606</w:t>
            </w:r>
          </w:p>
        </w:tc>
        <w:tc>
          <w:tcPr>
            <w:tcW w:w="1500" w:type="dxa"/>
            <w:vAlign w:val="bottom"/>
            <w:gridSpan w:val="2"/>
          </w:tcPr>
          <w:p>
            <w:pPr>
              <w:jc w:val="right"/>
              <w:ind w:right="99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5,526</w:t>
            </w:r>
          </w:p>
        </w:tc>
        <w:tc>
          <w:tcPr>
            <w:tcW w:w="740" w:type="dxa"/>
            <w:vAlign w:val="bottom"/>
            <w:gridSpan w:val="2"/>
          </w:tcPr>
          <w:p>
            <w:pPr>
              <w:jc w:val="right"/>
              <w:ind w:right="250"/>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3,119</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-159385</wp:posOffset>
            </wp:positionV>
            <wp:extent cx="5143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431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87" w:lineRule="exact"/>
        <w:rPr>
          <w:sz w:val="20"/>
          <w:szCs w:val="20"/>
          <w:color w:val="auto"/>
        </w:rPr>
      </w:pPr>
    </w:p>
    <w:p>
      <w:pPr>
        <w:ind w:right="120" w:firstLine="449"/>
        <w:spacing w:after="0"/>
        <w:rPr>
          <w:sz w:val="20"/>
          <w:szCs w:val="20"/>
          <w:color w:val="auto"/>
        </w:rPr>
      </w:pPr>
      <w:r>
        <w:rPr>
          <w:rFonts w:ascii="Arial" w:cs="Arial" w:eastAsia="Arial" w:hAnsi="Arial"/>
          <w:sz w:val="18"/>
          <w:szCs w:val="18"/>
          <w:color w:val="auto"/>
        </w:rPr>
        <w:t>Rent expense totaled $78.6 million, $73.7 million and $69.7 million in 2021, 2020 and 2019,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$8.0 million, $4.2 million and $4.0 million in 2021, 2020 and 2019, respectively. Variable rent expense and rent expense for other short-term leases were immaterial for 2021, 2020 and 2019.</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the Company’s leases as of January 2, 2022 and January 3, 2021 was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January 2,</w:t>
            </w:r>
          </w:p>
        </w:tc>
        <w:tc>
          <w:tcPr>
            <w:tcW w:w="3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w:t>
            </w:r>
          </w:p>
        </w:tc>
      </w:tr>
      <w:tr>
        <w:trPr>
          <w:trHeight w:val="185"/>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Land and buildings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86,965</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68,084</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20" w:type="dxa"/>
            <w:vAlign w:val="bottom"/>
          </w:tcPr>
          <w:p>
            <w:pPr>
              <w:spacing w:after="0"/>
              <w:rPr>
                <w:sz w:val="17"/>
                <w:szCs w:val="17"/>
                <w:color w:val="auto"/>
              </w:rPr>
            </w:pP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(14,423 )</w:t>
            </w:r>
          </w:p>
        </w:tc>
        <w:tc>
          <w:tcPr>
            <w:tcW w:w="30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(10,049 )</w:t>
            </w:r>
          </w:p>
        </w:tc>
      </w:tr>
      <w:tr>
        <w:trPr>
          <w:trHeight w:val="236"/>
        </w:trPr>
        <w:tc>
          <w:tcPr>
            <w:tcW w:w="74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Finance lease assets, net</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72,542</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58,035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4,088</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2,855</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Long-term debt, less current portion</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72,250</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57,700</w:t>
            </w:r>
          </w:p>
        </w:tc>
        <w:tc>
          <w:tcPr>
            <w:tcW w:w="100" w:type="dxa"/>
            <w:vAlign w:val="bottom"/>
          </w:tcPr>
          <w:p>
            <w:pPr>
              <w:spacing w:after="0"/>
              <w:rPr>
                <w:sz w:val="17"/>
                <w:szCs w:val="17"/>
                <w:color w:val="auto"/>
              </w:rPr>
            </w:pPr>
          </w:p>
        </w:tc>
      </w:tr>
      <w:tr>
        <w:trPr>
          <w:trHeight w:val="236"/>
        </w:trPr>
        <w:tc>
          <w:tcPr>
            <w:tcW w:w="74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principal payable on finance leases</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76,338</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60,555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-574040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-556895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-574040</wp:posOffset>
            </wp:positionV>
            <wp:extent cx="59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-556895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560" w:firstLine="449"/>
        <w:spacing w:after="0" w:line="261" w:lineRule="auto"/>
        <w:rPr>
          <w:sz w:val="20"/>
          <w:szCs w:val="20"/>
          <w:color w:val="auto"/>
        </w:rPr>
      </w:pPr>
      <w:r>
        <w:rPr>
          <w:rFonts w:ascii="Arial" w:cs="Arial" w:eastAsia="Arial" w:hAnsi="Arial"/>
          <w:sz w:val="18"/>
          <w:szCs w:val="18"/>
          <w:color w:val="auto"/>
        </w:rPr>
        <w:t>As of January 2, 2022 and January 3, 2021, the weighted average remaining lease term and weighted average discount rate for the Company’s operating and finance leases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0"/>
        </w:trPr>
        <w:tc>
          <w:tcPr>
            <w:tcW w:w="5080" w:type="dxa"/>
            <w:vAlign w:val="bottom"/>
          </w:tcPr>
          <w:p>
            <w:pPr>
              <w:spacing w:after="0"/>
              <w:rPr>
                <w:sz w:val="13"/>
                <w:szCs w:val="13"/>
                <w:color w:val="auto"/>
              </w:rPr>
            </w:pPr>
          </w:p>
        </w:tc>
        <w:tc>
          <w:tcPr>
            <w:tcW w:w="1600" w:type="dxa"/>
            <w:vAlign w:val="bottom"/>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3"/>
              </w:rPr>
              <w:t>Operating</w:t>
            </w:r>
          </w:p>
        </w:tc>
        <w:tc>
          <w:tcPr>
            <w:tcW w:w="12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Finance</w:t>
            </w:r>
          </w:p>
        </w:tc>
        <w:tc>
          <w:tcPr>
            <w:tcW w:w="380" w:type="dxa"/>
            <w:vAlign w:val="bottom"/>
          </w:tcPr>
          <w:p>
            <w:pPr>
              <w:spacing w:after="0"/>
              <w:rPr>
                <w:sz w:val="13"/>
                <w:szCs w:val="13"/>
                <w:color w:val="auto"/>
              </w:rPr>
            </w:pPr>
          </w:p>
        </w:tc>
        <w:tc>
          <w:tcPr>
            <w:tcW w:w="154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6"/>
              </w:rPr>
              <w:t>Operating</w:t>
            </w:r>
          </w:p>
        </w:tc>
        <w:tc>
          <w:tcPr>
            <w:tcW w:w="11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Finance</w:t>
            </w:r>
          </w:p>
        </w:tc>
        <w:tc>
          <w:tcPr>
            <w:tcW w:w="260" w:type="dxa"/>
            <w:vAlign w:val="bottom"/>
          </w:tcPr>
          <w:p>
            <w:pPr>
              <w:spacing w:after="0"/>
              <w:rPr>
                <w:sz w:val="13"/>
                <w:szCs w:val="13"/>
                <w:color w:val="auto"/>
              </w:rPr>
            </w:pPr>
          </w:p>
        </w:tc>
      </w:tr>
      <w:tr>
        <w:trPr>
          <w:trHeight w:val="185"/>
        </w:trPr>
        <w:tc>
          <w:tcPr>
            <w:tcW w:w="5080" w:type="dxa"/>
            <w:vAlign w:val="bottom"/>
          </w:tcPr>
          <w:p>
            <w:pPr>
              <w:spacing w:after="0"/>
              <w:rPr>
                <w:sz w:val="16"/>
                <w:szCs w:val="16"/>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Leases</w:t>
            </w: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Leases</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Leases</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Leases</w:t>
            </w:r>
          </w:p>
        </w:tc>
      </w:tr>
      <w:tr>
        <w:trPr>
          <w:trHeight w:val="196"/>
        </w:trPr>
        <w:tc>
          <w:tcPr>
            <w:tcW w:w="5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 years</w:t>
            </w:r>
          </w:p>
        </w:tc>
        <w:tc>
          <w:tcPr>
            <w:tcW w:w="4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ind w:left="580"/>
              <w:spacing w:after="0" w:line="196" w:lineRule="exact"/>
              <w:rPr>
                <w:sz w:val="20"/>
                <w:szCs w:val="20"/>
                <w:color w:val="auto"/>
              </w:rPr>
            </w:pPr>
            <w:r>
              <w:rPr>
                <w:rFonts w:ascii="Arial" w:cs="Arial" w:eastAsia="Arial" w:hAnsi="Arial"/>
                <w:sz w:val="18"/>
                <w:szCs w:val="18"/>
                <w:color w:val="auto"/>
                <w:w w:val="86"/>
              </w:rPr>
              <w:t>15 years</w:t>
            </w:r>
          </w:p>
        </w:tc>
        <w:tc>
          <w:tcPr>
            <w:tcW w:w="38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ind w:left="640"/>
              <w:spacing w:after="0" w:line="196" w:lineRule="exact"/>
              <w:rPr>
                <w:sz w:val="20"/>
                <w:szCs w:val="20"/>
                <w:color w:val="auto"/>
              </w:rPr>
            </w:pPr>
            <w:r>
              <w:rPr>
                <w:rFonts w:ascii="Arial" w:cs="Arial" w:eastAsia="Arial" w:hAnsi="Arial"/>
                <w:sz w:val="18"/>
                <w:szCs w:val="18"/>
                <w:color w:val="auto"/>
                <w:w w:val="88"/>
              </w:rPr>
              <w:t>7 years</w:t>
            </w:r>
          </w:p>
        </w:tc>
        <w:tc>
          <w:tcPr>
            <w:tcW w:w="36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86"/>
              </w:rPr>
              <w:t>16 years</w:t>
            </w:r>
          </w:p>
        </w:tc>
        <w:tc>
          <w:tcPr>
            <w:tcW w:w="260" w:type="dxa"/>
            <w:vAlign w:val="bottom"/>
            <w:shd w:val="clear" w:color="auto" w:fill="CFF0FC"/>
          </w:tcPr>
          <w:p>
            <w:pPr>
              <w:spacing w:after="0"/>
              <w:rPr>
                <w:sz w:val="17"/>
                <w:szCs w:val="17"/>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3.5 %</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5.8 %</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3.7 %</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6.8 %</w:t>
            </w:r>
          </w:p>
        </w:tc>
      </w:tr>
      <w:tr>
        <w:trPr>
          <w:trHeight w:val="391"/>
        </w:trPr>
        <w:tc>
          <w:tcPr>
            <w:tcW w:w="5080" w:type="dxa"/>
            <w:vAlign w:val="bottom"/>
          </w:tcPr>
          <w:p>
            <w:pPr>
              <w:spacing w:after="0"/>
              <w:rPr>
                <w:sz w:val="24"/>
                <w:szCs w:val="24"/>
                <w:color w:val="auto"/>
              </w:rPr>
            </w:pPr>
          </w:p>
        </w:tc>
        <w:tc>
          <w:tcPr>
            <w:tcW w:w="1200" w:type="dxa"/>
            <w:vAlign w:val="bottom"/>
          </w:tcPr>
          <w:p>
            <w:pPr>
              <w:jc w:val="right"/>
              <w:ind w:right="479"/>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8"/>
        </w:trPr>
        <w:tc>
          <w:tcPr>
            <w:tcW w:w="5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t>Supplemental cash flow information related to leases for 2021, 2020 and 2019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44,176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43,679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43,608</w:t>
            </w:r>
          </w:p>
        </w:tc>
        <w:tc>
          <w:tcPr>
            <w:tcW w:w="60" w:type="dxa"/>
            <w:vAlign w:val="bottom"/>
          </w:tcPr>
          <w:p>
            <w:pPr>
              <w:spacing w:after="0"/>
              <w:rPr>
                <w:sz w:val="17"/>
                <w:szCs w:val="17"/>
                <w:color w:val="auto"/>
              </w:rPr>
            </w:pPr>
          </w:p>
        </w:tc>
      </w:tr>
      <w:tr>
        <w:trPr>
          <w:trHeight w:val="203"/>
        </w:trPr>
        <w:tc>
          <w:tcPr>
            <w:tcW w:w="7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4,233</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3,340</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1,952</w:t>
            </w: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0"/>
              <w:spacing w:after="0" w:line="202" w:lineRule="exact"/>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2,058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647</w:t>
            </w:r>
          </w:p>
        </w:tc>
        <w:tc>
          <w:tcPr>
            <w:tcW w:w="6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obtained in exchange for new lease obligations:</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29,549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37,375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63,685</w:t>
            </w:r>
          </w:p>
        </w:tc>
        <w:tc>
          <w:tcPr>
            <w:tcW w:w="60" w:type="dxa"/>
            <w:vAlign w:val="bottom"/>
          </w:tcPr>
          <w:p>
            <w:pPr>
              <w:spacing w:after="0"/>
              <w:rPr>
                <w:sz w:val="17"/>
                <w:szCs w:val="17"/>
                <w:color w:val="auto"/>
              </w:rPr>
            </w:pPr>
          </w:p>
        </w:tc>
      </w:tr>
      <w:tr>
        <w:trPr>
          <w:trHeight w:val="203"/>
        </w:trPr>
        <w:tc>
          <w:tcPr>
            <w:tcW w:w="7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Finance leases</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18,991</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42,894</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3,255</w:t>
            </w:r>
          </w:p>
        </w:tc>
        <w:tc>
          <w:tcPr>
            <w:tcW w:w="60" w:type="dxa"/>
            <w:vAlign w:val="bottom"/>
            <w:shd w:val="clear" w:color="auto" w:fill="CFF0FC"/>
          </w:tcPr>
          <w:p>
            <w:pPr>
              <w:spacing w:after="0"/>
              <w:rPr>
                <w:sz w:val="17"/>
                <w:szCs w:val="17"/>
                <w:color w:val="auto"/>
              </w:rPr>
            </w:pPr>
          </w:p>
        </w:tc>
      </w:tr>
      <w:tr>
        <w:trPr>
          <w:trHeight w:val="418"/>
        </w:trPr>
        <w:tc>
          <w:tcPr>
            <w:tcW w:w="7020" w:type="dxa"/>
            <w:vAlign w:val="bottom"/>
          </w:tcPr>
          <w:p>
            <w:pPr>
              <w:ind w:left="460"/>
              <w:spacing w:after="0"/>
              <w:rPr>
                <w:sz w:val="20"/>
                <w:szCs w:val="20"/>
                <w:color w:val="auto"/>
              </w:rPr>
            </w:pPr>
            <w:r>
              <w:rPr>
                <w:rFonts w:ascii="Arial" w:cs="Arial" w:eastAsia="Arial" w:hAnsi="Arial"/>
                <w:sz w:val="18"/>
                <w:szCs w:val="18"/>
                <w:color w:val="auto"/>
              </w:rPr>
              <w:t>Maturities of lease liabilities as of January 2, 2022 were as follows: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Finance</w:t>
            </w:r>
          </w:p>
        </w:tc>
      </w:tr>
      <w:tr>
        <w:trPr>
          <w:trHeight w:val="18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Leases</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4"/>
              </w:rPr>
              <w:t>Leases</w:t>
            </w:r>
          </w:p>
        </w:tc>
      </w:tr>
      <w:tr>
        <w:trPr>
          <w:trHeight w:val="196"/>
        </w:trPr>
        <w:tc>
          <w:tcPr>
            <w:tcW w:w="7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ind w:right="396"/>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45,347</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8,084</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39,057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7,536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38,027</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8,115</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32,417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7,935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29,280</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8,633</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0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65,645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78,071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rental commitments</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249,773</w:t>
            </w: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118,374</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020" w:type="dxa"/>
            <w:vAlign w:val="bottom"/>
          </w:tcPr>
          <w:p>
            <w:pPr>
              <w:ind w:left="20"/>
              <w:spacing w:after="0" w:line="196" w:lineRule="exact"/>
              <w:rPr>
                <w:sz w:val="20"/>
                <w:szCs w:val="20"/>
                <w:color w:val="auto"/>
              </w:rPr>
            </w:pPr>
            <w:r>
              <w:rPr>
                <w:rFonts w:ascii="Arial" w:cs="Arial" w:eastAsia="Arial" w:hAnsi="Arial"/>
                <w:sz w:val="18"/>
                <w:szCs w:val="18"/>
                <w:color w:val="auto"/>
              </w:rPr>
              <w:t>Less – amounts representing interest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right"/>
              <w:ind w:right="110"/>
              <w:spacing w:after="0" w:line="196" w:lineRule="exact"/>
              <w:rPr>
                <w:sz w:val="20"/>
                <w:szCs w:val="20"/>
                <w:color w:val="auto"/>
              </w:rPr>
            </w:pPr>
            <w:r>
              <w:rPr>
                <w:rFonts w:ascii="Arial" w:cs="Arial" w:eastAsia="Arial" w:hAnsi="Arial"/>
                <w:sz w:val="18"/>
                <w:szCs w:val="18"/>
                <w:color w:val="auto"/>
                <w:w w:val="91"/>
              </w:rPr>
              <w:t>(28,147 )</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(42,036 )</w:t>
            </w:r>
          </w:p>
        </w:tc>
      </w:tr>
      <w:tr>
        <w:trPr>
          <w:trHeight w:val="236"/>
        </w:trPr>
        <w:tc>
          <w:tcPr>
            <w:tcW w:w="7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liabilities</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396"/>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221,626</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76,338</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-296545</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both"/>
        <w:ind w:right="180" w:firstLine="449"/>
        <w:spacing w:after="0" w:line="248" w:lineRule="auto"/>
        <w:rPr>
          <w:sz w:val="20"/>
          <w:szCs w:val="20"/>
          <w:color w:val="auto"/>
        </w:rPr>
      </w:pPr>
      <w:r>
        <w:rPr>
          <w:rFonts w:ascii="Arial" w:cs="Arial" w:eastAsia="Arial" w:hAnsi="Arial"/>
          <w:sz w:val="18"/>
          <w:szCs w:val="18"/>
          <w:color w:val="auto"/>
        </w:rPr>
        <w:t>As of January 2, 2022, the Company had additional leases for one supply chain center and certain supply chain tractors and trailers that had not yet commenced with estimated future minimum rental commitments of $66.7 million. These leases are expected to commence in 2022 with lease terms of up to 16 years. These undiscounted amounts are not included in the table above.</w:t>
      </w:r>
    </w:p>
    <w:p>
      <w:pPr>
        <w:spacing w:after="0" w:line="74" w:lineRule="exact"/>
        <w:rPr>
          <w:sz w:val="20"/>
          <w:szCs w:val="20"/>
          <w:color w:val="auto"/>
        </w:rPr>
      </w:pPr>
    </w:p>
    <w:p>
      <w:pPr>
        <w:ind w:right="100" w:firstLine="449"/>
        <w:spacing w:after="0" w:line="243" w:lineRule="auto"/>
        <w:rPr>
          <w:sz w:val="20"/>
          <w:szCs w:val="20"/>
          <w:color w:val="auto"/>
        </w:rPr>
      </w:pPr>
      <w:r>
        <w:rPr>
          <w:rFonts w:ascii="Arial" w:cs="Arial" w:eastAsia="Arial" w:hAnsi="Arial"/>
          <w:sz w:val="18"/>
          <w:szCs w:val="18"/>
          <w:color w:val="auto"/>
        </w:rPr>
        <w:t>The Company has guaranteed lease payments related to certain franchisees’ lease arrangements. The maximum amount of potential future payments under these guarantees was $9.1 million and $12.6 million as of January 2, 2022 and January 3, 2021, respectively. The Company does not believe these arrangements have or are likely to have a material effect on its results of operations, financial condition, revenues or expenses, capital expenditures or liquidity.</w:t>
      </w:r>
    </w:p>
    <w:p>
      <w:pPr>
        <w:spacing w:after="0" w:line="170"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440" w:firstLine="449"/>
        <w:spacing w:after="0" w:line="251" w:lineRule="auto"/>
        <w:rPr>
          <w:sz w:val="20"/>
          <w:szCs w:val="20"/>
          <w:color w:val="auto"/>
        </w:rPr>
      </w:pPr>
      <w:r>
        <w:rPr>
          <w:rFonts w:ascii="Arial" w:cs="Arial" w:eastAsia="Arial" w:hAnsi="Arial"/>
          <w:sz w:val="17"/>
          <w:szCs w:val="17"/>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 Litigation is subject to many uncertainties, and the outcome of individual litigated matters is not predictable with assurance. These matters could be decided unfavorably and could require the Company to pay damages or make other expenditures in amounts or a range of amounts that cannot be estimated with accuracy. In management’s opinion, these matters, individually and in the aggregate, should not have a significant adverse effect on the financial condition of the Company, and the established accruals adequately provide for the estimated resolution of such claims.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ind w:left="480" w:hanging="472"/>
        <w:spacing w:after="0"/>
        <w:tabs>
          <w:tab w:leader="none" w:pos="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Income before provision for income taxes in 2021, 2020 and 2019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611,267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541,646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468,467</w:t>
            </w:r>
          </w:p>
        </w:tc>
        <w:tc>
          <w:tcPr>
            <w:tcW w:w="10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14,438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13,484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14,170</w:t>
            </w:r>
          </w:p>
        </w:tc>
        <w:tc>
          <w:tcPr>
            <w:tcW w:w="10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625,705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555,130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482,637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41" w:lineRule="exact"/>
        <w:rPr>
          <w:sz w:val="20"/>
          <w:szCs w:val="20"/>
          <w:color w:val="auto"/>
        </w:rPr>
      </w:pPr>
    </w:p>
    <w:p>
      <w:pPr>
        <w:ind w:right="80" w:firstLine="449"/>
        <w:spacing w:after="0" w:line="246" w:lineRule="auto"/>
        <w:rPr>
          <w:sz w:val="20"/>
          <w:szCs w:val="20"/>
          <w:color w:val="auto"/>
        </w:rPr>
      </w:pPr>
      <w:r>
        <w:rPr>
          <w:rFonts w:ascii="Arial" w:cs="Arial" w:eastAsia="Arial" w:hAnsi="Arial"/>
          <w:sz w:val="18"/>
          <w:szCs w:val="18"/>
          <w:color w:val="auto"/>
        </w:rPr>
        <w:t>The differences between the U.S. Federal statutory income tax provision (using the statutory rate of 21%) and the Company’s consolidated provision for income taxes for 2021, 2020 and 2019 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income tax provision based on the statutory rate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131,398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116,577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101,354</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State and local income taxes, net of related Federal income taxes</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15,108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16,660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15,141</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Non-resident withholding and foreign income taxes</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21,833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18,741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20,351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Foreign tax and other tax credits</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(23,509 )</w:t>
            </w:r>
          </w:p>
        </w:tc>
        <w:tc>
          <w:tcPr>
            <w:tcW w:w="32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(19,506 )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(20,090 )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derived intangible income</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(16,800 )</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(12,390 )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(12,810 )</w:t>
            </w:r>
          </w:p>
        </w:tc>
      </w:tr>
      <w:tr>
        <w:trPr>
          <w:trHeight w:val="202"/>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Excess tax benefits from equity-based compensation</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(18,911 )</w:t>
            </w:r>
          </w:p>
        </w:tc>
        <w:tc>
          <w:tcPr>
            <w:tcW w:w="32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(60,364 )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(25,735 )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Non-deductible expenses, net</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3,090</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Unrecognized tax provision, net of related Federal income taxes</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4,372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(2,754 )</w:t>
            </w: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(759 )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(67 )</w:t>
            </w:r>
          </w:p>
        </w:tc>
      </w:tr>
      <w:tr>
        <w:trPr>
          <w:trHeight w:val="196"/>
        </w:trPr>
        <w:tc>
          <w:tcPr>
            <w:tcW w:w="66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115,238</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63,834</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81,928</w:t>
            </w:r>
          </w:p>
        </w:tc>
        <w:tc>
          <w:tcPr>
            <w:tcW w:w="100" w:type="dxa"/>
            <w:vAlign w:val="bottom"/>
            <w:tcBorders>
              <w:top w:val="single" w:sz="8" w:color="CFF0FC"/>
            </w:tcBorders>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603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41" w:lineRule="exact"/>
        <w:rPr>
          <w:sz w:val="20"/>
          <w:szCs w:val="20"/>
          <w:color w:val="auto"/>
        </w:rPr>
      </w:pPr>
    </w:p>
    <w:p>
      <w:pPr>
        <w:ind w:right="160" w:firstLine="449"/>
        <w:spacing w:after="0" w:line="235" w:lineRule="auto"/>
        <w:rPr>
          <w:sz w:val="20"/>
          <w:szCs w:val="20"/>
          <w:color w:val="auto"/>
        </w:rPr>
      </w:pPr>
      <w:r>
        <w:rPr>
          <w:rFonts w:ascii="Arial" w:cs="Arial" w:eastAsia="Arial" w:hAnsi="Arial"/>
          <w:sz w:val="18"/>
          <w:szCs w:val="18"/>
          <w:color w:val="auto"/>
        </w:rPr>
        <w:t>Excess tax benefits from equity-based compensation activity resulted in a decrease in the Company’s provision for income taxes of $18.9 million in 2021, $60.4 million in 2020 and $25.7 million in 2019, primarily due to the recognition of excess tax benefits for options exercised and the vesting of equity awards.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2021, 2020 and 2019 consolidated provision for income taxes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Federal income taxes</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Current provision</w:t>
            </w:r>
          </w:p>
        </w:tc>
        <w:tc>
          <w:tcPr>
            <w:tcW w:w="13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74,910</w:t>
            </w:r>
          </w:p>
        </w:tc>
        <w:tc>
          <w:tcPr>
            <w:tcW w:w="2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19,894</w:t>
            </w: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49,539</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(benefit) provision</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(2,051 )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14,301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(2,862 )</w:t>
            </w:r>
          </w:p>
        </w:tc>
      </w:tr>
      <w:tr>
        <w:trPr>
          <w:trHeight w:val="196"/>
        </w:trPr>
        <w:tc>
          <w:tcPr>
            <w:tcW w:w="54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provision for Federal income taxes</w:t>
            </w:r>
          </w:p>
        </w:tc>
        <w:tc>
          <w:tcPr>
            <w:tcW w:w="10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72,859</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34,195</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46,677</w:t>
            </w:r>
          </w:p>
        </w:tc>
        <w:tc>
          <w:tcPr>
            <w:tcW w:w="100" w:type="dxa"/>
            <w:vAlign w:val="bottom"/>
            <w:tcBorders>
              <w:top w:val="single" w:sz="8" w:color="CFF0FC"/>
            </w:tcBorders>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state and local income taxes</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Current provision</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16,507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10,775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15,335</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(benefit) provision</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(461 )</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(435 )</w:t>
            </w:r>
          </w:p>
        </w:tc>
      </w:tr>
      <w:tr>
        <w:trPr>
          <w:trHeight w:val="196"/>
        </w:trPr>
        <w:tc>
          <w:tcPr>
            <w:tcW w:w="54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provision for state and local income taxes</w:t>
            </w:r>
          </w:p>
        </w:tc>
        <w:tc>
          <w:tcPr>
            <w:tcW w:w="10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16,046</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10,898</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14,900</w:t>
            </w:r>
          </w:p>
        </w:tc>
        <w:tc>
          <w:tcPr>
            <w:tcW w:w="100" w:type="dxa"/>
            <w:vAlign w:val="bottom"/>
            <w:tcBorders>
              <w:top w:val="single" w:sz="8" w:color="CFF0FC"/>
            </w:tcBorders>
          </w:tcPr>
          <w:p>
            <w:pPr>
              <w:spacing w:after="0"/>
              <w:rPr>
                <w:sz w:val="17"/>
                <w:szCs w:val="17"/>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non-resident withholding and foreign income taxes</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Current provision</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21,833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18,741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20,351</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provision</w:t>
            </w: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w w:val="92"/>
              </w:rPr>
              <w:t>Total provision for non-resident withholding and foreign income taxes</w:t>
            </w:r>
          </w:p>
        </w:tc>
        <w:tc>
          <w:tcPr>
            <w:tcW w:w="10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26,333</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18,741</w:t>
            </w: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20,351</w:t>
            </w:r>
          </w:p>
        </w:tc>
        <w:tc>
          <w:tcPr>
            <w:tcW w:w="100" w:type="dxa"/>
            <w:vAlign w:val="bottom"/>
            <w:tcBorders>
              <w:top w:val="single" w:sz="8" w:color="CFF0FC"/>
            </w:tcBorders>
          </w:tcPr>
          <w:p>
            <w:pPr>
              <w:spacing w:after="0"/>
              <w:rPr>
                <w:sz w:val="17"/>
                <w:szCs w:val="17"/>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115,238</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63,834</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81,928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6"/>
        </w:trPr>
        <w:tc>
          <w:tcPr>
            <w:tcW w:w="5480" w:type="dxa"/>
            <w:vAlign w:val="bottom"/>
          </w:tcPr>
          <w:p>
            <w:pPr>
              <w:spacing w:after="0"/>
              <w:rPr>
                <w:sz w:val="24"/>
                <w:szCs w:val="24"/>
                <w:color w:val="auto"/>
              </w:rPr>
            </w:pPr>
          </w:p>
        </w:tc>
        <w:tc>
          <w:tcPr>
            <w:tcW w:w="1040" w:type="dxa"/>
            <w:vAlign w:val="bottom"/>
          </w:tcPr>
          <w:p>
            <w:pPr>
              <w:jc w:val="right"/>
              <w:ind w:right="71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4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-1668145</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-1668145</wp:posOffset>
            </wp:positionV>
            <wp:extent cx="431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-1668145</wp:posOffset>
            </wp:positionV>
            <wp:extent cx="5969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-1144905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-1144905</wp:posOffset>
            </wp:positionV>
            <wp:extent cx="431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-1144905</wp:posOffset>
            </wp:positionV>
            <wp:extent cx="5969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-622300</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-622300</wp:posOffset>
            </wp:positionV>
            <wp:extent cx="431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-622300</wp:posOffset>
            </wp:positionV>
            <wp:extent cx="5969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-350520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-333375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-350520</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-333375</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-350520</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-333375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t>As of January 2, 2022 and January 3, 2021, the significant components of net deferred income taxes were as follows:</w:t>
      </w: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jc w:val="right"/>
              <w:ind w:right="670"/>
              <w:spacing w:after="0" w:line="149" w:lineRule="exact"/>
              <w:rPr>
                <w:sz w:val="20"/>
                <w:szCs w:val="20"/>
                <w:color w:val="auto"/>
              </w:rPr>
            </w:pPr>
            <w:r>
              <w:rPr>
                <w:rFonts w:ascii="Arial" w:cs="Arial" w:eastAsia="Arial" w:hAnsi="Arial"/>
                <w:sz w:val="14"/>
                <w:szCs w:val="14"/>
                <w:b w:val="1"/>
                <w:bCs w:val="1"/>
                <w:color w:val="auto"/>
              </w:rPr>
              <w:t>January 2,</w:t>
            </w:r>
          </w:p>
        </w:tc>
        <w:tc>
          <w:tcPr>
            <w:tcW w:w="280" w:type="dxa"/>
            <w:vAlign w:val="bottom"/>
          </w:tcPr>
          <w:p>
            <w:pPr>
              <w:spacing w:after="0"/>
              <w:rPr>
                <w:sz w:val="12"/>
                <w:szCs w:val="12"/>
                <w:color w:val="auto"/>
              </w:rPr>
            </w:pPr>
          </w:p>
        </w:tc>
        <w:tc>
          <w:tcPr>
            <w:tcW w:w="1420" w:type="dxa"/>
            <w:vAlign w:val="bottom"/>
            <w:gridSpan w:val="2"/>
          </w:tcPr>
          <w:p>
            <w:pPr>
              <w:jc w:val="right"/>
              <w:ind w:right="470"/>
              <w:spacing w:after="0" w:line="149" w:lineRule="exact"/>
              <w:rPr>
                <w:sz w:val="20"/>
                <w:szCs w:val="20"/>
                <w:color w:val="auto"/>
              </w:rPr>
            </w:pPr>
            <w:r>
              <w:rPr>
                <w:rFonts w:ascii="Arial" w:cs="Arial" w:eastAsia="Arial" w:hAnsi="Arial"/>
                <w:sz w:val="14"/>
                <w:szCs w:val="14"/>
                <w:b w:val="1"/>
                <w:bCs w:val="1"/>
                <w:color w:val="auto"/>
              </w:rPr>
              <w:t>January 3,</w:t>
            </w:r>
          </w:p>
        </w:tc>
      </w:tr>
      <w:tr>
        <w:trPr>
          <w:trHeight w:val="185"/>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54,478</w:t>
            </w:r>
          </w:p>
        </w:tc>
        <w:tc>
          <w:tcPr>
            <w:tcW w:w="28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58,885</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Accruals and reserves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15,207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14,148</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Insurance reserves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12,867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12,447</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Non-cash equity-based compensation expense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Foreign tax credit</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10,206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6,603</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8,158</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380"/>
              <w:spacing w:after="0" w:line="196" w:lineRule="exact"/>
              <w:rPr>
                <w:sz w:val="20"/>
                <w:szCs w:val="20"/>
                <w:color w:val="auto"/>
              </w:rPr>
            </w:pPr>
            <w:r>
              <w:rPr>
                <w:rFonts w:ascii="Arial" w:cs="Arial" w:eastAsia="Arial" w:hAnsi="Arial"/>
                <w:sz w:val="18"/>
                <w:szCs w:val="18"/>
                <w:color w:val="auto"/>
              </w:rPr>
              <w:t>Deferred income tax assets before valuation allowance</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108,777</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108,134</w:t>
            </w:r>
          </w:p>
        </w:tc>
        <w:tc>
          <w:tcPr>
            <w:tcW w:w="100" w:type="dxa"/>
            <w:vAlign w:val="bottom"/>
          </w:tcPr>
          <w:p>
            <w:pPr>
              <w:spacing w:after="0"/>
              <w:rPr>
                <w:sz w:val="17"/>
                <w:szCs w:val="17"/>
                <w:color w:val="auto"/>
              </w:rPr>
            </w:pPr>
          </w:p>
        </w:tc>
      </w:tr>
      <w:tr>
        <w:trPr>
          <w:trHeight w:val="196"/>
        </w:trPr>
        <w:tc>
          <w:tcPr>
            <w:tcW w:w="76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(11,364</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(7,600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40" w:type="dxa"/>
            <w:vAlign w:val="bottom"/>
          </w:tcPr>
          <w:p>
            <w:pPr>
              <w:ind w:left="380"/>
              <w:spacing w:after="0" w:line="196" w:lineRule="exact"/>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97,413</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100,534</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51,793</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56,446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Capitalized software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19,828</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29,596</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300"/>
              <w:spacing w:after="0" w:line="202" w:lineRule="exact"/>
              <w:rPr>
                <w:sz w:val="20"/>
                <w:szCs w:val="20"/>
                <w:color w:val="auto"/>
              </w:rPr>
            </w:pPr>
            <w:r>
              <w:rPr>
                <w:rFonts w:ascii="Arial" w:cs="Arial" w:eastAsia="Arial" w:hAnsi="Arial"/>
                <w:sz w:val="18"/>
                <w:szCs w:val="18"/>
                <w:color w:val="auto"/>
              </w:rPr>
              <w:t>Depreciation, amortization and asset basis differences</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18,570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18,687</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Unrealized gain on investments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764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deferred income tax liabilities</w:t>
            </w: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99,226</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104,729</w:t>
            </w:r>
          </w:p>
        </w:tc>
        <w:tc>
          <w:tcPr>
            <w:tcW w:w="100" w:type="dxa"/>
            <w:vAlign w:val="bottom"/>
            <w:tcBorders>
              <w:top w:val="single" w:sz="8" w:color="CFF0FC"/>
            </w:tcBorders>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income taxes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(1,813</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-1359535</wp:posOffset>
            </wp:positionV>
            <wp:extent cx="6032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-1359535</wp:posOffset>
            </wp:positionV>
            <wp:extent cx="5969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-1085215</wp:posOffset>
            </wp:positionV>
            <wp:extent cx="6032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-1085215</wp:posOffset>
            </wp:positionV>
            <wp:extent cx="5969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-296545</wp:posOffset>
            </wp:positionV>
            <wp:extent cx="6032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1" w:lineRule="exact"/>
        <w:rPr>
          <w:sz w:val="20"/>
          <w:szCs w:val="20"/>
          <w:color w:val="auto"/>
        </w:rPr>
      </w:pPr>
    </w:p>
    <w:p>
      <w:pPr>
        <w:ind w:right="200" w:firstLine="449"/>
        <w:spacing w:after="0" w:line="235" w:lineRule="auto"/>
        <w:rPr>
          <w:sz w:val="20"/>
          <w:szCs w:val="20"/>
          <w:color w:val="auto"/>
        </w:rPr>
      </w:pPr>
      <w:r>
        <w:rPr>
          <w:rFonts w:ascii="Arial" w:cs="Arial" w:eastAsia="Arial" w:hAnsi="Arial"/>
          <w:sz w:val="18"/>
          <w:szCs w:val="18"/>
          <w:color w:val="auto"/>
        </w:rPr>
        <w:t>Realization of the Company’s deferred tax assets is dependent upon many factors, including, but not limited to, the Company’s ability to generate sufficient taxable income. Although realization of the Company’s deferred tax assets is not assured, on an ongoing basis, management assesses whether it remains more likely than not the deferred tax assets will be realized.</w:t>
      </w:r>
    </w:p>
    <w:p>
      <w:pPr>
        <w:spacing w:after="0" w:line="148" w:lineRule="exact"/>
        <w:rPr>
          <w:sz w:val="20"/>
          <w:szCs w:val="20"/>
          <w:color w:val="auto"/>
        </w:rPr>
      </w:pPr>
    </w:p>
    <w:p>
      <w:pPr>
        <w:ind w:right="60" w:firstLine="449"/>
        <w:spacing w:after="0" w:line="231" w:lineRule="auto"/>
        <w:rPr>
          <w:sz w:val="20"/>
          <w:szCs w:val="20"/>
          <w:color w:val="auto"/>
        </w:rPr>
      </w:pPr>
      <w:r>
        <w:rPr>
          <w:rFonts w:ascii="Arial" w:cs="Arial" w:eastAsia="Arial" w:hAnsi="Arial"/>
          <w:sz w:val="18"/>
          <w:szCs w:val="18"/>
          <w:color w:val="auto"/>
        </w:rPr>
        <w:t>As of January 2, 2022 and January 3, 2021, the Company had total foreign tax credits of $10.2 million and $6.6 million, respectively, which were fully offset with a corresponding valuation allowance. As of January 2, 2022 and January 3, 2021, the Company also had valuation allowances related to interest deductibility in separately filed states of $1.2 million and $1.0 million, respectively. Management believes the remaining deferred tax assets will be realized.</w:t>
      </w:r>
    </w:p>
    <w:p>
      <w:pPr>
        <w:spacing w:after="0" w:line="148" w:lineRule="exact"/>
        <w:rPr>
          <w:sz w:val="20"/>
          <w:szCs w:val="20"/>
          <w:color w:val="auto"/>
        </w:rPr>
      </w:pPr>
    </w:p>
    <w:p>
      <w:pPr>
        <w:ind w:right="40" w:firstLine="449"/>
        <w:spacing w:after="0" w:line="235" w:lineRule="auto"/>
        <w:rPr>
          <w:sz w:val="20"/>
          <w:szCs w:val="20"/>
          <w:color w:val="auto"/>
        </w:rPr>
      </w:pPr>
      <w:r>
        <w:rPr>
          <w:rFonts w:ascii="Arial" w:cs="Arial" w:eastAsia="Arial" w:hAnsi="Arial"/>
          <w:sz w:val="18"/>
          <w:szCs w:val="18"/>
          <w:color w:val="auto"/>
        </w:rPr>
        <w:t>For financial reporting purposes, the Company’s investment in foreign subsidiaries does not exceed its tax basis. Therefore, no deferred income taxes have been provided. In 2021, the Company recorded an unrealized gain on its non-controlling interest in DPC Dash (Note 4) and accordingly, has also recorded a deferred tax liability representing the book basis over tax basis related to this unrealized gain.</w:t>
      </w:r>
    </w:p>
    <w:p>
      <w:pPr>
        <w:spacing w:after="0" w:line="148" w:lineRule="exact"/>
        <w:rPr>
          <w:sz w:val="20"/>
          <w:szCs w:val="20"/>
          <w:color w:val="auto"/>
        </w:rPr>
      </w:pPr>
    </w:p>
    <w:p>
      <w:pPr>
        <w:ind w:right="120" w:firstLine="449"/>
        <w:spacing w:after="0" w:line="228" w:lineRule="auto"/>
        <w:rPr>
          <w:sz w:val="20"/>
          <w:szCs w:val="20"/>
          <w:color w:val="auto"/>
        </w:rPr>
      </w:pPr>
      <w:r>
        <w:rPr>
          <w:rFonts w:ascii="Arial" w:cs="Arial" w:eastAsia="Arial" w:hAnsi="Arial"/>
          <w:sz w:val="18"/>
          <w:szCs w:val="18"/>
          <w:color w:val="auto"/>
        </w:rPr>
        <w:t>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w:t>
      </w:r>
    </w:p>
    <w:p>
      <w:pPr>
        <w:spacing w:after="0" w:line="151" w:lineRule="exact"/>
        <w:rPr>
          <w:sz w:val="20"/>
          <w:szCs w:val="20"/>
          <w:color w:val="auto"/>
        </w:rPr>
      </w:pPr>
    </w:p>
    <w:p>
      <w:pPr>
        <w:ind w:right="140" w:firstLine="449"/>
        <w:spacing w:after="0" w:line="246" w:lineRule="auto"/>
        <w:rPr>
          <w:sz w:val="20"/>
          <w:szCs w:val="20"/>
          <w:color w:val="auto"/>
        </w:rPr>
      </w:pPr>
      <w:r>
        <w:rPr>
          <w:rFonts w:ascii="Arial" w:cs="Arial" w:eastAsia="Arial" w:hAnsi="Arial"/>
          <w:sz w:val="18"/>
          <w:szCs w:val="18"/>
          <w:color w:val="auto"/>
        </w:rPr>
        <w:t>A reconciliation of the beginning and ending amount of unrecognized tax benefits as of January 2, 2022, January 3, 2021 and December 29, 2019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29,</w:t>
            </w:r>
          </w:p>
        </w:tc>
      </w:tr>
      <w:tr>
        <w:trPr>
          <w:trHeight w:val="185"/>
        </w:trPr>
        <w:tc>
          <w:tcPr>
            <w:tcW w:w="49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49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Unrecognized tax benefits at beginning of period</w:t>
            </w:r>
          </w:p>
        </w:tc>
        <w:tc>
          <w:tcPr>
            <w:tcW w:w="17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3,318</w:t>
            </w:r>
          </w:p>
        </w:tc>
        <w:tc>
          <w:tcPr>
            <w:tcW w:w="2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2,802</w:t>
            </w:r>
          </w:p>
        </w:tc>
        <w:tc>
          <w:tcPr>
            <w:tcW w:w="2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Additions for tax positions of current year</w:t>
            </w: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2,611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38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789</w:t>
            </w: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Reductions for changes in prior year tax positions</w:t>
            </w: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(379 )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(178 )</w:t>
            </w: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(284 )</w:t>
            </w:r>
          </w:p>
        </w:tc>
      </w:tr>
      <w:tr>
        <w:trPr>
          <w:trHeight w:val="203"/>
        </w:trPr>
        <w:tc>
          <w:tcPr>
            <w:tcW w:w="4980" w:type="dxa"/>
            <w:vAlign w:val="bottom"/>
          </w:tcPr>
          <w:p>
            <w:pPr>
              <w:ind w:left="380"/>
              <w:spacing w:after="0" w:line="202" w:lineRule="exact"/>
              <w:rPr>
                <w:sz w:val="20"/>
                <w:szCs w:val="20"/>
                <w:color w:val="auto"/>
              </w:rPr>
            </w:pPr>
            <w:r>
              <w:rPr>
                <w:rFonts w:ascii="Arial" w:cs="Arial" w:eastAsia="Arial" w:hAnsi="Arial"/>
                <w:sz w:val="18"/>
                <w:szCs w:val="18"/>
                <w:color w:val="auto"/>
              </w:rPr>
              <w:t>Reductions for lapses of applicable statute of limitations</w:t>
            </w: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(484 )</w:t>
            </w:r>
          </w:p>
        </w:tc>
        <w:tc>
          <w:tcPr>
            <w:tcW w:w="220" w:type="dxa"/>
            <w:vAlign w:val="bottom"/>
          </w:tcPr>
          <w:p>
            <w:pPr>
              <w:spacing w:after="0"/>
              <w:rPr>
                <w:sz w:val="17"/>
                <w:szCs w:val="17"/>
                <w:color w:val="auto"/>
              </w:rPr>
            </w:pPr>
          </w:p>
        </w:tc>
        <w:tc>
          <w:tcPr>
            <w:tcW w:w="1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(306 )</w:t>
            </w:r>
          </w:p>
        </w:tc>
        <w:tc>
          <w:tcPr>
            <w:tcW w:w="1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(135 )</w:t>
            </w:r>
          </w:p>
        </w:tc>
      </w:tr>
      <w:tr>
        <w:trPr>
          <w:trHeight w:val="236"/>
        </w:trPr>
        <w:tc>
          <w:tcPr>
            <w:tcW w:w="49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Unrecognized tax benefits at end of period</w:t>
            </w:r>
          </w:p>
        </w:tc>
        <w:tc>
          <w:tcPr>
            <w:tcW w:w="15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7,690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3,318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86"/>
        </w:trPr>
        <w:tc>
          <w:tcPr>
            <w:tcW w:w="4980" w:type="dxa"/>
            <w:vAlign w:val="bottom"/>
          </w:tcPr>
          <w:p>
            <w:pPr>
              <w:spacing w:after="0"/>
              <w:rPr>
                <w:sz w:val="24"/>
                <w:szCs w:val="24"/>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9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-350520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-333375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-350520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-333375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-350520</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-333375</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4" w:name="page75"/>
    <w:bookmarkEnd w:id="74"/>
    <w:p>
      <w:pPr>
        <w:ind w:right="80" w:firstLine="449"/>
        <w:spacing w:after="0" w:line="248" w:lineRule="auto"/>
        <w:rPr>
          <w:sz w:val="20"/>
          <w:szCs w:val="20"/>
          <w:color w:val="auto"/>
        </w:rPr>
      </w:pPr>
      <w:r>
        <w:rPr>
          <w:rFonts w:ascii="Arial" w:cs="Arial" w:eastAsia="Arial" w:hAnsi="Arial"/>
          <w:sz w:val="18"/>
          <w:szCs w:val="18"/>
          <w:color w:val="auto"/>
        </w:rPr>
        <w:t>As of January 2, 2022, the amount of unrecognized tax benefits was $7.7 million of which, if ultimately recognized, $6.7 million would be recognized as an income tax benefit and reduce the Company’s effective tax rate. As of January 2, 2022, the Company had $0.3 million of accrued interest and no accrued penalties.</w:t>
      </w:r>
    </w:p>
    <w:p>
      <w:pPr>
        <w:spacing w:after="0" w:line="168" w:lineRule="exact"/>
        <w:rPr>
          <w:sz w:val="20"/>
          <w:szCs w:val="20"/>
          <w:color w:val="auto"/>
        </w:rPr>
      </w:pPr>
    </w:p>
    <w:p>
      <w:pPr>
        <w:ind w:right="80" w:firstLine="449"/>
        <w:spacing w:after="0" w:line="248" w:lineRule="auto"/>
        <w:rPr>
          <w:sz w:val="20"/>
          <w:szCs w:val="20"/>
          <w:color w:val="auto"/>
        </w:rPr>
      </w:pPr>
      <w:r>
        <w:rPr>
          <w:rFonts w:ascii="Arial" w:cs="Arial" w:eastAsia="Arial" w:hAnsi="Arial"/>
          <w:sz w:val="18"/>
          <w:szCs w:val="18"/>
          <w:color w:val="auto"/>
        </w:rPr>
        <w:t>As of January 3, 2021, the amount of unrecognized tax benefits was $3.3 million of which, if ultimately recognized, $2.4 million would be recognized as an income tax benefit and reduce the Company’s effective tax rate. As of January 3, 2021, the Company had $0.2 million of accrued interest and no accrued penalties.</w:t>
      </w:r>
    </w:p>
    <w:p>
      <w:pPr>
        <w:spacing w:after="0" w:line="155"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color w:val="auto"/>
        </w:rPr>
        <w:t>There are currently no Internal Revenue Service audits in progress for the Company. The Company continues to be under examination by certain states. The Company’s Federal statute of limitation has expired for years prior to 2018, but it varies for state and foreign locations. The Company believes appropriate provisions for all outstanding tax issues have been made for all jurisdictions and all open years.</w:t>
      </w:r>
    </w:p>
    <w:p>
      <w:pPr>
        <w:spacing w:after="0" w:line="146"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02" w:lineRule="exact"/>
        <w:rPr>
          <w:sz w:val="20"/>
          <w:szCs w:val="20"/>
          <w:color w:val="auto"/>
        </w:rPr>
      </w:pPr>
    </w:p>
    <w:p>
      <w:pPr>
        <w:ind w:right="100" w:firstLine="449"/>
        <w:spacing w:after="0" w:line="284" w:lineRule="auto"/>
        <w:rPr>
          <w:sz w:val="20"/>
          <w:szCs w:val="20"/>
          <w:color w:val="auto"/>
        </w:rPr>
      </w:pPr>
      <w:r>
        <w:rPr>
          <w:rFonts w:ascii="Arial" w:cs="Arial" w:eastAsia="Arial" w:hAnsi="Arial"/>
          <w:sz w:val="16"/>
          <w:szCs w:val="16"/>
          <w:color w:val="auto"/>
        </w:rPr>
        <w:t>The Company has a retirement savings plan which qualifies under Internal Revenue Code Section 401(k). All employees of the Company who have completed 1,000 hours of service and are at least 18 years of age are eligible to participate in the plan. The plan requires the Company to match 100% of the first 5% of each employee’s elective deferrals. The Company’s matching contributions were made in the form of cash and vested immediately. The expenses incurred for Company contributions to the plan were $12.9 million, $12.0 million and $10.8 million in 2021, 2020 and 2019, respectively.</w:t>
      </w:r>
    </w:p>
    <w:p>
      <w:pPr>
        <w:spacing w:after="0" w:line="142"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The Company has established a non-qualified deferred compensation plan available for certain key employees. Under this self-funding plan, the participants may defer up to 40% of their base salary and up to 80% of their bonus compensation. The participants direct the investment of their deferred compensation within several investment funds. The Company is not required to contribute and did not contribute to this plan during 2021, 2020 and 2019.</w:t>
      </w:r>
    </w:p>
    <w:p>
      <w:pPr>
        <w:spacing w:after="0" w:line="134" w:lineRule="exact"/>
        <w:rPr>
          <w:sz w:val="20"/>
          <w:szCs w:val="20"/>
          <w:color w:val="auto"/>
        </w:rPr>
      </w:pPr>
    </w:p>
    <w:p>
      <w:pPr>
        <w:ind w:right="220" w:firstLine="449"/>
        <w:spacing w:after="0" w:line="257" w:lineRule="auto"/>
        <w:rPr>
          <w:sz w:val="20"/>
          <w:szCs w:val="20"/>
          <w:color w:val="auto"/>
        </w:rPr>
      </w:pPr>
      <w:r>
        <w:rPr>
          <w:rFonts w:ascii="Arial" w:cs="Arial" w:eastAsia="Arial" w:hAnsi="Arial"/>
          <w:sz w:val="17"/>
          <w:szCs w:val="17"/>
          <w:color w:val="auto"/>
        </w:rPr>
        <w:t>The Company has an employee stock payroll deduction plan (the “ESPDP”). Under the ESPDP, eligible employees may deduct up to 15% of their eligible wages to purchase common stock at 85% of the market price of the stock at the purchase date. The ESPDP requires employees to hold their purchased common stock for at least one year. The Company purchases common stock on the open market for the ESPDP at the current market price. There were 16,382 shares, 16,017 shares and 20,222 shares of common stock in 2021, 2020 and 2019, respectively, purchased on the open market for participating employees at a weighted-average price of $424.90 in 2021, $357.54 in 2020 and $257.12 in 2019. The expenses incurred under the ESPDP were $1.0 million, $1.0 million and $0.8 million in 2021, 2020 and 2019, respectively.</w:t>
      </w:r>
    </w:p>
    <w:p>
      <w:pPr>
        <w:spacing w:after="0" w:line="158"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200" w:firstLine="449"/>
        <w:spacing w:after="0" w:line="231" w:lineRule="auto"/>
        <w:rPr>
          <w:sz w:val="20"/>
          <w:szCs w:val="20"/>
          <w:color w:val="auto"/>
        </w:rPr>
      </w:pPr>
      <w:r>
        <w:rPr>
          <w:rFonts w:ascii="Arial" w:cs="Arial" w:eastAsia="Arial" w:hAnsi="Arial"/>
          <w:sz w:val="18"/>
          <w:szCs w:val="18"/>
          <w:color w:val="auto"/>
        </w:rPr>
        <w:t>The Company’s current equity incentive plan, named the Domino’s Pizza, Inc. 2004 Equity Incentive Plan (the “2004 Equity Incentive Plan”), benefits certain of the Company’s employees and members of the Company’s Board of Directors. As of January 2, 2022, the maximum number of shares that may be granted under the 2004 Equity Incentive Plan is 15,600,000 shares of voting common stock of which 2,497,029 shares were authorized for grant but have not been granted.</w:t>
      </w:r>
    </w:p>
    <w:p>
      <w:pPr>
        <w:spacing w:after="0" w:line="148" w:lineRule="exact"/>
        <w:rPr>
          <w:sz w:val="20"/>
          <w:szCs w:val="20"/>
          <w:color w:val="auto"/>
        </w:rPr>
      </w:pPr>
    </w:p>
    <w:p>
      <w:pPr>
        <w:jc w:val="both"/>
        <w:ind w:right="460" w:firstLine="449"/>
        <w:spacing w:after="0" w:line="276" w:lineRule="auto"/>
        <w:rPr>
          <w:sz w:val="20"/>
          <w:szCs w:val="20"/>
          <w:color w:val="auto"/>
        </w:rPr>
      </w:pPr>
      <w:r>
        <w:rPr>
          <w:rFonts w:ascii="Arial" w:cs="Arial" w:eastAsia="Arial" w:hAnsi="Arial"/>
          <w:sz w:val="16"/>
          <w:szCs w:val="16"/>
          <w:color w:val="auto"/>
        </w:rPr>
        <w:t>The cost of all employee stock options, as well as other equity-based compensation arrangements, is reflected in the consolidated statements of income based on the estimated fair value of the awards and is amortized over the requisite service period of each award. All non-cash compensation expense amounts are recorded in general and administrative expense. The Company accounts for forfeitures as they occur.</w:t>
      </w:r>
    </w:p>
    <w:p>
      <w:pPr>
        <w:spacing w:after="0" w:line="121" w:lineRule="exact"/>
        <w:rPr>
          <w:sz w:val="20"/>
          <w:szCs w:val="20"/>
          <w:color w:val="auto"/>
        </w:rPr>
      </w:pPr>
    </w:p>
    <w:p>
      <w:pPr>
        <w:ind w:firstLine="449"/>
        <w:spacing w:after="0" w:line="235" w:lineRule="auto"/>
        <w:rPr>
          <w:sz w:val="20"/>
          <w:szCs w:val="20"/>
          <w:color w:val="auto"/>
        </w:rPr>
      </w:pPr>
      <w:r>
        <w:rPr>
          <w:rFonts w:ascii="Arial" w:cs="Arial" w:eastAsia="Arial" w:hAnsi="Arial"/>
          <w:sz w:val="18"/>
          <w:szCs w:val="18"/>
          <w:color w:val="auto"/>
        </w:rPr>
        <w:t>The Company recorded total non-cash compensation expense of $28.7 million, $24.2 million and $20.3 million in 2021, 2020 and 2019, respectively. The Company recorded a deferred tax benefit related to non-cash compensation expense of $4.3 million, $3.6 million and $3.8 million in 2021, 2020 and 2019, respectively.</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firstLine="449"/>
        <w:spacing w:after="0" w:line="238" w:lineRule="auto"/>
        <w:rPr>
          <w:sz w:val="20"/>
          <w:szCs w:val="20"/>
          <w:color w:val="auto"/>
        </w:rPr>
      </w:pPr>
      <w:r>
        <w:rPr>
          <w:rFonts w:ascii="Arial" w:cs="Arial" w:eastAsia="Arial" w:hAnsi="Arial"/>
          <w:sz w:val="17"/>
          <w:szCs w:val="17"/>
          <w:color w:val="auto"/>
        </w:rPr>
        <w:t>As of January 2, 2022, the number of stock options granted and outstanding under the 2004 Equity Incentive Plan was 664,117 options. Stock options granted in fiscal 2012 were granted with an exercise price equal to the market price at the date of the grant, expire ten years from the date of grant and generally vested over three years from the date of grant. Stock options granted in fiscal 2013 through fiscal 2020 were granted with an exercise price equal to the market price at the date of the grant, expire ten years from the date of grant and generally vest over four years from the date of grant, generally subject to the holder’s continued employment. Stock options granted in fiscal 2021 were granted with an exercise price equal to the market price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of holders that have achieved specific service and age requirements.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related to the 2004 Equity Incentive Plan is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4"/>
                <w:szCs w:val="14"/>
                <w:b w:val="1"/>
                <w:bCs w:val="1"/>
                <w:color w:val="auto"/>
              </w:rPr>
              <w:t>Common Stock Options</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155"/>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2"/>
                <w:szCs w:val="12"/>
                <w:color w:val="auto"/>
              </w:rPr>
            </w:pPr>
          </w:p>
        </w:tc>
        <w:tc>
          <w:tcPr>
            <w:tcW w:w="11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 at December 30, 2018</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1,909,399</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72.86</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Stock options granted</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96,280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272.64</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options cancelled</w:t>
            </w: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(33,667 )</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196.47</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Stock options exercised</w:t>
            </w: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(425,601 )</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30.70</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at December 29, 2019</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1,546,411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94.21</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tcPr>
          <w:p>
            <w:pPr>
              <w:ind w:left="200"/>
              <w:spacing w:after="0" w:line="183" w:lineRule="exact"/>
              <w:rPr>
                <w:sz w:val="20"/>
                <w:szCs w:val="20"/>
                <w:color w:val="auto"/>
              </w:rPr>
            </w:pPr>
            <w:r>
              <w:rPr>
                <w:rFonts w:ascii="Arial" w:cs="Arial" w:eastAsia="Arial" w:hAnsi="Arial"/>
                <w:sz w:val="18"/>
                <w:szCs w:val="18"/>
                <w:color w:val="auto"/>
              </w:rPr>
              <w:t>Stock options granted</w:t>
            </w:r>
          </w:p>
        </w:tc>
        <w:tc>
          <w:tcPr>
            <w:tcW w:w="1520" w:type="dxa"/>
            <w:vAlign w:val="bottom"/>
          </w:tcPr>
          <w:p>
            <w:pPr>
              <w:jc w:val="right"/>
              <w:spacing w:after="0" w:line="183" w:lineRule="exact"/>
              <w:rPr>
                <w:sz w:val="20"/>
                <w:szCs w:val="20"/>
                <w:color w:val="auto"/>
              </w:rPr>
            </w:pPr>
            <w:r>
              <w:rPr>
                <w:rFonts w:ascii="Arial" w:cs="Arial" w:eastAsia="Arial" w:hAnsi="Arial"/>
                <w:sz w:val="18"/>
                <w:szCs w:val="18"/>
                <w:color w:val="auto"/>
              </w:rPr>
              <w:t>52,730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413.80</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options cancelled</w:t>
            </w: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(9,792 )</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268.94</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Stock options exercised</w:t>
            </w: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(756,683 )</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40.93</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at January 3, 2021</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832,666</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160.82</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tcPr>
          <w:p>
            <w:pPr>
              <w:ind w:left="200"/>
              <w:spacing w:after="0" w:line="183" w:lineRule="exact"/>
              <w:rPr>
                <w:sz w:val="20"/>
                <w:szCs w:val="20"/>
                <w:color w:val="auto"/>
              </w:rPr>
            </w:pPr>
            <w:r>
              <w:rPr>
                <w:rFonts w:ascii="Arial" w:cs="Arial" w:eastAsia="Arial" w:hAnsi="Arial"/>
                <w:sz w:val="18"/>
                <w:szCs w:val="18"/>
                <w:color w:val="auto"/>
              </w:rPr>
              <w:t>Stock options granted</w:t>
            </w:r>
          </w:p>
        </w:tc>
        <w:tc>
          <w:tcPr>
            <w:tcW w:w="1520" w:type="dxa"/>
            <w:vAlign w:val="bottom"/>
          </w:tcPr>
          <w:p>
            <w:pPr>
              <w:jc w:val="right"/>
              <w:spacing w:after="0" w:line="183" w:lineRule="exact"/>
              <w:rPr>
                <w:sz w:val="20"/>
                <w:szCs w:val="20"/>
                <w:color w:val="auto"/>
              </w:rPr>
            </w:pPr>
            <w:r>
              <w:rPr>
                <w:rFonts w:ascii="Arial" w:cs="Arial" w:eastAsia="Arial" w:hAnsi="Arial"/>
                <w:sz w:val="18"/>
                <w:szCs w:val="18"/>
                <w:color w:val="auto"/>
              </w:rPr>
              <w:t>42,742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367.79</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 options cancelled</w:t>
            </w:r>
          </w:p>
        </w:tc>
        <w:tc>
          <w:tcPr>
            <w:tcW w:w="1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(11,990 )</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333.61</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Stock options exercised</w:t>
            </w:r>
          </w:p>
        </w:tc>
        <w:tc>
          <w:tcPr>
            <w:tcW w:w="1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(199,301 )</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98.76</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at January 2, 2022</w:t>
            </w:r>
          </w:p>
        </w:tc>
        <w:tc>
          <w:tcPr>
            <w:tcW w:w="1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664,117</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189.64</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248,836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20" w:type="dxa"/>
            <w:vAlign w:val="bottom"/>
          </w:tcPr>
          <w:p>
            <w:pPr>
              <w:ind w:left="20"/>
              <w:spacing w:after="0" w:line="183" w:lineRule="exact"/>
              <w:rPr>
                <w:sz w:val="20"/>
                <w:szCs w:val="20"/>
                <w:color w:val="auto"/>
              </w:rPr>
            </w:pPr>
            <w:r>
              <w:rPr>
                <w:rFonts w:ascii="Arial" w:cs="Arial" w:eastAsia="Arial" w:hAnsi="Arial"/>
                <w:sz w:val="18"/>
                <w:szCs w:val="18"/>
                <w:color w:val="auto"/>
              </w:rPr>
              <w:t>Exercisable at January 2, 2022</w:t>
            </w:r>
          </w:p>
        </w:tc>
        <w:tc>
          <w:tcPr>
            <w:tcW w:w="1520" w:type="dxa"/>
            <w:vAlign w:val="bottom"/>
          </w:tcPr>
          <w:p>
            <w:pPr>
              <w:jc w:val="right"/>
              <w:spacing w:after="0" w:line="183" w:lineRule="exact"/>
              <w:rPr>
                <w:sz w:val="20"/>
                <w:szCs w:val="20"/>
                <w:color w:val="auto"/>
              </w:rPr>
            </w:pPr>
            <w:r>
              <w:rPr>
                <w:rFonts w:ascii="Arial" w:cs="Arial" w:eastAsia="Arial" w:hAnsi="Arial"/>
                <w:sz w:val="18"/>
                <w:szCs w:val="18"/>
                <w:color w:val="auto"/>
              </w:rPr>
              <w:t>545,050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155.82</w:t>
            </w:r>
          </w:p>
        </w:tc>
        <w:tc>
          <w:tcPr>
            <w:tcW w:w="14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4.4</w:t>
            </w:r>
          </w:p>
        </w:tc>
        <w:tc>
          <w:tcPr>
            <w:tcW w:w="44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222,656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-1276985</wp:posOffset>
            </wp:positionV>
            <wp:extent cx="857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-1259205</wp:posOffset>
            </wp:positionV>
            <wp:extent cx="857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-1276985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-1259205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-728345</wp:posOffset>
            </wp:positionV>
            <wp:extent cx="857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-711200</wp:posOffset>
            </wp:positionV>
            <wp:extent cx="857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-711200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-179070</wp:posOffset>
            </wp:positionV>
            <wp:extent cx="85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-162560</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-179070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-162560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-162560</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1" w:lineRule="exact"/>
        <w:rPr>
          <w:sz w:val="20"/>
          <w:szCs w:val="20"/>
          <w:color w:val="auto"/>
        </w:rPr>
      </w:pPr>
    </w:p>
    <w:p>
      <w:pPr>
        <w:ind w:right="100" w:firstLine="449"/>
        <w:spacing w:after="0" w:line="253" w:lineRule="auto"/>
        <w:rPr>
          <w:sz w:val="20"/>
          <w:szCs w:val="20"/>
          <w:color w:val="auto"/>
        </w:rPr>
      </w:pPr>
      <w:r>
        <w:rPr>
          <w:rFonts w:ascii="Arial" w:cs="Arial" w:eastAsia="Arial" w:hAnsi="Arial"/>
          <w:sz w:val="17"/>
          <w:szCs w:val="17"/>
          <w:color w:val="auto"/>
        </w:rPr>
        <w:t>The total intrinsic value of stock options exercised was $77.4 million, $249.7 million and $103.8 million in 2021, 2020 and 2019, respectively. Cash received from the exercise of stock options was $19.7 million, $31.0 million and $13.1 million in 2021, 2020 and 2019, respectively. The tax benefit realized from stock options exercised was $17.6 million, $59.1 million and $24.9 million in 2021, 2020 and 2019, respectively.</w:t>
      </w:r>
    </w:p>
    <w:p>
      <w:pPr>
        <w:spacing w:after="0" w:line="138" w:lineRule="exact"/>
        <w:rPr>
          <w:sz w:val="20"/>
          <w:szCs w:val="20"/>
          <w:color w:val="auto"/>
        </w:rPr>
      </w:pPr>
    </w:p>
    <w:p>
      <w:pPr>
        <w:ind w:right="80" w:firstLine="449"/>
        <w:spacing w:after="0" w:line="246" w:lineRule="auto"/>
        <w:rPr>
          <w:sz w:val="20"/>
          <w:szCs w:val="20"/>
          <w:color w:val="auto"/>
        </w:rPr>
      </w:pPr>
      <w:r>
        <w:rPr>
          <w:rFonts w:ascii="Arial" w:cs="Arial" w:eastAsia="Arial" w:hAnsi="Arial"/>
          <w:sz w:val="17"/>
          <w:szCs w:val="17"/>
          <w:color w:val="auto"/>
        </w:rPr>
        <w:t>The Company recorded total non-cash equity-based compensation expense of $5.7 million, $6.3 million and $4.0 million in 2021, 2020 and 2019, respectively, related to stock option awards. As of January 2, 2022, there was $5.3 million of total unrecognized compensation cost related to unvested stock options granted under the 2004 Equity Incentive Plan which generally will be recognized on a straight-line basis over the related vesting period. This unrecognized compensation cost is expected to be recognized over a weighted average period of 2.0 years.</w:t>
      </w:r>
    </w:p>
    <w:p>
      <w:pPr>
        <w:spacing w:after="0" w:line="171" w:lineRule="exact"/>
        <w:rPr>
          <w:sz w:val="20"/>
          <w:szCs w:val="20"/>
          <w:color w:val="auto"/>
        </w:rPr>
      </w:pPr>
    </w:p>
    <w:p>
      <w:pPr>
        <w:ind w:right="100" w:firstLine="449"/>
        <w:spacing w:after="0" w:line="261" w:lineRule="auto"/>
        <w:rPr>
          <w:sz w:val="20"/>
          <w:szCs w:val="20"/>
          <w:color w:val="auto"/>
        </w:rPr>
      </w:pPr>
      <w:r>
        <w:rPr>
          <w:rFonts w:ascii="Arial" w:cs="Arial" w:eastAsia="Arial" w:hAnsi="Arial"/>
          <w:sz w:val="16"/>
          <w:szCs w:val="16"/>
          <w:color w:val="auto"/>
        </w:rPr>
        <w:t>Management estimated the fair value of each option grant made during 2021, 2020 and 2019 as of the date of the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 Option valuation models require the input of highly subjective assumptions and changes in assumptions can significantly affect the estimated fair value of the Company’s stock options.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6" w:name="page77"/>
    <w:bookmarkEnd w:id="76"/>
    <w:p>
      <w:pPr>
        <w:ind w:right="300" w:firstLine="449"/>
        <w:spacing w:after="0" w:line="246" w:lineRule="auto"/>
        <w:rPr>
          <w:sz w:val="20"/>
          <w:szCs w:val="20"/>
          <w:color w:val="auto"/>
        </w:rPr>
      </w:pPr>
      <w:r>
        <w:rPr>
          <w:rFonts w:ascii="Arial" w:cs="Arial" w:eastAsia="Arial" w:hAnsi="Arial"/>
          <w:sz w:val="18"/>
          <w:szCs w:val="18"/>
          <w:color w:val="auto"/>
        </w:rPr>
        <w:t>The weighted average assumptions used in estimating the fair value of each stock option granted in 2021, 2020 and 2019 using the Black-Scholes option pricing method are presented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r>
      <w:tr>
        <w:trPr>
          <w:trHeight w:val="196"/>
        </w:trPr>
        <w:tc>
          <w:tcPr>
            <w:tcW w:w="6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0.3</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Expected life</w:t>
            </w:r>
          </w:p>
        </w:tc>
        <w:tc>
          <w:tcPr>
            <w:tcW w:w="320" w:type="dxa"/>
            <w:vAlign w:val="bottom"/>
          </w:tcPr>
          <w:p>
            <w:pPr>
              <w:spacing w:after="0"/>
              <w:rPr>
                <w:sz w:val="17"/>
                <w:szCs w:val="17"/>
                <w:color w:val="auto"/>
              </w:rPr>
            </w:pPr>
          </w:p>
        </w:tc>
        <w:tc>
          <w:tcPr>
            <w:tcW w:w="140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5.25 years</w:t>
            </w:r>
          </w:p>
        </w:tc>
        <w:tc>
          <w:tcPr>
            <w:tcW w:w="300" w:type="dxa"/>
            <w:vAlign w:val="bottom"/>
          </w:tcPr>
          <w:p>
            <w:pPr>
              <w:spacing w:after="0"/>
              <w:rPr>
                <w:sz w:val="17"/>
                <w:szCs w:val="17"/>
                <w:color w:val="auto"/>
              </w:rPr>
            </w:pPr>
          </w:p>
        </w:tc>
        <w:tc>
          <w:tcPr>
            <w:tcW w:w="13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5.5 years</w:t>
            </w:r>
          </w:p>
        </w:tc>
        <w:tc>
          <w:tcPr>
            <w:tcW w:w="300" w:type="dxa"/>
            <w:vAlign w:val="bottom"/>
          </w:tcPr>
          <w:p>
            <w:pPr>
              <w:spacing w:after="0"/>
              <w:rPr>
                <w:sz w:val="17"/>
                <w:szCs w:val="17"/>
                <w:color w:val="auto"/>
              </w:rPr>
            </w:pPr>
          </w:p>
        </w:tc>
        <w:tc>
          <w:tcPr>
            <w:tcW w:w="12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5.5 years</w:t>
            </w: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30.0 %</w:t>
            </w: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30.0 %</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25.0 %</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320" w:type="dxa"/>
            <w:vAlign w:val="bottom"/>
          </w:tcPr>
          <w:p>
            <w:pPr>
              <w:spacing w:after="0"/>
              <w:rPr>
                <w:sz w:val="17"/>
                <w:szCs w:val="17"/>
                <w:color w:val="auto"/>
              </w:rPr>
            </w:pPr>
          </w:p>
        </w:tc>
        <w:tc>
          <w:tcPr>
            <w:tcW w:w="14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1.0 %</w:t>
            </w:r>
          </w:p>
        </w:tc>
        <w:tc>
          <w:tcPr>
            <w:tcW w:w="300" w:type="dxa"/>
            <w:vAlign w:val="bottom"/>
          </w:tcPr>
          <w:p>
            <w:pPr>
              <w:spacing w:after="0"/>
              <w:rPr>
                <w:sz w:val="17"/>
                <w:szCs w:val="17"/>
                <w:color w:val="auto"/>
              </w:rPr>
            </w:pPr>
          </w:p>
        </w:tc>
        <w:tc>
          <w:tcPr>
            <w:tcW w:w="13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0.8 %</w:t>
            </w:r>
          </w:p>
        </w:tc>
        <w:tc>
          <w:tcPr>
            <w:tcW w:w="30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0.9 %</w:t>
            </w:r>
          </w:p>
        </w:tc>
      </w:tr>
      <w:tr>
        <w:trPr>
          <w:trHeight w:val="203"/>
        </w:trPr>
        <w:tc>
          <w:tcPr>
            <w:tcW w:w="6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fair value per stock option</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93.46</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105.76</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64.66</w:t>
            </w:r>
          </w:p>
        </w:tc>
        <w:tc>
          <w:tcPr>
            <w:tcW w:w="260" w:type="dxa"/>
            <w:vAlign w:val="bottom"/>
            <w:shd w:val="clear" w:color="auto" w:fill="CFF0FC"/>
          </w:tcPr>
          <w:p>
            <w:pPr>
              <w:spacing w:after="0"/>
              <w:rPr>
                <w:sz w:val="17"/>
                <w:szCs w:val="17"/>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Equity-Based Compensation Arrangements</w:t>
      </w:r>
    </w:p>
    <w:p>
      <w:pPr>
        <w:spacing w:after="0" w:line="148" w:lineRule="exact"/>
        <w:rPr>
          <w:sz w:val="20"/>
          <w:szCs w:val="20"/>
          <w:color w:val="auto"/>
        </w:rPr>
      </w:pPr>
    </w:p>
    <w:p>
      <w:pPr>
        <w:jc w:val="both"/>
        <w:ind w:right="140" w:firstLine="449"/>
        <w:spacing w:after="0" w:line="253" w:lineRule="auto"/>
        <w:rPr>
          <w:sz w:val="20"/>
          <w:szCs w:val="20"/>
          <w:color w:val="auto"/>
        </w:rPr>
      </w:pPr>
      <w:r>
        <w:rPr>
          <w:rFonts w:ascii="Arial" w:cs="Arial" w:eastAsia="Arial" w:hAnsi="Arial"/>
          <w:sz w:val="16"/>
          <w:szCs w:val="16"/>
          <w:color w:val="auto"/>
        </w:rPr>
        <w:t>The Company granted 3,292 shares, 3,630 shares and 3,780 shares of restricted stock in 2021, 2020 and 2019, respectively, to members of its Board of Directors. Restricted stock awards granted to members of the Company’s Board of Directors were granted with a fair value equal to the market price of the Company’s common stock on the grant date and generally vest one year from the date of grant, generally subject to the director’s continued service.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These awards also contain provisions for accelerated vesting upon the retirement eligibility of holders that have achieved specified service and age requirements. The Company recorded total non-cash equity-based compensation expense of $1.4 million, $1.2 million and $1.0 million in 2021, 2020 and 2019, respectively, related to these restricted stock awards. As of January 2, 2022, there was $0.2 million of total unrecognized compensation cost related to these restricted stock grants.</w:t>
      </w:r>
    </w:p>
    <w:p>
      <w:pPr>
        <w:spacing w:after="0" w:line="176" w:lineRule="exact"/>
        <w:rPr>
          <w:sz w:val="20"/>
          <w:szCs w:val="20"/>
          <w:color w:val="auto"/>
        </w:rPr>
      </w:pPr>
    </w:p>
    <w:p>
      <w:pPr>
        <w:ind w:right="60" w:firstLine="449"/>
        <w:spacing w:after="0" w:line="276" w:lineRule="auto"/>
        <w:rPr>
          <w:sz w:val="20"/>
          <w:szCs w:val="20"/>
          <w:color w:val="auto"/>
        </w:rPr>
      </w:pPr>
      <w:r>
        <w:rPr>
          <w:rFonts w:ascii="Arial" w:cs="Arial" w:eastAsia="Arial" w:hAnsi="Arial"/>
          <w:sz w:val="16"/>
          <w:szCs w:val="16"/>
          <w:color w:val="auto"/>
        </w:rPr>
        <w:t>The Company granted 49,963 restricted stock units in 2021 to certain employees of the Company. These restricted stock units were granted with a fair value equal to the market price of the Company’s common stock on the grant date. These restricted stock units are separated into two or three tranches and have time-based vesting conditions with the last tranche of the award vesting three years from the grant date, generally subject to the holder’s continued employment. These awards generally also contain provisions for accelerated vesting upon the retirement eligibility of holders that have achieved specified service and age requirements. The Company recorded total non-cash equity-based compensation expense of $5.4 million in 2021 related to these restricted stock units. As of January 2, 2022, there was $12.3 million of total unrecognized compensation cost related to these restricted stock units.</w:t>
      </w:r>
    </w:p>
    <w:p>
      <w:pPr>
        <w:spacing w:after="0" w:line="148" w:lineRule="exact"/>
        <w:rPr>
          <w:sz w:val="20"/>
          <w:szCs w:val="20"/>
          <w:color w:val="auto"/>
        </w:rPr>
      </w:pPr>
    </w:p>
    <w:p>
      <w:pPr>
        <w:ind w:firstLine="449"/>
        <w:spacing w:after="0" w:line="268" w:lineRule="auto"/>
        <w:rPr>
          <w:sz w:val="20"/>
          <w:szCs w:val="20"/>
          <w:color w:val="auto"/>
        </w:rPr>
      </w:pPr>
      <w:r>
        <w:rPr>
          <w:rFonts w:ascii="Arial" w:cs="Arial" w:eastAsia="Arial" w:hAnsi="Arial"/>
          <w:sz w:val="16"/>
          <w:szCs w:val="16"/>
          <w:color w:val="auto"/>
        </w:rPr>
        <w:t>The Company granted 6,546 performance-based restricted stock units in 2021 to certain employees of the Company. These restricted stock units were granted with a fair value equal to the market price of the Company’s common stock on the grant date,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cumulative achievement as compared to the specified target performance conditions. The performance-based restricted stock units also include provisions for a potential modifier (upward or downward) based on the Company’s cumulative three-year common stock total shareholder return performance relative to that of a pre-established peer group. These awards also contain provisions for accelerated vesting of the time-based vesting condition upon the retirement eligibility of holders that have achieved specified service and age requirements.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 The Company recorded total non-cash equity-based compensation expense of $1.4 million in 2021 related to these performance-based restricted stock units. As of January 2, 2022, there was $1.2 million of total estimated unrecognized compensation cost based on current attainment projections related to these performance-based restricted stock units.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assumptions used in estimating the fair value of each performance-based restricted stock unit granted in 2021 using the Monte-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Carlo simulation pricing method are presented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r>
      <w:tr>
        <w:trPr>
          <w:trHeight w:val="196"/>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3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color w:val="auto"/>
              </w:rPr>
              <w:t>Expected life</w:t>
            </w:r>
          </w:p>
        </w:tc>
        <w:tc>
          <w:tcPr>
            <w:tcW w:w="3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2.75 years</w:t>
            </w:r>
          </w:p>
        </w:tc>
      </w:tr>
      <w:tr>
        <w:trPr>
          <w:trHeight w:val="203"/>
        </w:trPr>
        <w:tc>
          <w:tcPr>
            <w:tcW w:w="5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3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33.9 %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w w:val="92"/>
              </w:rPr>
              <w:t>Weighted average fair value per performance-based restricted stock unit</w:t>
            </w:r>
          </w:p>
        </w:tc>
        <w:tc>
          <w:tcPr>
            <w:tcW w:w="4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375.85</w:t>
            </w:r>
          </w:p>
        </w:tc>
        <w:tc>
          <w:tcPr>
            <w:tcW w:w="260" w:type="dxa"/>
            <w:vAlign w:val="bottom"/>
          </w:tcPr>
          <w:p>
            <w:pPr>
              <w:spacing w:after="0"/>
              <w:rPr>
                <w:sz w:val="20"/>
                <w:szCs w:val="20"/>
                <w:color w:val="auto"/>
              </w:rPr>
            </w:pPr>
          </w:p>
        </w:tc>
      </w:tr>
      <w:tr>
        <w:trPr>
          <w:trHeight w:val="391"/>
        </w:trPr>
        <w:tc>
          <w:tcPr>
            <w:tcW w:w="5360" w:type="dxa"/>
            <w:vAlign w:val="bottom"/>
          </w:tcPr>
          <w:p>
            <w:pPr>
              <w:spacing w:after="0"/>
              <w:rPr>
                <w:sz w:val="24"/>
                <w:szCs w:val="24"/>
                <w:color w:val="auto"/>
              </w:rPr>
            </w:pPr>
          </w:p>
        </w:tc>
        <w:tc>
          <w:tcPr>
            <w:tcW w:w="3800" w:type="dxa"/>
            <w:vAlign w:val="bottom"/>
          </w:tcPr>
          <w:p>
            <w:pPr>
              <w:jc w:val="right"/>
              <w:ind w:right="3350"/>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88"/>
        </w:trPr>
        <w:tc>
          <w:tcPr>
            <w:tcW w:w="536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7" w:name="page78"/>
    <w:bookmarkEnd w:id="77"/>
    <w:p>
      <w:pPr>
        <w:ind w:right="20" w:firstLine="449"/>
        <w:spacing w:after="0" w:line="238" w:lineRule="auto"/>
        <w:rPr>
          <w:sz w:val="20"/>
          <w:szCs w:val="20"/>
          <w:color w:val="auto"/>
        </w:rPr>
      </w:pPr>
      <w:r>
        <w:rPr>
          <w:rFonts w:ascii="Arial" w:cs="Arial" w:eastAsia="Arial" w:hAnsi="Arial"/>
          <w:sz w:val="18"/>
          <w:szCs w:val="18"/>
          <w:color w:val="auto"/>
        </w:rPr>
        <w:t>The Company granted 39,150 shares and 63,790 shares of performance-based restricted stock in 2020 and 2019, respectively, to certain employees of the Company. These performance-based restricted stock awards are separated into four tranches and have time-based and performance-based vesting conditions with the last tranche vesting four years from the issuance date, generally subject to the holder’s continued employment. These awards also contain provisions for accelerated vesting upon the retirement of holders that have achieved specific service and age requirements. These awards are considered granted for accounting purposes when the performance target is established, which is generally in the fourth quarter of each year. The Company recorded total non-cash equity-based compensation expense of $12.7 million, $14.6 million and $13.2 million in 2021, 2020 and 2019, respectively, related to these awards. As of January 2, 2022, there was an estimated $16.8 million of total unrecognized compensation cost related to performance-based restricted stock.</w:t>
      </w:r>
    </w:p>
    <w:p>
      <w:pPr>
        <w:spacing w:after="0" w:line="180" w:lineRule="exact"/>
        <w:rPr>
          <w:sz w:val="20"/>
          <w:szCs w:val="20"/>
          <w:color w:val="auto"/>
        </w:rPr>
      </w:pPr>
    </w:p>
    <w:p>
      <w:pPr>
        <w:ind w:firstLine="449"/>
        <w:spacing w:after="0" w:line="259" w:lineRule="auto"/>
        <w:rPr>
          <w:sz w:val="20"/>
          <w:szCs w:val="20"/>
          <w:color w:val="auto"/>
        </w:rPr>
      </w:pPr>
      <w:r>
        <w:rPr>
          <w:rFonts w:ascii="Arial" w:cs="Arial" w:eastAsia="Arial" w:hAnsi="Arial"/>
          <w:sz w:val="17"/>
          <w:szCs w:val="17"/>
          <w:color w:val="auto"/>
        </w:rPr>
        <w:t>In 2018, the Company granted 28,570 shares of restricted stock to two executives of the Company. These have a fair value equal to the market price of the Company’s common stock on the grant date and generally vest four years from the date of the grant, generally subject to the holder’s continued employment. These awards also contain provisions for accelerated vesting upon certain terminations of employment. The Company recorded total non-cash equity-based compensation expense of $2.1 million in each of 2021, 2020 and 2019 related to these restricted stock awards. As of January 2, 2022, there was $0.6 million of total unrecognized compensation cost related to these restricted stock grants.</w:t>
      </w:r>
    </w:p>
    <w:p>
      <w:pPr>
        <w:spacing w:after="0" w:line="160" w:lineRule="exact"/>
        <w:rPr>
          <w:sz w:val="20"/>
          <w:szCs w:val="20"/>
          <w:color w:val="auto"/>
        </w:rPr>
      </w:pPr>
    </w:p>
    <w:p>
      <w:pPr>
        <w:ind w:right="660" w:firstLine="449"/>
        <w:spacing w:after="0" w:line="247" w:lineRule="auto"/>
        <w:rPr>
          <w:sz w:val="20"/>
          <w:szCs w:val="20"/>
          <w:color w:val="auto"/>
        </w:rPr>
      </w:pPr>
      <w:r>
        <w:rPr>
          <w:rFonts w:ascii="Arial" w:cs="Arial" w:eastAsia="Arial" w:hAnsi="Arial"/>
          <w:sz w:val="18"/>
          <w:szCs w:val="18"/>
          <w:color w:val="auto"/>
        </w:rPr>
        <w:t>Activity related to restricted stock awards and units and performance-based restricted stock awards and units awarded under the 2004 Equity Incentive Plan is summarized as follows:</w:t>
      </w:r>
    </w:p>
    <w:tbl>
      <w:tblPr>
        <w:tblLayout w:type="fixed"/>
        <w:tblInd w:w="0" w:type="dxa"/>
        <w:tblCellMar>
          <w:top w:w="0" w:type="dxa"/>
          <w:left w:w="0" w:type="dxa"/>
          <w:bottom w:w="0" w:type="dxa"/>
          <w:right w:w="0" w:type="dxa"/>
        </w:tblCellMar>
      </w:tblPr>
      <w:tr>
        <w:trPr>
          <w:trHeight w:val="133"/>
        </w:trPr>
        <w:tc>
          <w:tcPr>
            <w:tcW w:w="7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3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w w:val="95"/>
              </w:rPr>
              <w:t>Fair Value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30, 2018</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190,379</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Shares granted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67,570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275.06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cancelled</w:t>
            </w:r>
          </w:p>
        </w:tc>
        <w:tc>
          <w:tcPr>
            <w:tcW w:w="1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(17,923 )</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230.60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Shares vested</w:t>
            </w:r>
          </w:p>
        </w:tc>
        <w:tc>
          <w:tcPr>
            <w:tcW w:w="1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(68,956 )</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175.84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29, 2019</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171,070</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251.29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Shares granted</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42,780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398.08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cancelled</w:t>
            </w:r>
          </w:p>
        </w:tc>
        <w:tc>
          <w:tcPr>
            <w:tcW w:w="1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(8,345 )</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Shares vested</w:t>
            </w:r>
          </w:p>
        </w:tc>
        <w:tc>
          <w:tcPr>
            <w:tcW w:w="1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(58,743 )</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221.58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January 3, 2021</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146,762</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304.69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color w:val="auto"/>
              </w:rPr>
              <w:t>Shares granted</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59,801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382.79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cancelled</w:t>
            </w:r>
          </w:p>
        </w:tc>
        <w:tc>
          <w:tcPr>
            <w:tcW w:w="1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(12,924 )</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Shares vested</w:t>
            </w:r>
          </w:p>
        </w:tc>
        <w:tc>
          <w:tcPr>
            <w:tcW w:w="1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(48,378 )</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287.41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January 2, 2022</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145,261</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339.37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-553720</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380" w:right="260" w:hanging="372"/>
        <w:spacing w:after="0" w:line="355" w:lineRule="auto"/>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weighted average grant date fair value for performance-based restricted stock awards granted in 2020 and 2019 was calculated based on the market price on the grant dates. Certain tranches will ultimately be valued when the performance condition is established for each tranche, which generally occurs in the fourth quarter of each fiscal year.</w:t>
      </w:r>
    </w:p>
    <w:p>
      <w:pPr>
        <w:spacing w:after="0" w:line="22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Capital Structure</w:t>
      </w:r>
    </w:p>
    <w:p>
      <w:pPr>
        <w:spacing w:after="0" w:line="189" w:lineRule="exact"/>
        <w:rPr>
          <w:sz w:val="20"/>
          <w:szCs w:val="20"/>
          <w:color w:val="auto"/>
        </w:rPr>
      </w:pPr>
    </w:p>
    <w:p>
      <w:pPr>
        <w:ind w:right="60" w:firstLine="449"/>
        <w:spacing w:after="0" w:line="254" w:lineRule="auto"/>
        <w:rPr>
          <w:sz w:val="20"/>
          <w:szCs w:val="20"/>
          <w:color w:val="auto"/>
        </w:rPr>
      </w:pPr>
      <w:r>
        <w:rPr>
          <w:rFonts w:ascii="Arial" w:cs="Arial" w:eastAsia="Arial" w:hAnsi="Arial"/>
          <w:sz w:val="16"/>
          <w:szCs w:val="16"/>
          <w:color w:val="auto"/>
        </w:rPr>
        <w:t>On October 4, 2019, the Company’s Board of Directors authorized a share repurchase program to repurchase up to $1.0 billion of the Company’s common stock. On February 24, 2021, the Company’s Board of Directors authorized a new share repurchase program to repurchase up to $1.0 billion of the Company’s common stock, which was fully utilized in connection with the ASR Agreement, described below. On July 20, 2021, the Company’s Board of Directors authorized a new share repurchase program to repurchase up to $1.0 billion of the Company's common stock, which replaced the previously approved and fully utilized $1.0 billion share repurchase program. As of January 2, 2022, the Company had $704.1 million remaining under its $1.0 billion authorization for repurchases of shares of the Company’s common stock. 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138" w:lineRule="exact"/>
        <w:rPr>
          <w:sz w:val="20"/>
          <w:szCs w:val="20"/>
          <w:color w:val="auto"/>
        </w:rPr>
      </w:pPr>
    </w:p>
    <w:p>
      <w:pPr>
        <w:ind w:right="60" w:firstLine="449"/>
        <w:spacing w:after="0" w:line="246" w:lineRule="auto"/>
        <w:rPr>
          <w:sz w:val="20"/>
          <w:szCs w:val="20"/>
          <w:color w:val="auto"/>
        </w:rPr>
      </w:pPr>
      <w:r>
        <w:rPr>
          <w:rFonts w:ascii="Arial" w:cs="Arial" w:eastAsia="Arial" w:hAnsi="Arial"/>
          <w:sz w:val="18"/>
          <w:szCs w:val="18"/>
          <w:color w:val="auto"/>
        </w:rPr>
        <w:t>During 2021, 2020 and 2019, the Company repurchased 2,912,558 shares, 838,871 shares and 2,493,560 shares of the Company’s common stock for $1.32 billion, $304.6 million and $699.0 million, respectively.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ind w:right="80" w:firstLine="449"/>
        <w:spacing w:after="0" w:line="228" w:lineRule="auto"/>
        <w:rPr>
          <w:sz w:val="20"/>
          <w:szCs w:val="20"/>
          <w:color w:val="auto"/>
        </w:rPr>
      </w:pPr>
      <w:r>
        <w:rPr>
          <w:rFonts w:ascii="Arial" w:cs="Arial" w:eastAsia="Arial" w:hAnsi="Arial"/>
          <w:sz w:val="18"/>
          <w:szCs w:val="18"/>
          <w:color w:val="auto"/>
        </w:rPr>
        <w:t>On April 30, 2021, the Company entered into a $1.0 billion accelerated share repurchase agreement (the “ASR Agreement”) with a counterparty. Pursuant to the terms of the ASR Agreement, on May 3, 2021, the Company used a portion of the proceeds from the 2021 Recapitalization to pay the counterparty $1.0 billion in cash and received and retired 2,012,596 shares of its common stock. Final settlement of the ASR Agreement occurred on July 21, 2021. In connection with the ASR Agreement, the Company received and retired a total of 2,250,786 shares of its common stock at an average price of $444.29.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Subsequent to the end of fiscal 2021, the Company repurchased and retired an additional 100,810 shares of common stock for $47.7 million.</w:t>
      </w:r>
    </w:p>
    <w:p>
      <w:pPr>
        <w:spacing w:after="0" w:line="183" w:lineRule="exact"/>
        <w:rPr>
          <w:sz w:val="20"/>
          <w:szCs w:val="20"/>
          <w:color w:val="auto"/>
        </w:rPr>
      </w:pPr>
    </w:p>
    <w:p>
      <w:pPr>
        <w:ind w:right="100" w:firstLine="449"/>
        <w:spacing w:after="0" w:line="246" w:lineRule="auto"/>
        <w:rPr>
          <w:sz w:val="20"/>
          <w:szCs w:val="20"/>
          <w:color w:val="auto"/>
        </w:rPr>
      </w:pPr>
      <w:r>
        <w:rPr>
          <w:rFonts w:ascii="Arial" w:cs="Arial" w:eastAsia="Arial" w:hAnsi="Arial"/>
          <w:sz w:val="18"/>
          <w:szCs w:val="18"/>
          <w:color w:val="auto"/>
        </w:rPr>
        <w:t>As of January 2, 2022, authorized common stock consists of 160,000,000 voting shares and 10,000,000 non-voting shares. The share components of outstanding common stock at January 2, 2022 and January 3,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760" w:type="dxa"/>
            <w:vAlign w:val="bottom"/>
          </w:tcPr>
          <w:p>
            <w:pPr>
              <w:jc w:val="right"/>
              <w:ind w:right="477"/>
              <w:spacing w:after="0"/>
              <w:rPr>
                <w:sz w:val="20"/>
                <w:szCs w:val="20"/>
                <w:color w:val="auto"/>
              </w:rPr>
            </w:pPr>
            <w:r>
              <w:rPr>
                <w:rFonts w:ascii="Arial" w:cs="Arial" w:eastAsia="Arial" w:hAnsi="Arial"/>
                <w:sz w:val="14"/>
                <w:szCs w:val="14"/>
                <w:b w:val="1"/>
                <w:bCs w:val="1"/>
                <w:color w:val="auto"/>
              </w:rPr>
              <w:t>January 2,</w:t>
            </w:r>
          </w:p>
        </w:tc>
        <w:tc>
          <w:tcPr>
            <w:tcW w:w="260" w:type="dxa"/>
            <w:vAlign w:val="bottom"/>
          </w:tcPr>
          <w:p>
            <w:pPr>
              <w:spacing w:after="0"/>
              <w:rPr>
                <w:sz w:val="14"/>
                <w:szCs w:val="14"/>
                <w:color w:val="auto"/>
              </w:rPr>
            </w:pPr>
          </w:p>
        </w:tc>
        <w:tc>
          <w:tcPr>
            <w:tcW w:w="1960" w:type="dxa"/>
            <w:vAlign w:val="bottom"/>
          </w:tcPr>
          <w:p>
            <w:pPr>
              <w:jc w:val="right"/>
              <w:ind w:right="576"/>
              <w:spacing w:after="0"/>
              <w:rPr>
                <w:sz w:val="20"/>
                <w:szCs w:val="20"/>
                <w:color w:val="auto"/>
              </w:rPr>
            </w:pPr>
            <w:r>
              <w:rPr>
                <w:rFonts w:ascii="Arial" w:cs="Arial" w:eastAsia="Arial" w:hAnsi="Arial"/>
                <w:sz w:val="14"/>
                <w:szCs w:val="14"/>
                <w:b w:val="1"/>
                <w:bCs w:val="1"/>
                <w:color w:val="auto"/>
              </w:rPr>
              <w:t>January 3,</w:t>
            </w:r>
          </w:p>
        </w:tc>
        <w:tc>
          <w:tcPr>
            <w:tcW w:w="60" w:type="dxa"/>
            <w:vAlign w:val="bottom"/>
          </w:tcPr>
          <w:p>
            <w:pPr>
              <w:spacing w:after="0"/>
              <w:rPr>
                <w:sz w:val="14"/>
                <w:szCs w:val="14"/>
                <w:color w:val="auto"/>
              </w:rPr>
            </w:pPr>
          </w:p>
        </w:tc>
      </w:tr>
      <w:tr>
        <w:trPr>
          <w:trHeight w:val="185"/>
        </w:trPr>
        <w:tc>
          <w:tcPr>
            <w:tcW w:w="7200" w:type="dxa"/>
            <w:vAlign w:val="bottom"/>
          </w:tcPr>
          <w:p>
            <w:pPr>
              <w:spacing w:after="0"/>
              <w:rPr>
                <w:sz w:val="16"/>
                <w:szCs w:val="16"/>
                <w:color w:val="auto"/>
              </w:rPr>
            </w:pPr>
          </w:p>
        </w:tc>
        <w:tc>
          <w:tcPr>
            <w:tcW w:w="1760" w:type="dxa"/>
            <w:vAlign w:val="bottom"/>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2220" w:type="dxa"/>
            <w:vAlign w:val="bottom"/>
            <w:gridSpan w:val="2"/>
          </w:tcPr>
          <w:p>
            <w:pPr>
              <w:jc w:val="right"/>
              <w:ind w:right="7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Voting</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36,135,081</w:t>
            </w:r>
          </w:p>
        </w:tc>
        <w:tc>
          <w:tcPr>
            <w:tcW w:w="260" w:type="dxa"/>
            <w:vAlign w:val="bottom"/>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38,865,160</w:t>
            </w:r>
          </w:p>
        </w:tc>
        <w:tc>
          <w:tcPr>
            <w:tcW w:w="60" w:type="dxa"/>
            <w:vAlign w:val="bottom"/>
            <w:shd w:val="clear" w:color="auto" w:fill="CFF0FC"/>
          </w:tcPr>
          <w:p>
            <w:pPr>
              <w:spacing w:after="0"/>
              <w:rPr>
                <w:sz w:val="17"/>
                <w:szCs w:val="17"/>
                <w:color w:val="auto"/>
              </w:rPr>
            </w:pPr>
          </w:p>
        </w:tc>
      </w:tr>
      <w:tr>
        <w:trPr>
          <w:trHeight w:val="203"/>
        </w:trPr>
        <w:tc>
          <w:tcPr>
            <w:tcW w:w="7200" w:type="dxa"/>
            <w:vAlign w:val="bottom"/>
          </w:tcPr>
          <w:p>
            <w:pPr>
              <w:ind w:left="20"/>
              <w:spacing w:after="0" w:line="202" w:lineRule="exact"/>
              <w:rPr>
                <w:sz w:val="20"/>
                <w:szCs w:val="20"/>
                <w:color w:val="auto"/>
              </w:rPr>
            </w:pPr>
            <w:r>
              <w:rPr>
                <w:rFonts w:ascii="Arial" w:cs="Arial" w:eastAsia="Arial" w:hAnsi="Arial"/>
                <w:sz w:val="18"/>
                <w:szCs w:val="18"/>
                <w:color w:val="auto"/>
              </w:rPr>
              <w:t>Non-Voting</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3,192</w:t>
            </w:r>
          </w:p>
        </w:tc>
        <w:tc>
          <w:tcPr>
            <w:tcW w:w="2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3,190</w:t>
            </w:r>
          </w:p>
        </w:tc>
        <w:tc>
          <w:tcPr>
            <w:tcW w:w="6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Common Stock</w:t>
            </w: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36,138,273</w:t>
            </w:r>
          </w:p>
        </w:tc>
        <w:tc>
          <w:tcPr>
            <w:tcW w:w="260" w:type="dxa"/>
            <w:vAlign w:val="bottom"/>
            <w:tcBorders>
              <w:bottom w:val="single" w:sz="8" w:color="CFF0FC"/>
            </w:tcBorders>
            <w:shd w:val="clear" w:color="auto" w:fill="CFF0FC"/>
          </w:tcPr>
          <w:p>
            <w:pPr>
              <w:spacing w:after="0"/>
              <w:rPr>
                <w:sz w:val="20"/>
                <w:szCs w:val="20"/>
                <w:color w:val="auto"/>
              </w:rPr>
            </w:pPr>
          </w:p>
        </w:tc>
        <w:tc>
          <w:tcPr>
            <w:tcW w:w="1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38,868,350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0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has three reportable segments: (i) U.S. stores; (ii) supply chain; and (iii) international franchise.</w:t>
      </w:r>
    </w:p>
    <w:p>
      <w:pPr>
        <w:spacing w:after="0" w:line="185" w:lineRule="exact"/>
        <w:rPr>
          <w:sz w:val="20"/>
          <w:szCs w:val="20"/>
          <w:color w:val="auto"/>
        </w:rPr>
      </w:pPr>
    </w:p>
    <w:p>
      <w:pPr>
        <w:ind w:right="40" w:firstLine="449"/>
        <w:spacing w:after="0" w:line="225" w:lineRule="auto"/>
        <w:rPr>
          <w:sz w:val="20"/>
          <w:szCs w:val="20"/>
          <w:color w:val="auto"/>
        </w:rPr>
      </w:pPr>
      <w:r>
        <w:rPr>
          <w:rFonts w:ascii="Arial" w:cs="Arial" w:eastAsia="Arial" w:hAnsi="Arial"/>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equipment and supplies to stores from the Company’s supply chain center operations in the U.S. and Canada. Over 90% of the Company's supply chain revenues are attributable to the U.S. The international franchise segment primarily includes operations related to the Company’s franchising business in foreign markets. The accounting policies of the reportable segments are the same as those described in Note 1. The Company evaluates the performance of its segments and allocates resources to them based on earnings before interest, taxes, depreciation, amortization and other, referred to as Segment Income.</w:t>
      </w:r>
    </w:p>
    <w:p>
      <w:pPr>
        <w:spacing w:after="0" w:line="154" w:lineRule="exact"/>
        <w:rPr>
          <w:sz w:val="20"/>
          <w:szCs w:val="20"/>
          <w:color w:val="auto"/>
        </w:rPr>
      </w:pPr>
    </w:p>
    <w:p>
      <w:pPr>
        <w:ind w:right="140" w:firstLine="449"/>
        <w:spacing w:after="0"/>
        <w:rPr>
          <w:sz w:val="20"/>
          <w:szCs w:val="20"/>
          <w:color w:val="auto"/>
        </w:rPr>
      </w:pPr>
      <w:r>
        <w:rPr>
          <w:rFonts w:ascii="Arial" w:cs="Arial" w:eastAsia="Arial" w:hAnsi="Arial"/>
          <w:sz w:val="17"/>
          <w:szCs w:val="17"/>
          <w:color w:val="auto"/>
        </w:rPr>
        <w:t>The tables below summarize the financial information concerning the Company’s reportable segments for fiscal 2021, 2020 and 2019.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 The “Other” column as it relates to capital expenditures primarily includes capitalized software, certain equipment and leasehold improvements for the Company's corporate offices.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Supply</w:t>
            </w:r>
          </w:p>
        </w:tc>
        <w:tc>
          <w:tcPr>
            <w:tcW w:w="140" w:type="dxa"/>
            <w:vAlign w:val="bottom"/>
          </w:tcPr>
          <w:p>
            <w:pPr>
              <w:spacing w:after="0"/>
              <w:rPr>
                <w:sz w:val="14"/>
                <w:szCs w:val="14"/>
                <w:color w:val="auto"/>
              </w:rPr>
            </w:pPr>
          </w:p>
        </w:tc>
        <w:tc>
          <w:tcPr>
            <w:tcW w:w="106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International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Intersegment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Stores</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Chain</w:t>
            </w:r>
          </w:p>
        </w:tc>
        <w:tc>
          <w:tcPr>
            <w:tcW w:w="140" w:type="dxa"/>
            <w:vAlign w:val="bottom"/>
          </w:tcPr>
          <w:p>
            <w:pPr>
              <w:spacing w:after="0"/>
              <w:rPr>
                <w:sz w:val="16"/>
                <w:szCs w:val="16"/>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Franchise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850"/>
              <w:spacing w:after="0" w:line="202" w:lineRule="exact"/>
              <w:rPr>
                <w:sz w:val="20"/>
                <w:szCs w:val="20"/>
                <w:color w:val="auto"/>
              </w:rPr>
            </w:pPr>
            <w:r>
              <w:rPr>
                <w:rFonts w:ascii="Arial" w:cs="Arial" w:eastAsia="Arial" w:hAnsi="Arial"/>
                <w:sz w:val="18"/>
                <w:szCs w:val="18"/>
                <w:color w:val="auto"/>
              </w:rPr>
              <w:t>2021</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1,498,360</w:t>
            </w: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2,699,863</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298,036</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(138,886 )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4,357,373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jc w:val="right"/>
              <w:ind w:right="1850"/>
              <w:spacing w:after="0" w:line="202" w:lineRule="exact"/>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1,451,003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2,552,795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249,757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(136,144 )</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4,117,411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850"/>
              <w:spacing w:after="0" w:line="202" w:lineRule="exact"/>
              <w:rPr>
                <w:sz w:val="20"/>
                <w:szCs w:val="20"/>
                <w:color w:val="auto"/>
              </w:rPr>
            </w:pPr>
            <w:r>
              <w:rPr>
                <w:rFonts w:ascii="Arial" w:cs="Arial" w:eastAsia="Arial" w:hAnsi="Arial"/>
                <w:sz w:val="18"/>
                <w:szCs w:val="18"/>
                <w:color w:val="auto"/>
              </w:rPr>
              <w:t>2019</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1,272,863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2,231,838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240,975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(126,902 )</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3,618,774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Segment Income-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850"/>
              <w:spacing w:after="0" w:line="202" w:lineRule="exact"/>
              <w:rPr>
                <w:sz w:val="20"/>
                <w:szCs w:val="20"/>
                <w:color w:val="auto"/>
              </w:rPr>
            </w:pPr>
            <w:r>
              <w:rPr>
                <w:rFonts w:ascii="Arial" w:cs="Arial" w:eastAsia="Arial" w:hAnsi="Arial"/>
                <w:sz w:val="18"/>
                <w:szCs w:val="18"/>
                <w:color w:val="auto"/>
              </w:rPr>
              <w:t>2021</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454,875</w:t>
            </w: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229,877</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241,873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(42,926 )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883,699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jc w:val="right"/>
              <w:ind w:right="1850"/>
              <w:spacing w:after="0" w:line="202" w:lineRule="exact"/>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435,089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238,420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197,602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360"/>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(53,265 )</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817,846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850"/>
              <w:spacing w:after="0" w:line="202" w:lineRule="exact"/>
              <w:rPr>
                <w:sz w:val="20"/>
                <w:szCs w:val="20"/>
                <w:color w:val="auto"/>
              </w:rPr>
            </w:pPr>
            <w:r>
              <w:rPr>
                <w:rFonts w:ascii="Arial" w:cs="Arial" w:eastAsia="Arial" w:hAnsi="Arial"/>
                <w:sz w:val="18"/>
                <w:szCs w:val="18"/>
                <w:color w:val="auto"/>
              </w:rPr>
              <w:t>2019</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361,673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199,844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187,318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(36,701 )</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712,134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850"/>
              <w:spacing w:after="0" w:line="202" w:lineRule="exact"/>
              <w:rPr>
                <w:sz w:val="20"/>
                <w:szCs w:val="20"/>
                <w:color w:val="auto"/>
              </w:rPr>
            </w:pPr>
            <w:r>
              <w:rPr>
                <w:rFonts w:ascii="Arial" w:cs="Arial" w:eastAsia="Arial" w:hAnsi="Arial"/>
                <w:sz w:val="18"/>
                <w:szCs w:val="18"/>
                <w:color w:val="auto"/>
              </w:rPr>
              <w:t>2021</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13,680</w:t>
            </w:r>
          </w:p>
        </w:tc>
        <w:tc>
          <w:tcPr>
            <w:tcW w:w="5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37,063</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44,894</w:t>
            </w:r>
          </w:p>
        </w:tc>
        <w:tc>
          <w:tcPr>
            <w:tcW w:w="22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95,637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FF0FC"/>
          </w:tcPr>
          <w:p>
            <w:pPr>
              <w:jc w:val="right"/>
              <w:ind w:right="1850"/>
              <w:spacing w:after="0" w:line="202" w:lineRule="exact"/>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15,319</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36,229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center"/>
              <w:ind w:right="360"/>
              <w:spacing w:after="0" w:line="202" w:lineRule="exact"/>
              <w:rPr>
                <w:sz w:val="20"/>
                <w:szCs w:val="20"/>
                <w:color w:val="auto"/>
              </w:rPr>
            </w:pPr>
            <w:r>
              <w:rPr>
                <w:rFonts w:ascii="Arial" w:cs="Arial" w:eastAsia="Arial" w:hAnsi="Arial"/>
                <w:sz w:val="18"/>
                <w:szCs w:val="18"/>
                <w:color w:val="auto"/>
                <w:w w:val="99"/>
              </w:rPr>
              <w:t>N/A</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35,371</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right"/>
              <w:ind w:right="185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color w:val="auto"/>
        </w:rPr>
        <w:t>The following table reconciles total Segment Income to income before provision for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Segment Income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883,699</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817,846</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712,134</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(72,923 )</w:t>
            </w: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(65,038 )</w:t>
            </w:r>
          </w:p>
        </w:tc>
        <w:tc>
          <w:tcPr>
            <w:tcW w:w="32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(59,930 )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sale/disposal of assets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(1,189 )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(2,922 )</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(2,023 )</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Non-cash equity-based compensation expense</w:t>
            </w:r>
          </w:p>
        </w:tc>
        <w:tc>
          <w:tcPr>
            <w:tcW w:w="340" w:type="dxa"/>
            <w:vAlign w:val="bottom"/>
          </w:tcPr>
          <w:p>
            <w:pPr>
              <w:spacing w:after="0"/>
              <w:rPr>
                <w:sz w:val="17"/>
                <w:szCs w:val="17"/>
                <w:color w:val="auto"/>
              </w:rPr>
            </w:pPr>
          </w:p>
        </w:tc>
        <w:tc>
          <w:tcPr>
            <w:tcW w:w="13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(28,670 )</w:t>
            </w: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(24,244 )</w:t>
            </w:r>
          </w:p>
        </w:tc>
        <w:tc>
          <w:tcPr>
            <w:tcW w:w="32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(20,265 )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Recapitalization-related expenses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(509 )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(509 )</w:t>
            </w:r>
          </w:p>
        </w:tc>
      </w:tr>
      <w:tr>
        <w:trPr>
          <w:trHeight w:val="196"/>
        </w:trPr>
        <w:tc>
          <w:tcPr>
            <w:tcW w:w="65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780,408</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725,642</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629,407</w:t>
            </w:r>
          </w:p>
        </w:tc>
        <w:tc>
          <w:tcPr>
            <w:tcW w:w="100" w:type="dxa"/>
            <w:vAlign w:val="bottom"/>
            <w:tcBorders>
              <w:top w:val="single" w:sz="8" w:color="CFF0FC"/>
            </w:tcBorders>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36,758</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1,654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4,048</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(191,806 )</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(172,166 )</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(150,818 )</w:t>
            </w:r>
          </w:p>
        </w:tc>
      </w:tr>
      <w:tr>
        <w:trPr>
          <w:trHeight w:val="196"/>
        </w:trPr>
        <w:tc>
          <w:tcPr>
            <w:tcW w:w="65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625,705</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555,130</w:t>
            </w: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482,637</w:t>
            </w:r>
          </w:p>
        </w:tc>
        <w:tc>
          <w:tcPr>
            <w:tcW w:w="100" w:type="dxa"/>
            <w:vAlign w:val="bottom"/>
            <w:tcBorders>
              <w:top w:val="single" w:sz="8" w:color="CFF0FC"/>
            </w:tcBorders>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-681990</wp:posOffset>
            </wp:positionV>
            <wp:extent cx="7683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-681990</wp:posOffset>
            </wp:positionV>
            <wp:extent cx="6032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-681990</wp:posOffset>
            </wp:positionV>
            <wp:extent cx="5969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-159385</wp:posOffset>
            </wp:positionV>
            <wp:extent cx="7683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-159385</wp:posOffset>
            </wp:positionV>
            <wp:extent cx="6032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Company’s identifiable asset information by reportable segment as of January 2, 2022 and January 3, 2021:</w:t>
      </w: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15"/>
              <w:spacing w:after="0"/>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January 3,</w:t>
            </w:r>
          </w:p>
        </w:tc>
        <w:tc>
          <w:tcPr>
            <w:tcW w:w="60" w:type="dxa"/>
            <w:vAlign w:val="bottom"/>
          </w:tcPr>
          <w:p>
            <w:pPr>
              <w:spacing w:after="0"/>
              <w:rPr>
                <w:sz w:val="13"/>
                <w:szCs w:val="13"/>
                <w:color w:val="auto"/>
              </w:rPr>
            </w:pPr>
          </w:p>
        </w:tc>
      </w:tr>
      <w:tr>
        <w:trPr>
          <w:trHeight w:val="185"/>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stores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340,984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308,088</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Supply chain</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558,251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520,043</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 franchise</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41,279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41,408</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Unallocated</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731,302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697,629</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1,671,816</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1,567,168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ind w:right="120" w:firstLine="449"/>
        <w:spacing w:after="0" w:line="228" w:lineRule="auto"/>
        <w:rPr>
          <w:sz w:val="20"/>
          <w:szCs w:val="20"/>
          <w:color w:val="auto"/>
        </w:rPr>
      </w:pPr>
      <w:r>
        <w:rPr>
          <w:rFonts w:ascii="Arial" w:cs="Arial" w:eastAsia="Arial" w:hAnsi="Arial"/>
          <w:sz w:val="18"/>
          <w:szCs w:val="18"/>
          <w:color w:val="auto"/>
        </w:rPr>
        <w:t>Unallocated assets primarily include cash and cash equivalents, restricted cash and cash equivalents, certain accounts receivable and prepaid expenses, investments in equity securities without readily determinable fair values and marketable securities, certain long-lived assets including certain property, plant and equipment, capitalized software and the operating lease right-of-use asset for the Company’s corporate headquarters and deferred income taxes. Over 95% of the Company's long-lived assets including property, plant and equipment, capitalized software and operating lease right-of-use assets are located in the U.S.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goodwill balance by reportable segment as of January 2, 2022 and January 3, 2021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397"/>
              <w:spacing w:after="0"/>
              <w:rPr>
                <w:sz w:val="20"/>
                <w:szCs w:val="20"/>
                <w:color w:val="auto"/>
              </w:rPr>
            </w:pPr>
            <w:r>
              <w:rPr>
                <w:rFonts w:ascii="Arial" w:cs="Arial" w:eastAsia="Arial" w:hAnsi="Arial"/>
                <w:sz w:val="14"/>
                <w:szCs w:val="14"/>
                <w:b w:val="1"/>
                <w:bCs w:val="1"/>
                <w:color w:val="auto"/>
              </w:rPr>
              <w:t>January 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77"/>
              <w:spacing w:after="0"/>
              <w:rPr>
                <w:sz w:val="20"/>
                <w:szCs w:val="20"/>
                <w:color w:val="auto"/>
              </w:rPr>
            </w:pPr>
            <w:r>
              <w:rPr>
                <w:rFonts w:ascii="Arial" w:cs="Arial" w:eastAsia="Arial" w:hAnsi="Arial"/>
                <w:sz w:val="14"/>
                <w:szCs w:val="14"/>
                <w:b w:val="1"/>
                <w:bCs w:val="1"/>
                <w:color w:val="auto"/>
              </w:rPr>
              <w:t>January 3,</w:t>
            </w:r>
          </w:p>
        </w:tc>
        <w:tc>
          <w:tcPr>
            <w:tcW w:w="10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stores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13,967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13,994</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Supply chain</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1,067</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1,067</w:t>
            </w:r>
          </w:p>
        </w:tc>
        <w:tc>
          <w:tcPr>
            <w:tcW w:w="10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Consolidated goodwill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15,034</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Company-owned Store Transactions</w:t>
      </w:r>
    </w:p>
    <w:p>
      <w:pPr>
        <w:spacing w:after="0" w:line="175" w:lineRule="exact"/>
        <w:rPr>
          <w:sz w:val="20"/>
          <w:szCs w:val="20"/>
          <w:color w:val="auto"/>
        </w:rPr>
      </w:pPr>
    </w:p>
    <w:p>
      <w:pPr>
        <w:ind w:right="100" w:firstLine="449"/>
        <w:spacing w:after="0" w:line="239" w:lineRule="auto"/>
        <w:rPr>
          <w:sz w:val="20"/>
          <w:szCs w:val="20"/>
          <w:color w:val="auto"/>
        </w:rPr>
      </w:pPr>
      <w:r>
        <w:rPr>
          <w:rFonts w:ascii="Arial" w:cs="Arial" w:eastAsia="Arial" w:hAnsi="Arial"/>
          <w:sz w:val="17"/>
          <w:szCs w:val="17"/>
          <w:color w:val="auto"/>
        </w:rPr>
        <w:t>During 2019, the Company sold 62 U.S. Company-owned stores to certain of its existing U.S. franchisees for proceeds of $12.3 million. In connection with the sale of the stores, the Company recorded a $0.3 million pre-tax loss on the sale of the related assets and liabilities, which was net of a $1.5 million reduction in goodwill. The net loss on these store sales was recorded in general and administrative expense in the Company’s consolidated statements of income. During 2019, the Company also purchased three U.S. franchised stores from a U.S. franchisee for $3.4 million, which included $1.7 million of goodwill, $1.3 million of intangibles and $0.4 million of leasehold improvements and other assets.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Evaluation of Disclosure Controls and Procedures.</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carried out an evaluation as of the end of the period covered by this report, under the supervision and with the participation of the Company’s management, including the Company’s Chief Executive Officer (who is also serving as the Company’s principal financial officer), of the effectiveness of the design and operation of the Company’s disclosure controls and procedures pursuant to Rules 13a-15 and 15d-15 of the Securities Exchange Act of 1934, as amended (the “Exchange Act”). Based upon that evaluation, the Chief Executive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as appropriate to allow timely decisions regarding required disclosure and was recorded, processed, summarized and reported within the time period required by the rules and regulations of the Securities and Exchange Commission.</w:t>
      </w:r>
    </w:p>
    <w:p>
      <w:pPr>
        <w:spacing w:after="0" w:line="14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Changes in Internal Control over Financial Reporting.</w:t>
      </w:r>
    </w:p>
    <w:p>
      <w:pPr>
        <w:spacing w:after="0" w:line="11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Management’s Annual Report on Internal Control over Financial Reporting.</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(who is also serving as the Company’s principal financial officer), the Company conducted an evaluation of the effectiveness of its internal control over financial reporting as of January 2, 2022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Based on that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its internal control over financial reporting was effective as of January 2, 2022. The effectiveness of the Company’s internal control over financial reporting as of January 2, 2022, has been audited by PricewaterhouseCoopers LLP, an independent registered public accounting firm, as stated in their report which appears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8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bottom w:val="single" w:sz="8" w:color="auto"/>
            </w:tcBorders>
          </w:tcPr>
          <w:p>
            <w:pPr>
              <w:jc w:val="center"/>
              <w:ind w:left="352"/>
              <w:spacing w:after="0"/>
              <w:rPr>
                <w:sz w:val="20"/>
                <w:szCs w:val="20"/>
                <w:color w:val="auto"/>
              </w:rPr>
            </w:pPr>
            <w:r>
              <w:rPr>
                <w:rFonts w:ascii="Arial" w:cs="Arial" w:eastAsia="Arial" w:hAnsi="Arial"/>
                <w:sz w:val="14"/>
                <w:szCs w:val="14"/>
                <w:b w:val="1"/>
                <w:bCs w:val="1"/>
                <w:color w:val="auto"/>
                <w:w w:val="90"/>
              </w:rPr>
              <w:t>Age</w:t>
            </w:r>
          </w:p>
        </w:tc>
        <w:tc>
          <w:tcPr>
            <w:tcW w:w="8100" w:type="dxa"/>
            <w:vAlign w:val="bottom"/>
            <w:tcBorders>
              <w:bottom w:val="single" w:sz="8" w:color="auto"/>
            </w:tcBorders>
          </w:tcPr>
          <w:p>
            <w:pPr>
              <w:ind w:left="382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Richard E. Allison, Jr.</w:t>
            </w:r>
          </w:p>
        </w:tc>
        <w:tc>
          <w:tcPr>
            <w:tcW w:w="960" w:type="dxa"/>
            <w:vAlign w:val="bottom"/>
            <w:shd w:val="clear" w:color="auto" w:fill="CFF0FC"/>
          </w:tcPr>
          <w:p>
            <w:pPr>
              <w:jc w:val="center"/>
              <w:ind w:left="332"/>
              <w:spacing w:after="0" w:line="196" w:lineRule="exact"/>
              <w:rPr>
                <w:sz w:val="20"/>
                <w:szCs w:val="20"/>
                <w:color w:val="auto"/>
              </w:rPr>
            </w:pPr>
            <w:r>
              <w:rPr>
                <w:rFonts w:ascii="Arial" w:cs="Arial" w:eastAsia="Arial" w:hAnsi="Arial"/>
                <w:sz w:val="18"/>
                <w:szCs w:val="18"/>
                <w:color w:val="auto"/>
                <w:w w:val="89"/>
              </w:rPr>
              <w:t>55</w:t>
            </w:r>
          </w:p>
        </w:tc>
        <w:tc>
          <w:tcPr>
            <w:tcW w:w="81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180" w:type="dxa"/>
            <w:vAlign w:val="bottom"/>
          </w:tcPr>
          <w:p>
            <w:pPr>
              <w:ind w:left="20"/>
              <w:spacing w:after="0" w:line="202" w:lineRule="exact"/>
              <w:rPr>
                <w:sz w:val="20"/>
                <w:szCs w:val="20"/>
                <w:color w:val="auto"/>
              </w:rPr>
            </w:pPr>
            <w:r>
              <w:rPr>
                <w:rFonts w:ascii="Arial" w:cs="Arial" w:eastAsia="Arial" w:hAnsi="Arial"/>
                <w:sz w:val="18"/>
                <w:szCs w:val="18"/>
                <w:color w:val="auto"/>
              </w:rPr>
              <w:t>Russell J. Weiner</w:t>
            </w:r>
          </w:p>
        </w:tc>
        <w:tc>
          <w:tcPr>
            <w:tcW w:w="9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89"/>
              </w:rPr>
              <w:t>53</w:t>
            </w:r>
          </w:p>
        </w:tc>
        <w:tc>
          <w:tcPr>
            <w:tcW w:w="8100" w:type="dxa"/>
            <w:vAlign w:val="bottom"/>
          </w:tcPr>
          <w:p>
            <w:pPr>
              <w:ind w:left="140"/>
              <w:spacing w:after="0" w:line="202" w:lineRule="exact"/>
              <w:rPr>
                <w:sz w:val="20"/>
                <w:szCs w:val="20"/>
                <w:color w:val="auto"/>
              </w:rPr>
            </w:pPr>
            <w:r>
              <w:rPr>
                <w:rFonts w:ascii="Arial" w:cs="Arial" w:eastAsia="Arial" w:hAnsi="Arial"/>
                <w:sz w:val="18"/>
                <w:szCs w:val="18"/>
                <w:color w:val="auto"/>
              </w:rPr>
              <w:t>Chief Operating Officer and President - Domino's U.S.</w:t>
            </w:r>
          </w:p>
        </w:tc>
      </w:tr>
      <w:tr>
        <w:trPr>
          <w:trHeight w:val="203"/>
        </w:trPr>
        <w:tc>
          <w:tcPr>
            <w:tcW w:w="2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Arthur P. D'Elia</w:t>
            </w:r>
          </w:p>
        </w:tc>
        <w:tc>
          <w:tcPr>
            <w:tcW w:w="960" w:type="dxa"/>
            <w:vAlign w:val="bottom"/>
            <w:shd w:val="clear" w:color="auto" w:fill="CFF0FC"/>
          </w:tcPr>
          <w:p>
            <w:pPr>
              <w:jc w:val="center"/>
              <w:ind w:left="332"/>
              <w:spacing w:after="0" w:line="202" w:lineRule="exact"/>
              <w:rPr>
                <w:sz w:val="20"/>
                <w:szCs w:val="20"/>
                <w:color w:val="auto"/>
              </w:rPr>
            </w:pPr>
            <w:r>
              <w:rPr>
                <w:rFonts w:ascii="Arial" w:cs="Arial" w:eastAsia="Arial" w:hAnsi="Arial"/>
                <w:sz w:val="18"/>
                <w:szCs w:val="18"/>
                <w:color w:val="auto"/>
                <w:w w:val="89"/>
              </w:rPr>
              <w:t>44</w:t>
            </w:r>
          </w:p>
        </w:tc>
        <w:tc>
          <w:tcPr>
            <w:tcW w:w="81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Executive Vice President, Chief Marketing Officer</w:t>
            </w:r>
          </w:p>
        </w:tc>
      </w:tr>
      <w:tr>
        <w:trPr>
          <w:trHeight w:val="203"/>
        </w:trPr>
        <w:tc>
          <w:tcPr>
            <w:tcW w:w="2180" w:type="dxa"/>
            <w:vAlign w:val="bottom"/>
          </w:tcPr>
          <w:p>
            <w:pPr>
              <w:ind w:left="20"/>
              <w:spacing w:after="0" w:line="202" w:lineRule="exact"/>
              <w:rPr>
                <w:sz w:val="20"/>
                <w:szCs w:val="20"/>
                <w:color w:val="auto"/>
              </w:rPr>
            </w:pPr>
            <w:r>
              <w:rPr>
                <w:rFonts w:ascii="Arial" w:cs="Arial" w:eastAsia="Arial" w:hAnsi="Arial"/>
                <w:sz w:val="18"/>
                <w:szCs w:val="18"/>
                <w:color w:val="auto"/>
              </w:rPr>
              <w:t>Kelly E. Garcia</w:t>
            </w:r>
          </w:p>
        </w:tc>
        <w:tc>
          <w:tcPr>
            <w:tcW w:w="9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89"/>
              </w:rPr>
              <w:t>46</w:t>
            </w:r>
          </w:p>
        </w:tc>
        <w:tc>
          <w:tcPr>
            <w:tcW w:w="810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Chief Technology Officer</w:t>
            </w:r>
          </w:p>
        </w:tc>
      </w:tr>
      <w:tr>
        <w:trPr>
          <w:trHeight w:val="203"/>
        </w:trPr>
        <w:tc>
          <w:tcPr>
            <w:tcW w:w="2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Frank R. Garrido</w:t>
            </w:r>
          </w:p>
        </w:tc>
        <w:tc>
          <w:tcPr>
            <w:tcW w:w="960" w:type="dxa"/>
            <w:vAlign w:val="bottom"/>
            <w:shd w:val="clear" w:color="auto" w:fill="CFF0FC"/>
          </w:tcPr>
          <w:p>
            <w:pPr>
              <w:jc w:val="center"/>
              <w:ind w:left="332"/>
              <w:spacing w:after="0" w:line="202" w:lineRule="exact"/>
              <w:rPr>
                <w:sz w:val="20"/>
                <w:szCs w:val="20"/>
                <w:color w:val="auto"/>
              </w:rPr>
            </w:pPr>
            <w:r>
              <w:rPr>
                <w:rFonts w:ascii="Arial" w:cs="Arial" w:eastAsia="Arial" w:hAnsi="Arial"/>
                <w:sz w:val="18"/>
                <w:szCs w:val="18"/>
                <w:color w:val="auto"/>
                <w:w w:val="89"/>
              </w:rPr>
              <w:t>51</w:t>
            </w:r>
          </w:p>
        </w:tc>
        <w:tc>
          <w:tcPr>
            <w:tcW w:w="81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Executive Vice President, U.S. Operations and Support</w:t>
            </w:r>
          </w:p>
        </w:tc>
      </w:tr>
      <w:tr>
        <w:trPr>
          <w:trHeight w:val="203"/>
        </w:trPr>
        <w:tc>
          <w:tcPr>
            <w:tcW w:w="2180" w:type="dxa"/>
            <w:vAlign w:val="bottom"/>
          </w:tcPr>
          <w:p>
            <w:pPr>
              <w:ind w:left="20"/>
              <w:spacing w:after="0" w:line="202" w:lineRule="exact"/>
              <w:rPr>
                <w:sz w:val="20"/>
                <w:szCs w:val="20"/>
                <w:color w:val="auto"/>
              </w:rPr>
            </w:pPr>
            <w:r>
              <w:rPr>
                <w:rFonts w:ascii="Arial" w:cs="Arial" w:eastAsia="Arial" w:hAnsi="Arial"/>
                <w:sz w:val="18"/>
                <w:szCs w:val="18"/>
                <w:color w:val="auto"/>
              </w:rPr>
              <w:t>Cynthia A. Headen</w:t>
            </w:r>
          </w:p>
        </w:tc>
        <w:tc>
          <w:tcPr>
            <w:tcW w:w="9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89"/>
              </w:rPr>
              <w:t>53</w:t>
            </w:r>
          </w:p>
        </w:tc>
        <w:tc>
          <w:tcPr>
            <w:tcW w:w="810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Supply Chain Services</w:t>
            </w:r>
          </w:p>
        </w:tc>
      </w:tr>
      <w:tr>
        <w:trPr>
          <w:trHeight w:val="203"/>
        </w:trPr>
        <w:tc>
          <w:tcPr>
            <w:tcW w:w="2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Joseph H. Jordan</w:t>
            </w:r>
          </w:p>
        </w:tc>
        <w:tc>
          <w:tcPr>
            <w:tcW w:w="960" w:type="dxa"/>
            <w:vAlign w:val="bottom"/>
            <w:shd w:val="clear" w:color="auto" w:fill="CFF0FC"/>
          </w:tcPr>
          <w:p>
            <w:pPr>
              <w:jc w:val="center"/>
              <w:ind w:left="332"/>
              <w:spacing w:after="0" w:line="202" w:lineRule="exact"/>
              <w:rPr>
                <w:sz w:val="20"/>
                <w:szCs w:val="20"/>
                <w:color w:val="auto"/>
              </w:rPr>
            </w:pPr>
            <w:r>
              <w:rPr>
                <w:rFonts w:ascii="Arial" w:cs="Arial" w:eastAsia="Arial" w:hAnsi="Arial"/>
                <w:sz w:val="18"/>
                <w:szCs w:val="18"/>
                <w:color w:val="auto"/>
                <w:w w:val="89"/>
              </w:rPr>
              <w:t>48</w:t>
            </w:r>
          </w:p>
        </w:tc>
        <w:tc>
          <w:tcPr>
            <w:tcW w:w="81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Executive Vice President, International</w:t>
            </w:r>
          </w:p>
        </w:tc>
      </w:tr>
      <w:tr>
        <w:trPr>
          <w:trHeight w:val="203"/>
        </w:trPr>
        <w:tc>
          <w:tcPr>
            <w:tcW w:w="2180" w:type="dxa"/>
            <w:vAlign w:val="bottom"/>
          </w:tcPr>
          <w:p>
            <w:pPr>
              <w:ind w:left="20"/>
              <w:spacing w:after="0" w:line="202" w:lineRule="exact"/>
              <w:rPr>
                <w:sz w:val="20"/>
                <w:szCs w:val="20"/>
                <w:color w:val="auto"/>
              </w:rPr>
            </w:pPr>
            <w:r>
              <w:rPr>
                <w:rFonts w:ascii="Arial" w:cs="Arial" w:eastAsia="Arial" w:hAnsi="Arial"/>
                <w:sz w:val="18"/>
                <w:szCs w:val="18"/>
                <w:color w:val="auto"/>
              </w:rPr>
              <w:t>Kevin S. Morris</w:t>
            </w:r>
          </w:p>
        </w:tc>
        <w:tc>
          <w:tcPr>
            <w:tcW w:w="960" w:type="dxa"/>
            <w:vAlign w:val="bottom"/>
          </w:tcPr>
          <w:p>
            <w:pPr>
              <w:jc w:val="center"/>
              <w:ind w:left="332"/>
              <w:spacing w:after="0" w:line="202" w:lineRule="exact"/>
              <w:rPr>
                <w:sz w:val="20"/>
                <w:szCs w:val="20"/>
                <w:color w:val="auto"/>
              </w:rPr>
            </w:pPr>
            <w:r>
              <w:rPr>
                <w:rFonts w:ascii="Arial" w:cs="Arial" w:eastAsia="Arial" w:hAnsi="Arial"/>
                <w:sz w:val="18"/>
                <w:szCs w:val="18"/>
                <w:color w:val="auto"/>
                <w:w w:val="89"/>
              </w:rPr>
              <w:t>61</w:t>
            </w:r>
          </w:p>
        </w:tc>
        <w:tc>
          <w:tcPr>
            <w:tcW w:w="810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General Counsel and Corporate Secretary</w:t>
            </w:r>
          </w:p>
        </w:tc>
      </w:tr>
      <w:tr>
        <w:trPr>
          <w:trHeight w:val="203"/>
        </w:trPr>
        <w:tc>
          <w:tcPr>
            <w:tcW w:w="2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Lisa V. Price</w:t>
            </w:r>
          </w:p>
        </w:tc>
        <w:tc>
          <w:tcPr>
            <w:tcW w:w="960" w:type="dxa"/>
            <w:vAlign w:val="bottom"/>
            <w:shd w:val="clear" w:color="auto" w:fill="CFF0FC"/>
          </w:tcPr>
          <w:p>
            <w:pPr>
              <w:jc w:val="center"/>
              <w:ind w:left="332"/>
              <w:spacing w:after="0" w:line="202" w:lineRule="exact"/>
              <w:rPr>
                <w:sz w:val="20"/>
                <w:szCs w:val="20"/>
                <w:color w:val="auto"/>
              </w:rPr>
            </w:pPr>
            <w:r>
              <w:rPr>
                <w:rFonts w:ascii="Arial" w:cs="Arial" w:eastAsia="Arial" w:hAnsi="Arial"/>
                <w:sz w:val="18"/>
                <w:szCs w:val="18"/>
                <w:color w:val="auto"/>
                <w:w w:val="89"/>
              </w:rPr>
              <w:t>49</w:t>
            </w:r>
          </w:p>
        </w:tc>
        <w:tc>
          <w:tcPr>
            <w:tcW w:w="81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Executive Vice President, Chief Human Resources Officer</w:t>
            </w:r>
          </w:p>
        </w:tc>
      </w:tr>
    </w:tbl>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b w:val="1"/>
          <w:bCs w:val="1"/>
          <w:i w:val="1"/>
          <w:iCs w:val="1"/>
          <w:color w:val="auto"/>
        </w:rPr>
        <w:t xml:space="preserve">Richard E. Allison, Jr. </w:t>
      </w:r>
      <w:r>
        <w:rPr>
          <w:rFonts w:ascii="Arial" w:cs="Arial" w:eastAsia="Arial" w:hAnsi="Arial"/>
          <w:sz w:val="17"/>
          <w:szCs w:val="17"/>
          <w:color w:val="auto"/>
        </w:rPr>
        <w:t>has served as Chief Executive Officer of Domino’s since July 2018. Mr. Allison oversees all company operations, strategy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in his role as Chief Executive Officer. He previously served as President, Domino’s International from October 2014 to July 2018, after joining the Company in March 2011 as Executive Vice President of International. Prior to joining Domino’s, Mr. Allison worked at Bain &amp; Company, Inc. for more than 13 years, serving as a Partner from 2004 to December 2010, and as co-leader of Bain’s restaurant practice, working with some of the world’s most well-known restaurant brands. Mr. Allison has served on Domino’s Board of Directors since July 2018, when he was elected in conjunction with his appointment as Chief Executive Officer. Mr. Allison also serves on the Board of Directors of Starbucks Corporation.</w:t>
      </w:r>
    </w:p>
    <w:p>
      <w:pPr>
        <w:spacing w:after="0" w:line="8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b w:val="1"/>
          <w:bCs w:val="1"/>
          <w:i w:val="1"/>
          <w:iCs w:val="1"/>
          <w:color w:val="auto"/>
        </w:rPr>
        <w:t xml:space="preserve">Russell J. Weiner </w:t>
      </w:r>
      <w:r>
        <w:rPr>
          <w:rFonts w:ascii="Arial" w:cs="Arial" w:eastAsia="Arial" w:hAnsi="Arial"/>
          <w:sz w:val="18"/>
          <w:szCs w:val="18"/>
          <w:color w:val="auto"/>
        </w:rPr>
        <w:t>has served as Chief Operating Officer and President, Domino’s U.S. since July 2020 and as Chief Operating Officer and President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Americas from July 2018 to July 2020. He previously served as President, Domino’s USA from October 2014 to July 2018. Mr. Weiner served as Executive Vice President and Chief Marketing Officer from September 2008 to October 2014. Prior to joining Domino’s, Mr. Weiner held various marketing positions at PepsiCo, Inc. from 1998 to 2008, most recently serving as Vice President of Marketing, Colas for Pepsi-Cola North America. Mr. Weiner serves on the Board of Directors of The Clorox Company.</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 xml:space="preserve">Arthur P. D’Elia </w:t>
      </w:r>
      <w:r>
        <w:rPr>
          <w:rFonts w:ascii="Arial" w:cs="Arial" w:eastAsia="Arial" w:hAnsi="Arial"/>
          <w:sz w:val="18"/>
          <w:szCs w:val="18"/>
          <w:color w:val="auto"/>
        </w:rPr>
        <w:t>has served as Domino’s Executive Vice President, Chief Marketing Officer since July 2020 and as Senior Vice President, Chief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from February 2020 to July 2020. Mr. D'Elia joined Domino’s in January 2018 as Senior Vice President, Chief Brand and Innovation Officer. Prior to Domino’s, Mr. D'Elia served as Chief Marketing Officer for Danone Dairy’s UBN business unit from July 2017 to January 2018, after joining Danone U.S. in 2010.</w:t>
      </w:r>
    </w:p>
    <w:p>
      <w:pPr>
        <w:spacing w:after="0" w:line="17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b w:val="1"/>
          <w:bCs w:val="1"/>
          <w:i w:val="1"/>
          <w:iCs w:val="1"/>
          <w:color w:val="auto"/>
        </w:rPr>
        <w:t xml:space="preserve">Kelly E. Garcia </w:t>
      </w:r>
      <w:r>
        <w:rPr>
          <w:rFonts w:ascii="Arial" w:cs="Arial" w:eastAsia="Arial" w:hAnsi="Arial"/>
          <w:sz w:val="18"/>
          <w:szCs w:val="18"/>
          <w:color w:val="auto"/>
        </w:rPr>
        <w:t>has served as Domino’s Executive Vice President, Chief Technology Officer since October 2020. Prior to his current role, Mr. Garcia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Senior Vice President, Chief Technology Officer from April 2019 to October 2020. Mr. Garcia joined Domino’s in July 2012 as Vice President, eCommerce Development. Prior to Domino’s, Mr. Garcia was with R.L. Polk &amp; Co. from 2004 to 2012, most recently as Vice President of Business Intelligence and North American Operations.</w:t>
      </w:r>
    </w:p>
    <w:p>
      <w:pPr>
        <w:spacing w:after="0" w:line="174"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 xml:space="preserve">Frank R. Garrido </w:t>
      </w:r>
      <w:r>
        <w:rPr>
          <w:rFonts w:ascii="Arial" w:cs="Arial" w:eastAsia="Arial" w:hAnsi="Arial"/>
          <w:sz w:val="16"/>
          <w:szCs w:val="16"/>
          <w:color w:val="auto"/>
        </w:rPr>
        <w:t>has served as Domino’s Executive Vice President, U.S. Operations and Support since March 2021. Prior to this role, Mr. Garrido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Senior Vice President, Team USA from June 2020 to March 2021 after joining Domino’s in March 2017 as Vice President, Franchise Operations for the East region. Prior to joining Domino’s, Mr. Garrido was Vice President of Operations of Focus Brands from March 2015 to March 2017. From July 2013 to March 2015, he served as Executive Vice President of Operations, Training and Concept Development for Edible Arrangements International.</w:t>
      </w:r>
    </w:p>
    <w:p>
      <w:pPr>
        <w:spacing w:after="0" w:line="142"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i w:val="1"/>
          <w:iCs w:val="1"/>
          <w:color w:val="auto"/>
        </w:rPr>
        <w:t xml:space="preserve">Cynthia A. Headen </w:t>
      </w:r>
      <w:r>
        <w:rPr>
          <w:rFonts w:ascii="Arial" w:cs="Arial" w:eastAsia="Arial" w:hAnsi="Arial"/>
          <w:sz w:val="18"/>
          <w:szCs w:val="18"/>
          <w:color w:val="auto"/>
        </w:rPr>
        <w:t>has served as Domino’s Executive Vice President, Supply Chain Services since August 2020. Ms. Headen previously served 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Global Procurement and Supply Chain Operations from December 2018 to August 2020, after joining Domino’s as Vice President of Procurement and Replenishment in November 2015. Prior to Domino’s, Ms. Headen spent nearly 16 years with PepsiCo, where she was responsible for global procurement.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spacing w:after="0" w:line="284" w:lineRule="auto"/>
        <w:rPr>
          <w:sz w:val="20"/>
          <w:szCs w:val="20"/>
          <w:color w:val="auto"/>
        </w:rPr>
      </w:pPr>
      <w:r>
        <w:rPr>
          <w:rFonts w:ascii="Arial" w:cs="Arial" w:eastAsia="Arial" w:hAnsi="Arial"/>
          <w:sz w:val="16"/>
          <w:szCs w:val="16"/>
          <w:b w:val="1"/>
          <w:bCs w:val="1"/>
          <w:i w:val="1"/>
          <w:iCs w:val="1"/>
          <w:color w:val="auto"/>
        </w:rPr>
        <w:t xml:space="preserve">Joseph H. Jordan </w:t>
      </w:r>
      <w:r>
        <w:rPr>
          <w:rFonts w:ascii="Arial" w:cs="Arial" w:eastAsia="Arial" w:hAnsi="Arial"/>
          <w:sz w:val="16"/>
          <w:szCs w:val="16"/>
          <w:color w:val="auto"/>
        </w:rPr>
        <w:t>has served as Domino’s Executive Vice President of International since April 2018. Prior to his current role, Mr. Jordan served as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and Chief Marketing Officer since May 2015, after joining Domino’s as Vice President of Innovation in September 2011. Prior to joining Domino’s, Mr. Jordan served most recently as Senior Director of Marketing at Pepsi-Cola North America where he worked for six years, held marketing roles at Philips Electronics and Unilever and was a consultant for Accenture. Mr. Jordan also serves on the Board of Directors of DPC Dash Ltd.</w:t>
      </w:r>
    </w:p>
    <w:p>
      <w:pPr>
        <w:spacing w:after="0" w:line="6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b w:val="1"/>
          <w:bCs w:val="1"/>
          <w:i w:val="1"/>
          <w:iCs w:val="1"/>
          <w:color w:val="auto"/>
        </w:rPr>
        <w:t xml:space="preserve">Kevin S. Morris </w:t>
      </w:r>
      <w:r>
        <w:rPr>
          <w:rFonts w:ascii="Arial" w:cs="Arial" w:eastAsia="Arial" w:hAnsi="Arial"/>
          <w:sz w:val="17"/>
          <w:szCs w:val="17"/>
          <w:color w:val="auto"/>
        </w:rPr>
        <w:t>has served as Domino’s Executive Vice President, General Counsel since January 2017 and also as Corporate Secretary since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Prior to joining Domino’s, Mr. Morris served at Equinox Holdings, Inc. and its various operating subsidiaries and affiliates from December 2012 to January 2017, most recently as Senior Vice President, General Counsel and Corporate Secretary. Mr. Morris operated his own private legal practice from July 2009 to November 2012. Prior to 2009, Mr. Morris served as Vice President and Associate General Counsel at Global Hyatt Corporation (the predecessor in interest to Hyatt Hotels Corporation) from 1999 to 2008. Prior to 1999, Mr. Morris served as a Senior International Attorney and Staff Director at McDonald’s Corporation after beginning his career as an attorney at Rudnick &amp; Wolfe LLP.</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Lisa V. Price </w:t>
      </w:r>
      <w:r>
        <w:rPr>
          <w:rFonts w:ascii="Arial" w:cs="Arial" w:eastAsia="Arial" w:hAnsi="Arial"/>
          <w:sz w:val="17"/>
          <w:szCs w:val="17"/>
          <w:color w:val="auto"/>
        </w:rPr>
        <w:t>has served as Domino’s Executive Vice President, Chief Human Resources Officer since August 2019. Prior to joining Domino’s, Ms.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Senior Vice President of Human Resources at Nordstrom from December 2015 to August 2019. Prior to her time at Nordstrom, she spent over 15 years at Starbucks Corporation in a variety of human resources roles, most recently as Vice President of Partner Resources.</w:t>
      </w:r>
    </w:p>
    <w:p>
      <w:pPr>
        <w:spacing w:after="0" w:line="6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remaining information required by this item is incorporated by reference from Domino’s Pizza, Inc.'s definitive proxy statement, which will be filed within 120 days of January 2,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Information regarding executive compensation is incorporated by reference from Domino’s Pizza, Inc.’s definitive proxy statement, which will be filed within 120 days of January 2, 2022. However, no information set forth in the proxy statement regarding the Audit Committee Report shall be deemed incorporated by reference into this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is incorporated by reference from Domino’s Pizza, Inc.’s definitive proxy statement, which will be filed within 120 days of January 2,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Information regarding certain relationships and related transactions is incorporated by reference from Domino’s Pizza, Inc.’s definitive proxy statement, which will be filed within 120 days of January 2,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2"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Information regarding principal accountant fees and services is incorporated by reference from Domino’s Pizza, Inc.’s definitive proxy statement, which will be filed within 120 days of January 2, 2022.</w:t>
      </w: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IV</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2"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(a)1. Financial Statements: The following financial statements for Domino’s Pizza, Inc. and subsidiaries are included in Item 8, “Financial Statements and Supplementary Data”:</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Report of Independent Registered Public Accounting Firm (PCAOB ID: 238)</w:t>
      </w:r>
    </w:p>
    <w:p>
      <w:pPr>
        <w:spacing w:after="0" w:line="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Balance Sheets as of January 2, 2022 and January 3, 2021</w:t>
      </w:r>
    </w:p>
    <w:p>
      <w:pPr>
        <w:ind w:left="1500"/>
        <w:spacing w:after="0" w:line="234" w:lineRule="auto"/>
        <w:rPr>
          <w:sz w:val="20"/>
          <w:szCs w:val="20"/>
          <w:color w:val="auto"/>
        </w:rPr>
      </w:pPr>
      <w:r>
        <w:rPr>
          <w:rFonts w:ascii="Arial" w:cs="Arial" w:eastAsia="Arial" w:hAnsi="Arial"/>
          <w:sz w:val="18"/>
          <w:szCs w:val="18"/>
          <w:color w:val="auto"/>
        </w:rPr>
        <w:t>Consolidated Statements of Income for the Years Ended January 2, 2022, January 3, 2021 and December 29, 2019</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Consolidated Statements of Comprehensive Income for the Years Ended January 2, 2022, January 3, 2021 and December 29, 2019</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Consolidated Statements of Stockholders’ Deficit for the Years Ended January 2, 2022, January 3, 2021 and December 29, 2019</w:t>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Consolidated Statements of Cash Flows for the Years Ended January 2, 2022, January 3, 2021 and December 29, 2019</w:t>
      </w:r>
    </w:p>
    <w:p>
      <w:pPr>
        <w:ind w:left="1500"/>
        <w:spacing w:after="0"/>
        <w:rPr>
          <w:sz w:val="20"/>
          <w:szCs w:val="20"/>
          <w:color w:val="auto"/>
        </w:rPr>
      </w:pPr>
      <w:r>
        <w:rPr>
          <w:rFonts w:ascii="Arial" w:cs="Arial" w:eastAsia="Arial" w:hAnsi="Arial"/>
          <w:sz w:val="18"/>
          <w:szCs w:val="18"/>
          <w:color w:val="auto"/>
        </w:rPr>
        <w:t>Notes to Consolidated Financial Statements</w:t>
      </w:r>
    </w:p>
    <w:p>
      <w:pPr>
        <w:spacing w:after="0" w:line="142" w:lineRule="exact"/>
        <w:rPr>
          <w:sz w:val="20"/>
          <w:szCs w:val="20"/>
          <w:color w:val="auto"/>
        </w:rPr>
      </w:pPr>
    </w:p>
    <w:p>
      <w:pPr>
        <w:ind w:left="1500" w:right="3260" w:hanging="1024"/>
        <w:spacing w:after="0" w:line="446" w:lineRule="auto"/>
        <w:tabs>
          <w:tab w:leader="none" w:pos="7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Statement Schedules: The following financial statement schedule is attached to this report. Schedule I – Condensed Financial Information of the Registrant</w:t>
      </w:r>
    </w:p>
    <w:p>
      <w:pPr>
        <w:ind w:left="760" w:right="360"/>
        <w:spacing w:after="0" w:line="261"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included in the financial statements or the notes thereto.</w:t>
      </w:r>
    </w:p>
    <w:p>
      <w:pPr>
        <w:spacing w:after="0" w:line="225" w:lineRule="exact"/>
        <w:rPr>
          <w:sz w:val="20"/>
          <w:szCs w:val="20"/>
          <w:color w:val="auto"/>
        </w:rPr>
      </w:pPr>
    </w:p>
    <w:p>
      <w:pPr>
        <w:ind w:left="760" w:right="140" w:hanging="378"/>
        <w:spacing w:after="0" w:line="248"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500" w:type="dxa"/>
            <w:vAlign w:val="bottom"/>
          </w:tcPr>
          <w:p>
            <w:pPr>
              <w:spacing w:after="0"/>
              <w:rPr>
                <w:sz w:val="18"/>
                <w:szCs w:val="18"/>
                <w:color w:val="auto"/>
              </w:rPr>
            </w:pPr>
          </w:p>
        </w:tc>
        <w:tc>
          <w:tcPr>
            <w:tcW w:w="972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8"/>
                <w:szCs w:val="18"/>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FF"/>
                <w:w w:val="98"/>
              </w:rPr>
            </w:pPr>
            <w:hyperlink r:id="rId355">
              <w:r>
                <w:rPr>
                  <w:rFonts w:ascii="Arial" w:cs="Arial" w:eastAsia="Arial" w:hAnsi="Arial"/>
                  <w:sz w:val="18"/>
                  <w:szCs w:val="18"/>
                  <w:color w:val="0000FF"/>
                  <w:w w:val="98"/>
                </w:rPr>
                <w:t>Form of Second Restated Certificate of Incorporation of Domino’s Pizza, Inc. (Incorporated by reference to Exhibit 3.1 to the</w:t>
              </w:r>
            </w:hyperlink>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355">
              <w:r>
                <w:rPr>
                  <w:rFonts w:ascii="Arial" w:cs="Arial" w:eastAsia="Arial" w:hAnsi="Arial"/>
                  <w:sz w:val="18"/>
                  <w:szCs w:val="18"/>
                  <w:color w:val="0000FF"/>
                  <w:w w:val="92"/>
                </w:rPr>
                <w:t>Domino’s Pizza, Inc. registration statement on Form S-1 filed on April 13, 2004 (Reg. No. 333-114442) (the “S-1”)).</w:t>
              </w:r>
            </w:hyperlink>
          </w:p>
        </w:tc>
        <w:tc>
          <w:tcPr>
            <w:tcW w:w="20" w:type="dxa"/>
            <w:vAlign w:val="bottom"/>
            <w:tcBorders>
              <w:top w:val="single" w:sz="8" w:color="0000FF"/>
              <w:bottom w:val="single" w:sz="8" w:color="0000EE"/>
            </w:tcBorders>
          </w:tcPr>
          <w:p>
            <w:pPr>
              <w:spacing w:after="0"/>
              <w:rPr>
                <w:sz w:val="13"/>
                <w:szCs w:val="13"/>
                <w:color w:val="auto"/>
              </w:rPr>
            </w:pPr>
          </w:p>
        </w:tc>
        <w:tc>
          <w:tcPr>
            <w:tcW w:w="64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FF"/>
                <w:w w:val="93"/>
              </w:rPr>
            </w:pPr>
            <w:hyperlink r:id="rId356">
              <w:r>
                <w:rPr>
                  <w:rFonts w:ascii="Arial" w:cs="Arial" w:eastAsia="Arial" w:hAnsi="Arial"/>
                  <w:sz w:val="18"/>
                  <w:szCs w:val="18"/>
                  <w:color w:val="0000FF"/>
                  <w:w w:val="93"/>
                </w:rPr>
                <w:t>Certificate of Amendment to the Second Restated Certificate of Incorporation of Domino’s Pizza, Inc. (Incorporated by reference to</w:t>
              </w:r>
            </w:hyperlink>
          </w:p>
        </w:tc>
        <w:tc>
          <w:tcPr>
            <w:tcW w:w="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356">
              <w:r>
                <w:rPr>
                  <w:rFonts w:ascii="Arial" w:cs="Arial" w:eastAsia="Arial" w:hAnsi="Arial"/>
                  <w:sz w:val="18"/>
                  <w:szCs w:val="18"/>
                  <w:color w:val="0000FF"/>
                  <w:w w:val="90"/>
                </w:rPr>
                <w:t>Exhibit 3.2 to the Form 10-Q for the quarter ended June 14, 2015).</w:t>
              </w:r>
            </w:hyperlink>
          </w:p>
        </w:tc>
        <w:tc>
          <w:tcPr>
            <w:tcW w:w="20" w:type="dxa"/>
            <w:vAlign w:val="bottom"/>
            <w:tcBorders>
              <w:top w:val="single" w:sz="8" w:color="0000FF"/>
              <w:bottom w:val="single" w:sz="8" w:color="0000EE"/>
            </w:tcBorders>
          </w:tcPr>
          <w:p>
            <w:pPr>
              <w:spacing w:after="0"/>
              <w:rPr>
                <w:sz w:val="13"/>
                <w:szCs w:val="13"/>
                <w:color w:val="auto"/>
              </w:rPr>
            </w:pPr>
          </w:p>
        </w:tc>
        <w:tc>
          <w:tcPr>
            <w:tcW w:w="47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FF"/>
                <w:w w:val="92"/>
              </w:rPr>
            </w:pPr>
            <w:hyperlink r:id="rId357">
              <w:r>
                <w:rPr>
                  <w:rFonts w:ascii="Arial" w:cs="Arial" w:eastAsia="Arial" w:hAnsi="Arial"/>
                  <w:sz w:val="18"/>
                  <w:szCs w:val="18"/>
                  <w:color w:val="0000FF"/>
                  <w:w w:val="92"/>
                </w:rPr>
                <w:t>Second Amended and Restated By-Laws of Domino’s Pizza, Inc. (Incorporated by reference to Exhibit 3.3 to the registrant’s annual</w:t>
              </w:r>
            </w:hyperlink>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357">
              <w:r>
                <w:rPr>
                  <w:rFonts w:ascii="Arial" w:cs="Arial" w:eastAsia="Arial" w:hAnsi="Arial"/>
                  <w:sz w:val="18"/>
                  <w:szCs w:val="18"/>
                  <w:color w:val="0000FF"/>
                </w:rPr>
                <w:t>report on Form 10-K for the year ended January 3, 2016).</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9720" w:type="dxa"/>
            <w:vAlign w:val="bottom"/>
            <w:tcBorders>
              <w:bottom w:val="single" w:sz="8" w:color="0000FF"/>
            </w:tcBorders>
            <w:gridSpan w:val="19"/>
          </w:tcPr>
          <w:p>
            <w:pPr>
              <w:spacing w:after="0"/>
              <w:rPr>
                <w:rFonts w:ascii="Arial" w:cs="Arial" w:eastAsia="Arial" w:hAnsi="Arial"/>
                <w:sz w:val="18"/>
                <w:szCs w:val="18"/>
                <w:color w:val="0000FF"/>
                <w:w w:val="91"/>
              </w:rPr>
            </w:pPr>
            <w:hyperlink r:id="rId358">
              <w:r>
                <w:rPr>
                  <w:rFonts w:ascii="Arial" w:cs="Arial" w:eastAsia="Arial" w:hAnsi="Arial"/>
                  <w:sz w:val="18"/>
                  <w:szCs w:val="18"/>
                  <w:color w:val="0000FF"/>
                  <w:w w:val="91"/>
                </w:rPr>
                <w:t>Description of Securities of the Registrant. (Incorporated by reference to Exhibit 4.1 to the registrant’s annual report on Form 10-K for</w:t>
              </w:r>
            </w:hyperlink>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gridSpan w:val="19"/>
          </w:tcPr>
          <w:p>
            <w:pPr>
              <w:spacing w:after="0" w:line="156" w:lineRule="exact"/>
              <w:rPr>
                <w:rFonts w:ascii="Arial" w:cs="Arial" w:eastAsia="Arial" w:hAnsi="Arial"/>
                <w:sz w:val="18"/>
                <w:szCs w:val="18"/>
                <w:color w:val="0000FF"/>
              </w:rPr>
            </w:pPr>
            <w:hyperlink r:id="rId358">
              <w:r>
                <w:rPr>
                  <w:rFonts w:ascii="Arial" w:cs="Arial" w:eastAsia="Arial" w:hAnsi="Arial"/>
                  <w:sz w:val="18"/>
                  <w:szCs w:val="18"/>
                  <w:color w:val="0000FF"/>
                </w:rPr>
                <w:t>the year ended December 29, 2019 (the “2019 10-K”)).</w:t>
              </w:r>
            </w:hyperlink>
          </w:p>
        </w:tc>
        <w:tc>
          <w:tcPr>
            <w:tcW w:w="20" w:type="dxa"/>
            <w:vAlign w:val="bottom"/>
          </w:tcPr>
          <w:p>
            <w:pPr>
              <w:spacing w:after="0"/>
              <w:rPr>
                <w:sz w:val="13"/>
                <w:szCs w:val="13"/>
                <w:color w:val="auto"/>
              </w:rPr>
            </w:pPr>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460" w:type="dxa"/>
            <w:vAlign w:val="bottom"/>
            <w:tcBorders>
              <w:bottom w:val="single" w:sz="8" w:color="0000FF"/>
            </w:tcBorders>
            <w:gridSpan w:val="15"/>
          </w:tcPr>
          <w:p>
            <w:pPr>
              <w:spacing w:after="0"/>
              <w:rPr>
                <w:rFonts w:ascii="Arial" w:cs="Arial" w:eastAsia="Arial" w:hAnsi="Arial"/>
                <w:sz w:val="18"/>
                <w:szCs w:val="18"/>
                <w:color w:val="0000FF"/>
                <w:w w:val="90"/>
              </w:rPr>
            </w:pPr>
            <w:hyperlink r:id="rId359">
              <w:r>
                <w:rPr>
                  <w:rFonts w:ascii="Arial" w:cs="Arial" w:eastAsia="Arial" w:hAnsi="Arial"/>
                  <w:sz w:val="18"/>
                  <w:szCs w:val="18"/>
                  <w:color w:val="0000FF"/>
                  <w:w w:val="90"/>
                </w:rPr>
                <w:t>Lease Agreement dated as of December 21, 1998 by and between Domino’s Farms Office Park Limited Partnership and Domino’s,</w:t>
              </w:r>
            </w:hyperlink>
          </w:p>
        </w:tc>
        <w:tc>
          <w:tcPr>
            <w:tcW w:w="2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tcBorders>
              <w:bottom w:val="single" w:sz="8" w:color="0000FF"/>
            </w:tcBorders>
            <w:gridSpan w:val="19"/>
          </w:tcPr>
          <w:p>
            <w:pPr>
              <w:spacing w:after="0" w:line="156" w:lineRule="exact"/>
              <w:rPr>
                <w:rFonts w:ascii="Arial" w:cs="Arial" w:eastAsia="Arial" w:hAnsi="Arial"/>
                <w:sz w:val="18"/>
                <w:szCs w:val="18"/>
                <w:color w:val="0000FF"/>
                <w:w w:val="91"/>
              </w:rPr>
            </w:pPr>
            <w:hyperlink r:id="rId359">
              <w:r>
                <w:rPr>
                  <w:rFonts w:ascii="Arial" w:cs="Arial" w:eastAsia="Arial" w:hAnsi="Arial"/>
                  <w:sz w:val="18"/>
                  <w:szCs w:val="18"/>
                  <w:color w:val="0000FF"/>
                  <w:w w:val="91"/>
                </w:rPr>
                <w:t>Inc. (Incorporated by reference to Exhibit 10.3 to the Domino’s, Inc. registration statement on Form S-4 filed on March 22, 1999 (Reg.</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gridSpan w:val="19"/>
          </w:tcPr>
          <w:p>
            <w:pPr>
              <w:spacing w:after="0" w:line="156" w:lineRule="exact"/>
              <w:rPr>
                <w:rFonts w:ascii="Arial" w:cs="Arial" w:eastAsia="Arial" w:hAnsi="Arial"/>
                <w:sz w:val="18"/>
                <w:szCs w:val="18"/>
                <w:color w:val="0000FF"/>
              </w:rPr>
            </w:pPr>
            <w:hyperlink r:id="rId359">
              <w:r>
                <w:rPr>
                  <w:rFonts w:ascii="Arial" w:cs="Arial" w:eastAsia="Arial" w:hAnsi="Arial"/>
                  <w:sz w:val="18"/>
                  <w:szCs w:val="18"/>
                  <w:color w:val="0000FF"/>
                </w:rPr>
                <w:t>No. 333-74797)).</w:t>
              </w:r>
            </w:hyperlink>
          </w:p>
        </w:tc>
        <w:tc>
          <w:tcPr>
            <w:tcW w:w="20" w:type="dxa"/>
            <w:vAlign w:val="bottom"/>
          </w:tcPr>
          <w:p>
            <w:pPr>
              <w:spacing w:after="0"/>
              <w:rPr>
                <w:sz w:val="13"/>
                <w:szCs w:val="13"/>
                <w:color w:val="auto"/>
              </w:rPr>
            </w:pPr>
          </w:p>
        </w:tc>
      </w:tr>
      <w:tr>
        <w:trPr>
          <w:trHeight w:val="20"/>
        </w:trPr>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9720" w:type="dxa"/>
            <w:vAlign w:val="bottom"/>
            <w:gridSpan w:val="19"/>
          </w:tcPr>
          <w:p>
            <w:pPr>
              <w:spacing w:after="0"/>
              <w:rPr>
                <w:rFonts w:ascii="Arial" w:cs="Arial" w:eastAsia="Arial" w:hAnsi="Arial"/>
                <w:sz w:val="18"/>
                <w:szCs w:val="18"/>
                <w:color w:val="0000FF"/>
                <w:w w:val="95"/>
              </w:rPr>
            </w:pPr>
            <w:hyperlink r:id="rId360">
              <w:r>
                <w:rPr>
                  <w:rFonts w:ascii="Arial" w:cs="Arial" w:eastAsia="Arial" w:hAnsi="Arial"/>
                  <w:sz w:val="18"/>
                  <w:szCs w:val="18"/>
                  <w:color w:val="0000FF"/>
                  <w:w w:val="95"/>
                </w:rPr>
                <w:t>Fourth Amendment to the Lease Agreement between Domino’s Farms Office Park, L.L.C. and Domino’s Pizza LLC, dated as of</w:t>
              </w:r>
            </w:hyperlink>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r:id="rId360">
              <w:r>
                <w:rPr>
                  <w:rFonts w:ascii="Arial" w:cs="Arial" w:eastAsia="Arial" w:hAnsi="Arial"/>
                  <w:sz w:val="18"/>
                  <w:szCs w:val="18"/>
                  <w:color w:val="0000FF"/>
                  <w:w w:val="93"/>
                </w:rPr>
                <w:t>August 28, 2012 (Incorporated by reference to Exhibit 10.2 to the registrant’s annual report on Form 10-K for the year ended</w:t>
              </w:r>
            </w:hyperlink>
          </w:p>
        </w:tc>
        <w:tc>
          <w:tcPr>
            <w:tcW w:w="28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360">
              <w:r>
                <w:rPr>
                  <w:rFonts w:ascii="Arial" w:cs="Arial" w:eastAsia="Arial" w:hAnsi="Arial"/>
                  <w:sz w:val="18"/>
                  <w:szCs w:val="18"/>
                  <w:color w:val="0000FF"/>
                  <w:w w:val="91"/>
                </w:rPr>
                <w:t>December 30, 2012 (the “2012 10-K”)).</w:t>
              </w:r>
            </w:hyperlink>
          </w:p>
        </w:tc>
        <w:tc>
          <w:tcPr>
            <w:tcW w:w="20" w:type="dxa"/>
            <w:vAlign w:val="bottom"/>
            <w:tcBorders>
              <w:top w:val="single" w:sz="8" w:color="0000FF"/>
              <w:bottom w:val="single" w:sz="8" w:color="0000EE"/>
            </w:tcBorders>
          </w:tcPr>
          <w:p>
            <w:pPr>
              <w:spacing w:after="0"/>
              <w:rPr>
                <w:sz w:val="13"/>
                <w:szCs w:val="13"/>
                <w:color w:val="auto"/>
              </w:rPr>
            </w:pPr>
          </w:p>
        </w:tc>
        <w:tc>
          <w:tcPr>
            <w:tcW w:w="6140" w:type="dxa"/>
            <w:vAlign w:val="bottom"/>
            <w:tcBorders>
              <w:top w:val="single" w:sz="8" w:color="0000FF"/>
            </w:tcBorders>
            <w:gridSpan w:val="8"/>
          </w:tcPr>
          <w:p>
            <w:pPr>
              <w:spacing w:after="0"/>
              <w:rPr>
                <w:sz w:val="13"/>
                <w:szCs w:val="13"/>
                <w:color w:val="auto"/>
              </w:rPr>
            </w:pPr>
          </w:p>
        </w:tc>
        <w:tc>
          <w:tcPr>
            <w:tcW w:w="54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4"/>
                <w:szCs w:val="24"/>
                <w:color w:val="auto"/>
              </w:rPr>
            </w:pPr>
          </w:p>
        </w:tc>
        <w:tc>
          <w:tcPr>
            <w:tcW w:w="9720" w:type="dxa"/>
            <w:vAlign w:val="bottom"/>
            <w:tcBorders>
              <w:bottom w:val="single" w:sz="8" w:color="0000FF"/>
            </w:tcBorders>
            <w:gridSpan w:val="19"/>
          </w:tcPr>
          <w:p>
            <w:pPr>
              <w:spacing w:after="0"/>
              <w:rPr>
                <w:rFonts w:ascii="Arial" w:cs="Arial" w:eastAsia="Arial" w:hAnsi="Arial"/>
                <w:sz w:val="18"/>
                <w:szCs w:val="18"/>
                <w:color w:val="0000FF"/>
                <w:w w:val="91"/>
              </w:rPr>
            </w:pPr>
            <w:hyperlink r:id="rId361">
              <w:r>
                <w:rPr>
                  <w:rFonts w:ascii="Arial" w:cs="Arial" w:eastAsia="Arial" w:hAnsi="Arial"/>
                  <w:sz w:val="18"/>
                  <w:szCs w:val="18"/>
                  <w:color w:val="0000FF"/>
                  <w:w w:val="91"/>
                </w:rPr>
                <w:t>Fifth Amendment to a Lease Agreement between Domino’s Farms Office Park, L.L.C. and Domino’s Pizza LLC, dated as of February</w:t>
              </w:r>
            </w:hyperlink>
          </w:p>
        </w:tc>
        <w:tc>
          <w:tcPr>
            <w:tcW w:w="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gridSpan w:val="19"/>
          </w:tcPr>
          <w:p>
            <w:pPr>
              <w:spacing w:after="0" w:line="156" w:lineRule="exact"/>
              <w:rPr>
                <w:rFonts w:ascii="Arial" w:cs="Arial" w:eastAsia="Arial" w:hAnsi="Arial"/>
                <w:sz w:val="18"/>
                <w:szCs w:val="18"/>
                <w:color w:val="0000FF"/>
                <w:w w:val="92"/>
              </w:rPr>
            </w:pPr>
            <w:hyperlink r:id="rId361">
              <w:r>
                <w:rPr>
                  <w:rFonts w:ascii="Arial" w:cs="Arial" w:eastAsia="Arial" w:hAnsi="Arial"/>
                  <w:sz w:val="18"/>
                  <w:szCs w:val="18"/>
                  <w:color w:val="0000FF"/>
                  <w:w w:val="92"/>
                </w:rPr>
                <w:t>1, 2015 (Incorporated by reference to Exhibit 10.3 to the registrant’s annual report on Form 10-K for the year ended January 1, 2017</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4"/>
              </w:rPr>
            </w:pPr>
            <w:hyperlink r:id="rId361">
              <w:r>
                <w:rPr>
                  <w:rFonts w:ascii="Arial" w:cs="Arial" w:eastAsia="Arial" w:hAnsi="Arial"/>
                  <w:sz w:val="18"/>
                  <w:szCs w:val="18"/>
                  <w:color w:val="0000FF"/>
                  <w:w w:val="94"/>
                </w:rPr>
                <w:t>(the “2016 10-K”)).</w:t>
              </w:r>
            </w:hyperlink>
          </w:p>
        </w:tc>
        <w:tc>
          <w:tcPr>
            <w:tcW w:w="8160" w:type="dxa"/>
            <w:vAlign w:val="bottom"/>
            <w:tcBorders>
              <w:top w:val="single" w:sz="8" w:color="0000FF"/>
            </w:tcBorders>
            <w:gridSpan w:val="16"/>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9720" w:type="dxa"/>
            <w:vAlign w:val="bottom"/>
            <w:tcBorders>
              <w:bottom w:val="single" w:sz="8" w:color="0000FF"/>
            </w:tcBorders>
            <w:gridSpan w:val="19"/>
          </w:tcPr>
          <w:p>
            <w:pPr>
              <w:spacing w:after="0"/>
              <w:rPr>
                <w:rFonts w:ascii="Arial" w:cs="Arial" w:eastAsia="Arial" w:hAnsi="Arial"/>
                <w:sz w:val="18"/>
                <w:szCs w:val="18"/>
                <w:color w:val="0000FF"/>
                <w:w w:val="91"/>
              </w:rPr>
            </w:pPr>
            <w:hyperlink r:id="rId362">
              <w:r>
                <w:rPr>
                  <w:rFonts w:ascii="Arial" w:cs="Arial" w:eastAsia="Arial" w:hAnsi="Arial"/>
                  <w:sz w:val="18"/>
                  <w:szCs w:val="18"/>
                  <w:color w:val="0000FF"/>
                  <w:w w:val="91"/>
                </w:rPr>
                <w:t>Sixth Amendment to a Lease Agreement between Domino’s Farms Office Park, L.L.C. and Domino’s Pizza LLC, dated as of February</w:t>
              </w:r>
            </w:hyperlink>
          </w:p>
        </w:tc>
        <w:tc>
          <w:tcPr>
            <w:tcW w:w="2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720" w:type="dxa"/>
            <w:vAlign w:val="bottom"/>
            <w:gridSpan w:val="19"/>
          </w:tcPr>
          <w:p>
            <w:pPr>
              <w:spacing w:after="0" w:line="156" w:lineRule="exact"/>
              <w:rPr>
                <w:rFonts w:ascii="Arial" w:cs="Arial" w:eastAsia="Arial" w:hAnsi="Arial"/>
                <w:sz w:val="18"/>
                <w:szCs w:val="18"/>
                <w:color w:val="0000FF"/>
              </w:rPr>
            </w:pPr>
            <w:hyperlink r:id="rId362">
              <w:r>
                <w:rPr>
                  <w:rFonts w:ascii="Arial" w:cs="Arial" w:eastAsia="Arial" w:hAnsi="Arial"/>
                  <w:sz w:val="18"/>
                  <w:szCs w:val="18"/>
                  <w:color w:val="0000FF"/>
                </w:rPr>
                <w:t>1, 2015 (Incorporated by reference to Exhibit 10.4 to the 2016 10-K).</w:t>
              </w:r>
            </w:hyperlink>
          </w:p>
        </w:tc>
        <w:tc>
          <w:tcPr>
            <w:tcW w:w="20" w:type="dxa"/>
            <w:vAlign w:val="bottom"/>
          </w:tcPr>
          <w:p>
            <w:pPr>
              <w:spacing w:after="0"/>
              <w:rPr>
                <w:sz w:val="13"/>
                <w:szCs w:val="13"/>
                <w:color w:val="auto"/>
              </w:rPr>
            </w:pPr>
          </w:p>
        </w:tc>
      </w:tr>
      <w:tr>
        <w:trPr>
          <w:trHeight w:val="57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0" w:type="dxa"/>
            <w:vAlign w:val="bottom"/>
            <w:tcBorders>
              <w:top w:val="single" w:sz="8" w:color="0000FF"/>
            </w:tcBorders>
            <w:gridSpan w:val="7"/>
          </w:tcPr>
          <w:p>
            <w:pPr>
              <w:ind w:left="4040"/>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Arial" w:cs="Arial" w:eastAsia="Arial" w:hAnsi="Arial"/>
                <w:sz w:val="18"/>
                <w:szCs w:val="18"/>
                <w:color w:val="auto"/>
              </w:rPr>
              <w:t>10.5</w:t>
            </w:r>
          </w:p>
        </w:tc>
        <w:tc>
          <w:tcPr>
            <w:tcW w:w="9740" w:type="dxa"/>
            <w:vAlign w:val="bottom"/>
            <w:gridSpan w:val="37"/>
          </w:tcPr>
          <w:p>
            <w:pPr>
              <w:spacing w:after="0"/>
              <w:rPr>
                <w:rFonts w:ascii="Arial" w:cs="Arial" w:eastAsia="Arial" w:hAnsi="Arial"/>
                <w:sz w:val="18"/>
                <w:szCs w:val="18"/>
                <w:color w:val="0000FF"/>
                <w:w w:val="92"/>
              </w:rPr>
            </w:pPr>
            <w:hyperlink r:id="rId365">
              <w:r>
                <w:rPr>
                  <w:rFonts w:ascii="Arial" w:cs="Arial" w:eastAsia="Arial" w:hAnsi="Arial"/>
                  <w:sz w:val="18"/>
                  <w:szCs w:val="18"/>
                  <w:color w:val="0000FF"/>
                  <w:w w:val="92"/>
                </w:rPr>
                <w:t>Seventh Amendment to a Lease Agreement between Domino’s Farms Office Park, L.L.C. and Domino’s Pizza LLC, dated as of April</w:t>
              </w:r>
            </w:hyperlink>
          </w:p>
        </w:tc>
      </w:tr>
      <w:tr>
        <w:trPr>
          <w:trHeight w:val="156"/>
        </w:trPr>
        <w:tc>
          <w:tcPr>
            <w:tcW w:w="150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365">
              <w:r>
                <w:rPr>
                  <w:rFonts w:ascii="Arial" w:cs="Arial" w:eastAsia="Arial" w:hAnsi="Arial"/>
                  <w:sz w:val="18"/>
                  <w:szCs w:val="18"/>
                  <w:color w:val="0000FF"/>
                  <w:w w:val="91"/>
                </w:rPr>
                <w:t>19, 2016 (Incorporated by reference to Exhibit 10.5 to the 2016 10-K).</w:t>
              </w:r>
            </w:hyperlink>
          </w:p>
        </w:tc>
        <w:tc>
          <w:tcPr>
            <w:tcW w:w="20" w:type="dxa"/>
            <w:vAlign w:val="bottom"/>
            <w:tcBorders>
              <w:top w:val="single" w:sz="8" w:color="0000FF"/>
              <w:bottom w:val="single" w:sz="8" w:color="0000EE"/>
            </w:tcBorders>
          </w:tcPr>
          <w:p>
            <w:pPr>
              <w:spacing w:after="0"/>
              <w:rPr>
                <w:sz w:val="13"/>
                <w:szCs w:val="13"/>
                <w:color w:val="auto"/>
              </w:rPr>
            </w:pPr>
          </w:p>
        </w:tc>
        <w:tc>
          <w:tcPr>
            <w:tcW w:w="46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10.6</w:t>
            </w:r>
          </w:p>
        </w:tc>
        <w:tc>
          <w:tcPr>
            <w:tcW w:w="9740" w:type="dxa"/>
            <w:vAlign w:val="bottom"/>
            <w:gridSpan w:val="37"/>
          </w:tcPr>
          <w:p>
            <w:pPr>
              <w:spacing w:after="0"/>
              <w:rPr>
                <w:rFonts w:ascii="Arial" w:cs="Arial" w:eastAsia="Arial" w:hAnsi="Arial"/>
                <w:sz w:val="18"/>
                <w:szCs w:val="18"/>
                <w:color w:val="0000FF"/>
                <w:w w:val="97"/>
              </w:rPr>
            </w:pPr>
            <w:hyperlink r:id="rId366">
              <w:r>
                <w:rPr>
                  <w:rFonts w:ascii="Arial" w:cs="Arial" w:eastAsia="Arial" w:hAnsi="Arial"/>
                  <w:sz w:val="18"/>
                  <w:szCs w:val="18"/>
                  <w:color w:val="0000FF"/>
                  <w:w w:val="97"/>
                </w:rPr>
                <w:t>Eighth Amendment to a Lease Agreement between Domino’s Farms Office Park, L.L.C. and Domino’s Pizza LLC, dated as of</w:t>
              </w:r>
            </w:hyperlink>
          </w:p>
        </w:tc>
      </w:tr>
      <w:tr>
        <w:trPr>
          <w:trHeight w:val="155"/>
        </w:trPr>
        <w:tc>
          <w:tcPr>
            <w:tcW w:w="150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366">
              <w:r>
                <w:rPr>
                  <w:rFonts w:ascii="Arial" w:cs="Arial" w:eastAsia="Arial" w:hAnsi="Arial"/>
                  <w:sz w:val="18"/>
                  <w:szCs w:val="18"/>
                  <w:color w:val="0000FF"/>
                  <w:w w:val="91"/>
                </w:rPr>
                <w:t>November 4, 2016 (Incorporated by reference to Exhibit 10.6 to the 2016 10-K).</w:t>
              </w:r>
            </w:hyperlink>
          </w:p>
        </w:tc>
        <w:tc>
          <w:tcPr>
            <w:tcW w:w="33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10.7</w:t>
            </w:r>
          </w:p>
        </w:tc>
        <w:tc>
          <w:tcPr>
            <w:tcW w:w="9740" w:type="dxa"/>
            <w:vAlign w:val="bottom"/>
            <w:gridSpan w:val="37"/>
          </w:tcPr>
          <w:p>
            <w:pPr>
              <w:spacing w:after="0"/>
              <w:rPr>
                <w:rFonts w:ascii="Arial" w:cs="Arial" w:eastAsia="Arial" w:hAnsi="Arial"/>
                <w:sz w:val="18"/>
                <w:szCs w:val="18"/>
                <w:color w:val="0000FF"/>
                <w:w w:val="98"/>
              </w:rPr>
            </w:pPr>
            <w:hyperlink r:id="rId367">
              <w:r>
                <w:rPr>
                  <w:rFonts w:ascii="Arial" w:cs="Arial" w:eastAsia="Arial" w:hAnsi="Arial"/>
                  <w:sz w:val="18"/>
                  <w:szCs w:val="18"/>
                  <w:color w:val="0000FF"/>
                  <w:w w:val="98"/>
                </w:rPr>
                <w:t>Ninth Amendment to a Lease Agreement between Domino’s Farms Office Park, L.L.C. and Domino’s Pizza LLC, dated as of</w:t>
              </w:r>
            </w:hyperlink>
          </w:p>
        </w:tc>
      </w:tr>
      <w:tr>
        <w:trPr>
          <w:trHeight w:val="156"/>
        </w:trPr>
        <w:tc>
          <w:tcPr>
            <w:tcW w:w="150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367">
              <w:r>
                <w:rPr>
                  <w:rFonts w:ascii="Arial" w:cs="Arial" w:eastAsia="Arial" w:hAnsi="Arial"/>
                  <w:sz w:val="18"/>
                  <w:szCs w:val="18"/>
                  <w:color w:val="0000FF"/>
                  <w:w w:val="91"/>
                </w:rPr>
                <w:t>February 16, 2017 (Incorporated by reference to Exhibit 10.7 to the 2016 10-K).</w:t>
              </w:r>
            </w:hyperlink>
          </w:p>
        </w:tc>
        <w:tc>
          <w:tcPr>
            <w:tcW w:w="3320" w:type="dxa"/>
            <w:vAlign w:val="bottom"/>
            <w:tcBorders>
              <w:top w:val="single" w:sz="8" w:color="0000FF"/>
            </w:tcBorders>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w:t>
            </w:r>
          </w:p>
        </w:tc>
        <w:tc>
          <w:tcPr>
            <w:tcW w:w="9740" w:type="dxa"/>
            <w:vAlign w:val="bottom"/>
            <w:gridSpan w:val="37"/>
          </w:tcPr>
          <w:p>
            <w:pPr>
              <w:spacing w:after="0"/>
              <w:rPr>
                <w:rFonts w:ascii="Arial" w:cs="Arial" w:eastAsia="Arial" w:hAnsi="Arial"/>
                <w:sz w:val="18"/>
                <w:szCs w:val="18"/>
                <w:color w:val="0000FF"/>
                <w:w w:val="97"/>
              </w:rPr>
            </w:pPr>
            <w:hyperlink r:id="rId368">
              <w:r>
                <w:rPr>
                  <w:rFonts w:ascii="Arial" w:cs="Arial" w:eastAsia="Arial" w:hAnsi="Arial"/>
                  <w:sz w:val="18"/>
                  <w:szCs w:val="18"/>
                  <w:color w:val="0000FF"/>
                  <w:w w:val="97"/>
                </w:rPr>
                <w:t>Tenth Amendment to a Lease Agreement between Domino’s Farms Office Park, L.L.C. and Domino’s Pizza LLC, dated as of</w:t>
              </w:r>
            </w:hyperlink>
          </w:p>
        </w:tc>
      </w:tr>
      <w:tr>
        <w:trPr>
          <w:trHeight w:val="155"/>
        </w:trPr>
        <w:tc>
          <w:tcPr>
            <w:tcW w:w="1500" w:type="dxa"/>
            <w:vAlign w:val="bottom"/>
          </w:tcPr>
          <w:p>
            <w:pPr>
              <w:spacing w:after="0"/>
              <w:rPr>
                <w:sz w:val="13"/>
                <w:szCs w:val="13"/>
                <w:color w:val="auto"/>
              </w:rPr>
            </w:pPr>
          </w:p>
        </w:tc>
        <w:tc>
          <w:tcPr>
            <w:tcW w:w="90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368">
              <w:r>
                <w:rPr>
                  <w:rFonts w:ascii="Arial" w:cs="Arial" w:eastAsia="Arial" w:hAnsi="Arial"/>
                  <w:sz w:val="18"/>
                  <w:szCs w:val="18"/>
                  <w:color w:val="0000FF"/>
                  <w:w w:val="90"/>
                </w:rPr>
                <w:t>November 7, 2017 (Incorporated by reference to Exhibit 10.8 to the registrant’s annual report on Form 10-K for the year ended</w:t>
              </w:r>
            </w:hyperlink>
          </w:p>
        </w:tc>
        <w:tc>
          <w:tcPr>
            <w:tcW w:w="100" w:type="dxa"/>
            <w:vAlign w:val="bottom"/>
            <w:tcBorders>
              <w:bottom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180" w:type="dxa"/>
            <w:vAlign w:val="bottom"/>
            <w:gridSpan w:val="23"/>
          </w:tcPr>
          <w:p>
            <w:pPr>
              <w:spacing w:after="0" w:line="156" w:lineRule="exact"/>
              <w:rPr>
                <w:rFonts w:ascii="Arial" w:cs="Arial" w:eastAsia="Arial" w:hAnsi="Arial"/>
                <w:sz w:val="18"/>
                <w:szCs w:val="18"/>
                <w:color w:val="0000FF"/>
              </w:rPr>
            </w:pPr>
            <w:hyperlink r:id="rId368">
              <w:r>
                <w:rPr>
                  <w:rFonts w:ascii="Arial" w:cs="Arial" w:eastAsia="Arial" w:hAnsi="Arial"/>
                  <w:sz w:val="18"/>
                  <w:szCs w:val="18"/>
                  <w:color w:val="0000FF"/>
                </w:rPr>
                <w:t>December 31, 2017 (the "2017 10-K")).</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10.9</w:t>
            </w:r>
          </w:p>
        </w:tc>
        <w:tc>
          <w:tcPr>
            <w:tcW w:w="9740" w:type="dxa"/>
            <w:vAlign w:val="bottom"/>
            <w:gridSpan w:val="37"/>
          </w:tcPr>
          <w:p>
            <w:pPr>
              <w:spacing w:after="0"/>
              <w:rPr>
                <w:rFonts w:ascii="Arial" w:cs="Arial" w:eastAsia="Arial" w:hAnsi="Arial"/>
                <w:sz w:val="18"/>
                <w:szCs w:val="18"/>
                <w:color w:val="0000FF"/>
                <w:w w:val="92"/>
              </w:rPr>
            </w:pPr>
            <w:hyperlink r:id="rId369">
              <w:r>
                <w:rPr>
                  <w:rFonts w:ascii="Arial" w:cs="Arial" w:eastAsia="Arial" w:hAnsi="Arial"/>
                  <w:sz w:val="18"/>
                  <w:szCs w:val="18"/>
                  <w:color w:val="0000FF"/>
                  <w:w w:val="92"/>
                </w:rPr>
                <w:t>Eleventh Amendment to a Lease Agreement between Domino’s Farms Office Park, L.L.C. and Domino’s Pizza LLC, dated as of July</w:t>
              </w:r>
            </w:hyperlink>
          </w:p>
        </w:tc>
      </w:tr>
      <w:tr>
        <w:trPr>
          <w:trHeight w:val="155"/>
        </w:trPr>
        <w:tc>
          <w:tcPr>
            <w:tcW w:w="1500" w:type="dxa"/>
            <w:vAlign w:val="bottom"/>
          </w:tcPr>
          <w:p>
            <w:pPr>
              <w:spacing w:after="0"/>
              <w:rPr>
                <w:sz w:val="13"/>
                <w:szCs w:val="13"/>
                <w:color w:val="auto"/>
              </w:rPr>
            </w:pPr>
          </w:p>
        </w:tc>
        <w:tc>
          <w:tcPr>
            <w:tcW w:w="9700" w:type="dxa"/>
            <w:vAlign w:val="bottom"/>
            <w:tcBorders>
              <w:top w:val="single" w:sz="8" w:color="0000FF"/>
            </w:tcBorders>
            <w:gridSpan w:val="34"/>
          </w:tcPr>
          <w:p>
            <w:pPr>
              <w:spacing w:after="0" w:line="156" w:lineRule="exact"/>
              <w:rPr>
                <w:rFonts w:ascii="Arial" w:cs="Arial" w:eastAsia="Arial" w:hAnsi="Arial"/>
                <w:sz w:val="18"/>
                <w:szCs w:val="18"/>
                <w:color w:val="0000FF"/>
                <w:w w:val="91"/>
              </w:rPr>
            </w:pPr>
            <w:hyperlink r:id="rId369">
              <w:r>
                <w:rPr>
                  <w:rFonts w:ascii="Arial" w:cs="Arial" w:eastAsia="Arial" w:hAnsi="Arial"/>
                  <w:sz w:val="18"/>
                  <w:szCs w:val="18"/>
                  <w:color w:val="0000FF"/>
                  <w:w w:val="91"/>
                </w:rPr>
                <w:t>13, 2018 (Incorporated by reference to Exhibit 10.1 to the registrant’s quarterly report on Form 10-Q for the quarter ended September</w:t>
              </w:r>
            </w:hyperlink>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369">
              <w:r>
                <w:rPr>
                  <w:rFonts w:ascii="Arial" w:cs="Arial" w:eastAsia="Arial" w:hAnsi="Arial"/>
                  <w:sz w:val="18"/>
                  <w:szCs w:val="18"/>
                  <w:color w:val="0000FF"/>
                  <w:w w:val="91"/>
                </w:rPr>
                <w:t>9, 2018 (the “September 2018 10-Q”)).</w:t>
              </w:r>
            </w:hyperlink>
          </w:p>
        </w:tc>
        <w:tc>
          <w:tcPr>
            <w:tcW w:w="68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10.10</w:t>
            </w:r>
          </w:p>
        </w:tc>
        <w:tc>
          <w:tcPr>
            <w:tcW w:w="9740" w:type="dxa"/>
            <w:vAlign w:val="bottom"/>
            <w:gridSpan w:val="37"/>
          </w:tcPr>
          <w:p>
            <w:pPr>
              <w:spacing w:after="0"/>
              <w:rPr>
                <w:rFonts w:ascii="Arial" w:cs="Arial" w:eastAsia="Arial" w:hAnsi="Arial"/>
                <w:sz w:val="18"/>
                <w:szCs w:val="18"/>
                <w:color w:val="0000FF"/>
                <w:w w:val="93"/>
              </w:rPr>
            </w:pPr>
            <w:hyperlink r:id="rId370">
              <w:r>
                <w:rPr>
                  <w:rFonts w:ascii="Arial" w:cs="Arial" w:eastAsia="Arial" w:hAnsi="Arial"/>
                  <w:sz w:val="18"/>
                  <w:szCs w:val="18"/>
                  <w:color w:val="0000FF"/>
                  <w:w w:val="93"/>
                </w:rPr>
                <w:t>Twelfth Amendment to a Lease Agreement between Domino’s Farms Office Park, L.L.C. and Domino’s Pizza LLC, dated as of July</w:t>
              </w:r>
            </w:hyperlink>
          </w:p>
        </w:tc>
      </w:tr>
      <w:tr>
        <w:trPr>
          <w:trHeight w:val="156"/>
        </w:trPr>
        <w:tc>
          <w:tcPr>
            <w:tcW w:w="150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370">
              <w:r>
                <w:rPr>
                  <w:rFonts w:ascii="Arial" w:cs="Arial" w:eastAsia="Arial" w:hAnsi="Arial"/>
                  <w:sz w:val="18"/>
                  <w:szCs w:val="18"/>
                  <w:color w:val="0000FF"/>
                  <w:w w:val="90"/>
                </w:rPr>
                <w:t>13, 2018 (Incorporated by reference to Exhibit 10.2 to the September 2018 10-Q).</w:t>
              </w:r>
            </w:hyperlink>
          </w:p>
        </w:tc>
        <w:tc>
          <w:tcPr>
            <w:tcW w:w="20" w:type="dxa"/>
            <w:vAlign w:val="bottom"/>
            <w:tcBorders>
              <w:top w:val="single" w:sz="8" w:color="0000FF"/>
              <w:bottom w:val="single" w:sz="8" w:color="0000EE"/>
            </w:tcBorders>
          </w:tcPr>
          <w:p>
            <w:pPr>
              <w:spacing w:after="0"/>
              <w:rPr>
                <w:sz w:val="13"/>
                <w:szCs w:val="13"/>
                <w:color w:val="auto"/>
              </w:rPr>
            </w:pPr>
          </w:p>
        </w:tc>
        <w:tc>
          <w:tcPr>
            <w:tcW w:w="3660" w:type="dxa"/>
            <w:vAlign w:val="bottom"/>
            <w:tcBorders>
              <w:top w:val="single" w:sz="8" w:color="0000FF"/>
            </w:tcBorders>
            <w:gridSpan w:val="1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10.11</w:t>
            </w:r>
          </w:p>
        </w:tc>
        <w:tc>
          <w:tcPr>
            <w:tcW w:w="9420" w:type="dxa"/>
            <w:vAlign w:val="bottom"/>
            <w:tcBorders>
              <w:bottom w:val="single" w:sz="8" w:color="0000FF"/>
            </w:tcBorders>
            <w:gridSpan w:val="27"/>
          </w:tcPr>
          <w:p>
            <w:pPr>
              <w:spacing w:after="0"/>
              <w:rPr>
                <w:rFonts w:ascii="Arial" w:cs="Arial" w:eastAsia="Arial" w:hAnsi="Arial"/>
                <w:sz w:val="18"/>
                <w:szCs w:val="18"/>
                <w:color w:val="0000FF"/>
                <w:w w:val="91"/>
              </w:rPr>
            </w:pPr>
            <w:hyperlink r:id="rId371">
              <w:r>
                <w:rPr>
                  <w:rFonts w:ascii="Arial" w:cs="Arial" w:eastAsia="Arial" w:hAnsi="Arial"/>
                  <w:sz w:val="18"/>
                  <w:szCs w:val="18"/>
                  <w:color w:val="0000FF"/>
                  <w:w w:val="91"/>
                </w:rPr>
                <w:t>Thirteenth Amendment to a Lease Agreement between Domino’s Farms Office Park, L.L.C. and Domino’s Pizza LLC, dated as of</w:t>
              </w:r>
            </w:hyperlink>
          </w:p>
        </w:tc>
        <w:tc>
          <w:tcPr>
            <w:tcW w:w="320" w:type="dxa"/>
            <w:vAlign w:val="bottom"/>
            <w:gridSpan w:val="10"/>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740" w:type="dxa"/>
            <w:vAlign w:val="bottom"/>
            <w:gridSpan w:val="37"/>
          </w:tcPr>
          <w:p>
            <w:pPr>
              <w:spacing w:after="0" w:line="156" w:lineRule="exact"/>
              <w:rPr>
                <w:rFonts w:ascii="Arial" w:cs="Arial" w:eastAsia="Arial" w:hAnsi="Arial"/>
                <w:sz w:val="18"/>
                <w:szCs w:val="18"/>
                <w:color w:val="0000FF"/>
                <w:w w:val="92"/>
              </w:rPr>
            </w:pPr>
            <w:hyperlink r:id="rId371">
              <w:r>
                <w:rPr>
                  <w:rFonts w:ascii="Arial" w:cs="Arial" w:eastAsia="Arial" w:hAnsi="Arial"/>
                  <w:sz w:val="18"/>
                  <w:szCs w:val="18"/>
                  <w:color w:val="0000FF"/>
                  <w:w w:val="92"/>
                </w:rPr>
                <w:t>May 14, 2019 (Incorporated by reference to Exhibit 10.1 to the registrant's quarterly report on Form 10-Q for the quarter ended June</w:t>
              </w:r>
            </w:hyperlink>
          </w:p>
        </w:tc>
      </w:tr>
      <w:tr>
        <w:trPr>
          <w:trHeight w:val="156"/>
        </w:trPr>
        <w:tc>
          <w:tcPr>
            <w:tcW w:w="150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371">
              <w:r>
                <w:rPr>
                  <w:rFonts w:ascii="Arial" w:cs="Arial" w:eastAsia="Arial" w:hAnsi="Arial"/>
                  <w:sz w:val="18"/>
                  <w:szCs w:val="18"/>
                  <w:color w:val="0000FF"/>
                  <w:w w:val="90"/>
                </w:rPr>
                <w:t>16, 2019 (the "June 2019 10-Q")).</w:t>
              </w:r>
            </w:hyperlink>
          </w:p>
        </w:tc>
        <w:tc>
          <w:tcPr>
            <w:tcW w:w="20" w:type="dxa"/>
            <w:vAlign w:val="bottom"/>
            <w:tcBorders>
              <w:top w:val="single" w:sz="8" w:color="0000FF"/>
              <w:bottom w:val="single" w:sz="8" w:color="0000EE"/>
            </w:tcBorders>
          </w:tcPr>
          <w:p>
            <w:pPr>
              <w:spacing w:after="0"/>
              <w:rPr>
                <w:sz w:val="13"/>
                <w:szCs w:val="13"/>
                <w:color w:val="auto"/>
              </w:rPr>
            </w:pPr>
          </w:p>
        </w:tc>
        <w:tc>
          <w:tcPr>
            <w:tcW w:w="7080" w:type="dxa"/>
            <w:vAlign w:val="bottom"/>
            <w:tcBorders>
              <w:top w:val="single" w:sz="8" w:color="0000FF"/>
            </w:tcBorders>
            <w:gridSpan w:val="25"/>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10.12</w:t>
            </w:r>
          </w:p>
        </w:tc>
        <w:tc>
          <w:tcPr>
            <w:tcW w:w="9740" w:type="dxa"/>
            <w:vAlign w:val="bottom"/>
            <w:gridSpan w:val="37"/>
          </w:tcPr>
          <w:p>
            <w:pPr>
              <w:spacing w:after="0"/>
              <w:rPr>
                <w:rFonts w:ascii="Arial" w:cs="Arial" w:eastAsia="Arial" w:hAnsi="Arial"/>
                <w:sz w:val="18"/>
                <w:szCs w:val="18"/>
                <w:color w:val="0000FF"/>
                <w:w w:val="94"/>
              </w:rPr>
            </w:pPr>
            <w:hyperlink r:id="rId372">
              <w:r>
                <w:rPr>
                  <w:rFonts w:ascii="Arial" w:cs="Arial" w:eastAsia="Arial" w:hAnsi="Arial"/>
                  <w:sz w:val="18"/>
                  <w:szCs w:val="18"/>
                  <w:color w:val="0000FF"/>
                  <w:w w:val="94"/>
                </w:rPr>
                <w:t>Fourteenth Amendment to a Lease Agreement between Domino’s Farms Office Park, L.L.C. and Domino’s Pizza LLC, dated as of</w:t>
              </w:r>
            </w:hyperlink>
          </w:p>
        </w:tc>
      </w:tr>
      <w:tr>
        <w:trPr>
          <w:trHeight w:val="155"/>
        </w:trPr>
        <w:tc>
          <w:tcPr>
            <w:tcW w:w="1500" w:type="dxa"/>
            <w:vAlign w:val="bottom"/>
          </w:tcPr>
          <w:p>
            <w:pPr>
              <w:spacing w:after="0"/>
              <w:rPr>
                <w:sz w:val="13"/>
                <w:szCs w:val="13"/>
                <w:color w:val="auto"/>
              </w:rPr>
            </w:pPr>
          </w:p>
        </w:tc>
        <w:tc>
          <w:tcPr>
            <w:tcW w:w="94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72">
              <w:r>
                <w:rPr>
                  <w:rFonts w:ascii="Arial" w:cs="Arial" w:eastAsia="Arial" w:hAnsi="Arial"/>
                  <w:sz w:val="18"/>
                  <w:szCs w:val="18"/>
                  <w:color w:val="0000FF"/>
                </w:rPr>
                <w:t>May 31, 2019 (Incorporated by reference to Exhibit 10.1 to the June 2019 10-Q).</w:t>
              </w:r>
            </w:hyperlink>
          </w:p>
        </w:tc>
        <w:tc>
          <w:tcPr>
            <w:tcW w:w="6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10.13</w:t>
            </w:r>
          </w:p>
        </w:tc>
        <w:tc>
          <w:tcPr>
            <w:tcW w:w="9740" w:type="dxa"/>
            <w:vAlign w:val="bottom"/>
            <w:gridSpan w:val="37"/>
          </w:tcPr>
          <w:p>
            <w:pPr>
              <w:spacing w:after="0"/>
              <w:rPr>
                <w:rFonts w:ascii="Arial" w:cs="Arial" w:eastAsia="Arial" w:hAnsi="Arial"/>
                <w:sz w:val="18"/>
                <w:szCs w:val="18"/>
                <w:color w:val="0000FF"/>
                <w:w w:val="92"/>
              </w:rPr>
            </w:pPr>
            <w:hyperlink w:anchor="page98">
              <w:r>
                <w:rPr>
                  <w:rFonts w:ascii="Arial" w:cs="Arial" w:eastAsia="Arial" w:hAnsi="Arial"/>
                  <w:sz w:val="18"/>
                  <w:szCs w:val="18"/>
                  <w:color w:val="0000FF"/>
                  <w:w w:val="92"/>
                </w:rPr>
                <w:t>Fifteenth Amendment to a Lease Agreement between Domino’s Farms Office Park, L.L.C. and Domino’s Pizza LLC, dated as of July</w:t>
              </w:r>
            </w:hyperlink>
          </w:p>
        </w:tc>
      </w:tr>
      <w:tr>
        <w:trPr>
          <w:trHeight w:val="156"/>
        </w:trPr>
        <w:tc>
          <w:tcPr>
            <w:tcW w:w="150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5"/>
              </w:rPr>
            </w:pPr>
            <w:hyperlink w:anchor="page98">
              <w:r>
                <w:rPr>
                  <w:rFonts w:ascii="Arial" w:cs="Arial" w:eastAsia="Arial" w:hAnsi="Arial"/>
                  <w:sz w:val="18"/>
                  <w:szCs w:val="18"/>
                  <w:color w:val="0000FF"/>
                  <w:w w:val="85"/>
                </w:rPr>
                <w:t>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10.14</w:t>
            </w:r>
          </w:p>
        </w:tc>
        <w:tc>
          <w:tcPr>
            <w:tcW w:w="9740" w:type="dxa"/>
            <w:vAlign w:val="bottom"/>
            <w:tcBorders>
              <w:bottom w:val="single" w:sz="8" w:color="0000FF"/>
            </w:tcBorders>
            <w:gridSpan w:val="37"/>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Sixteenth Amendment to a Lease Agreement between Domino’s Farms Office Park, L.L.C. and Domino’s Pizza LLC, dated as of July</w:t>
              </w:r>
            </w:hyperlink>
          </w:p>
        </w:tc>
      </w:tr>
      <w:tr>
        <w:trPr>
          <w:trHeight w:val="155"/>
        </w:trPr>
        <w:tc>
          <w:tcPr>
            <w:tcW w:w="1500" w:type="dxa"/>
            <w:vAlign w:val="bottom"/>
          </w:tcPr>
          <w:p>
            <w:pPr>
              <w:spacing w:after="0"/>
              <w:rPr>
                <w:sz w:val="13"/>
                <w:szCs w:val="13"/>
                <w:color w:val="auto"/>
              </w:rPr>
            </w:pPr>
          </w:p>
        </w:tc>
        <w:tc>
          <w:tcPr>
            <w:tcW w:w="660" w:type="dxa"/>
            <w:vAlign w:val="bottom"/>
            <w:tcBorders>
              <w:bottom w:val="single" w:sz="8" w:color="0000FF"/>
            </w:tcBorders>
          </w:tcPr>
          <w:p>
            <w:pPr>
              <w:spacing w:after="0" w:line="156" w:lineRule="exact"/>
              <w:rPr>
                <w:rFonts w:ascii="Arial" w:cs="Arial" w:eastAsia="Arial" w:hAnsi="Arial"/>
                <w:sz w:val="18"/>
                <w:szCs w:val="18"/>
                <w:color w:val="0000FF"/>
                <w:w w:val="85"/>
              </w:rPr>
            </w:pPr>
            <w:hyperlink w:anchor="page101">
              <w:r>
                <w:rPr>
                  <w:rFonts w:ascii="Arial" w:cs="Arial" w:eastAsia="Arial" w:hAnsi="Arial"/>
                  <w:sz w:val="18"/>
                  <w:szCs w:val="18"/>
                  <w:color w:val="0000FF"/>
                  <w:w w:val="85"/>
                </w:rPr>
                <w:t>21, 2021.</w:t>
              </w:r>
            </w:hyperlink>
          </w:p>
        </w:tc>
        <w:tc>
          <w:tcPr>
            <w:tcW w:w="20" w:type="dxa"/>
            <w:vAlign w:val="bottom"/>
            <w:tcBorders>
              <w:bottom w:val="single" w:sz="8" w:color="0000EE"/>
            </w:tcBorders>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10.15*</w:t>
            </w:r>
          </w:p>
        </w:tc>
        <w:tc>
          <w:tcPr>
            <w:tcW w:w="9740" w:type="dxa"/>
            <w:vAlign w:val="bottom"/>
            <w:gridSpan w:val="37"/>
          </w:tcPr>
          <w:p>
            <w:pPr>
              <w:spacing w:after="0"/>
              <w:rPr>
                <w:rFonts w:ascii="Arial" w:cs="Arial" w:eastAsia="Arial" w:hAnsi="Arial"/>
                <w:sz w:val="18"/>
                <w:szCs w:val="18"/>
                <w:color w:val="0000FF"/>
                <w:w w:val="91"/>
              </w:rPr>
            </w:pPr>
            <w:hyperlink r:id="rId373">
              <w:r>
                <w:rPr>
                  <w:rFonts w:ascii="Arial" w:cs="Arial" w:eastAsia="Arial" w:hAnsi="Arial"/>
                  <w:sz w:val="18"/>
                  <w:szCs w:val="18"/>
                  <w:color w:val="0000FF"/>
                  <w:w w:val="91"/>
                </w:rPr>
                <w:t>Domino’s Pizza, Inc. Deferred Compensation Plan adopted effective January 1, 2005 (Incorporated by reference to Exhibit 10.9 to the</w:t>
              </w:r>
            </w:hyperlink>
          </w:p>
        </w:tc>
      </w:tr>
      <w:tr>
        <w:trPr>
          <w:trHeight w:val="156"/>
        </w:trPr>
        <w:tc>
          <w:tcPr>
            <w:tcW w:w="1500" w:type="dxa"/>
            <w:vAlign w:val="bottom"/>
          </w:tcPr>
          <w:p>
            <w:pPr>
              <w:spacing w:after="0"/>
              <w:rPr>
                <w:sz w:val="13"/>
                <w:szCs w:val="13"/>
                <w:color w:val="auto"/>
              </w:rPr>
            </w:pPr>
          </w:p>
        </w:tc>
        <w:tc>
          <w:tcPr>
            <w:tcW w:w="97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373">
              <w:r>
                <w:rPr>
                  <w:rFonts w:ascii="Arial" w:cs="Arial" w:eastAsia="Arial" w:hAnsi="Arial"/>
                  <w:sz w:val="18"/>
                  <w:szCs w:val="18"/>
                  <w:color w:val="0000FF"/>
                </w:rPr>
                <w:t>registrant’s annual report on Form 10-K for the year ended January 1, 2006).</w:t>
              </w:r>
            </w:hyperlink>
          </w:p>
        </w:tc>
        <w:tc>
          <w:tcPr>
            <w:tcW w:w="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10.16*</w:t>
            </w:r>
          </w:p>
        </w:tc>
        <w:tc>
          <w:tcPr>
            <w:tcW w:w="9740" w:type="dxa"/>
            <w:vAlign w:val="bottom"/>
            <w:gridSpan w:val="37"/>
          </w:tcPr>
          <w:p>
            <w:pPr>
              <w:spacing w:after="0"/>
              <w:rPr>
                <w:rFonts w:ascii="Arial" w:cs="Arial" w:eastAsia="Arial" w:hAnsi="Arial"/>
                <w:sz w:val="18"/>
                <w:szCs w:val="18"/>
                <w:color w:val="0000FF"/>
                <w:w w:val="92"/>
              </w:rPr>
            </w:pPr>
            <w:hyperlink r:id="rId374">
              <w:r>
                <w:rPr>
                  <w:rFonts w:ascii="Arial" w:cs="Arial" w:eastAsia="Arial" w:hAnsi="Arial"/>
                  <w:sz w:val="18"/>
                  <w:szCs w:val="18"/>
                  <w:color w:val="0000FF"/>
                  <w:w w:val="92"/>
                </w:rPr>
                <w:t>First Amendment to the Domino’s Pizza Deferred Compensation Plan effective January 1, 2007 (Incorporated by reference to Exhibit</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74">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to the registrant’s annual report on Form 10-K for the year ended December 31, 2006).</w:t>
              </w:r>
            </w:hyperlink>
          </w:p>
        </w:tc>
        <w:tc>
          <w:tcPr>
            <w:tcW w:w="60" w:type="dxa"/>
            <w:vAlign w:val="bottom"/>
            <w:gridSpan w:val="4"/>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10.17*</w:t>
            </w:r>
          </w:p>
        </w:tc>
        <w:tc>
          <w:tcPr>
            <w:tcW w:w="9740" w:type="dxa"/>
            <w:vAlign w:val="bottom"/>
            <w:gridSpan w:val="37"/>
          </w:tcPr>
          <w:p>
            <w:pPr>
              <w:spacing w:after="0"/>
              <w:rPr>
                <w:rFonts w:ascii="Arial" w:cs="Arial" w:eastAsia="Arial" w:hAnsi="Arial"/>
                <w:sz w:val="18"/>
                <w:szCs w:val="18"/>
                <w:color w:val="0000FF"/>
                <w:w w:val="94"/>
              </w:rPr>
            </w:pPr>
            <w:hyperlink r:id="rId375">
              <w:r>
                <w:rPr>
                  <w:rFonts w:ascii="Arial" w:cs="Arial" w:eastAsia="Arial" w:hAnsi="Arial"/>
                  <w:sz w:val="18"/>
                  <w:szCs w:val="18"/>
                  <w:color w:val="0000FF"/>
                  <w:w w:val="94"/>
                </w:rPr>
                <w:t>Second Amendment to the Domino’s Pizza Deferred Compensation Plan effective February 8, 2013 (Incorporated by reference to</w:t>
              </w:r>
            </w:hyperlink>
          </w:p>
        </w:tc>
      </w:tr>
      <w:tr>
        <w:trPr>
          <w:trHeight w:val="155"/>
        </w:trPr>
        <w:tc>
          <w:tcPr>
            <w:tcW w:w="1500" w:type="dxa"/>
            <w:vAlign w:val="bottom"/>
          </w:tcPr>
          <w:p>
            <w:pPr>
              <w:spacing w:after="0"/>
              <w:rPr>
                <w:sz w:val="13"/>
                <w:szCs w:val="13"/>
                <w:color w:val="auto"/>
              </w:rPr>
            </w:pPr>
          </w:p>
        </w:tc>
        <w:tc>
          <w:tcPr>
            <w:tcW w:w="2300" w:type="dxa"/>
            <w:vAlign w:val="bottom"/>
            <w:tcBorders>
              <w:top w:val="single" w:sz="8" w:color="0000FF"/>
              <w:bottom w:val="single" w:sz="8" w:color="0000EE"/>
            </w:tcBorders>
            <w:gridSpan w:val="3"/>
          </w:tcPr>
          <w:p>
            <w:pPr>
              <w:spacing w:after="0" w:line="156" w:lineRule="exact"/>
              <w:rPr>
                <w:rFonts w:ascii="Arial" w:cs="Arial" w:eastAsia="Arial" w:hAnsi="Arial"/>
                <w:sz w:val="18"/>
                <w:szCs w:val="18"/>
                <w:color w:val="0000FF"/>
                <w:w w:val="93"/>
              </w:rPr>
            </w:pPr>
            <w:hyperlink r:id="rId375">
              <w:r>
                <w:rPr>
                  <w:rFonts w:ascii="Arial" w:cs="Arial" w:eastAsia="Arial" w:hAnsi="Arial"/>
                  <w:sz w:val="18"/>
                  <w:szCs w:val="18"/>
                  <w:color w:val="0000FF"/>
                  <w:w w:val="93"/>
                </w:rPr>
                <w:t>Exhibit 10.5 to the 2012 10-K).</w:t>
              </w:r>
            </w:hyperlink>
          </w:p>
        </w:tc>
        <w:tc>
          <w:tcPr>
            <w:tcW w:w="7100" w:type="dxa"/>
            <w:vAlign w:val="bottom"/>
            <w:tcBorders>
              <w:top w:val="single" w:sz="8" w:color="0000FF"/>
            </w:tcBorders>
            <w:gridSpan w:val="23"/>
          </w:tcPr>
          <w:p>
            <w:pPr>
              <w:spacing w:after="0"/>
              <w:rPr>
                <w:sz w:val="13"/>
                <w:szCs w:val="13"/>
                <w:color w:val="auto"/>
              </w:rPr>
            </w:pPr>
          </w:p>
        </w:tc>
        <w:tc>
          <w:tcPr>
            <w:tcW w:w="120" w:type="dxa"/>
            <w:vAlign w:val="bottom"/>
            <w:gridSpan w:val="3"/>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10.18*</w:t>
            </w:r>
          </w:p>
        </w:tc>
        <w:tc>
          <w:tcPr>
            <w:tcW w:w="9740" w:type="dxa"/>
            <w:vAlign w:val="bottom"/>
            <w:gridSpan w:val="37"/>
          </w:tcPr>
          <w:p>
            <w:pPr>
              <w:spacing w:after="0"/>
              <w:rPr>
                <w:rFonts w:ascii="Arial" w:cs="Arial" w:eastAsia="Arial" w:hAnsi="Arial"/>
                <w:sz w:val="18"/>
                <w:szCs w:val="18"/>
                <w:color w:val="0000FF"/>
                <w:w w:val="95"/>
              </w:rPr>
            </w:pPr>
            <w:hyperlink r:id="rId376">
              <w:r>
                <w:rPr>
                  <w:rFonts w:ascii="Arial" w:cs="Arial" w:eastAsia="Arial" w:hAnsi="Arial"/>
                  <w:sz w:val="18"/>
                  <w:szCs w:val="18"/>
                  <w:color w:val="0000FF"/>
                  <w:w w:val="95"/>
                </w:rPr>
                <w:t>Amended Domino’s Pizza, Inc. 2004 Equity Incentive Plan (Incorporated by reference to Exhibit 10.1 to the registrant’s quarterly</w:t>
              </w:r>
            </w:hyperlink>
          </w:p>
        </w:tc>
      </w:tr>
      <w:tr>
        <w:trPr>
          <w:trHeight w:val="155"/>
        </w:trPr>
        <w:tc>
          <w:tcPr>
            <w:tcW w:w="150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376">
              <w:r>
                <w:rPr>
                  <w:rFonts w:ascii="Arial" w:cs="Arial" w:eastAsia="Arial" w:hAnsi="Arial"/>
                  <w:sz w:val="18"/>
                  <w:szCs w:val="18"/>
                  <w:color w:val="0000FF"/>
                  <w:w w:val="91"/>
                </w:rPr>
                <w:t>report on Form 10-Q for the quarter ended March 22, 2009 (the “March 2009 10-Q”)).</w:t>
              </w:r>
            </w:hyperlink>
          </w:p>
        </w:tc>
        <w:tc>
          <w:tcPr>
            <w:tcW w:w="3160" w:type="dxa"/>
            <w:vAlign w:val="bottom"/>
            <w:tcBorders>
              <w:top w:val="single" w:sz="8" w:color="0000FF"/>
            </w:tcBorders>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10.19*</w:t>
            </w:r>
          </w:p>
        </w:tc>
        <w:tc>
          <w:tcPr>
            <w:tcW w:w="9740" w:type="dxa"/>
            <w:vAlign w:val="bottom"/>
            <w:gridSpan w:val="37"/>
          </w:tcPr>
          <w:p>
            <w:pPr>
              <w:spacing w:after="0"/>
              <w:rPr>
                <w:rFonts w:ascii="Arial" w:cs="Arial" w:eastAsia="Arial" w:hAnsi="Arial"/>
                <w:sz w:val="18"/>
                <w:szCs w:val="18"/>
                <w:color w:val="0000FF"/>
                <w:w w:val="94"/>
              </w:rPr>
            </w:pPr>
            <w:hyperlink r:id="rId377">
              <w:r>
                <w:rPr>
                  <w:rFonts w:ascii="Arial" w:cs="Arial" w:eastAsia="Arial" w:hAnsi="Arial"/>
                  <w:sz w:val="18"/>
                  <w:szCs w:val="18"/>
                  <w:color w:val="0000FF"/>
                  <w:w w:val="94"/>
                </w:rPr>
                <w:t>Form of Employee Stock Option Agreement under the Amended Domino’s Pizza, Inc. 2004 Equity Incentive Plan (Incorporated by</w:t>
              </w:r>
            </w:hyperlink>
          </w:p>
        </w:tc>
      </w:tr>
      <w:tr>
        <w:trPr>
          <w:trHeight w:val="155"/>
        </w:trPr>
        <w:tc>
          <w:tcPr>
            <w:tcW w:w="150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377">
              <w:r>
                <w:rPr>
                  <w:rFonts w:ascii="Arial" w:cs="Arial" w:eastAsia="Arial" w:hAnsi="Arial"/>
                  <w:sz w:val="18"/>
                  <w:szCs w:val="18"/>
                  <w:color w:val="0000FF"/>
                  <w:w w:val="91"/>
                </w:rPr>
                <w:t>reference to Exhibit 10.8 to the 2012 10-K).</w:t>
              </w:r>
            </w:hyperlink>
          </w:p>
        </w:tc>
        <w:tc>
          <w:tcPr>
            <w:tcW w:w="20" w:type="dxa"/>
            <w:vAlign w:val="bottom"/>
            <w:tcBorders>
              <w:top w:val="single" w:sz="8" w:color="0000FF"/>
              <w:bottom w:val="single" w:sz="8" w:color="0000EE"/>
            </w:tcBorders>
          </w:tcPr>
          <w:p>
            <w:pPr>
              <w:spacing w:after="0"/>
              <w:rPr>
                <w:sz w:val="13"/>
                <w:szCs w:val="13"/>
                <w:color w:val="auto"/>
              </w:rPr>
            </w:pPr>
          </w:p>
        </w:tc>
        <w:tc>
          <w:tcPr>
            <w:tcW w:w="6340" w:type="dxa"/>
            <w:vAlign w:val="bottom"/>
            <w:tcBorders>
              <w:top w:val="single" w:sz="8" w:color="0000FF"/>
            </w:tcBorders>
            <w:gridSpan w:val="21"/>
          </w:tcPr>
          <w:p>
            <w:pPr>
              <w:spacing w:after="0"/>
              <w:rPr>
                <w:sz w:val="13"/>
                <w:szCs w:val="13"/>
                <w:color w:val="auto"/>
              </w:rPr>
            </w:pPr>
          </w:p>
        </w:tc>
        <w:tc>
          <w:tcPr>
            <w:tcW w:w="220" w:type="dxa"/>
            <w:vAlign w:val="bottom"/>
            <w:gridSpan w:val="8"/>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10.20*</w:t>
            </w:r>
          </w:p>
        </w:tc>
        <w:tc>
          <w:tcPr>
            <w:tcW w:w="9740" w:type="dxa"/>
            <w:vAlign w:val="bottom"/>
            <w:gridSpan w:val="37"/>
          </w:tcPr>
          <w:p>
            <w:pPr>
              <w:spacing w:after="0"/>
              <w:rPr>
                <w:rFonts w:ascii="Arial" w:cs="Arial" w:eastAsia="Arial" w:hAnsi="Arial"/>
                <w:sz w:val="18"/>
                <w:szCs w:val="18"/>
                <w:color w:val="0000FF"/>
                <w:w w:val="96"/>
              </w:rPr>
            </w:pPr>
            <w:hyperlink r:id="rId378">
              <w:r>
                <w:rPr>
                  <w:rFonts w:ascii="Arial" w:cs="Arial" w:eastAsia="Arial" w:hAnsi="Arial"/>
                  <w:sz w:val="18"/>
                  <w:szCs w:val="18"/>
                  <w:color w:val="0000FF"/>
                  <w:w w:val="96"/>
                </w:rPr>
                <w:t>Form of 2013 Special Employee Stock Option Agreement under the Amended Domino’s Pizza, Inc. 2004 Equity Incentive Plan</w:t>
              </w:r>
            </w:hyperlink>
          </w:p>
        </w:tc>
      </w:tr>
      <w:tr>
        <w:trPr>
          <w:trHeight w:val="155"/>
        </w:trPr>
        <w:tc>
          <w:tcPr>
            <w:tcW w:w="1500" w:type="dxa"/>
            <w:vAlign w:val="bottom"/>
          </w:tcPr>
          <w:p>
            <w:pPr>
              <w:spacing w:after="0"/>
              <w:rPr>
                <w:sz w:val="13"/>
                <w:szCs w:val="13"/>
                <w:color w:val="auto"/>
              </w:rPr>
            </w:pPr>
          </w:p>
        </w:tc>
        <w:tc>
          <w:tcPr>
            <w:tcW w:w="92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78">
              <w:r>
                <w:rPr>
                  <w:rFonts w:ascii="Arial" w:cs="Arial" w:eastAsia="Arial" w:hAnsi="Arial"/>
                  <w:sz w:val="18"/>
                  <w:szCs w:val="18"/>
                  <w:color w:val="0000FF"/>
                </w:rPr>
                <w:t>(Incorporated by reference to Exhibit 10.9 to the 2012 10-K).</w:t>
              </w:r>
            </w:hyperlink>
          </w:p>
        </w:tc>
        <w:tc>
          <w:tcPr>
            <w:tcW w:w="500" w:type="dxa"/>
            <w:vAlign w:val="bottom"/>
            <w:gridSpan w:val="13"/>
          </w:tcPr>
          <w:p>
            <w:pPr>
              <w:spacing w:after="0"/>
              <w:rPr>
                <w:sz w:val="13"/>
                <w:szCs w:val="13"/>
                <w:color w:val="auto"/>
              </w:rPr>
            </w:pPr>
          </w:p>
        </w:tc>
      </w:tr>
      <w:tr>
        <w:trPr>
          <w:trHeight w:val="574"/>
        </w:trPr>
        <w:tc>
          <w:tcPr>
            <w:tcW w:w="1500" w:type="dxa"/>
            <w:vAlign w:val="bottom"/>
          </w:tcPr>
          <w:p>
            <w:pPr>
              <w:spacing w:after="0"/>
              <w:rPr>
                <w:sz w:val="24"/>
                <w:szCs w:val="24"/>
                <w:color w:val="auto"/>
              </w:rPr>
            </w:pPr>
          </w:p>
        </w:tc>
        <w:tc>
          <w:tcPr>
            <w:tcW w:w="4400" w:type="dxa"/>
            <w:vAlign w:val="bottom"/>
            <w:tcBorders>
              <w:top w:val="single" w:sz="8" w:color="0000FF"/>
            </w:tcBorders>
            <w:gridSpan w:val="9"/>
          </w:tcPr>
          <w:p>
            <w:pPr>
              <w:ind w:left="4040"/>
              <w:spacing w:after="0"/>
              <w:rPr>
                <w:sz w:val="20"/>
                <w:szCs w:val="20"/>
                <w:color w:val="auto"/>
              </w:rPr>
            </w:pPr>
            <w:r>
              <w:rPr>
                <w:rFonts w:ascii="Arial" w:cs="Arial" w:eastAsia="Arial" w:hAnsi="Arial"/>
                <w:sz w:val="18"/>
                <w:szCs w:val="18"/>
                <w:color w:val="auto"/>
              </w:rPr>
              <w:t>85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r>
      <w:tr>
        <w:trPr>
          <w:trHeight w:val="101"/>
        </w:trPr>
        <w:tc>
          <w:tcPr>
            <w:tcW w:w="15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10.21*</w:t>
            </w:r>
          </w:p>
        </w:tc>
        <w:tc>
          <w:tcPr>
            <w:tcW w:w="9780" w:type="dxa"/>
            <w:vAlign w:val="bottom"/>
            <w:gridSpan w:val="36"/>
          </w:tcPr>
          <w:p>
            <w:pPr>
              <w:spacing w:after="0"/>
              <w:rPr>
                <w:rFonts w:ascii="Arial" w:cs="Arial" w:eastAsia="Arial" w:hAnsi="Arial"/>
                <w:sz w:val="18"/>
                <w:szCs w:val="18"/>
                <w:color w:val="0000FF"/>
                <w:w w:val="96"/>
              </w:rPr>
            </w:pPr>
            <w:hyperlink r:id="rId381">
              <w:r>
                <w:rPr>
                  <w:rFonts w:ascii="Arial" w:cs="Arial" w:eastAsia="Arial" w:hAnsi="Arial"/>
                  <w:sz w:val="18"/>
                  <w:szCs w:val="18"/>
                  <w:color w:val="0000FF"/>
                  <w:w w:val="96"/>
                </w:rPr>
                <w:t>Form of Director Stock Option Agreement under the Amended Domino’s Pizza, Inc. 2004 Equity Incentive Plan (Incorporated by</w:t>
              </w:r>
            </w:hyperlink>
          </w:p>
        </w:tc>
      </w:tr>
      <w:tr>
        <w:trPr>
          <w:trHeight w:val="156"/>
        </w:trPr>
        <w:tc>
          <w:tcPr>
            <w:tcW w:w="150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381">
              <w:r>
                <w:rPr>
                  <w:rFonts w:ascii="Arial" w:cs="Arial" w:eastAsia="Arial" w:hAnsi="Arial"/>
                  <w:sz w:val="18"/>
                  <w:szCs w:val="18"/>
                  <w:color w:val="0000FF"/>
                  <w:w w:val="91"/>
                </w:rPr>
                <w:t>reference to Exhibit 10.3 to the March 2009 10-Q).</w:t>
              </w:r>
            </w:hyperlink>
          </w:p>
        </w:tc>
        <w:tc>
          <w:tcPr>
            <w:tcW w:w="20" w:type="dxa"/>
            <w:vAlign w:val="bottom"/>
            <w:tcBorders>
              <w:top w:val="single" w:sz="8" w:color="0000FF"/>
              <w:bottom w:val="single" w:sz="8" w:color="0000EE"/>
            </w:tcBorders>
          </w:tcPr>
          <w:p>
            <w:pPr>
              <w:spacing w:after="0"/>
              <w:rPr>
                <w:sz w:val="13"/>
                <w:szCs w:val="13"/>
                <w:color w:val="auto"/>
              </w:rPr>
            </w:pPr>
          </w:p>
        </w:tc>
        <w:tc>
          <w:tcPr>
            <w:tcW w:w="570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10.22*</w:t>
            </w:r>
          </w:p>
        </w:tc>
        <w:tc>
          <w:tcPr>
            <w:tcW w:w="9780" w:type="dxa"/>
            <w:vAlign w:val="bottom"/>
            <w:gridSpan w:val="36"/>
          </w:tcPr>
          <w:p>
            <w:pPr>
              <w:spacing w:after="0"/>
              <w:rPr>
                <w:rFonts w:ascii="Arial" w:cs="Arial" w:eastAsia="Arial" w:hAnsi="Arial"/>
                <w:sz w:val="18"/>
                <w:szCs w:val="18"/>
                <w:color w:val="0000FF"/>
                <w:w w:val="94"/>
              </w:rPr>
            </w:pPr>
            <w:hyperlink r:id="rId382">
              <w:r>
                <w:rPr>
                  <w:rFonts w:ascii="Arial" w:cs="Arial" w:eastAsia="Arial" w:hAnsi="Arial"/>
                  <w:sz w:val="18"/>
                  <w:szCs w:val="18"/>
                  <w:color w:val="0000FF"/>
                  <w:w w:val="94"/>
                </w:rPr>
                <w:t>Form of Amendment to Existing Director Stock Option Grants (Incorporated by reference to Exhibit 10.5 to the March 2009 10-Q).</w:t>
              </w:r>
            </w:hyperlink>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10.23*</w:t>
            </w:r>
          </w:p>
        </w:tc>
        <w:tc>
          <w:tcPr>
            <w:tcW w:w="9480" w:type="dxa"/>
            <w:vAlign w:val="bottom"/>
            <w:tcBorders>
              <w:top w:val="single" w:sz="8" w:color="0000FF"/>
            </w:tcBorders>
            <w:gridSpan w:val="23"/>
          </w:tcPr>
          <w:p>
            <w:pPr>
              <w:spacing w:after="0"/>
              <w:rPr>
                <w:rFonts w:ascii="Arial" w:cs="Arial" w:eastAsia="Arial" w:hAnsi="Arial"/>
                <w:sz w:val="18"/>
                <w:szCs w:val="18"/>
                <w:color w:val="0000FF"/>
                <w:w w:val="99"/>
              </w:rPr>
            </w:pPr>
            <w:hyperlink r:id="rId383">
              <w:r>
                <w:rPr>
                  <w:rFonts w:ascii="Arial" w:cs="Arial" w:eastAsia="Arial" w:hAnsi="Arial"/>
                  <w:sz w:val="18"/>
                  <w:szCs w:val="18"/>
                  <w:color w:val="0000FF"/>
                  <w:w w:val="99"/>
                </w:rPr>
                <w:t>Form of Performance-Based Restricted Stock Agreement (Incorporated by reference to Exhibit 10.12 to the 2012 10-K).</w:t>
              </w:r>
            </w:hyperlink>
          </w:p>
        </w:tc>
        <w:tc>
          <w:tcPr>
            <w:tcW w:w="300" w:type="dxa"/>
            <w:vAlign w:val="bottom"/>
            <w:gridSpan w:val="13"/>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10.24*</w:t>
            </w:r>
          </w:p>
        </w:tc>
        <w:tc>
          <w:tcPr>
            <w:tcW w:w="9780" w:type="dxa"/>
            <w:vAlign w:val="bottom"/>
            <w:gridSpan w:val="36"/>
          </w:tcPr>
          <w:p>
            <w:pPr>
              <w:spacing w:after="0"/>
              <w:rPr>
                <w:rFonts w:ascii="Arial" w:cs="Arial" w:eastAsia="Arial" w:hAnsi="Arial"/>
                <w:sz w:val="18"/>
                <w:szCs w:val="18"/>
                <w:color w:val="0000FF"/>
                <w:w w:val="92"/>
              </w:rPr>
            </w:pPr>
            <w:hyperlink r:id="rId384">
              <w:r>
                <w:rPr>
                  <w:rFonts w:ascii="Arial" w:cs="Arial" w:eastAsia="Arial" w:hAnsi="Arial"/>
                  <w:sz w:val="18"/>
                  <w:szCs w:val="18"/>
                  <w:color w:val="0000FF"/>
                  <w:w w:val="92"/>
                </w:rPr>
                <w:t>Form of 2013 Special Performance-Based Restricted Stock Agreement (Incorporated by reference to Exhibit 10.13 to the 2012 10-K).</w:t>
              </w:r>
            </w:hyperlink>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10.25*</w:t>
            </w:r>
          </w:p>
        </w:tc>
        <w:tc>
          <w:tcPr>
            <w:tcW w:w="9640" w:type="dxa"/>
            <w:vAlign w:val="bottom"/>
            <w:tcBorders>
              <w:top w:val="single" w:sz="8" w:color="0000FF"/>
            </w:tcBorders>
            <w:gridSpan w:val="29"/>
          </w:tcPr>
          <w:p>
            <w:pPr>
              <w:spacing w:after="0"/>
              <w:rPr>
                <w:rFonts w:ascii="Arial" w:cs="Arial" w:eastAsia="Arial" w:hAnsi="Arial"/>
                <w:sz w:val="18"/>
                <w:szCs w:val="18"/>
                <w:color w:val="0000FF"/>
                <w:w w:val="92"/>
              </w:rPr>
            </w:pPr>
            <w:hyperlink r:id="rId385">
              <w:r>
                <w:rPr>
                  <w:rFonts w:ascii="Arial" w:cs="Arial" w:eastAsia="Arial" w:hAnsi="Arial"/>
                  <w:sz w:val="18"/>
                  <w:szCs w:val="18"/>
                  <w:color w:val="0000FF"/>
                  <w:w w:val="92"/>
                </w:rPr>
                <w:t>Form of Performance-Based Restricted Stock Unit Award Agreement (Incorporated by reference to Exhibit 10.14 to the 2012 10-K).</w:t>
              </w:r>
            </w:hyperlink>
          </w:p>
        </w:tc>
        <w:tc>
          <w:tcPr>
            <w:tcW w:w="140" w:type="dxa"/>
            <w:vAlign w:val="bottom"/>
            <w:gridSpan w:val="7"/>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10.26*</w:t>
            </w:r>
          </w:p>
        </w:tc>
        <w:tc>
          <w:tcPr>
            <w:tcW w:w="9780" w:type="dxa"/>
            <w:vAlign w:val="bottom"/>
            <w:gridSpan w:val="36"/>
          </w:tcPr>
          <w:p>
            <w:pPr>
              <w:spacing w:after="0"/>
              <w:rPr>
                <w:rFonts w:ascii="Arial" w:cs="Arial" w:eastAsia="Arial" w:hAnsi="Arial"/>
                <w:sz w:val="18"/>
                <w:szCs w:val="18"/>
                <w:color w:val="0000FF"/>
                <w:w w:val="92"/>
              </w:rPr>
            </w:pPr>
            <w:hyperlink r:id="rId386">
              <w:r>
                <w:rPr>
                  <w:rFonts w:ascii="Arial" w:cs="Arial" w:eastAsia="Arial" w:hAnsi="Arial"/>
                  <w:sz w:val="18"/>
                  <w:szCs w:val="18"/>
                  <w:color w:val="0000FF"/>
                  <w:w w:val="92"/>
                </w:rPr>
                <w:t>Form of 2013 Special Performance-Based Restricted Stock Unit Award Agreement (Incorporated by reference to Exhibit 10.15 to the</w:t>
              </w:r>
            </w:hyperlink>
          </w:p>
        </w:tc>
      </w:tr>
      <w:tr>
        <w:trPr>
          <w:trHeight w:val="156"/>
        </w:trPr>
        <w:tc>
          <w:tcPr>
            <w:tcW w:w="1500" w:type="dxa"/>
            <w:vAlign w:val="bottom"/>
          </w:tcPr>
          <w:p>
            <w:pPr>
              <w:spacing w:after="0"/>
              <w:rPr>
                <w:sz w:val="13"/>
                <w:szCs w:val="13"/>
                <w:color w:val="auto"/>
              </w:rPr>
            </w:pPr>
          </w:p>
        </w:tc>
        <w:tc>
          <w:tcPr>
            <w:tcW w:w="8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386">
              <w:r>
                <w:rPr>
                  <w:rFonts w:ascii="Arial" w:cs="Arial" w:eastAsia="Arial" w:hAnsi="Arial"/>
                  <w:sz w:val="18"/>
                  <w:szCs w:val="18"/>
                  <w:color w:val="0000FF"/>
                  <w:w w:val="91"/>
                </w:rPr>
                <w:t>2012 10-K).</w:t>
              </w:r>
            </w:hyperlink>
          </w:p>
        </w:tc>
        <w:tc>
          <w:tcPr>
            <w:tcW w:w="20" w:type="dxa"/>
            <w:vAlign w:val="bottom"/>
            <w:tcBorders>
              <w:top w:val="single" w:sz="8" w:color="0000FF"/>
              <w:bottom w:val="single" w:sz="8" w:color="0000EE"/>
            </w:tcBorders>
          </w:tcPr>
          <w:p>
            <w:pPr>
              <w:spacing w:after="0"/>
              <w:rPr>
                <w:sz w:val="13"/>
                <w:szCs w:val="13"/>
                <w:color w:val="auto"/>
              </w:rPr>
            </w:pPr>
          </w:p>
        </w:tc>
        <w:tc>
          <w:tcPr>
            <w:tcW w:w="87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10.27*</w:t>
            </w:r>
          </w:p>
        </w:tc>
        <w:tc>
          <w:tcPr>
            <w:tcW w:w="9780" w:type="dxa"/>
            <w:vAlign w:val="bottom"/>
            <w:gridSpan w:val="36"/>
          </w:tcPr>
          <w:p>
            <w:pPr>
              <w:spacing w:after="0"/>
              <w:rPr>
                <w:rFonts w:ascii="Arial" w:cs="Arial" w:eastAsia="Arial" w:hAnsi="Arial"/>
                <w:sz w:val="18"/>
                <w:szCs w:val="18"/>
                <w:color w:val="0000FF"/>
                <w:w w:val="95"/>
              </w:rPr>
            </w:pPr>
            <w:hyperlink r:id="rId387">
              <w:r>
                <w:rPr>
                  <w:rFonts w:ascii="Arial" w:cs="Arial" w:eastAsia="Arial" w:hAnsi="Arial"/>
                  <w:sz w:val="18"/>
                  <w:szCs w:val="18"/>
                  <w:color w:val="0000FF"/>
                  <w:w w:val="95"/>
                </w:rPr>
                <w:t>Form of Domino’s Pizza, Inc. 2004 Equity Incentive Plan Restricted Stock Agreement for Directors (Incorporated by reference to</w:t>
              </w:r>
            </w:hyperlink>
          </w:p>
        </w:tc>
      </w:tr>
      <w:tr>
        <w:trPr>
          <w:trHeight w:val="156"/>
        </w:trPr>
        <w:tc>
          <w:tcPr>
            <w:tcW w:w="150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87">
              <w:r>
                <w:rPr>
                  <w:rFonts w:ascii="Arial" w:cs="Arial" w:eastAsia="Arial" w:hAnsi="Arial"/>
                  <w:sz w:val="18"/>
                  <w:szCs w:val="18"/>
                  <w:color w:val="0000FF"/>
                </w:rPr>
                <w:t>Exhibit 10.19 to the registrant’s annual report on Form 10-K for the year ended January 3, 2010).</w:t>
              </w:r>
            </w:hyperlink>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25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10.28*</w:t>
            </w:r>
          </w:p>
        </w:tc>
        <w:tc>
          <w:tcPr>
            <w:tcW w:w="9780" w:type="dxa"/>
            <w:vAlign w:val="bottom"/>
            <w:gridSpan w:val="36"/>
          </w:tcPr>
          <w:p>
            <w:pPr>
              <w:spacing w:after="0"/>
              <w:rPr>
                <w:rFonts w:ascii="Arial" w:cs="Arial" w:eastAsia="Arial" w:hAnsi="Arial"/>
                <w:sz w:val="18"/>
                <w:szCs w:val="18"/>
                <w:color w:val="0000FF"/>
                <w:w w:val="93"/>
              </w:rPr>
            </w:pPr>
            <w:hyperlink r:id="rId388">
              <w:r>
                <w:rPr>
                  <w:rFonts w:ascii="Arial" w:cs="Arial" w:eastAsia="Arial" w:hAnsi="Arial"/>
                  <w:sz w:val="18"/>
                  <w:szCs w:val="18"/>
                  <w:color w:val="0000FF"/>
                  <w:w w:val="93"/>
                </w:rPr>
                <w:t>Amended and Restated Domino’s Pizza Senior Executive Annual Incentive Plan. (Incorporated by reference to Exhibit 10.20 to the</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88">
              <w:r>
                <w:rPr>
                  <w:rFonts w:ascii="Arial" w:cs="Arial" w:eastAsia="Arial" w:hAnsi="Arial"/>
                  <w:sz w:val="18"/>
                  <w:szCs w:val="18"/>
                  <w:color w:val="0000FF"/>
                </w:rPr>
                <w:t>registrant’s annual report on Form 10-K for the year ended January 2,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25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10.29*</w:t>
            </w:r>
          </w:p>
        </w:tc>
        <w:tc>
          <w:tcPr>
            <w:tcW w:w="9780" w:type="dxa"/>
            <w:vAlign w:val="bottom"/>
            <w:gridSpan w:val="36"/>
          </w:tcPr>
          <w:p>
            <w:pPr>
              <w:spacing w:after="0"/>
              <w:rPr>
                <w:rFonts w:ascii="Arial" w:cs="Arial" w:eastAsia="Arial" w:hAnsi="Arial"/>
                <w:sz w:val="18"/>
                <w:szCs w:val="18"/>
                <w:color w:val="0000FF"/>
                <w:w w:val="93"/>
              </w:rPr>
            </w:pPr>
            <w:hyperlink r:id="rId389">
              <w:r>
                <w:rPr>
                  <w:rFonts w:ascii="Arial" w:cs="Arial" w:eastAsia="Arial" w:hAnsi="Arial"/>
                  <w:sz w:val="18"/>
                  <w:szCs w:val="18"/>
                  <w:color w:val="0000FF"/>
                  <w:w w:val="93"/>
                </w:rPr>
                <w:t>Amended and Restated Domino’s Pizza, Inc. Employee Stock Payroll Deduction Plan (Incorporated by reference to Exhibit 10.18 to</w:t>
              </w:r>
            </w:hyperlink>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389">
              <w:r>
                <w:rPr>
                  <w:rFonts w:ascii="Arial" w:cs="Arial" w:eastAsia="Arial" w:hAnsi="Arial"/>
                  <w:sz w:val="18"/>
                  <w:szCs w:val="18"/>
                  <w:color w:val="0000FF"/>
                </w:rPr>
                <w:t>the registrant’s annual report on Form 10-K for the year ended December 29,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25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10.30*</w:t>
            </w:r>
          </w:p>
        </w:tc>
        <w:tc>
          <w:tcPr>
            <w:tcW w:w="9780" w:type="dxa"/>
            <w:vAlign w:val="bottom"/>
            <w:gridSpan w:val="36"/>
          </w:tcPr>
          <w:p>
            <w:pPr>
              <w:spacing w:after="0"/>
              <w:rPr>
                <w:rFonts w:ascii="Arial" w:cs="Arial" w:eastAsia="Arial" w:hAnsi="Arial"/>
                <w:sz w:val="18"/>
                <w:szCs w:val="18"/>
                <w:color w:val="0000FF"/>
                <w:w w:val="92"/>
              </w:rPr>
            </w:pPr>
            <w:hyperlink r:id="rId390">
              <w:r>
                <w:rPr>
                  <w:rFonts w:ascii="Arial" w:cs="Arial" w:eastAsia="Arial" w:hAnsi="Arial"/>
                  <w:sz w:val="18"/>
                  <w:szCs w:val="18"/>
                  <w:color w:val="0000FF"/>
                  <w:w w:val="92"/>
                </w:rPr>
                <w:t>First Amendment to the Amended and Restated Domino’s Pizza, Inc. Employee Stock Payroll Deduction Plan dated as of January 1,</w:t>
              </w:r>
            </w:hyperlink>
          </w:p>
        </w:tc>
      </w:tr>
      <w:tr>
        <w:trPr>
          <w:trHeight w:val="155"/>
        </w:trPr>
        <w:tc>
          <w:tcPr>
            <w:tcW w:w="1500" w:type="dxa"/>
            <w:vAlign w:val="bottom"/>
          </w:tcPr>
          <w:p>
            <w:pPr>
              <w:spacing w:after="0"/>
              <w:rPr>
                <w:sz w:val="13"/>
                <w:szCs w:val="13"/>
                <w:color w:val="auto"/>
              </w:rPr>
            </w:pPr>
          </w:p>
        </w:tc>
        <w:tc>
          <w:tcPr>
            <w:tcW w:w="960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390">
              <w:r>
                <w:rPr>
                  <w:rFonts w:ascii="Arial" w:cs="Arial" w:eastAsia="Arial" w:hAnsi="Arial"/>
                  <w:sz w:val="18"/>
                  <w:szCs w:val="18"/>
                  <w:color w:val="0000FF"/>
                  <w:w w:val="93"/>
                </w:rPr>
                <w:t>2019 (Incorporated by reference to Exhibit 10.1 to the registrant’s quarterly report on Form 10-Q for the quarter ended March 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390">
              <w:r>
                <w:rPr>
                  <w:rFonts w:ascii="Arial" w:cs="Arial" w:eastAsia="Arial" w:hAnsi="Arial"/>
                  <w:sz w:val="18"/>
                  <w:szCs w:val="18"/>
                  <w:color w:val="0000FF"/>
                  <w:w w:val="90"/>
                </w:rPr>
                <w:t>2019).</w:t>
              </w:r>
            </w:hyperlink>
          </w:p>
        </w:tc>
        <w:tc>
          <w:tcPr>
            <w:tcW w:w="20" w:type="dxa"/>
            <w:vAlign w:val="bottom"/>
            <w:tcBorders>
              <w:top w:val="single" w:sz="8" w:color="0000FF"/>
              <w:bottom w:val="single" w:sz="8" w:color="0000EE"/>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10.31*</w:t>
            </w:r>
          </w:p>
        </w:tc>
        <w:tc>
          <w:tcPr>
            <w:tcW w:w="9780" w:type="dxa"/>
            <w:vAlign w:val="bottom"/>
            <w:gridSpan w:val="36"/>
          </w:tcPr>
          <w:p>
            <w:pPr>
              <w:spacing w:after="0"/>
              <w:rPr>
                <w:rFonts w:ascii="Arial" w:cs="Arial" w:eastAsia="Arial" w:hAnsi="Arial"/>
                <w:sz w:val="18"/>
                <w:szCs w:val="18"/>
                <w:color w:val="0000FF"/>
                <w:w w:val="94"/>
              </w:rPr>
            </w:pPr>
            <w:hyperlink r:id="rId391">
              <w:r>
                <w:rPr>
                  <w:rFonts w:ascii="Arial" w:cs="Arial" w:eastAsia="Arial" w:hAnsi="Arial"/>
                  <w:sz w:val="18"/>
                  <w:szCs w:val="18"/>
                  <w:color w:val="0000FF"/>
                  <w:w w:val="94"/>
                </w:rPr>
                <w:t>Form of Domino’s Pizza, Inc. Dividend Reinvestment &amp; Direct Stock Purchase and Sale Plan (Incorporated by reference to Exhibit</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391">
              <w:r>
                <w:rPr>
                  <w:rFonts w:ascii="Arial" w:cs="Arial" w:eastAsia="Arial" w:hAnsi="Arial"/>
                  <w:sz w:val="18"/>
                  <w:szCs w:val="18"/>
                  <w:color w:val="0000FF"/>
                </w:rPr>
                <w:t>10.</w:t>
              </w:r>
              <w:r>
                <w:rPr>
                  <w:rFonts w:ascii="Arial" w:cs="Arial" w:eastAsia="Arial" w:hAnsi="Arial"/>
                  <w:sz w:val="18"/>
                  <w:szCs w:val="18"/>
                  <w:u w:val="single" w:color="auto"/>
                  <w:color w:val="0000FF"/>
                </w:rPr>
                <w:t>32</w:t>
              </w:r>
              <w:r>
                <w:rPr>
                  <w:rFonts w:ascii="Arial" w:cs="Arial" w:eastAsia="Arial" w:hAnsi="Arial"/>
                  <w:sz w:val="18"/>
                  <w:szCs w:val="18"/>
                  <w:color w:val="0000FF"/>
                </w:rPr>
                <w:t xml:space="preserve"> to the S-1).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10.32*</w:t>
            </w:r>
          </w:p>
        </w:tc>
        <w:tc>
          <w:tcPr>
            <w:tcW w:w="9780" w:type="dxa"/>
            <w:vAlign w:val="bottom"/>
            <w:gridSpan w:val="36"/>
          </w:tcPr>
          <w:p>
            <w:pPr>
              <w:spacing w:after="0"/>
              <w:rPr>
                <w:rFonts w:ascii="Arial" w:cs="Arial" w:eastAsia="Arial" w:hAnsi="Arial"/>
                <w:sz w:val="18"/>
                <w:szCs w:val="18"/>
                <w:color w:val="0000FF"/>
                <w:w w:val="94"/>
              </w:rPr>
            </w:pPr>
            <w:hyperlink r:id="rId392">
              <w:r>
                <w:rPr>
                  <w:rFonts w:ascii="Arial" w:cs="Arial" w:eastAsia="Arial" w:hAnsi="Arial"/>
                  <w:sz w:val="18"/>
                  <w:szCs w:val="18"/>
                  <w:color w:val="0000FF"/>
                  <w:w w:val="94"/>
                </w:rPr>
                <w:t>Form of 2018 Restricted Stock Agreement (Incorporated by reference to Exhibit 10.4 to the registrant’s current report on Form 8-K</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392">
              <w:r>
                <w:rPr>
                  <w:rFonts w:ascii="Arial" w:cs="Arial" w:eastAsia="Arial" w:hAnsi="Arial"/>
                  <w:sz w:val="18"/>
                  <w:szCs w:val="18"/>
                  <w:color w:val="0000FF"/>
                </w:rPr>
                <w:t>filed on January 11, 2018 (the “January 2018 8-K”)).</w:t>
              </w:r>
            </w:hyperlink>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8"/>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10.33*</w:t>
            </w:r>
          </w:p>
        </w:tc>
        <w:tc>
          <w:tcPr>
            <w:tcW w:w="9780" w:type="dxa"/>
            <w:vAlign w:val="bottom"/>
            <w:gridSpan w:val="36"/>
          </w:tcPr>
          <w:p>
            <w:pPr>
              <w:spacing w:after="0"/>
              <w:rPr>
                <w:rFonts w:ascii="Arial" w:cs="Arial" w:eastAsia="Arial" w:hAnsi="Arial"/>
                <w:sz w:val="18"/>
                <w:szCs w:val="18"/>
                <w:color w:val="0000FF"/>
                <w:w w:val="92"/>
              </w:rPr>
            </w:pPr>
            <w:hyperlink r:id="rId393">
              <w:r>
                <w:rPr>
                  <w:rFonts w:ascii="Arial" w:cs="Arial" w:eastAsia="Arial" w:hAnsi="Arial"/>
                  <w:sz w:val="18"/>
                  <w:szCs w:val="18"/>
                  <w:color w:val="0000FF"/>
                  <w:w w:val="92"/>
                </w:rPr>
                <w:t>Form of 2021 Employee Stock Option Agreement under the Amended Domino’s Pizza, Inc. 2004 Equity Incentive Plan (Incorporated</w:t>
              </w:r>
            </w:hyperlink>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Arial" w:cs="Arial" w:eastAsia="Arial" w:hAnsi="Arial"/>
                <w:sz w:val="18"/>
                <w:szCs w:val="18"/>
                <w:color w:val="0000FF"/>
                <w:w w:val="90"/>
              </w:rPr>
            </w:pPr>
            <w:hyperlink r:id="rId393">
              <w:r>
                <w:rPr>
                  <w:rFonts w:ascii="Arial" w:cs="Arial" w:eastAsia="Arial" w:hAnsi="Arial"/>
                  <w:sz w:val="18"/>
                  <w:szCs w:val="18"/>
                  <w:color w:val="0000FF"/>
                  <w:w w:val="90"/>
                </w:rPr>
                <w:t>by reference to Exhibit 10.1 to the registrant's quarterly report on Form 10-Q for the quarter ended June 20, 2021 (the ""June 2021 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r:id="rId393">
              <w:r>
                <w:rPr>
                  <w:rFonts w:ascii="Arial" w:cs="Arial" w:eastAsia="Arial" w:hAnsi="Arial"/>
                  <w:sz w:val="18"/>
                  <w:szCs w:val="18"/>
                  <w:color w:val="0000FF"/>
                  <w:w w:val="95"/>
                </w:rPr>
                <w:t>Q"")).</w:t>
              </w:r>
            </w:hyperlink>
          </w:p>
        </w:tc>
        <w:tc>
          <w:tcPr>
            <w:tcW w:w="20" w:type="dxa"/>
            <w:vAlign w:val="bottom"/>
            <w:tcBorders>
              <w:top w:val="single" w:sz="8" w:color="0000FF"/>
              <w:bottom w:val="single" w:sz="8" w:color="0000EE"/>
            </w:tcBorders>
          </w:tcPr>
          <w:p>
            <w:pPr>
              <w:spacing w:after="0"/>
              <w:rPr>
                <w:sz w:val="13"/>
                <w:szCs w:val="13"/>
                <w:color w:val="auto"/>
              </w:rPr>
            </w:pPr>
          </w:p>
        </w:tc>
        <w:tc>
          <w:tcPr>
            <w:tcW w:w="924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10.34*</w:t>
            </w:r>
          </w:p>
        </w:tc>
        <w:tc>
          <w:tcPr>
            <w:tcW w:w="9780" w:type="dxa"/>
            <w:vAlign w:val="bottom"/>
            <w:gridSpan w:val="36"/>
          </w:tcPr>
          <w:p>
            <w:pPr>
              <w:spacing w:after="0"/>
              <w:rPr>
                <w:rFonts w:ascii="Arial" w:cs="Arial" w:eastAsia="Arial" w:hAnsi="Arial"/>
                <w:sz w:val="18"/>
                <w:szCs w:val="18"/>
                <w:color w:val="0000FF"/>
                <w:w w:val="92"/>
              </w:rPr>
            </w:pPr>
            <w:hyperlink r:id="rId394">
              <w:r>
                <w:rPr>
                  <w:rFonts w:ascii="Arial" w:cs="Arial" w:eastAsia="Arial" w:hAnsi="Arial"/>
                  <w:sz w:val="18"/>
                  <w:szCs w:val="18"/>
                  <w:color w:val="0000FF"/>
                  <w:w w:val="92"/>
                </w:rPr>
                <w:t>Form of Performance-Based Restricted Stock Unit Award Agreement under the Amended Domino’s Pizza, Inc. 2004 Equity Incentive</w:t>
              </w:r>
            </w:hyperlink>
          </w:p>
        </w:tc>
      </w:tr>
      <w:tr>
        <w:trPr>
          <w:trHeight w:val="155"/>
        </w:trPr>
        <w:tc>
          <w:tcPr>
            <w:tcW w:w="150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94">
              <w:r>
                <w:rPr>
                  <w:rFonts w:ascii="Arial" w:cs="Arial" w:eastAsia="Arial" w:hAnsi="Arial"/>
                  <w:sz w:val="18"/>
                  <w:szCs w:val="18"/>
                  <w:color w:val="0000FF"/>
                </w:rPr>
                <w:t>Plan (Incorporated by reference to Exhibit 10.2 to the June 2021 10-Q).</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160" w:type="dxa"/>
            <w:vAlign w:val="bottom"/>
            <w:tcBorders>
              <w:right w:val="single" w:sz="8" w:color="0000EE"/>
            </w:tcBorders>
            <w:gridSpan w:val="11"/>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10.35*</w:t>
            </w:r>
          </w:p>
        </w:tc>
        <w:tc>
          <w:tcPr>
            <w:tcW w:w="9780" w:type="dxa"/>
            <w:vAlign w:val="bottom"/>
            <w:gridSpan w:val="36"/>
          </w:tcPr>
          <w:p>
            <w:pPr>
              <w:spacing w:after="0"/>
              <w:rPr>
                <w:rFonts w:ascii="Arial" w:cs="Arial" w:eastAsia="Arial" w:hAnsi="Arial"/>
                <w:sz w:val="18"/>
                <w:szCs w:val="18"/>
                <w:color w:val="0000FF"/>
                <w:w w:val="92"/>
              </w:rPr>
            </w:pPr>
            <w:hyperlink r:id="rId395">
              <w:r>
                <w:rPr>
                  <w:rFonts w:ascii="Arial" w:cs="Arial" w:eastAsia="Arial" w:hAnsi="Arial"/>
                  <w:sz w:val="18"/>
                  <w:szCs w:val="18"/>
                  <w:color w:val="0000FF"/>
                  <w:w w:val="92"/>
                </w:rPr>
                <w:t>Form of Restricted Stock Unit Award Agreement (three-year vesting) under the Amended Domino’s Pizza, Inc. 2004 Equity Incentive</w:t>
              </w:r>
            </w:hyperlink>
          </w:p>
        </w:tc>
      </w:tr>
      <w:tr>
        <w:trPr>
          <w:trHeight w:val="155"/>
        </w:trPr>
        <w:tc>
          <w:tcPr>
            <w:tcW w:w="150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395">
              <w:r>
                <w:rPr>
                  <w:rFonts w:ascii="Arial" w:cs="Arial" w:eastAsia="Arial" w:hAnsi="Arial"/>
                  <w:sz w:val="18"/>
                  <w:szCs w:val="18"/>
                  <w:color w:val="0000FF"/>
                </w:rPr>
                <w:t>Plan (Incorporated by reference to Exhibit 10.3 to the June 2021 10-Q).</w:t>
              </w:r>
            </w:hyperlink>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160" w:type="dxa"/>
            <w:vAlign w:val="bottom"/>
            <w:tcBorders>
              <w:right w:val="single" w:sz="8" w:color="0000EE"/>
            </w:tcBorders>
            <w:gridSpan w:val="11"/>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10.36*</w:t>
            </w:r>
          </w:p>
        </w:tc>
        <w:tc>
          <w:tcPr>
            <w:tcW w:w="9780" w:type="dxa"/>
            <w:vAlign w:val="bottom"/>
            <w:gridSpan w:val="36"/>
          </w:tcPr>
          <w:p>
            <w:pPr>
              <w:spacing w:after="0"/>
              <w:rPr>
                <w:rFonts w:ascii="Arial" w:cs="Arial" w:eastAsia="Arial" w:hAnsi="Arial"/>
                <w:sz w:val="18"/>
                <w:szCs w:val="18"/>
                <w:color w:val="0000FF"/>
                <w:w w:val="93"/>
              </w:rPr>
            </w:pPr>
            <w:hyperlink r:id="rId396">
              <w:r>
                <w:rPr>
                  <w:rFonts w:ascii="Arial" w:cs="Arial" w:eastAsia="Arial" w:hAnsi="Arial"/>
                  <w:sz w:val="18"/>
                  <w:szCs w:val="18"/>
                  <w:color w:val="0000FF"/>
                  <w:w w:val="93"/>
                </w:rPr>
                <w:t>Form of Restricted Stock Unit Award Agreement (two vesting dates) under the Amended Domino’s Pizza, Inc. 2004 Equity Incentive</w:t>
              </w:r>
            </w:hyperlink>
          </w:p>
        </w:tc>
      </w:tr>
      <w:tr>
        <w:trPr>
          <w:trHeight w:val="156"/>
        </w:trPr>
        <w:tc>
          <w:tcPr>
            <w:tcW w:w="150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Arial" w:cs="Arial" w:eastAsia="Arial" w:hAnsi="Arial"/>
                <w:sz w:val="18"/>
                <w:szCs w:val="18"/>
                <w:color w:val="0000FF"/>
                <w:w w:val="91"/>
              </w:rPr>
            </w:pPr>
            <w:hyperlink r:id="rId396">
              <w:r>
                <w:rPr>
                  <w:rFonts w:ascii="Arial" w:cs="Arial" w:eastAsia="Arial" w:hAnsi="Arial"/>
                  <w:sz w:val="18"/>
                  <w:szCs w:val="18"/>
                  <w:color w:val="0000FF"/>
                  <w:w w:val="91"/>
                </w:rPr>
                <w:t>Plan (Incorporated by reference to Exhibit 10.1 to the registrant's quarterly report on Form 10-Q for the quarter ended September 12,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396">
              <w:r>
                <w:rPr>
                  <w:rFonts w:ascii="Arial" w:cs="Arial" w:eastAsia="Arial" w:hAnsi="Arial"/>
                  <w:sz w:val="18"/>
                  <w:szCs w:val="18"/>
                  <w:color w:val="0000FF"/>
                  <w:w w:val="90"/>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10.37*</w:t>
            </w:r>
          </w:p>
        </w:tc>
        <w:tc>
          <w:tcPr>
            <w:tcW w:w="9780" w:type="dxa"/>
            <w:vAlign w:val="bottom"/>
            <w:gridSpan w:val="36"/>
          </w:tcPr>
          <w:p>
            <w:pPr>
              <w:spacing w:after="0"/>
              <w:rPr>
                <w:rFonts w:ascii="Arial" w:cs="Arial" w:eastAsia="Arial" w:hAnsi="Arial"/>
                <w:sz w:val="18"/>
                <w:szCs w:val="18"/>
                <w:color w:val="0000FF"/>
                <w:w w:val="92"/>
              </w:rPr>
            </w:pPr>
            <w:hyperlink r:id="rId397">
              <w:r>
                <w:rPr>
                  <w:rFonts w:ascii="Arial" w:cs="Arial" w:eastAsia="Arial" w:hAnsi="Arial"/>
                  <w:sz w:val="18"/>
                  <w:szCs w:val="18"/>
                  <w:color w:val="0000FF"/>
                  <w:w w:val="92"/>
                </w:rPr>
                <w:t>Employment Agreement dated as of August 28, 2015 between Domino’s Pizza LLC and Jeffrey Lawrence (Incorporated by reference</w:t>
              </w:r>
            </w:hyperlink>
          </w:p>
        </w:tc>
      </w:tr>
      <w:tr>
        <w:trPr>
          <w:trHeight w:val="155"/>
        </w:trPr>
        <w:tc>
          <w:tcPr>
            <w:tcW w:w="150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0"/>
              </w:rPr>
            </w:pPr>
            <w:hyperlink r:id="rId397">
              <w:r>
                <w:rPr>
                  <w:rFonts w:ascii="Arial" w:cs="Arial" w:eastAsia="Arial" w:hAnsi="Arial"/>
                  <w:sz w:val="18"/>
                  <w:szCs w:val="18"/>
                  <w:color w:val="0000FF"/>
                  <w:w w:val="90"/>
                </w:rPr>
                <w:t>to Exhibit 10.1 to the registrant’s quarterly report on Form 10-Q for the quarter ended September 6, 2015).</w:t>
              </w:r>
            </w:hyperlink>
          </w:p>
        </w:tc>
        <w:tc>
          <w:tcPr>
            <w:tcW w:w="20" w:type="dxa"/>
            <w:vAlign w:val="bottom"/>
            <w:tcBorders>
              <w:top w:val="single" w:sz="8" w:color="0000FF"/>
              <w:bottom w:val="single" w:sz="8" w:color="0000EE"/>
            </w:tcBorders>
          </w:tcPr>
          <w:p>
            <w:pPr>
              <w:spacing w:after="0"/>
              <w:rPr>
                <w:sz w:val="13"/>
                <w:szCs w:val="13"/>
                <w:color w:val="auto"/>
              </w:rPr>
            </w:pPr>
          </w:p>
        </w:tc>
        <w:tc>
          <w:tcPr>
            <w:tcW w:w="2000" w:type="dxa"/>
            <w:vAlign w:val="bottom"/>
            <w:tcBorders>
              <w:top w:val="single" w:sz="8" w:color="0000FF"/>
            </w:tcBorders>
            <w:gridSpan w:val="1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500" w:type="dxa"/>
            <w:vAlign w:val="bottom"/>
          </w:tcPr>
          <w:p>
            <w:pPr>
              <w:jc w:val="right"/>
              <w:ind w:right="890"/>
              <w:spacing w:after="0"/>
              <w:rPr>
                <w:sz w:val="20"/>
                <w:szCs w:val="20"/>
                <w:color w:val="auto"/>
              </w:rPr>
            </w:pPr>
            <w:r>
              <w:rPr>
                <w:rFonts w:ascii="Arial" w:cs="Arial" w:eastAsia="Arial" w:hAnsi="Arial"/>
                <w:sz w:val="18"/>
                <w:szCs w:val="18"/>
                <w:color w:val="auto"/>
                <w:w w:val="95"/>
              </w:rPr>
              <w:t>10.38*</w:t>
            </w:r>
          </w:p>
        </w:tc>
        <w:tc>
          <w:tcPr>
            <w:tcW w:w="9780" w:type="dxa"/>
            <w:vAlign w:val="bottom"/>
            <w:gridSpan w:val="36"/>
          </w:tcPr>
          <w:p>
            <w:pPr>
              <w:spacing w:after="0"/>
              <w:rPr>
                <w:rFonts w:ascii="Arial" w:cs="Arial" w:eastAsia="Arial" w:hAnsi="Arial"/>
                <w:sz w:val="18"/>
                <w:szCs w:val="18"/>
                <w:color w:val="0000FF"/>
                <w:w w:val="97"/>
              </w:rPr>
            </w:pPr>
            <w:hyperlink r:id="rId398">
              <w:r>
                <w:rPr>
                  <w:rFonts w:ascii="Arial" w:cs="Arial" w:eastAsia="Arial" w:hAnsi="Arial"/>
                  <w:sz w:val="18"/>
                  <w:szCs w:val="18"/>
                  <w:color w:val="0000FF"/>
                  <w:w w:val="97"/>
                </w:rPr>
                <w:t>Employment Agreement dated as of September 2, 2008 between Domino’s Pizza LLC and Russell J. Weiner (Incorporated by</w:t>
              </w:r>
            </w:hyperlink>
          </w:p>
        </w:tc>
      </w:tr>
      <w:tr>
        <w:trPr>
          <w:trHeight w:val="155"/>
        </w:trPr>
        <w:tc>
          <w:tcPr>
            <w:tcW w:w="1500" w:type="dxa"/>
            <w:vAlign w:val="bottom"/>
          </w:tcPr>
          <w:p>
            <w:pPr>
              <w:spacing w:after="0"/>
              <w:rPr>
                <w:sz w:val="13"/>
                <w:szCs w:val="13"/>
                <w:color w:val="auto"/>
              </w:rPr>
            </w:pPr>
          </w:p>
        </w:tc>
        <w:tc>
          <w:tcPr>
            <w:tcW w:w="91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398">
              <w:r>
                <w:rPr>
                  <w:rFonts w:ascii="Arial" w:cs="Arial" w:eastAsia="Arial" w:hAnsi="Arial"/>
                  <w:sz w:val="18"/>
                  <w:szCs w:val="18"/>
                  <w:color w:val="0000FF"/>
                </w:rPr>
                <w:t>reference to Exhibit 1.01 to the registrant’s current report on Form 8-K filed on September 4, 2008).</w:t>
              </w:r>
            </w:hyperlink>
          </w:p>
        </w:tc>
        <w:tc>
          <w:tcPr>
            <w:tcW w:w="680" w:type="dxa"/>
            <w:vAlign w:val="bottom"/>
            <w:gridSpan w:val="17"/>
          </w:tcPr>
          <w:p>
            <w:pPr>
              <w:spacing w:after="0"/>
              <w:rPr>
                <w:sz w:val="13"/>
                <w:szCs w:val="13"/>
                <w:color w:val="auto"/>
              </w:rPr>
            </w:pPr>
          </w:p>
        </w:tc>
      </w:tr>
      <w:tr>
        <w:trPr>
          <w:trHeight w:val="574"/>
        </w:trPr>
        <w:tc>
          <w:tcPr>
            <w:tcW w:w="1500" w:type="dxa"/>
            <w:vAlign w:val="bottom"/>
          </w:tcPr>
          <w:p>
            <w:pPr>
              <w:spacing w:after="0"/>
              <w:rPr>
                <w:sz w:val="24"/>
                <w:szCs w:val="24"/>
                <w:color w:val="auto"/>
              </w:rPr>
            </w:pPr>
          </w:p>
        </w:tc>
        <w:tc>
          <w:tcPr>
            <w:tcW w:w="5160" w:type="dxa"/>
            <w:vAlign w:val="bottom"/>
            <w:tcBorders>
              <w:top w:val="single" w:sz="8" w:color="0000FF"/>
            </w:tcBorders>
            <w:gridSpan w:val="11"/>
          </w:tcPr>
          <w:p>
            <w:pPr>
              <w:ind w:left="4040"/>
              <w:spacing w:after="0"/>
              <w:rPr>
                <w:sz w:val="20"/>
                <w:szCs w:val="20"/>
                <w:color w:val="auto"/>
              </w:rPr>
            </w:pPr>
            <w:r>
              <w:rPr>
                <w:rFonts w:ascii="Arial" w:cs="Arial" w:eastAsia="Arial" w:hAnsi="Arial"/>
                <w:sz w:val="18"/>
                <w:szCs w:val="18"/>
                <w:color w:val="auto"/>
              </w:rPr>
              <w:t>86</w:t>
            </w:r>
          </w:p>
        </w:tc>
        <w:tc>
          <w:tcPr>
            <w:tcW w:w="3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5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Arial" w:cs="Arial" w:eastAsia="Arial" w:hAnsi="Arial"/>
                <w:sz w:val="18"/>
                <w:szCs w:val="18"/>
                <w:color w:val="auto"/>
              </w:rPr>
              <w:t>10.39*</w:t>
            </w:r>
          </w:p>
        </w:tc>
        <w:tc>
          <w:tcPr>
            <w:tcW w:w="9780" w:type="dxa"/>
            <w:vAlign w:val="bottom"/>
            <w:gridSpan w:val="44"/>
          </w:tcPr>
          <w:p>
            <w:pPr>
              <w:spacing w:after="0"/>
              <w:rPr>
                <w:rFonts w:ascii="Arial" w:cs="Arial" w:eastAsia="Arial" w:hAnsi="Arial"/>
                <w:sz w:val="18"/>
                <w:szCs w:val="18"/>
                <w:color w:val="0000FF"/>
                <w:w w:val="95"/>
              </w:rPr>
            </w:pPr>
            <w:hyperlink r:id="rId401">
              <w:r>
                <w:rPr>
                  <w:rFonts w:ascii="Arial" w:cs="Arial" w:eastAsia="Arial" w:hAnsi="Arial"/>
                  <w:sz w:val="18"/>
                  <w:szCs w:val="18"/>
                  <w:color w:val="0000FF"/>
                  <w:w w:val="95"/>
                </w:rPr>
                <w:t>Amendment to the Employment Agreement dated as of September 2, 2008 between Domino’s Pizza LLC and Russell J. Weiner</w:t>
              </w:r>
            </w:hyperlink>
          </w:p>
        </w:tc>
      </w:tr>
      <w:tr>
        <w:trPr>
          <w:trHeight w:val="156"/>
        </w:trPr>
        <w:tc>
          <w:tcPr>
            <w:tcW w:w="1500" w:type="dxa"/>
            <w:vAlign w:val="bottom"/>
          </w:tcPr>
          <w:p>
            <w:pPr>
              <w:spacing w:after="0"/>
              <w:rPr>
                <w:sz w:val="13"/>
                <w:szCs w:val="13"/>
                <w:color w:val="auto"/>
              </w:rPr>
            </w:pPr>
          </w:p>
        </w:tc>
        <w:tc>
          <w:tcPr>
            <w:tcW w:w="9260" w:type="dxa"/>
            <w:vAlign w:val="bottom"/>
            <w:tcBorders>
              <w:top w:val="single" w:sz="8" w:color="0000FF"/>
            </w:tcBorders>
            <w:gridSpan w:val="27"/>
          </w:tcPr>
          <w:p>
            <w:pPr>
              <w:spacing w:after="0" w:line="156" w:lineRule="exact"/>
              <w:rPr>
                <w:rFonts w:ascii="Arial" w:cs="Arial" w:eastAsia="Arial" w:hAnsi="Arial"/>
                <w:sz w:val="18"/>
                <w:szCs w:val="18"/>
                <w:color w:val="0000FF"/>
                <w:w w:val="99"/>
              </w:rPr>
            </w:pPr>
            <w:hyperlink r:id="rId401">
              <w:r>
                <w:rPr>
                  <w:rFonts w:ascii="Arial" w:cs="Arial" w:eastAsia="Arial" w:hAnsi="Arial"/>
                  <w:sz w:val="18"/>
                  <w:szCs w:val="18"/>
                  <w:color w:val="0000FF"/>
                  <w:w w:val="99"/>
                </w:rPr>
                <w:t>(Incorporated by reference to Exhibit 10.4 to the registrant’s current report on Form 8-K filed on December 24, 2008).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10.40*</w:t>
            </w:r>
          </w:p>
        </w:tc>
        <w:tc>
          <w:tcPr>
            <w:tcW w:w="9780" w:type="dxa"/>
            <w:vAlign w:val="bottom"/>
            <w:gridSpan w:val="44"/>
          </w:tcPr>
          <w:p>
            <w:pPr>
              <w:spacing w:after="0"/>
              <w:rPr>
                <w:rFonts w:ascii="Arial" w:cs="Arial" w:eastAsia="Arial" w:hAnsi="Arial"/>
                <w:sz w:val="18"/>
                <w:szCs w:val="18"/>
                <w:color w:val="0000FF"/>
              </w:rPr>
            </w:pPr>
            <w:hyperlink r:id="rId402">
              <w:r>
                <w:rPr>
                  <w:rFonts w:ascii="Arial" w:cs="Arial" w:eastAsia="Arial" w:hAnsi="Arial"/>
                  <w:sz w:val="18"/>
                  <w:szCs w:val="18"/>
                  <w:color w:val="0000FF"/>
                </w:rPr>
                <w:t>Amendment to the Employment Agreement dated as of July 26, 2010 between Domino’s Pizza LLC and Russell J. Weiner</w:t>
              </w:r>
            </w:hyperlink>
          </w:p>
        </w:tc>
      </w:tr>
      <w:tr>
        <w:trPr>
          <w:trHeight w:val="155"/>
        </w:trPr>
        <w:tc>
          <w:tcPr>
            <w:tcW w:w="150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1"/>
              </w:rPr>
            </w:pPr>
            <w:hyperlink r:id="rId402">
              <w:r>
                <w:rPr>
                  <w:rFonts w:ascii="Arial" w:cs="Arial" w:eastAsia="Arial" w:hAnsi="Arial"/>
                  <w:sz w:val="18"/>
                  <w:szCs w:val="18"/>
                  <w:color w:val="0000FF"/>
                  <w:w w:val="91"/>
                </w:rPr>
                <w:t>(Incorporated by reference to Exhibit 10.3 to the registrant’s quarterly report on Form 10-Q for the quarter ended June 20,</w:t>
              </w:r>
            </w:hyperlink>
          </w:p>
        </w:tc>
        <w:tc>
          <w:tcPr>
            <w:tcW w:w="440" w:type="dxa"/>
            <w:vAlign w:val="bottom"/>
            <w:tcBorders>
              <w:bottom w:val="single" w:sz="8" w:color="0000FF"/>
            </w:tcBorders>
            <w:gridSpan w:val="5"/>
          </w:tcPr>
          <w:p>
            <w:pPr>
              <w:jc w:val="right"/>
              <w:ind w:right="20"/>
              <w:spacing w:after="0" w:line="156" w:lineRule="exact"/>
              <w:rPr>
                <w:rFonts w:ascii="Arial" w:cs="Arial" w:eastAsia="Arial" w:hAnsi="Arial"/>
                <w:sz w:val="18"/>
                <w:szCs w:val="18"/>
                <w:color w:val="0000FF"/>
                <w:w w:val="78"/>
              </w:rPr>
            </w:pPr>
            <w:hyperlink r:id="rId402">
              <w:r>
                <w:rPr>
                  <w:rFonts w:ascii="Arial" w:cs="Arial" w:eastAsia="Arial" w:hAnsi="Arial"/>
                  <w:sz w:val="18"/>
                  <w:szCs w:val="18"/>
                  <w:color w:val="0000FF"/>
                  <w:w w:val="78"/>
                </w:rPr>
                <w:t>2010).</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10.41*</w:t>
            </w:r>
          </w:p>
        </w:tc>
        <w:tc>
          <w:tcPr>
            <w:tcW w:w="9780" w:type="dxa"/>
            <w:vAlign w:val="bottom"/>
            <w:gridSpan w:val="44"/>
          </w:tcPr>
          <w:p>
            <w:pPr>
              <w:spacing w:after="0"/>
              <w:rPr>
                <w:rFonts w:ascii="Arial" w:cs="Arial" w:eastAsia="Arial" w:hAnsi="Arial"/>
                <w:sz w:val="18"/>
                <w:szCs w:val="18"/>
                <w:color w:val="0000FF"/>
                <w:w w:val="96"/>
              </w:rPr>
            </w:pPr>
            <w:hyperlink r:id="rId403">
              <w:r>
                <w:rPr>
                  <w:rFonts w:ascii="Arial" w:cs="Arial" w:eastAsia="Arial" w:hAnsi="Arial"/>
                  <w:sz w:val="18"/>
                  <w:szCs w:val="18"/>
                  <w:color w:val="0000FF"/>
                  <w:w w:val="96"/>
                </w:rPr>
                <w:t>Employment Agreement dated as of January 8, 2018 between Domino’s Pizza, Inc., Domino’s Pizza LLC and Russell J. Weiner</w:t>
              </w:r>
            </w:hyperlink>
          </w:p>
        </w:tc>
      </w:tr>
      <w:tr>
        <w:trPr>
          <w:trHeight w:val="156"/>
        </w:trPr>
        <w:tc>
          <w:tcPr>
            <w:tcW w:w="150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403">
              <w:r>
                <w:rPr>
                  <w:rFonts w:ascii="Arial" w:cs="Arial" w:eastAsia="Arial" w:hAnsi="Arial"/>
                  <w:sz w:val="18"/>
                  <w:szCs w:val="18"/>
                  <w:color w:val="0000FF"/>
                  <w:w w:val="90"/>
                </w:rPr>
                <w:t>(Incorporated by reference to Exhibit 10.2 to the January 2018 8-K).</w:t>
              </w:r>
            </w:hyperlink>
          </w:p>
        </w:tc>
        <w:tc>
          <w:tcPr>
            <w:tcW w:w="20" w:type="dxa"/>
            <w:vAlign w:val="bottom"/>
            <w:tcBorders>
              <w:top w:val="single" w:sz="8" w:color="0000FF"/>
              <w:bottom w:val="single" w:sz="8" w:color="0000EE"/>
            </w:tcBorders>
          </w:tcPr>
          <w:p>
            <w:pPr>
              <w:spacing w:after="0"/>
              <w:rPr>
                <w:sz w:val="13"/>
                <w:szCs w:val="13"/>
                <w:color w:val="auto"/>
              </w:rPr>
            </w:pPr>
          </w:p>
        </w:tc>
        <w:tc>
          <w:tcPr>
            <w:tcW w:w="43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10.42*</w:t>
            </w:r>
          </w:p>
        </w:tc>
        <w:tc>
          <w:tcPr>
            <w:tcW w:w="9780" w:type="dxa"/>
            <w:vAlign w:val="bottom"/>
            <w:gridSpan w:val="44"/>
          </w:tcPr>
          <w:p>
            <w:pPr>
              <w:spacing w:after="0"/>
              <w:rPr>
                <w:rFonts w:ascii="Arial" w:cs="Arial" w:eastAsia="Arial" w:hAnsi="Arial"/>
                <w:sz w:val="18"/>
                <w:szCs w:val="18"/>
                <w:color w:val="0000FF"/>
                <w:w w:val="97"/>
              </w:rPr>
            </w:pPr>
            <w:hyperlink r:id="rId404">
              <w:r>
                <w:rPr>
                  <w:rFonts w:ascii="Arial" w:cs="Arial" w:eastAsia="Arial" w:hAnsi="Arial"/>
                  <w:sz w:val="18"/>
                  <w:szCs w:val="18"/>
                  <w:color w:val="0000FF"/>
                  <w:w w:val="97"/>
                </w:rPr>
                <w:t>Employment Agreement dated as of March 14, 2011 between Domino’s Pizza LLC and Richard E. Allison, Jr. (Incorporated by</w:t>
              </w:r>
            </w:hyperlink>
          </w:p>
        </w:tc>
      </w:tr>
      <w:tr>
        <w:trPr>
          <w:trHeight w:val="155"/>
        </w:trPr>
        <w:tc>
          <w:tcPr>
            <w:tcW w:w="150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0"/>
              </w:rPr>
            </w:pPr>
            <w:hyperlink r:id="rId404">
              <w:r>
                <w:rPr>
                  <w:rFonts w:ascii="Arial" w:cs="Arial" w:eastAsia="Arial" w:hAnsi="Arial"/>
                  <w:sz w:val="18"/>
                  <w:szCs w:val="18"/>
                  <w:color w:val="0000FF"/>
                  <w:w w:val="90"/>
                </w:rPr>
                <w:t>reference to Exhibit 10.1 to the registrant’s quarterly report on Form 10-Q for the quarter ended March 27, 2011).</w:t>
              </w:r>
            </w:hyperlink>
          </w:p>
        </w:tc>
        <w:tc>
          <w:tcPr>
            <w:tcW w:w="20" w:type="dxa"/>
            <w:vAlign w:val="bottom"/>
            <w:tcBorders>
              <w:top w:val="single" w:sz="8" w:color="0000FF"/>
              <w:bottom w:val="single" w:sz="8" w:color="0000EE"/>
            </w:tcBorders>
          </w:tcPr>
          <w:p>
            <w:pPr>
              <w:spacing w:after="0"/>
              <w:rPr>
                <w:sz w:val="13"/>
                <w:szCs w:val="13"/>
                <w:color w:val="auto"/>
              </w:rPr>
            </w:pPr>
          </w:p>
        </w:tc>
        <w:tc>
          <w:tcPr>
            <w:tcW w:w="106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10.43*</w:t>
            </w:r>
          </w:p>
        </w:tc>
        <w:tc>
          <w:tcPr>
            <w:tcW w:w="9780" w:type="dxa"/>
            <w:vAlign w:val="bottom"/>
            <w:gridSpan w:val="44"/>
          </w:tcPr>
          <w:p>
            <w:pPr>
              <w:spacing w:after="0"/>
              <w:rPr>
                <w:rFonts w:ascii="Arial" w:cs="Arial" w:eastAsia="Arial" w:hAnsi="Arial"/>
                <w:sz w:val="18"/>
                <w:szCs w:val="18"/>
                <w:color w:val="0000FF"/>
                <w:w w:val="93"/>
              </w:rPr>
            </w:pPr>
            <w:hyperlink r:id="rId405">
              <w:r>
                <w:rPr>
                  <w:rFonts w:ascii="Arial" w:cs="Arial" w:eastAsia="Arial" w:hAnsi="Arial"/>
                  <w:sz w:val="18"/>
                  <w:szCs w:val="18"/>
                  <w:color w:val="0000FF"/>
                  <w:w w:val="93"/>
                </w:rPr>
                <w:t>Employment Agreement dated as of January 8, 2018 between Domino’s Pizza, Inc., Domino’s Pizza LLC and Richard E. Allison, Jr.</w:t>
              </w:r>
            </w:hyperlink>
          </w:p>
        </w:tc>
      </w:tr>
      <w:tr>
        <w:trPr>
          <w:trHeight w:val="156"/>
        </w:trPr>
        <w:tc>
          <w:tcPr>
            <w:tcW w:w="150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405">
              <w:r>
                <w:rPr>
                  <w:rFonts w:ascii="Arial" w:cs="Arial" w:eastAsia="Arial" w:hAnsi="Arial"/>
                  <w:sz w:val="18"/>
                  <w:szCs w:val="18"/>
                  <w:color w:val="0000FF"/>
                  <w:w w:val="90"/>
                </w:rPr>
                <w:t>(Incorporated by reference to Exhibit 10.1 to the January 2018 8-K).</w:t>
              </w:r>
            </w:hyperlink>
          </w:p>
        </w:tc>
        <w:tc>
          <w:tcPr>
            <w:tcW w:w="20" w:type="dxa"/>
            <w:vAlign w:val="bottom"/>
            <w:tcBorders>
              <w:top w:val="single" w:sz="8" w:color="0000FF"/>
              <w:bottom w:val="single" w:sz="8" w:color="0000EE"/>
            </w:tcBorders>
          </w:tcPr>
          <w:p>
            <w:pPr>
              <w:spacing w:after="0"/>
              <w:rPr>
                <w:sz w:val="13"/>
                <w:szCs w:val="13"/>
                <w:color w:val="auto"/>
              </w:rPr>
            </w:pPr>
          </w:p>
        </w:tc>
        <w:tc>
          <w:tcPr>
            <w:tcW w:w="46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10.44*</w:t>
            </w:r>
          </w:p>
        </w:tc>
        <w:tc>
          <w:tcPr>
            <w:tcW w:w="9780" w:type="dxa"/>
            <w:vAlign w:val="bottom"/>
            <w:gridSpan w:val="44"/>
          </w:tcPr>
          <w:p>
            <w:pPr>
              <w:spacing w:after="0"/>
              <w:rPr>
                <w:rFonts w:ascii="Arial" w:cs="Arial" w:eastAsia="Arial" w:hAnsi="Arial"/>
                <w:sz w:val="18"/>
                <w:szCs w:val="18"/>
                <w:color w:val="0000FF"/>
                <w:w w:val="96"/>
              </w:rPr>
            </w:pPr>
            <w:hyperlink r:id="rId406">
              <w:r>
                <w:rPr>
                  <w:rFonts w:ascii="Arial" w:cs="Arial" w:eastAsia="Arial" w:hAnsi="Arial"/>
                  <w:sz w:val="18"/>
                  <w:szCs w:val="18"/>
                  <w:color w:val="0000FF"/>
                  <w:w w:val="96"/>
                </w:rPr>
                <w:t>Time Sharing Agreement dated as of January 8, 2018 between Domino’s Pizza LLC and Richard E. Allison, Jr. (Incorporated by</w:t>
              </w:r>
            </w:hyperlink>
          </w:p>
        </w:tc>
      </w:tr>
      <w:tr>
        <w:trPr>
          <w:trHeight w:val="155"/>
        </w:trPr>
        <w:tc>
          <w:tcPr>
            <w:tcW w:w="150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406">
              <w:r>
                <w:rPr>
                  <w:rFonts w:ascii="Arial" w:cs="Arial" w:eastAsia="Arial" w:hAnsi="Arial"/>
                  <w:sz w:val="18"/>
                  <w:szCs w:val="18"/>
                  <w:color w:val="0000FF"/>
                  <w:w w:val="91"/>
                </w:rPr>
                <w:t>reference to Exhibit 10.3 to the January 2018 8-K).</w:t>
              </w:r>
            </w:hyperlink>
          </w:p>
        </w:tc>
        <w:tc>
          <w:tcPr>
            <w:tcW w:w="56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10.45*</w:t>
            </w:r>
          </w:p>
        </w:tc>
        <w:tc>
          <w:tcPr>
            <w:tcW w:w="9780" w:type="dxa"/>
            <w:vAlign w:val="bottom"/>
            <w:gridSpan w:val="44"/>
          </w:tcPr>
          <w:p>
            <w:pPr>
              <w:spacing w:after="0"/>
              <w:rPr>
                <w:rFonts w:ascii="Arial" w:cs="Arial" w:eastAsia="Arial" w:hAnsi="Arial"/>
                <w:sz w:val="18"/>
                <w:szCs w:val="18"/>
                <w:color w:val="0000FF"/>
                <w:w w:val="92"/>
              </w:rPr>
            </w:pPr>
            <w:hyperlink r:id="rId407">
              <w:r>
                <w:rPr>
                  <w:rFonts w:ascii="Arial" w:cs="Arial" w:eastAsia="Arial" w:hAnsi="Arial"/>
                  <w:sz w:val="18"/>
                  <w:szCs w:val="18"/>
                  <w:color w:val="0000FF"/>
                  <w:w w:val="92"/>
                </w:rPr>
                <w:t>Addendum to Amended and Restated Employment Agreement dated as of June 22, 2018 between Domino’s Pizza LLC and David A.</w:t>
              </w:r>
            </w:hyperlink>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41"/>
          </w:tcPr>
          <w:p>
            <w:pPr>
              <w:spacing w:after="0" w:line="156" w:lineRule="exact"/>
              <w:rPr>
                <w:rFonts w:ascii="Arial" w:cs="Arial" w:eastAsia="Arial" w:hAnsi="Arial"/>
                <w:sz w:val="18"/>
                <w:szCs w:val="18"/>
                <w:color w:val="0000FF"/>
                <w:w w:val="93"/>
              </w:rPr>
            </w:pPr>
            <w:hyperlink r:id="rId407">
              <w:r>
                <w:rPr>
                  <w:rFonts w:ascii="Arial" w:cs="Arial" w:eastAsia="Arial" w:hAnsi="Arial"/>
                  <w:sz w:val="18"/>
                  <w:szCs w:val="18"/>
                  <w:color w:val="0000FF"/>
                  <w:w w:val="93"/>
                </w:rPr>
                <w:t>Brandon (Incorporated by reference to Exhibit 10.1 to the registrant’s quarterly report on Form 10-Q for the quarter ended June 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407">
              <w:r>
                <w:rPr>
                  <w:rFonts w:ascii="Arial" w:cs="Arial" w:eastAsia="Arial" w:hAnsi="Arial"/>
                  <w:sz w:val="18"/>
                  <w:szCs w:val="18"/>
                  <w:color w:val="0000FF"/>
                  <w:w w:val="91"/>
                </w:rPr>
                <w:t>2018 (the “June 2018 10-Q”)).</w:t>
              </w:r>
            </w:hyperlink>
          </w:p>
        </w:tc>
        <w:tc>
          <w:tcPr>
            <w:tcW w:w="20" w:type="dxa"/>
            <w:vAlign w:val="bottom"/>
            <w:tcBorders>
              <w:top w:val="single" w:sz="8" w:color="0000FF"/>
              <w:bottom w:val="single" w:sz="8" w:color="0000EE"/>
            </w:tcBorders>
          </w:tcPr>
          <w:p>
            <w:pPr>
              <w:spacing w:after="0"/>
              <w:rPr>
                <w:sz w:val="13"/>
                <w:szCs w:val="13"/>
                <w:color w:val="auto"/>
              </w:rPr>
            </w:pPr>
          </w:p>
        </w:tc>
        <w:tc>
          <w:tcPr>
            <w:tcW w:w="726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10.46*</w:t>
            </w:r>
          </w:p>
        </w:tc>
        <w:tc>
          <w:tcPr>
            <w:tcW w:w="9780" w:type="dxa"/>
            <w:vAlign w:val="bottom"/>
            <w:gridSpan w:val="44"/>
          </w:tcPr>
          <w:p>
            <w:pPr>
              <w:spacing w:after="0"/>
              <w:rPr>
                <w:rFonts w:ascii="Arial" w:cs="Arial" w:eastAsia="Arial" w:hAnsi="Arial"/>
                <w:sz w:val="18"/>
                <w:szCs w:val="18"/>
                <w:color w:val="0000FF"/>
                <w:w w:val="91"/>
              </w:rPr>
            </w:pPr>
            <w:hyperlink r:id="rId408">
              <w:r>
                <w:rPr>
                  <w:rFonts w:ascii="Arial" w:cs="Arial" w:eastAsia="Arial" w:hAnsi="Arial"/>
                  <w:sz w:val="18"/>
                  <w:szCs w:val="18"/>
                  <w:color w:val="0000FF"/>
                  <w:w w:val="91"/>
                </w:rPr>
                <w:t>Second Addendum to Amended and Restated Employment Agreement dated as of December 29, 2018 between Domino’s Pizza LLC</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9"/>
          </w:tcPr>
          <w:p>
            <w:pPr>
              <w:spacing w:after="0" w:line="156" w:lineRule="exact"/>
              <w:rPr>
                <w:rFonts w:ascii="Arial" w:cs="Arial" w:eastAsia="Arial" w:hAnsi="Arial"/>
                <w:sz w:val="18"/>
                <w:szCs w:val="18"/>
                <w:color w:val="0000FF"/>
                <w:w w:val="92"/>
              </w:rPr>
            </w:pPr>
            <w:hyperlink r:id="rId408">
              <w:r>
                <w:rPr>
                  <w:rFonts w:ascii="Arial" w:cs="Arial" w:eastAsia="Arial" w:hAnsi="Arial"/>
                  <w:sz w:val="18"/>
                  <w:szCs w:val="18"/>
                  <w:color w:val="0000FF"/>
                  <w:w w:val="92"/>
                </w:rPr>
                <w:t>and David A. Brandon (Incorporated by reference to Exhibit 10.39 to the registrant’s annual report on Form 10-K for the year ended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408">
              <w:r>
                <w:rPr>
                  <w:rFonts w:ascii="Arial" w:cs="Arial" w:eastAsia="Arial" w:hAnsi="Arial"/>
                  <w:sz w:val="18"/>
                  <w:szCs w:val="18"/>
                  <w:color w:val="0000FF"/>
                  <w:w w:val="91"/>
                </w:rPr>
                <w:t>December 30, 2018 (the “December 2018 10-K”)).</w:t>
              </w:r>
            </w:hyperlink>
          </w:p>
        </w:tc>
        <w:tc>
          <w:tcPr>
            <w:tcW w:w="20" w:type="dxa"/>
            <w:vAlign w:val="bottom"/>
            <w:tcBorders>
              <w:top w:val="single" w:sz="8" w:color="0000FF"/>
              <w:bottom w:val="single" w:sz="8" w:color="0000EE"/>
            </w:tcBorders>
          </w:tcPr>
          <w:p>
            <w:pPr>
              <w:spacing w:after="0"/>
              <w:rPr>
                <w:sz w:val="13"/>
                <w:szCs w:val="13"/>
                <w:color w:val="auto"/>
              </w:rPr>
            </w:pPr>
          </w:p>
        </w:tc>
        <w:tc>
          <w:tcPr>
            <w:tcW w:w="5880" w:type="dxa"/>
            <w:vAlign w:val="bottom"/>
            <w:tcBorders>
              <w:top w:val="single" w:sz="8" w:color="0000FF"/>
            </w:tcBorders>
            <w:gridSpan w:val="21"/>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10.47*</w:t>
            </w:r>
          </w:p>
        </w:tc>
        <w:tc>
          <w:tcPr>
            <w:tcW w:w="9780" w:type="dxa"/>
            <w:vAlign w:val="bottom"/>
            <w:gridSpan w:val="44"/>
          </w:tcPr>
          <w:p>
            <w:pPr>
              <w:spacing w:after="0"/>
              <w:rPr>
                <w:rFonts w:ascii="Arial" w:cs="Arial" w:eastAsia="Arial" w:hAnsi="Arial"/>
                <w:sz w:val="18"/>
                <w:szCs w:val="18"/>
                <w:color w:val="0000FF"/>
                <w:w w:val="92"/>
              </w:rPr>
            </w:pPr>
            <w:hyperlink r:id="rId409">
              <w:r>
                <w:rPr>
                  <w:rFonts w:ascii="Arial" w:cs="Arial" w:eastAsia="Arial" w:hAnsi="Arial"/>
                  <w:sz w:val="18"/>
                  <w:szCs w:val="18"/>
                  <w:color w:val="0000FF"/>
                  <w:w w:val="92"/>
                </w:rPr>
                <w:t>Third Addendum to Amended and Restated Employment Agreement dated as of January 30, 2020 between Domino’s Pizza LLC and</w:t>
              </w:r>
            </w:hyperlink>
          </w:p>
        </w:tc>
      </w:tr>
      <w:tr>
        <w:trPr>
          <w:trHeight w:val="155"/>
        </w:trPr>
        <w:tc>
          <w:tcPr>
            <w:tcW w:w="1500" w:type="dxa"/>
            <w:vAlign w:val="bottom"/>
          </w:tcPr>
          <w:p>
            <w:pPr>
              <w:spacing w:after="0"/>
              <w:rPr>
                <w:sz w:val="13"/>
                <w:szCs w:val="13"/>
                <w:color w:val="auto"/>
              </w:rPr>
            </w:pPr>
          </w:p>
        </w:tc>
        <w:tc>
          <w:tcPr>
            <w:tcW w:w="9660" w:type="dxa"/>
            <w:vAlign w:val="bottom"/>
            <w:tcBorders>
              <w:top w:val="single" w:sz="8" w:color="0000FF"/>
            </w:tcBorders>
            <w:gridSpan w:val="38"/>
          </w:tcPr>
          <w:p>
            <w:pPr>
              <w:spacing w:after="0" w:line="156" w:lineRule="exact"/>
              <w:rPr>
                <w:rFonts w:ascii="Arial" w:cs="Arial" w:eastAsia="Arial" w:hAnsi="Arial"/>
                <w:sz w:val="18"/>
                <w:szCs w:val="18"/>
                <w:color w:val="0000FF"/>
                <w:w w:val="92"/>
              </w:rPr>
            </w:pPr>
            <w:hyperlink r:id="rId409">
              <w:r>
                <w:rPr>
                  <w:rFonts w:ascii="Arial" w:cs="Arial" w:eastAsia="Arial" w:hAnsi="Arial"/>
                  <w:sz w:val="18"/>
                  <w:szCs w:val="18"/>
                  <w:color w:val="0000FF"/>
                  <w:w w:val="92"/>
                </w:rPr>
                <w:t>David A. Brandon (Incorporated by reference to Exhibit 10.1 to the registrant’s quarterly report on Form 10-Q for the quarter ended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5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09">
              <w:r>
                <w:rPr>
                  <w:rFonts w:ascii="Arial" w:cs="Arial" w:eastAsia="Arial" w:hAnsi="Arial"/>
                  <w:sz w:val="18"/>
                  <w:szCs w:val="18"/>
                  <w:color w:val="0000FF"/>
                </w:rPr>
                <w:t>March 22, 2020).</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10.48*</w:t>
            </w:r>
          </w:p>
        </w:tc>
        <w:tc>
          <w:tcPr>
            <w:tcW w:w="9780" w:type="dxa"/>
            <w:vAlign w:val="bottom"/>
            <w:gridSpan w:val="44"/>
          </w:tcPr>
          <w:p>
            <w:pPr>
              <w:spacing w:after="0"/>
              <w:rPr>
                <w:rFonts w:ascii="Arial" w:cs="Arial" w:eastAsia="Arial" w:hAnsi="Arial"/>
                <w:sz w:val="18"/>
                <w:szCs w:val="18"/>
                <w:color w:val="0000FF"/>
                <w:w w:val="91"/>
              </w:rPr>
            </w:pPr>
            <w:hyperlink r:id="rId410">
              <w:r>
                <w:rPr>
                  <w:rFonts w:ascii="Arial" w:cs="Arial" w:eastAsia="Arial" w:hAnsi="Arial"/>
                  <w:sz w:val="18"/>
                  <w:szCs w:val="18"/>
                  <w:color w:val="0000FF"/>
                  <w:w w:val="91"/>
                </w:rPr>
                <w:t>Employment Agreement dated as of February 11, 2012 between Domino’s Pizza LLC and J. Kevin Vasconi (Incorporated by reference</w:t>
              </w:r>
            </w:hyperlink>
          </w:p>
        </w:tc>
      </w:tr>
      <w:tr>
        <w:trPr>
          <w:trHeight w:val="155"/>
        </w:trPr>
        <w:tc>
          <w:tcPr>
            <w:tcW w:w="150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410">
              <w:r>
                <w:rPr>
                  <w:rFonts w:ascii="Arial" w:cs="Arial" w:eastAsia="Arial" w:hAnsi="Arial"/>
                  <w:sz w:val="18"/>
                  <w:szCs w:val="18"/>
                  <w:color w:val="0000FF"/>
                  <w:w w:val="91"/>
                </w:rPr>
                <w:t>to Exhibit 10.39 to the December 2018 10-K).</w:t>
              </w:r>
            </w:hyperlink>
          </w:p>
        </w:tc>
        <w:tc>
          <w:tcPr>
            <w:tcW w:w="20" w:type="dxa"/>
            <w:vAlign w:val="bottom"/>
            <w:tcBorders>
              <w:top w:val="single" w:sz="8" w:color="0000FF"/>
              <w:bottom w:val="single" w:sz="8" w:color="0000EE"/>
            </w:tcBorders>
          </w:tcPr>
          <w:p>
            <w:pPr>
              <w:spacing w:after="0"/>
              <w:rPr>
                <w:sz w:val="13"/>
                <w:szCs w:val="13"/>
                <w:color w:val="auto"/>
              </w:rPr>
            </w:pPr>
          </w:p>
        </w:tc>
        <w:tc>
          <w:tcPr>
            <w:tcW w:w="642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10.49*</w:t>
            </w:r>
          </w:p>
        </w:tc>
        <w:tc>
          <w:tcPr>
            <w:tcW w:w="9780" w:type="dxa"/>
            <w:vAlign w:val="bottom"/>
            <w:gridSpan w:val="44"/>
          </w:tcPr>
          <w:p>
            <w:pPr>
              <w:spacing w:after="0"/>
              <w:rPr>
                <w:rFonts w:ascii="Arial" w:cs="Arial" w:eastAsia="Arial" w:hAnsi="Arial"/>
                <w:sz w:val="18"/>
                <w:szCs w:val="18"/>
                <w:color w:val="0000FF"/>
                <w:w w:val="92"/>
              </w:rPr>
            </w:pPr>
            <w:hyperlink r:id="rId411">
              <w:r>
                <w:rPr>
                  <w:rFonts w:ascii="Arial" w:cs="Arial" w:eastAsia="Arial" w:hAnsi="Arial"/>
                  <w:sz w:val="18"/>
                  <w:szCs w:val="18"/>
                  <w:color w:val="0000FF"/>
                  <w:w w:val="92"/>
                </w:rPr>
                <w:t>Separation Agreement dated as of October 2, 2020 between Domino’s Pizza LLC and J. Kevin Vasconi (Incorporated by reference to</w:t>
              </w:r>
            </w:hyperlink>
          </w:p>
        </w:tc>
      </w:tr>
      <w:tr>
        <w:trPr>
          <w:trHeight w:val="156"/>
        </w:trPr>
        <w:tc>
          <w:tcPr>
            <w:tcW w:w="1500" w:type="dxa"/>
            <w:vAlign w:val="bottom"/>
          </w:tcPr>
          <w:p>
            <w:pPr>
              <w:spacing w:after="0"/>
              <w:rPr>
                <w:sz w:val="13"/>
                <w:szCs w:val="13"/>
                <w:color w:val="auto"/>
              </w:rPr>
            </w:pPr>
          </w:p>
        </w:tc>
        <w:tc>
          <w:tcPr>
            <w:tcW w:w="964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411">
              <w:r>
                <w:rPr>
                  <w:rFonts w:ascii="Arial" w:cs="Arial" w:eastAsia="Arial" w:hAnsi="Arial"/>
                  <w:sz w:val="18"/>
                  <w:szCs w:val="18"/>
                  <w:color w:val="0000FF"/>
                </w:rPr>
                <w:t>Exhibit 10.43 the registrant's annual report on Form 10-K for the year ended January 3, 2021).</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10.50*</w:t>
            </w:r>
          </w:p>
        </w:tc>
        <w:tc>
          <w:tcPr>
            <w:tcW w:w="9780" w:type="dxa"/>
            <w:vAlign w:val="bottom"/>
            <w:gridSpan w:val="44"/>
          </w:tcPr>
          <w:p>
            <w:pPr>
              <w:spacing w:after="0"/>
              <w:rPr>
                <w:rFonts w:ascii="Arial" w:cs="Arial" w:eastAsia="Arial" w:hAnsi="Arial"/>
                <w:sz w:val="18"/>
                <w:szCs w:val="18"/>
                <w:color w:val="0000FF"/>
                <w:w w:val="92"/>
              </w:rPr>
            </w:pPr>
            <w:hyperlink r:id="rId412">
              <w:r>
                <w:rPr>
                  <w:rFonts w:ascii="Arial" w:cs="Arial" w:eastAsia="Arial" w:hAnsi="Arial"/>
                  <w:sz w:val="18"/>
                  <w:szCs w:val="18"/>
                  <w:color w:val="0000FF"/>
                  <w:w w:val="92"/>
                </w:rPr>
                <w:t>Employment Agreement dated as of April 9, 2018 between Domino’s Pizza LLC and Joseph H. Jordan (Incorporated by reference to</w:t>
              </w:r>
            </w:hyperlink>
          </w:p>
        </w:tc>
      </w:tr>
      <w:tr>
        <w:trPr>
          <w:trHeight w:val="155"/>
        </w:trPr>
        <w:tc>
          <w:tcPr>
            <w:tcW w:w="150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412">
              <w:r>
                <w:rPr>
                  <w:rFonts w:ascii="Arial" w:cs="Arial" w:eastAsia="Arial" w:hAnsi="Arial"/>
                  <w:sz w:val="18"/>
                  <w:szCs w:val="18"/>
                  <w:color w:val="0000FF"/>
                  <w:w w:val="91"/>
                </w:rPr>
                <w:t>Exhibit 10.39 to the December 2018 10-K).</w:t>
              </w:r>
            </w:hyperlink>
          </w:p>
        </w:tc>
        <w:tc>
          <w:tcPr>
            <w:tcW w:w="20" w:type="dxa"/>
            <w:vAlign w:val="bottom"/>
            <w:tcBorders>
              <w:top w:val="single" w:sz="8" w:color="0000FF"/>
              <w:bottom w:val="single" w:sz="8" w:color="0000EE"/>
            </w:tcBorders>
          </w:tcPr>
          <w:p>
            <w:pPr>
              <w:spacing w:after="0"/>
              <w:rPr>
                <w:sz w:val="13"/>
                <w:szCs w:val="13"/>
                <w:color w:val="auto"/>
              </w:rPr>
            </w:pPr>
          </w:p>
        </w:tc>
        <w:tc>
          <w:tcPr>
            <w:tcW w:w="6460" w:type="dxa"/>
            <w:vAlign w:val="bottom"/>
            <w:tcBorders>
              <w:top w:val="single" w:sz="8" w:color="0000FF"/>
            </w:tcBorders>
            <w:gridSpan w:val="27"/>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10.51*</w:t>
            </w:r>
          </w:p>
        </w:tc>
        <w:tc>
          <w:tcPr>
            <w:tcW w:w="9780" w:type="dxa"/>
            <w:vAlign w:val="bottom"/>
            <w:gridSpan w:val="44"/>
          </w:tcPr>
          <w:p>
            <w:pPr>
              <w:spacing w:after="0"/>
              <w:rPr>
                <w:rFonts w:ascii="Arial" w:cs="Arial" w:eastAsia="Arial" w:hAnsi="Arial"/>
                <w:sz w:val="18"/>
                <w:szCs w:val="18"/>
                <w:color w:val="0000FF"/>
                <w:w w:val="92"/>
              </w:rPr>
            </w:pPr>
            <w:hyperlink r:id="rId413">
              <w:r>
                <w:rPr>
                  <w:rFonts w:ascii="Arial" w:cs="Arial" w:eastAsia="Arial" w:hAnsi="Arial"/>
                  <w:sz w:val="18"/>
                  <w:szCs w:val="18"/>
                  <w:color w:val="0000FF"/>
                  <w:w w:val="92"/>
                </w:rPr>
                <w:t>Employment Agreement dated as of August 20, 2020 between Domino’s Pizza LLC and Stuart A. Levy (Incorporated by reference to</w:t>
              </w:r>
            </w:hyperlink>
          </w:p>
        </w:tc>
      </w:tr>
      <w:tr>
        <w:trPr>
          <w:trHeight w:val="155"/>
        </w:trPr>
        <w:tc>
          <w:tcPr>
            <w:tcW w:w="1500" w:type="dxa"/>
            <w:vAlign w:val="bottom"/>
          </w:tcPr>
          <w:p>
            <w:pPr>
              <w:spacing w:after="0"/>
              <w:rPr>
                <w:sz w:val="13"/>
                <w:szCs w:val="13"/>
                <w:color w:val="auto"/>
              </w:rPr>
            </w:pPr>
          </w:p>
        </w:tc>
        <w:tc>
          <w:tcPr>
            <w:tcW w:w="7500" w:type="dxa"/>
            <w:vAlign w:val="bottom"/>
            <w:tcBorders>
              <w:top w:val="single" w:sz="8" w:color="0000FF"/>
              <w:bottom w:val="single" w:sz="8" w:color="0000EE"/>
            </w:tcBorders>
            <w:gridSpan w:val="20"/>
          </w:tcPr>
          <w:p>
            <w:pPr>
              <w:spacing w:after="0" w:line="156" w:lineRule="exact"/>
              <w:rPr>
                <w:rFonts w:ascii="Arial" w:cs="Arial" w:eastAsia="Arial" w:hAnsi="Arial"/>
                <w:sz w:val="18"/>
                <w:szCs w:val="18"/>
                <w:color w:val="0000FF"/>
                <w:w w:val="90"/>
              </w:rPr>
            </w:pPr>
            <w:hyperlink r:id="rId413">
              <w:r>
                <w:rPr>
                  <w:rFonts w:ascii="Arial" w:cs="Arial" w:eastAsia="Arial" w:hAnsi="Arial"/>
                  <w:sz w:val="18"/>
                  <w:szCs w:val="18"/>
                  <w:color w:val="0000FF"/>
                  <w:w w:val="90"/>
                </w:rPr>
                <w:t>Exhibit 10.1 to the registrant's quarterly report on Form 10-Q for the quarter ended September 6, 2020).</w:t>
              </w:r>
            </w:hyperlink>
          </w:p>
        </w:tc>
        <w:tc>
          <w:tcPr>
            <w:tcW w:w="220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10.52*</w:t>
            </w:r>
          </w:p>
        </w:tc>
        <w:tc>
          <w:tcPr>
            <w:tcW w:w="9780" w:type="dxa"/>
            <w:vAlign w:val="bottom"/>
            <w:gridSpan w:val="44"/>
          </w:tcPr>
          <w:p>
            <w:pPr>
              <w:spacing w:after="0"/>
              <w:rPr>
                <w:rFonts w:ascii="Arial" w:cs="Arial" w:eastAsia="Arial" w:hAnsi="Arial"/>
                <w:sz w:val="18"/>
                <w:szCs w:val="18"/>
                <w:color w:val="0000FF"/>
                <w:w w:val="95"/>
              </w:rPr>
            </w:pPr>
            <w:hyperlink r:id="rId414">
              <w:r>
                <w:rPr>
                  <w:rFonts w:ascii="Arial" w:cs="Arial" w:eastAsia="Arial" w:hAnsi="Arial"/>
                  <w:sz w:val="18"/>
                  <w:szCs w:val="18"/>
                  <w:color w:val="0000FF"/>
                  <w:w w:val="95"/>
                </w:rPr>
                <w:t>Separation Agreement dated as of May 19, 2021 between Domino’s Pizza LLC and Stuart A. Levy (Incorporated by reference to</w:t>
              </w:r>
            </w:hyperlink>
          </w:p>
        </w:tc>
      </w:tr>
      <w:tr>
        <w:trPr>
          <w:trHeight w:val="155"/>
        </w:trPr>
        <w:tc>
          <w:tcPr>
            <w:tcW w:w="150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414">
              <w:r>
                <w:rPr>
                  <w:rFonts w:ascii="Arial" w:cs="Arial" w:eastAsia="Arial" w:hAnsi="Arial"/>
                  <w:sz w:val="18"/>
                  <w:szCs w:val="18"/>
                  <w:color w:val="0000FF"/>
                  <w:w w:val="90"/>
                </w:rPr>
                <w:t>Exhibit 10.9 to the June 2021 10-Q).</w:t>
              </w:r>
            </w:hyperlink>
          </w:p>
        </w:tc>
        <w:tc>
          <w:tcPr>
            <w:tcW w:w="6680" w:type="dxa"/>
            <w:vAlign w:val="bottom"/>
            <w:tcBorders>
              <w:top w:val="single" w:sz="8" w:color="0000FF"/>
            </w:tcBorders>
            <w:gridSpan w:val="24"/>
          </w:tcPr>
          <w:p>
            <w:pPr>
              <w:spacing w:after="0"/>
              <w:rPr>
                <w:sz w:val="13"/>
                <w:szCs w:val="13"/>
                <w:color w:val="auto"/>
              </w:rPr>
            </w:pPr>
          </w:p>
        </w:tc>
        <w:tc>
          <w:tcPr>
            <w:tcW w:w="180" w:type="dxa"/>
            <w:vAlign w:val="bottom"/>
            <w:gridSpan w:val="2"/>
          </w:tcPr>
          <w:p>
            <w:pPr>
              <w:spacing w:after="0"/>
              <w:rPr>
                <w:sz w:val="13"/>
                <w:szCs w:val="13"/>
                <w:color w:val="auto"/>
              </w:rPr>
            </w:pPr>
          </w:p>
        </w:tc>
        <w:tc>
          <w:tcPr>
            <w:tcW w:w="24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10.53*</w:t>
            </w:r>
          </w:p>
        </w:tc>
        <w:tc>
          <w:tcPr>
            <w:tcW w:w="9780" w:type="dxa"/>
            <w:vAlign w:val="bottom"/>
            <w:gridSpan w:val="44"/>
          </w:tcPr>
          <w:p>
            <w:pPr>
              <w:spacing w:after="0"/>
              <w:rPr>
                <w:rFonts w:ascii="Arial" w:cs="Arial" w:eastAsia="Arial" w:hAnsi="Arial"/>
                <w:sz w:val="18"/>
                <w:szCs w:val="18"/>
                <w:color w:val="0000FF"/>
                <w:w w:val="92"/>
              </w:rPr>
            </w:pPr>
            <w:hyperlink r:id="rId415">
              <w:r>
                <w:rPr>
                  <w:rFonts w:ascii="Arial" w:cs="Arial" w:eastAsia="Arial" w:hAnsi="Arial"/>
                  <w:sz w:val="18"/>
                  <w:szCs w:val="18"/>
                  <w:color w:val="0000FF"/>
                  <w:w w:val="92"/>
                </w:rPr>
                <w:t>Employment Agreement dated as of December 7, 2016 between Domino’s Pizza LLC and Kevin S. Morris (Incorporated by reference</w:t>
              </w:r>
            </w:hyperlink>
          </w:p>
        </w:tc>
      </w:tr>
      <w:tr>
        <w:trPr>
          <w:trHeight w:val="155"/>
        </w:trPr>
        <w:tc>
          <w:tcPr>
            <w:tcW w:w="150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415">
              <w:r>
                <w:rPr>
                  <w:rFonts w:ascii="Arial" w:cs="Arial" w:eastAsia="Arial" w:hAnsi="Arial"/>
                  <w:sz w:val="18"/>
                  <w:szCs w:val="18"/>
                  <w:color w:val="0000FF"/>
                  <w:w w:val="92"/>
                </w:rPr>
                <w:t>to Exhibit 10.36 to the 2017 10-K).</w:t>
              </w:r>
            </w:hyperlink>
          </w:p>
        </w:tc>
        <w:tc>
          <w:tcPr>
            <w:tcW w:w="20" w:type="dxa"/>
            <w:vAlign w:val="bottom"/>
            <w:tcBorders>
              <w:top w:val="single" w:sz="8" w:color="0000FF"/>
              <w:bottom w:val="single" w:sz="8" w:color="0000EE"/>
            </w:tcBorders>
          </w:tcPr>
          <w:p>
            <w:pPr>
              <w:spacing w:after="0"/>
              <w:rPr>
                <w:sz w:val="13"/>
                <w:szCs w:val="13"/>
                <w:color w:val="auto"/>
              </w:rPr>
            </w:pPr>
          </w:p>
        </w:tc>
        <w:tc>
          <w:tcPr>
            <w:tcW w:w="7180" w:type="dxa"/>
            <w:vAlign w:val="bottom"/>
            <w:tcBorders>
              <w:top w:val="single" w:sz="8" w:color="0000FF"/>
            </w:tcBorders>
            <w:gridSpan w:val="3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10.54</w:t>
            </w:r>
          </w:p>
        </w:tc>
        <w:tc>
          <w:tcPr>
            <w:tcW w:w="6640" w:type="dxa"/>
            <w:vAlign w:val="bottom"/>
            <w:tcBorders>
              <w:bottom w:val="single" w:sz="8" w:color="0000FF"/>
            </w:tcBorders>
            <w:gridSpan w:val="17"/>
          </w:tcPr>
          <w:p>
            <w:pPr>
              <w:spacing w:after="0"/>
              <w:rPr>
                <w:rFonts w:ascii="Arial" w:cs="Arial" w:eastAsia="Arial" w:hAnsi="Arial"/>
                <w:sz w:val="18"/>
                <w:szCs w:val="18"/>
                <w:color w:val="0000FF"/>
                <w:w w:val="91"/>
              </w:rPr>
            </w:pPr>
            <w:hyperlink r:id="rId416">
              <w:r>
                <w:rPr>
                  <w:rFonts w:ascii="Arial" w:cs="Arial" w:eastAsia="Arial" w:hAnsi="Arial"/>
                  <w:sz w:val="18"/>
                  <w:szCs w:val="18"/>
                  <w:color w:val="0000FF"/>
                  <w:w w:val="91"/>
                </w:rPr>
                <w:t>Form of Indemnification Agreement (Incorporated by reference to Exhibit 10.33 to the S-1).</w:t>
              </w:r>
            </w:hyperlink>
          </w:p>
        </w:tc>
        <w:tc>
          <w:tcPr>
            <w:tcW w:w="20" w:type="dxa"/>
            <w:vAlign w:val="bottom"/>
            <w:tcBorders>
              <w:bottom w:val="single" w:sz="8" w:color="0000EE"/>
            </w:tcBorders>
          </w:tcPr>
          <w:p>
            <w:pPr>
              <w:spacing w:after="0"/>
              <w:rPr>
                <w:sz w:val="24"/>
                <w:szCs w:val="24"/>
                <w:color w:val="auto"/>
              </w:rPr>
            </w:pPr>
          </w:p>
        </w:tc>
        <w:tc>
          <w:tcPr>
            <w:tcW w:w="3120" w:type="dxa"/>
            <w:vAlign w:val="bottom"/>
            <w:gridSpan w:val="26"/>
          </w:tcPr>
          <w:p>
            <w:pPr>
              <w:spacing w:after="0"/>
              <w:rPr>
                <w:sz w:val="24"/>
                <w:szCs w:val="24"/>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10.55</w:t>
            </w:r>
          </w:p>
        </w:tc>
        <w:tc>
          <w:tcPr>
            <w:tcW w:w="9780" w:type="dxa"/>
            <w:vAlign w:val="bottom"/>
            <w:gridSpan w:val="44"/>
          </w:tcPr>
          <w:p>
            <w:pPr>
              <w:spacing w:after="0"/>
              <w:rPr>
                <w:rFonts w:ascii="Arial" w:cs="Arial" w:eastAsia="Arial" w:hAnsi="Arial"/>
                <w:sz w:val="18"/>
                <w:szCs w:val="18"/>
                <w:color w:val="0000FF"/>
                <w:w w:val="91"/>
              </w:rPr>
            </w:pPr>
            <w:hyperlink r:id="rId417">
              <w:r>
                <w:rPr>
                  <w:rFonts w:ascii="Arial" w:cs="Arial" w:eastAsia="Arial" w:hAnsi="Arial"/>
                  <w:sz w:val="18"/>
                  <w:szCs w:val="18"/>
                  <w:color w:val="0000FF"/>
                  <w:w w:val="91"/>
                </w:rPr>
                <w:t>Amended and Restated Base Indenture dated March 15, 2012 among Domino’s Pizza Master Issuer LLC, Domino’s Pizza Distribution</w:t>
              </w:r>
            </w:hyperlink>
          </w:p>
        </w:tc>
      </w:tr>
      <w:tr>
        <w:trPr>
          <w:trHeight w:val="155"/>
        </w:trPr>
        <w:tc>
          <w:tcPr>
            <w:tcW w:w="1500" w:type="dxa"/>
            <w:vAlign w:val="bottom"/>
          </w:tcPr>
          <w:p>
            <w:pPr>
              <w:spacing w:after="0"/>
              <w:rPr>
                <w:sz w:val="13"/>
                <w:szCs w:val="13"/>
                <w:color w:val="auto"/>
              </w:rPr>
            </w:pPr>
          </w:p>
        </w:tc>
        <w:tc>
          <w:tcPr>
            <w:tcW w:w="9760" w:type="dxa"/>
            <w:vAlign w:val="bottom"/>
            <w:tcBorders>
              <w:top w:val="single" w:sz="8" w:color="0000FF"/>
            </w:tcBorders>
            <w:gridSpan w:val="43"/>
          </w:tcPr>
          <w:p>
            <w:pPr>
              <w:spacing w:after="0" w:line="156" w:lineRule="exact"/>
              <w:rPr>
                <w:rFonts w:ascii="Arial" w:cs="Arial" w:eastAsia="Arial" w:hAnsi="Arial"/>
                <w:sz w:val="18"/>
                <w:szCs w:val="18"/>
                <w:color w:val="0000FF"/>
                <w:w w:val="97"/>
              </w:rPr>
            </w:pPr>
            <w:hyperlink r:id="rId417">
              <w:r>
                <w:rPr>
                  <w:rFonts w:ascii="Arial" w:cs="Arial" w:eastAsia="Arial" w:hAnsi="Arial"/>
                  <w:sz w:val="18"/>
                  <w:szCs w:val="18"/>
                  <w:color w:val="0000FF"/>
                  <w:w w:val="97"/>
                </w:rPr>
                <w:t>LLC, Domino’s IP Holder LLC and Domino’s SPV Canadian Holding Company Inc., each as Co-Issuer, and Citibank, N.A., as</w:t>
              </w:r>
            </w:hyperlink>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220" w:type="dxa"/>
            <w:vAlign w:val="bottom"/>
            <w:tcBorders>
              <w:top w:val="single" w:sz="8" w:color="0000FF"/>
            </w:tcBorders>
            <w:gridSpan w:val="25"/>
          </w:tcPr>
          <w:p>
            <w:pPr>
              <w:spacing w:after="0" w:line="156" w:lineRule="exact"/>
              <w:rPr>
                <w:rFonts w:ascii="Arial" w:cs="Arial" w:eastAsia="Arial" w:hAnsi="Arial"/>
                <w:sz w:val="18"/>
                <w:szCs w:val="18"/>
                <w:color w:val="0000FF"/>
                <w:w w:val="91"/>
              </w:rPr>
            </w:pPr>
            <w:hyperlink r:id="rId417">
              <w:r>
                <w:rPr>
                  <w:rFonts w:ascii="Arial" w:cs="Arial" w:eastAsia="Arial" w:hAnsi="Arial"/>
                  <w:sz w:val="18"/>
                  <w:szCs w:val="18"/>
                  <w:color w:val="0000FF"/>
                  <w:w w:val="91"/>
                </w:rPr>
                <w:t>Trustee and Securities Intermediary (Incorporated by reference to Exhibit 4.1 to the registrant’s current report on Form 8-K filed</w:t>
              </w:r>
            </w:hyperlink>
          </w:p>
        </w:tc>
        <w:tc>
          <w:tcPr>
            <w:tcW w:w="560" w:type="dxa"/>
            <w:vAlign w:val="bottom"/>
            <w:gridSpan w:val="19"/>
          </w:tcPr>
          <w:p>
            <w:pPr>
              <w:ind w:left="60"/>
              <w:spacing w:after="0" w:line="156" w:lineRule="exact"/>
              <w:rPr>
                <w:rFonts w:ascii="Arial" w:cs="Arial" w:eastAsia="Arial" w:hAnsi="Arial"/>
                <w:sz w:val="18"/>
                <w:szCs w:val="18"/>
                <w:color w:val="0000FF"/>
              </w:rPr>
            </w:pPr>
            <w:hyperlink r:id="rId417">
              <w:r>
                <w:rPr>
                  <w:rFonts w:ascii="Arial" w:cs="Arial" w:eastAsia="Arial" w:hAnsi="Arial"/>
                  <w:sz w:val="18"/>
                  <w:szCs w:val="18"/>
                  <w:color w:val="0000FF"/>
                </w:rPr>
                <w:t>on</w:t>
              </w:r>
            </w:hyperlink>
          </w:p>
        </w:tc>
      </w:tr>
      <w:tr>
        <w:trPr>
          <w:trHeight w:val="155"/>
        </w:trPr>
        <w:tc>
          <w:tcPr>
            <w:tcW w:w="15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3"/>
              </w:rPr>
            </w:pPr>
            <w:hyperlink r:id="rId417">
              <w:r>
                <w:rPr>
                  <w:rFonts w:ascii="Arial" w:cs="Arial" w:eastAsia="Arial" w:hAnsi="Arial"/>
                  <w:sz w:val="18"/>
                  <w:szCs w:val="18"/>
                  <w:color w:val="0000FF"/>
                  <w:w w:val="93"/>
                </w:rPr>
                <w:t>March 19, 2012 (the “March 2012 8-K”)).</w:t>
              </w:r>
            </w:hyperlink>
          </w:p>
        </w:tc>
        <w:tc>
          <w:tcPr>
            <w:tcW w:w="6460" w:type="dxa"/>
            <w:vAlign w:val="bottom"/>
            <w:tcBorders>
              <w:top w:val="single" w:sz="8" w:color="0000FF"/>
            </w:tcBorders>
            <w:gridSpan w:val="25"/>
          </w:tcPr>
          <w:p>
            <w:pPr>
              <w:spacing w:after="0"/>
              <w:rPr>
                <w:sz w:val="13"/>
                <w:szCs w:val="13"/>
                <w:color w:val="auto"/>
              </w:rPr>
            </w:pPr>
          </w:p>
        </w:tc>
        <w:tc>
          <w:tcPr>
            <w:tcW w:w="280" w:type="dxa"/>
            <w:vAlign w:val="bottom"/>
            <w:gridSpan w:val="12"/>
          </w:tcPr>
          <w:p>
            <w:pPr>
              <w:spacing w:after="0"/>
              <w:rPr>
                <w:sz w:val="13"/>
                <w:szCs w:val="13"/>
                <w:color w:val="auto"/>
              </w:rPr>
            </w:pPr>
          </w:p>
        </w:tc>
      </w:tr>
      <w:tr>
        <w:trPr>
          <w:trHeight w:val="574"/>
        </w:trPr>
        <w:tc>
          <w:tcPr>
            <w:tcW w:w="1500" w:type="dxa"/>
            <w:vAlign w:val="bottom"/>
          </w:tcPr>
          <w:p>
            <w:pPr>
              <w:spacing w:after="0"/>
              <w:rPr>
                <w:sz w:val="24"/>
                <w:szCs w:val="24"/>
                <w:color w:val="auto"/>
              </w:rPr>
            </w:pPr>
          </w:p>
        </w:tc>
        <w:tc>
          <w:tcPr>
            <w:tcW w:w="4920" w:type="dxa"/>
            <w:vAlign w:val="bottom"/>
            <w:gridSpan w:val="15"/>
          </w:tcPr>
          <w:p>
            <w:pPr>
              <w:ind w:left="404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5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10.56</w:t>
            </w:r>
          </w:p>
        </w:tc>
        <w:tc>
          <w:tcPr>
            <w:tcW w:w="8900" w:type="dxa"/>
            <w:vAlign w:val="bottom"/>
            <w:tcBorders>
              <w:bottom w:val="single" w:sz="8" w:color="0000FF"/>
            </w:tcBorders>
            <w:gridSpan w:val="13"/>
          </w:tcPr>
          <w:p>
            <w:pPr>
              <w:spacing w:after="0"/>
              <w:rPr>
                <w:rFonts w:ascii="Arial" w:cs="Arial" w:eastAsia="Arial" w:hAnsi="Arial"/>
                <w:sz w:val="18"/>
                <w:szCs w:val="18"/>
                <w:color w:val="0000FF"/>
                <w:w w:val="89"/>
              </w:rPr>
            </w:pPr>
            <w:hyperlink r:id="rId420">
              <w:r>
                <w:rPr>
                  <w:rFonts w:ascii="Arial" w:cs="Arial" w:eastAsia="Arial" w:hAnsi="Arial"/>
                  <w:sz w:val="18"/>
                  <w:szCs w:val="18"/>
                  <w:color w:val="0000FF"/>
                  <w:w w:val="89"/>
                </w:rPr>
                <w:t>First Supplement dated as of September 16, 2013 to the Amended and Restated Base Indenture dated as of March 15, 2012</w:t>
              </w:r>
            </w:hyperlink>
          </w:p>
        </w:tc>
        <w:tc>
          <w:tcPr>
            <w:tcW w:w="920" w:type="dxa"/>
            <w:vAlign w:val="bottom"/>
            <w:gridSpan w:val="21"/>
          </w:tcPr>
          <w:p>
            <w:pPr>
              <w:spacing w:after="0"/>
              <w:rPr>
                <w:sz w:val="17"/>
                <w:szCs w:val="17"/>
                <w:color w:val="auto"/>
              </w:rPr>
            </w:pPr>
          </w:p>
        </w:tc>
      </w:tr>
      <w:tr>
        <w:trPr>
          <w:trHeight w:val="156"/>
        </w:trPr>
        <w:tc>
          <w:tcPr>
            <w:tcW w:w="1500" w:type="dxa"/>
            <w:vAlign w:val="bottom"/>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3"/>
              </w:rPr>
            </w:pPr>
            <w:hyperlink r:id="rId420">
              <w:r>
                <w:rPr>
                  <w:rFonts w:ascii="Arial" w:cs="Arial" w:eastAsia="Arial" w:hAnsi="Arial"/>
                  <w:sz w:val="18"/>
                  <w:szCs w:val="18"/>
                  <w:color w:val="0000FF"/>
                  <w:w w:val="93"/>
                </w:rPr>
                <w:t>(Incorporated by reference to Exhibit 4.1 to the registrant’s current report on Form 8-K filed on October 22, 2015 (the “October 2015</w:t>
              </w:r>
            </w:hyperlink>
          </w:p>
        </w:tc>
      </w:tr>
      <w:tr>
        <w:trPr>
          <w:trHeight w:val="155"/>
        </w:trPr>
        <w:tc>
          <w:tcPr>
            <w:tcW w:w="150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r:id="rId420">
              <w:r>
                <w:rPr>
                  <w:rFonts w:ascii="Arial" w:cs="Arial" w:eastAsia="Arial" w:hAnsi="Arial"/>
                  <w:sz w:val="18"/>
                  <w:szCs w:val="18"/>
                  <w:color w:val="0000FF"/>
                  <w:w w:val="97"/>
                </w:rPr>
                <w:t>8-K”)).</w:t>
              </w:r>
            </w:hyperlink>
          </w:p>
        </w:tc>
        <w:tc>
          <w:tcPr>
            <w:tcW w:w="20" w:type="dxa"/>
            <w:vAlign w:val="bottom"/>
            <w:tcBorders>
              <w:top w:val="single" w:sz="8" w:color="0000FF"/>
              <w:bottom w:val="single" w:sz="8" w:color="0000EE"/>
            </w:tcBorders>
          </w:tcPr>
          <w:p>
            <w:pPr>
              <w:spacing w:after="0"/>
              <w:rPr>
                <w:sz w:val="13"/>
                <w:szCs w:val="13"/>
                <w:color w:val="auto"/>
              </w:rPr>
            </w:pPr>
          </w:p>
        </w:tc>
        <w:tc>
          <w:tcPr>
            <w:tcW w:w="91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10.57</w:t>
            </w:r>
          </w:p>
        </w:tc>
        <w:tc>
          <w:tcPr>
            <w:tcW w:w="9820" w:type="dxa"/>
            <w:vAlign w:val="bottom"/>
            <w:gridSpan w:val="34"/>
          </w:tcPr>
          <w:p>
            <w:pPr>
              <w:spacing w:after="0"/>
              <w:rPr>
                <w:rFonts w:ascii="Arial" w:cs="Arial" w:eastAsia="Arial" w:hAnsi="Arial"/>
                <w:sz w:val="18"/>
                <w:szCs w:val="18"/>
                <w:color w:val="0000FF"/>
                <w:w w:val="98"/>
              </w:rPr>
            </w:pPr>
            <w:hyperlink r:id="rId421">
              <w:r>
                <w:rPr>
                  <w:rFonts w:ascii="Arial" w:cs="Arial" w:eastAsia="Arial" w:hAnsi="Arial"/>
                  <w:sz w:val="18"/>
                  <w:szCs w:val="18"/>
                  <w:color w:val="0000FF"/>
                  <w:w w:val="98"/>
                </w:rPr>
                <w:t>Second Supplement dated as of October 21, 2015 to the Amended and Restated Base Indenture dated as of March 15, 2012</w:t>
              </w:r>
            </w:hyperlink>
          </w:p>
        </w:tc>
      </w:tr>
      <w:tr>
        <w:trPr>
          <w:trHeight w:val="156"/>
        </w:trPr>
        <w:tc>
          <w:tcPr>
            <w:tcW w:w="15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21">
              <w:r>
                <w:rPr>
                  <w:rFonts w:ascii="Arial" w:cs="Arial" w:eastAsia="Arial" w:hAnsi="Arial"/>
                  <w:sz w:val="18"/>
                  <w:szCs w:val="18"/>
                  <w:color w:val="0000FF"/>
                </w:rPr>
                <w:t>(Incorporated by reference to Exhibit 4.2 to the October 2015 8-K).</w:t>
              </w:r>
            </w:hyperlink>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10.58</w:t>
            </w:r>
          </w:p>
        </w:tc>
        <w:tc>
          <w:tcPr>
            <w:tcW w:w="9820" w:type="dxa"/>
            <w:vAlign w:val="bottom"/>
            <w:gridSpan w:val="34"/>
          </w:tcPr>
          <w:p>
            <w:pPr>
              <w:spacing w:after="0"/>
              <w:rPr>
                <w:rFonts w:ascii="Arial" w:cs="Arial" w:eastAsia="Arial" w:hAnsi="Arial"/>
                <w:sz w:val="18"/>
                <w:szCs w:val="18"/>
                <w:color w:val="0000FF"/>
              </w:rPr>
            </w:pPr>
            <w:hyperlink r:id="rId422">
              <w:r>
                <w:rPr>
                  <w:rFonts w:ascii="Arial" w:cs="Arial" w:eastAsia="Arial" w:hAnsi="Arial"/>
                  <w:sz w:val="18"/>
                  <w:szCs w:val="18"/>
                  <w:color w:val="0000FF"/>
                </w:rPr>
                <w:t>Third Supplement dated as of October 21, 2015 to the Amended and Restated Base Indenture dated as of March 15, 2012</w:t>
              </w:r>
            </w:hyperlink>
          </w:p>
        </w:tc>
      </w:tr>
      <w:tr>
        <w:trPr>
          <w:trHeight w:val="155"/>
        </w:trPr>
        <w:tc>
          <w:tcPr>
            <w:tcW w:w="1500" w:type="dxa"/>
            <w:vAlign w:val="bottom"/>
          </w:tcPr>
          <w:p>
            <w:pPr>
              <w:spacing w:after="0"/>
              <w:rPr>
                <w:sz w:val="13"/>
                <w:szCs w:val="13"/>
                <w:color w:val="auto"/>
              </w:rPr>
            </w:pPr>
          </w:p>
        </w:tc>
        <w:tc>
          <w:tcPr>
            <w:tcW w:w="87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22">
              <w:r>
                <w:rPr>
                  <w:rFonts w:ascii="Arial" w:cs="Arial" w:eastAsia="Arial" w:hAnsi="Arial"/>
                  <w:sz w:val="18"/>
                  <w:szCs w:val="18"/>
                  <w:color w:val="0000FF"/>
                </w:rPr>
                <w:t>(Incorporated by reference to Exhibit 4.3 to the October 2015 8-K).</w:t>
              </w:r>
            </w:hyperlink>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10.59</w:t>
            </w:r>
          </w:p>
        </w:tc>
        <w:tc>
          <w:tcPr>
            <w:tcW w:w="9820" w:type="dxa"/>
            <w:vAlign w:val="bottom"/>
            <w:gridSpan w:val="34"/>
          </w:tcPr>
          <w:p>
            <w:pPr>
              <w:spacing w:after="0"/>
              <w:rPr>
                <w:rFonts w:ascii="Arial" w:cs="Arial" w:eastAsia="Arial" w:hAnsi="Arial"/>
                <w:sz w:val="18"/>
                <w:szCs w:val="18"/>
                <w:color w:val="0000FF"/>
                <w:w w:val="91"/>
              </w:rPr>
            </w:pPr>
            <w:hyperlink r:id="rId423">
              <w:r>
                <w:rPr>
                  <w:rFonts w:ascii="Arial" w:cs="Arial" w:eastAsia="Arial" w:hAnsi="Arial"/>
                  <w:sz w:val="18"/>
                  <w:szCs w:val="18"/>
                  <w:color w:val="0000FF"/>
                  <w:w w:val="91"/>
                </w:rPr>
                <w:t>Fourth Supplement dated as of July 24, 2017 to the Amended and Restated Base Indenture dated as of March 15, 2012 by and among</w:t>
              </w:r>
            </w:hyperlink>
          </w:p>
        </w:tc>
      </w:tr>
      <w:tr>
        <w:trPr>
          <w:trHeight w:val="156"/>
        </w:trPr>
        <w:tc>
          <w:tcPr>
            <w:tcW w:w="150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423">
              <w:r>
                <w:rPr>
                  <w:rFonts w:ascii="Arial" w:cs="Arial" w:eastAsia="Arial" w:hAnsi="Arial"/>
                  <w:sz w:val="18"/>
                  <w:szCs w:val="18"/>
                  <w:color w:val="0000FF"/>
                  <w:w w:val="92"/>
                </w:rPr>
                <w:t>Domino’s Pizza Master Issuer LLC, Domino’s SPV Canadian Holding Company Inc., Domino’s Pizza Distribution LLC and</w:t>
              </w:r>
            </w:hyperlink>
          </w:p>
        </w:tc>
        <w:tc>
          <w:tcPr>
            <w:tcW w:w="6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2"/>
              </w:rPr>
            </w:pPr>
            <w:hyperlink r:id="rId423">
              <w:r>
                <w:rPr>
                  <w:rFonts w:ascii="Arial" w:cs="Arial" w:eastAsia="Arial" w:hAnsi="Arial"/>
                  <w:sz w:val="18"/>
                  <w:szCs w:val="18"/>
                  <w:color w:val="0000FF"/>
                  <w:w w:val="92"/>
                </w:rPr>
                <w:t>Domino’s IP Holder LLC, each as Co-Issuer, and Citibank, N.A., as Trustee and Securities Intermediary (Incorporated by reference to</w:t>
              </w:r>
            </w:hyperlink>
          </w:p>
        </w:tc>
      </w:tr>
      <w:tr>
        <w:trPr>
          <w:trHeight w:val="155"/>
        </w:trPr>
        <w:tc>
          <w:tcPr>
            <w:tcW w:w="150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423">
              <w:r>
                <w:rPr>
                  <w:rFonts w:ascii="Arial" w:cs="Arial" w:eastAsia="Arial" w:hAnsi="Arial"/>
                  <w:sz w:val="18"/>
                  <w:szCs w:val="18"/>
                  <w:color w:val="0000FF"/>
                  <w:w w:val="92"/>
                </w:rPr>
                <w:t>Exhibit 4.1 to the Domino’s Pizza, Inc. Current Report on Form 8-K, filed on July 25, 2017 (the “July 2017 8-K”)).</w:t>
              </w:r>
            </w:hyperlink>
          </w:p>
        </w:tc>
        <w:tc>
          <w:tcPr>
            <w:tcW w:w="20" w:type="dxa"/>
            <w:vAlign w:val="bottom"/>
            <w:tcBorders>
              <w:top w:val="single" w:sz="8" w:color="0000FF"/>
              <w:bottom w:val="single" w:sz="8" w:color="0000EE"/>
            </w:tcBorders>
          </w:tcPr>
          <w:p>
            <w:pPr>
              <w:spacing w:after="0"/>
              <w:rPr>
                <w:sz w:val="13"/>
                <w:szCs w:val="13"/>
                <w:color w:val="auto"/>
              </w:rPr>
            </w:pPr>
          </w:p>
        </w:tc>
        <w:tc>
          <w:tcPr>
            <w:tcW w:w="14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10.60</w:t>
            </w:r>
          </w:p>
        </w:tc>
        <w:tc>
          <w:tcPr>
            <w:tcW w:w="9440" w:type="dxa"/>
            <w:vAlign w:val="bottom"/>
            <w:tcBorders>
              <w:bottom w:val="single" w:sz="8" w:color="0000FF"/>
            </w:tcBorders>
            <w:gridSpan w:val="18"/>
          </w:tcPr>
          <w:p>
            <w:pPr>
              <w:spacing w:after="0"/>
              <w:rPr>
                <w:rFonts w:ascii="Arial" w:cs="Arial" w:eastAsia="Arial" w:hAnsi="Arial"/>
                <w:sz w:val="18"/>
                <w:szCs w:val="18"/>
                <w:color w:val="0000FF"/>
                <w:w w:val="89"/>
              </w:rPr>
            </w:pPr>
            <w:hyperlink r:id="rId424">
              <w:r>
                <w:rPr>
                  <w:rFonts w:ascii="Arial" w:cs="Arial" w:eastAsia="Arial" w:hAnsi="Arial"/>
                  <w:sz w:val="18"/>
                  <w:szCs w:val="18"/>
                  <w:color w:val="0000FF"/>
                  <w:w w:val="89"/>
                </w:rPr>
                <w:t>Fifth Supplement dated as of November 21, 2018 to the Amended and Restated Base Indenture dated as of March 15, 2012 by and</w:t>
              </w:r>
            </w:hyperlink>
          </w:p>
        </w:tc>
        <w:tc>
          <w:tcPr>
            <w:tcW w:w="380" w:type="dxa"/>
            <w:vAlign w:val="bottom"/>
            <w:gridSpan w:val="16"/>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5"/>
              </w:rPr>
            </w:pPr>
            <w:hyperlink r:id="rId424">
              <w:r>
                <w:rPr>
                  <w:rFonts w:ascii="Arial" w:cs="Arial" w:eastAsia="Arial" w:hAnsi="Arial"/>
                  <w:sz w:val="18"/>
                  <w:szCs w:val="18"/>
                  <w:color w:val="0000FF"/>
                  <w:w w:val="95"/>
                </w:rPr>
                <w:t>among Domino’s Pizza Master Issuer LLC, Domino’s SPV Canadian Holding Company Inc., Domino’s Pizza Distribution LLC and</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424">
              <w:r>
                <w:rPr>
                  <w:rFonts w:ascii="Arial" w:cs="Arial" w:eastAsia="Arial" w:hAnsi="Arial"/>
                  <w:sz w:val="18"/>
                  <w:szCs w:val="18"/>
                  <w:color w:val="0000FF"/>
                  <w:w w:val="91"/>
                </w:rPr>
                <w:t>Domino’s IP Holder LLC, each as Co-Issuer, and Citibank, N.A., as Trustee and Securities Intermediary. (Incorporated by reference</w:t>
              </w:r>
            </w:hyperlink>
          </w:p>
        </w:tc>
        <w:tc>
          <w:tcPr>
            <w:tcW w:w="260" w:type="dxa"/>
            <w:vAlign w:val="bottom"/>
            <w:gridSpan w:val="12"/>
          </w:tcPr>
          <w:p>
            <w:pPr>
              <w:spacing w:after="0" w:line="156" w:lineRule="exact"/>
              <w:rPr>
                <w:rFonts w:ascii="Arial" w:cs="Arial" w:eastAsia="Arial" w:hAnsi="Arial"/>
                <w:sz w:val="18"/>
                <w:szCs w:val="18"/>
                <w:color w:val="0000FF"/>
              </w:rPr>
            </w:pPr>
            <w:hyperlink r:id="rId424">
              <w:r>
                <w:rPr>
                  <w:rFonts w:ascii="Arial" w:cs="Arial" w:eastAsia="Arial" w:hAnsi="Arial"/>
                  <w:sz w:val="18"/>
                  <w:szCs w:val="18"/>
                  <w:color w:val="0000FF"/>
                </w:rPr>
                <w:t>to</w:t>
              </w:r>
            </w:hyperlink>
          </w:p>
        </w:tc>
      </w:tr>
      <w:tr>
        <w:trPr>
          <w:trHeight w:val="156"/>
        </w:trPr>
        <w:tc>
          <w:tcPr>
            <w:tcW w:w="1500" w:type="dxa"/>
            <w:vAlign w:val="bottom"/>
          </w:tcPr>
          <w:p>
            <w:pPr>
              <w:spacing w:after="0"/>
              <w:rPr>
                <w:sz w:val="13"/>
                <w:szCs w:val="13"/>
                <w:color w:val="auto"/>
              </w:rPr>
            </w:pPr>
          </w:p>
        </w:tc>
        <w:tc>
          <w:tcPr>
            <w:tcW w:w="97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424">
              <w:r>
                <w:rPr>
                  <w:rFonts w:ascii="Arial" w:cs="Arial" w:eastAsia="Arial" w:hAnsi="Arial"/>
                  <w:sz w:val="18"/>
                  <w:szCs w:val="18"/>
                  <w:color w:val="0000FF"/>
                </w:rPr>
                <w:t>Exhibit 10.49 to the 2019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EE"/>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10.61</w:t>
            </w:r>
          </w:p>
        </w:tc>
        <w:tc>
          <w:tcPr>
            <w:tcW w:w="9820" w:type="dxa"/>
            <w:vAlign w:val="bottom"/>
            <w:gridSpan w:val="34"/>
          </w:tcPr>
          <w:p>
            <w:pPr>
              <w:spacing w:after="0"/>
              <w:rPr>
                <w:rFonts w:ascii="Arial" w:cs="Arial" w:eastAsia="Arial" w:hAnsi="Arial"/>
                <w:sz w:val="18"/>
                <w:szCs w:val="18"/>
                <w:color w:val="0000FF"/>
                <w:w w:val="91"/>
              </w:rPr>
            </w:pPr>
            <w:hyperlink r:id="rId425">
              <w:r>
                <w:rPr>
                  <w:rFonts w:ascii="Arial" w:cs="Arial" w:eastAsia="Arial" w:hAnsi="Arial"/>
                  <w:sz w:val="18"/>
                  <w:szCs w:val="18"/>
                  <w:color w:val="0000FF"/>
                  <w:w w:val="91"/>
                </w:rPr>
                <w:t>Sixth Supplement dated as of April 16, 2021 to the Amended and Restated Base Indenture dated as of March 15, 2012 by and among</w:t>
              </w:r>
            </w:hyperlink>
          </w:p>
        </w:tc>
      </w:tr>
      <w:tr>
        <w:trPr>
          <w:trHeight w:val="155"/>
        </w:trPr>
        <w:tc>
          <w:tcPr>
            <w:tcW w:w="150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425">
              <w:r>
                <w:rPr>
                  <w:rFonts w:ascii="Arial" w:cs="Arial" w:eastAsia="Arial" w:hAnsi="Arial"/>
                  <w:sz w:val="18"/>
                  <w:szCs w:val="18"/>
                  <w:color w:val="0000FF"/>
                  <w:w w:val="92"/>
                </w:rPr>
                <w:t>Domino’s Pizza Master Issuer LLC, Domino’s SPV Canadian Holding Company Inc., Domino’s Pizza Distribution LLC and</w:t>
              </w:r>
            </w:hyperlink>
          </w:p>
        </w:tc>
        <w:tc>
          <w:tcPr>
            <w:tcW w:w="6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2"/>
              </w:rPr>
            </w:pPr>
            <w:hyperlink r:id="rId425">
              <w:r>
                <w:rPr>
                  <w:rFonts w:ascii="Arial" w:cs="Arial" w:eastAsia="Arial" w:hAnsi="Arial"/>
                  <w:sz w:val="18"/>
                  <w:szCs w:val="18"/>
                  <w:color w:val="0000FF"/>
                  <w:w w:val="92"/>
                </w:rPr>
                <w:t>Domino’s IP Holder LLC, each as Co-Issuer, and Citibank, N.A., as Trustee and Securities Intermediary (Incorporated by reference to</w:t>
              </w:r>
            </w:hyperlink>
          </w:p>
        </w:tc>
      </w:tr>
      <w:tr>
        <w:trPr>
          <w:trHeight w:val="156"/>
        </w:trPr>
        <w:tc>
          <w:tcPr>
            <w:tcW w:w="150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425">
              <w:r>
                <w:rPr>
                  <w:rFonts w:ascii="Arial" w:cs="Arial" w:eastAsia="Arial" w:hAnsi="Arial"/>
                  <w:sz w:val="18"/>
                  <w:szCs w:val="18"/>
                  <w:color w:val="0000FF"/>
                </w:rPr>
                <w:t>Exhibit 4.1 to the registrant’s Current Report on Form 8-K filed on April 20, 2021 (the “April 2021 8-K”)).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46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10.62</w:t>
            </w:r>
          </w:p>
        </w:tc>
        <w:tc>
          <w:tcPr>
            <w:tcW w:w="9820" w:type="dxa"/>
            <w:vAlign w:val="bottom"/>
            <w:gridSpan w:val="34"/>
          </w:tcPr>
          <w:p>
            <w:pPr>
              <w:spacing w:after="0"/>
              <w:rPr>
                <w:rFonts w:ascii="Arial" w:cs="Arial" w:eastAsia="Arial" w:hAnsi="Arial"/>
                <w:sz w:val="18"/>
                <w:szCs w:val="18"/>
                <w:color w:val="0000FF"/>
                <w:w w:val="90"/>
              </w:rPr>
            </w:pPr>
            <w:hyperlink w:anchor="page104">
              <w:r>
                <w:rPr>
                  <w:rFonts w:ascii="Arial" w:cs="Arial" w:eastAsia="Arial" w:hAnsi="Arial"/>
                  <w:sz w:val="18"/>
                  <w:szCs w:val="18"/>
                  <w:color w:val="0000FF"/>
                  <w:w w:val="90"/>
                </w:rPr>
                <w:t>Seventh Supplement dated as of December 30, 2021 to the Amended and Restated Base Indenture dated as of March 15, 2012 by and</w:t>
              </w:r>
            </w:hyperlink>
          </w:p>
        </w:tc>
      </w:tr>
      <w:tr>
        <w:trPr>
          <w:trHeight w:val="155"/>
        </w:trPr>
        <w:tc>
          <w:tcPr>
            <w:tcW w:w="1500" w:type="dxa"/>
            <w:vAlign w:val="bottom"/>
          </w:tcPr>
          <w:p>
            <w:pPr>
              <w:spacing w:after="0"/>
              <w:rPr>
                <w:sz w:val="13"/>
                <w:szCs w:val="13"/>
                <w:color w:val="auto"/>
              </w:rPr>
            </w:pPr>
          </w:p>
        </w:tc>
        <w:tc>
          <w:tcPr>
            <w:tcW w:w="9720" w:type="dxa"/>
            <w:vAlign w:val="bottom"/>
            <w:tcBorders>
              <w:top w:val="single" w:sz="8" w:color="0000FF"/>
            </w:tcBorders>
            <w:gridSpan w:val="29"/>
          </w:tcPr>
          <w:p>
            <w:pPr>
              <w:spacing w:after="0" w:line="156" w:lineRule="exact"/>
              <w:rPr>
                <w:rFonts w:ascii="Arial" w:cs="Arial" w:eastAsia="Arial" w:hAnsi="Arial"/>
                <w:sz w:val="18"/>
                <w:szCs w:val="18"/>
                <w:color w:val="0000FF"/>
                <w:w w:val="94"/>
              </w:rPr>
            </w:pPr>
            <w:hyperlink w:anchor="page104">
              <w:r>
                <w:rPr>
                  <w:rFonts w:ascii="Arial" w:cs="Arial" w:eastAsia="Arial" w:hAnsi="Arial"/>
                  <w:sz w:val="18"/>
                  <w:szCs w:val="18"/>
                  <w:color w:val="0000FF"/>
                  <w:w w:val="94"/>
                </w:rPr>
                <w:t>among Domino’s Pizza Master Issuer LLC, Domino’s SPV Canadian Holding Company Inc., Domino’s Pizza Distribution LLC and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Domino’s IP Holder LLC, each as Co-Issuer, and Citibank, N.A., as Trustee and Securities Intermediary.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468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10.63</w:t>
            </w:r>
          </w:p>
        </w:tc>
        <w:tc>
          <w:tcPr>
            <w:tcW w:w="9820" w:type="dxa"/>
            <w:vAlign w:val="bottom"/>
            <w:gridSpan w:val="34"/>
          </w:tcPr>
          <w:p>
            <w:pPr>
              <w:spacing w:after="0"/>
              <w:rPr>
                <w:rFonts w:ascii="Arial" w:cs="Arial" w:eastAsia="Arial" w:hAnsi="Arial"/>
                <w:sz w:val="18"/>
                <w:szCs w:val="18"/>
                <w:color w:val="0000FF"/>
                <w:w w:val="92"/>
              </w:rPr>
            </w:pPr>
            <w:hyperlink r:id="rId426">
              <w:r>
                <w:rPr>
                  <w:rFonts w:ascii="Arial" w:cs="Arial" w:eastAsia="Arial" w:hAnsi="Arial"/>
                  <w:sz w:val="18"/>
                  <w:szCs w:val="18"/>
                  <w:color w:val="0000FF"/>
                  <w:w w:val="92"/>
                </w:rPr>
                <w:t>Series 2015-1 Supplement dated as of October 21, 2015 to the Amended and Restated Base Indenture dated March 15, 2012 among</w:t>
              </w:r>
            </w:hyperlink>
          </w:p>
        </w:tc>
      </w:tr>
      <w:tr>
        <w:trPr>
          <w:trHeight w:val="155"/>
        </w:trPr>
        <w:tc>
          <w:tcPr>
            <w:tcW w:w="150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3"/>
              </w:rPr>
            </w:pPr>
            <w:hyperlink r:id="rId426">
              <w:r>
                <w:rPr>
                  <w:rFonts w:ascii="Arial" w:cs="Arial" w:eastAsia="Arial" w:hAnsi="Arial"/>
                  <w:sz w:val="18"/>
                  <w:szCs w:val="18"/>
                  <w:color w:val="0000FF"/>
                  <w:w w:val="93"/>
                </w:rPr>
                <w:t>Domino’s Pizza Master Issuer LLC, Domino’s Pizza Distribution LLC, Domino’s IP Holder LLC and Domino’s SPV Canadian</w:t>
              </w:r>
            </w:hyperlink>
          </w:p>
        </w:tc>
        <w:tc>
          <w:tcPr>
            <w:tcW w:w="30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420" w:type="dxa"/>
            <w:vAlign w:val="bottom"/>
            <w:tcBorders>
              <w:bottom w:val="single" w:sz="8" w:color="0000FF"/>
            </w:tcBorders>
            <w:gridSpan w:val="17"/>
          </w:tcPr>
          <w:p>
            <w:pPr>
              <w:spacing w:after="0" w:line="156" w:lineRule="exact"/>
              <w:rPr>
                <w:rFonts w:ascii="Arial" w:cs="Arial" w:eastAsia="Arial" w:hAnsi="Arial"/>
                <w:sz w:val="18"/>
                <w:szCs w:val="18"/>
                <w:color w:val="0000FF"/>
                <w:w w:val="89"/>
              </w:rPr>
            </w:pPr>
            <w:hyperlink r:id="rId426">
              <w:r>
                <w:rPr>
                  <w:rFonts w:ascii="Arial" w:cs="Arial" w:eastAsia="Arial" w:hAnsi="Arial"/>
                  <w:sz w:val="18"/>
                  <w:szCs w:val="18"/>
                  <w:color w:val="0000FF"/>
                  <w:w w:val="89"/>
                </w:rPr>
                <w:t>Holding Company Inc., each as a Co-Issuer of the Series 2015-1 3.484% Fixed Rate Senior Secured Notes, Class A-2-I, the Series</w:t>
              </w:r>
            </w:hyperlink>
          </w:p>
        </w:tc>
        <w:tc>
          <w:tcPr>
            <w:tcW w:w="400" w:type="dxa"/>
            <w:vAlign w:val="bottom"/>
            <w:gridSpan w:val="17"/>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2"/>
              </w:rPr>
            </w:pPr>
            <w:hyperlink r:id="rId426">
              <w:r>
                <w:rPr>
                  <w:rFonts w:ascii="Arial" w:cs="Arial" w:eastAsia="Arial" w:hAnsi="Arial"/>
                  <w:sz w:val="18"/>
                  <w:szCs w:val="18"/>
                  <w:color w:val="0000FF"/>
                  <w:w w:val="92"/>
                </w:rPr>
                <w:t>2015-1 4.474% Fixed Rate Senior Secured Notes, Class A-2-II and the Series 2015-1 Variable Funding Senior Notes, Class A-1, and</w:t>
              </w:r>
            </w:hyperlink>
          </w:p>
        </w:tc>
      </w:tr>
      <w:tr>
        <w:trPr>
          <w:trHeight w:val="156"/>
        </w:trPr>
        <w:tc>
          <w:tcPr>
            <w:tcW w:w="150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0"/>
              </w:rPr>
            </w:pPr>
            <w:hyperlink r:id="rId426">
              <w:r>
                <w:rPr>
                  <w:rFonts w:ascii="Arial" w:cs="Arial" w:eastAsia="Arial" w:hAnsi="Arial"/>
                  <w:sz w:val="18"/>
                  <w:szCs w:val="18"/>
                  <w:color w:val="0000FF"/>
                  <w:w w:val="90"/>
                </w:rPr>
                <w:t>Citibank, N.A., as Trustee and Series 2015-1 Securities Intermediary (Incorporated by reference to Exhibit 4.4 to the October 2015 8-</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620" w:type="dxa"/>
            <w:vAlign w:val="bottom"/>
            <w:gridSpan w:val="24"/>
          </w:tcPr>
          <w:p>
            <w:pPr>
              <w:spacing w:after="0" w:line="156" w:lineRule="exact"/>
              <w:rPr>
                <w:rFonts w:ascii="Arial" w:cs="Arial" w:eastAsia="Arial" w:hAnsi="Arial"/>
                <w:sz w:val="18"/>
                <w:szCs w:val="18"/>
                <w:color w:val="0000FF"/>
              </w:rPr>
            </w:pPr>
            <w:hyperlink r:id="rId426">
              <w:r>
                <w:rPr>
                  <w:rFonts w:ascii="Arial" w:cs="Arial" w:eastAsia="Arial" w:hAnsi="Arial"/>
                  <w:sz w:val="18"/>
                  <w:szCs w:val="18"/>
                  <w:color w:val="0000FF"/>
                </w:rPr>
                <w:t>K).</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10.64</w:t>
            </w:r>
          </w:p>
        </w:tc>
        <w:tc>
          <w:tcPr>
            <w:tcW w:w="9340" w:type="dxa"/>
            <w:vAlign w:val="bottom"/>
            <w:tcBorders>
              <w:bottom w:val="single" w:sz="8" w:color="0000FF"/>
            </w:tcBorders>
            <w:gridSpan w:val="16"/>
          </w:tcPr>
          <w:p>
            <w:pPr>
              <w:spacing w:after="0"/>
              <w:rPr>
                <w:rFonts w:ascii="Arial" w:cs="Arial" w:eastAsia="Arial" w:hAnsi="Arial"/>
                <w:sz w:val="18"/>
                <w:szCs w:val="18"/>
                <w:color w:val="0000FF"/>
                <w:w w:val="90"/>
              </w:rPr>
            </w:pPr>
            <w:hyperlink r:id="rId427">
              <w:r>
                <w:rPr>
                  <w:rFonts w:ascii="Arial" w:cs="Arial" w:eastAsia="Arial" w:hAnsi="Arial"/>
                  <w:sz w:val="18"/>
                  <w:szCs w:val="18"/>
                  <w:color w:val="0000FF"/>
                  <w:w w:val="90"/>
                </w:rPr>
                <w:t>Series 2017-1 Supplement dated as of July 24, 2017 by and among Domino’s Pizza Master Issuer LLC, Domino’s SPV Canadian</w:t>
              </w:r>
            </w:hyperlink>
          </w:p>
        </w:tc>
        <w:tc>
          <w:tcPr>
            <w:tcW w:w="480" w:type="dxa"/>
            <w:vAlign w:val="bottom"/>
            <w:gridSpan w:val="18"/>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480" w:type="dxa"/>
            <w:vAlign w:val="bottom"/>
            <w:tcBorders>
              <w:bottom w:val="single" w:sz="8" w:color="0000FF"/>
            </w:tcBorders>
            <w:gridSpan w:val="20"/>
          </w:tcPr>
          <w:p>
            <w:pPr>
              <w:spacing w:after="0" w:line="156" w:lineRule="exact"/>
              <w:rPr>
                <w:rFonts w:ascii="Arial" w:cs="Arial" w:eastAsia="Arial" w:hAnsi="Arial"/>
                <w:sz w:val="18"/>
                <w:szCs w:val="18"/>
                <w:color w:val="0000FF"/>
                <w:w w:val="92"/>
              </w:rPr>
            </w:pPr>
            <w:hyperlink r:id="rId427">
              <w:r>
                <w:rPr>
                  <w:rFonts w:ascii="Arial" w:cs="Arial" w:eastAsia="Arial" w:hAnsi="Arial"/>
                  <w:sz w:val="18"/>
                  <w:szCs w:val="18"/>
                  <w:color w:val="0000FF"/>
                  <w:w w:val="92"/>
                </w:rPr>
                <w:t>Holding Company Inc., Domino’s Pizza Distribution LLC and Domino’s IP Holder LLC, each as Co-Issuer, and Citibank, N.A., as</w:t>
              </w:r>
            </w:hyperlink>
          </w:p>
        </w:tc>
        <w:tc>
          <w:tcPr>
            <w:tcW w:w="340" w:type="dxa"/>
            <w:vAlign w:val="bottom"/>
            <w:gridSpan w:val="14"/>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660" w:type="dxa"/>
            <w:vAlign w:val="bottom"/>
            <w:tcBorders>
              <w:bottom w:val="single" w:sz="8" w:color="0000FF"/>
            </w:tcBorders>
            <w:gridSpan w:val="26"/>
          </w:tcPr>
          <w:p>
            <w:pPr>
              <w:spacing w:after="0" w:line="156" w:lineRule="exact"/>
              <w:rPr>
                <w:rFonts w:ascii="Arial" w:cs="Arial" w:eastAsia="Arial" w:hAnsi="Arial"/>
                <w:sz w:val="18"/>
                <w:szCs w:val="18"/>
                <w:color w:val="0000FF"/>
                <w:w w:val="91"/>
              </w:rPr>
            </w:pPr>
            <w:hyperlink r:id="rId427">
              <w:r>
                <w:rPr>
                  <w:rFonts w:ascii="Arial" w:cs="Arial" w:eastAsia="Arial" w:hAnsi="Arial"/>
                  <w:sz w:val="18"/>
                  <w:szCs w:val="18"/>
                  <w:color w:val="0000FF"/>
                  <w:w w:val="91"/>
                </w:rPr>
                <w:t>Trustee, Series 2017-1 Securities Intermediary and Calculation Agent (Incorporated by reference to Exhibit 4.2 to the July 2017 8-K).</w:t>
              </w:r>
            </w:hyperlink>
          </w:p>
        </w:tc>
        <w:tc>
          <w:tcPr>
            <w:tcW w:w="160" w:type="dxa"/>
            <w:vAlign w:val="bottom"/>
            <w:gridSpan w:val="8"/>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10.65</w:t>
            </w:r>
          </w:p>
        </w:tc>
        <w:tc>
          <w:tcPr>
            <w:tcW w:w="9820" w:type="dxa"/>
            <w:vAlign w:val="bottom"/>
            <w:gridSpan w:val="34"/>
          </w:tcPr>
          <w:p>
            <w:pPr>
              <w:spacing w:after="0"/>
              <w:rPr>
                <w:rFonts w:ascii="Arial" w:cs="Arial" w:eastAsia="Arial" w:hAnsi="Arial"/>
                <w:sz w:val="18"/>
                <w:szCs w:val="18"/>
                <w:color w:val="0000FF"/>
                <w:w w:val="95"/>
              </w:rPr>
            </w:pPr>
            <w:hyperlink r:id="rId428">
              <w:r>
                <w:rPr>
                  <w:rFonts w:ascii="Arial" w:cs="Arial" w:eastAsia="Arial" w:hAnsi="Arial"/>
                  <w:sz w:val="18"/>
                  <w:szCs w:val="18"/>
                  <w:color w:val="0000FF"/>
                  <w:w w:val="95"/>
                </w:rPr>
                <w:t>Supplemental Indenture, dated as of April 24, 2018, among Domino’s Pizza Master Issuer LLC, Domino’s SPV Canadian Holding</w:t>
              </w:r>
            </w:hyperlink>
          </w:p>
        </w:tc>
      </w:tr>
      <w:tr>
        <w:trPr>
          <w:trHeight w:val="156"/>
        </w:trPr>
        <w:tc>
          <w:tcPr>
            <w:tcW w:w="15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428">
              <w:r>
                <w:rPr>
                  <w:rFonts w:ascii="Arial" w:cs="Arial" w:eastAsia="Arial" w:hAnsi="Arial"/>
                  <w:sz w:val="18"/>
                  <w:szCs w:val="18"/>
                  <w:color w:val="0000FF"/>
                  <w:w w:val="92"/>
                </w:rPr>
                <w:t>Company Inc., Domino’s Pizza Distribution LLC and Domino’s IP Holder LLC, each as Co-Issuer of Series 2018-1 4.116% Fixed</w:t>
              </w:r>
            </w:hyperlink>
          </w:p>
        </w:tc>
        <w:tc>
          <w:tcPr>
            <w:tcW w:w="40" w:type="dxa"/>
            <w:vAlign w:val="bottom"/>
            <w:tcBorders>
              <w:top w:val="single" w:sz="8" w:color="0000FF"/>
            </w:tcBorders>
            <w:gridSpan w:val="2"/>
          </w:tcPr>
          <w:p>
            <w:pPr>
              <w:spacing w:after="0"/>
              <w:rPr>
                <w:sz w:val="13"/>
                <w:szCs w:val="13"/>
                <w:color w:val="auto"/>
              </w:rPr>
            </w:pPr>
          </w:p>
        </w:tc>
        <w:tc>
          <w:tcPr>
            <w:tcW w:w="30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4"/>
          </w:tcPr>
          <w:p>
            <w:pPr>
              <w:spacing w:after="0" w:line="156" w:lineRule="exact"/>
              <w:rPr>
                <w:rFonts w:ascii="Arial" w:cs="Arial" w:eastAsia="Arial" w:hAnsi="Arial"/>
                <w:sz w:val="18"/>
                <w:szCs w:val="18"/>
                <w:color w:val="0000FF"/>
                <w:w w:val="91"/>
              </w:rPr>
            </w:pPr>
            <w:hyperlink r:id="rId428">
              <w:r>
                <w:rPr>
                  <w:rFonts w:ascii="Arial" w:cs="Arial" w:eastAsia="Arial" w:hAnsi="Arial"/>
                  <w:sz w:val="18"/>
                  <w:szCs w:val="18"/>
                  <w:color w:val="0000FF"/>
                  <w:w w:val="91"/>
                </w:rPr>
                <w:t>Rate Senior Secured Notes, Class A-2-I and Series 2018-1 4.328% Fixed Rate Senior Secured Notes, Class A-2-II, and Citibank, N.A.,</w:t>
              </w:r>
            </w:hyperlink>
          </w:p>
        </w:tc>
      </w:tr>
      <w:tr>
        <w:trPr>
          <w:trHeight w:val="155"/>
        </w:trPr>
        <w:tc>
          <w:tcPr>
            <w:tcW w:w="1500" w:type="dxa"/>
            <w:vAlign w:val="bottom"/>
          </w:tcPr>
          <w:p>
            <w:pPr>
              <w:spacing w:after="0"/>
              <w:rPr>
                <w:sz w:val="13"/>
                <w:szCs w:val="13"/>
                <w:color w:val="auto"/>
              </w:rPr>
            </w:pPr>
          </w:p>
        </w:tc>
        <w:tc>
          <w:tcPr>
            <w:tcW w:w="980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428">
              <w:r>
                <w:rPr>
                  <w:rFonts w:ascii="Arial" w:cs="Arial" w:eastAsia="Arial" w:hAnsi="Arial"/>
                  <w:sz w:val="18"/>
                  <w:szCs w:val="18"/>
                  <w:color w:val="0000FF"/>
                  <w:w w:val="92"/>
                </w:rPr>
                <w:t>as Trustee and Securities Intermediary (Incorporated by reference to Exhibit 4.1 to the registrant’s current report on Form 8-K filed on</w:t>
              </w:r>
            </w:hyperlink>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6"/>
              </w:rPr>
            </w:pPr>
            <w:hyperlink r:id="rId428">
              <w:r>
                <w:rPr>
                  <w:rFonts w:ascii="Arial" w:cs="Arial" w:eastAsia="Arial" w:hAnsi="Arial"/>
                  <w:sz w:val="18"/>
                  <w:szCs w:val="18"/>
                  <w:color w:val="0000FF"/>
                  <w:w w:val="96"/>
                </w:rPr>
                <w:t>April 25, 2018 (the “April 2018 8-K”)).</w:t>
              </w:r>
            </w:hyperlink>
          </w:p>
        </w:tc>
        <w:tc>
          <w:tcPr>
            <w:tcW w:w="6900" w:type="dxa"/>
            <w:vAlign w:val="bottom"/>
            <w:tcBorders>
              <w:top w:val="single" w:sz="8" w:color="0000FF"/>
            </w:tcBorders>
            <w:gridSpan w:val="2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10.66</w:t>
            </w:r>
          </w:p>
        </w:tc>
        <w:tc>
          <w:tcPr>
            <w:tcW w:w="9820" w:type="dxa"/>
            <w:vAlign w:val="bottom"/>
            <w:gridSpan w:val="34"/>
          </w:tcPr>
          <w:p>
            <w:pPr>
              <w:spacing w:after="0"/>
              <w:rPr>
                <w:rFonts w:ascii="Arial" w:cs="Arial" w:eastAsia="Arial" w:hAnsi="Arial"/>
                <w:sz w:val="18"/>
                <w:szCs w:val="18"/>
                <w:color w:val="0000FF"/>
                <w:w w:val="95"/>
              </w:rPr>
            </w:pPr>
            <w:hyperlink r:id="rId429">
              <w:r>
                <w:rPr>
                  <w:rFonts w:ascii="Arial" w:cs="Arial" w:eastAsia="Arial" w:hAnsi="Arial"/>
                  <w:sz w:val="18"/>
                  <w:szCs w:val="18"/>
                  <w:color w:val="0000FF"/>
                  <w:w w:val="95"/>
                </w:rPr>
                <w:t>Supplemental Indenture, dated November 19, 2019, among Domino’s Pizza Master Issuer LLC, Domino’s SPV Canadian Holding</w:t>
              </w:r>
            </w:hyperlink>
          </w:p>
        </w:tc>
      </w:tr>
      <w:tr>
        <w:trPr>
          <w:trHeight w:val="155"/>
        </w:trPr>
        <w:tc>
          <w:tcPr>
            <w:tcW w:w="15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429">
              <w:r>
                <w:rPr>
                  <w:rFonts w:ascii="Arial" w:cs="Arial" w:eastAsia="Arial" w:hAnsi="Arial"/>
                  <w:sz w:val="18"/>
                  <w:szCs w:val="18"/>
                  <w:color w:val="0000FF"/>
                  <w:w w:val="92"/>
                </w:rPr>
                <w:t>Company Inc., Domino’s Pizza Distribution LLC and Domino’s IP Holder LLC, each as Co-Issuer of Series 2019-1 3.668% Fixed</w:t>
              </w:r>
            </w:hyperlink>
          </w:p>
        </w:tc>
        <w:tc>
          <w:tcPr>
            <w:tcW w:w="20" w:type="dxa"/>
            <w:vAlign w:val="bottom"/>
            <w:tcBorders>
              <w:bottom w:val="single" w:sz="8" w:color="0000FF"/>
            </w:tcBorders>
          </w:tcPr>
          <w:p>
            <w:pPr>
              <w:spacing w:after="0"/>
              <w:rPr>
                <w:sz w:val="13"/>
                <w:szCs w:val="13"/>
                <w:color w:val="auto"/>
              </w:rPr>
            </w:pPr>
          </w:p>
        </w:tc>
        <w:tc>
          <w:tcPr>
            <w:tcW w:w="380" w:type="dxa"/>
            <w:vAlign w:val="bottom"/>
            <w:gridSpan w:val="16"/>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440" w:type="dxa"/>
            <w:vAlign w:val="bottom"/>
            <w:gridSpan w:val="18"/>
          </w:tcPr>
          <w:p>
            <w:pPr>
              <w:spacing w:after="0" w:line="156" w:lineRule="exact"/>
              <w:rPr>
                <w:rFonts w:ascii="Arial" w:cs="Arial" w:eastAsia="Arial" w:hAnsi="Arial"/>
                <w:sz w:val="18"/>
                <w:szCs w:val="18"/>
                <w:color w:val="0000FF"/>
                <w:w w:val="92"/>
              </w:rPr>
            </w:pPr>
            <w:hyperlink r:id="rId429">
              <w:r>
                <w:rPr>
                  <w:rFonts w:ascii="Arial" w:cs="Arial" w:eastAsia="Arial" w:hAnsi="Arial"/>
                  <w:sz w:val="18"/>
                  <w:szCs w:val="18"/>
                  <w:color w:val="0000FF"/>
                  <w:w w:val="92"/>
                </w:rPr>
                <w:t>Rate Senior Secured Notes, Class A-2, and Citibank, N.A., as Trustee and Securities Intermediary (Incorporated by reference to</w:t>
              </w:r>
            </w:hyperlink>
          </w:p>
        </w:tc>
        <w:tc>
          <w:tcPr>
            <w:tcW w:w="380" w:type="dxa"/>
            <w:vAlign w:val="bottom"/>
            <w:gridSpan w:val="16"/>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2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429">
              <w:r>
                <w:rPr>
                  <w:rFonts w:ascii="Arial" w:cs="Arial" w:eastAsia="Arial" w:hAnsi="Arial"/>
                  <w:sz w:val="18"/>
                  <w:szCs w:val="18"/>
                  <w:color w:val="0000FF"/>
                </w:rPr>
                <w:t>Exhibit 4.1 to the registrant’s current report on Form 8-K filed on November 19, 2019 (the “November 2019 8-K”))."</w:t>
              </w:r>
            </w:hyperlink>
          </w:p>
        </w:tc>
        <w:tc>
          <w:tcPr>
            <w:tcW w:w="600" w:type="dxa"/>
            <w:vAlign w:val="bottom"/>
            <w:gridSpan w:val="19"/>
          </w:tcPr>
          <w:p>
            <w:pPr>
              <w:spacing w:after="0"/>
              <w:rPr>
                <w:sz w:val="13"/>
                <w:szCs w:val="13"/>
                <w:color w:val="auto"/>
              </w:rPr>
            </w:pPr>
          </w:p>
        </w:tc>
      </w:tr>
      <w:tr>
        <w:trPr>
          <w:trHeight w:val="574"/>
        </w:trPr>
        <w:tc>
          <w:tcPr>
            <w:tcW w:w="1500" w:type="dxa"/>
            <w:vAlign w:val="bottom"/>
          </w:tcPr>
          <w:p>
            <w:pPr>
              <w:spacing w:after="0"/>
              <w:rPr>
                <w:sz w:val="24"/>
                <w:szCs w:val="24"/>
                <w:color w:val="auto"/>
              </w:rPr>
            </w:pPr>
          </w:p>
        </w:tc>
        <w:tc>
          <w:tcPr>
            <w:tcW w:w="4860" w:type="dxa"/>
            <w:vAlign w:val="bottom"/>
            <w:tcBorders>
              <w:top w:val="single" w:sz="8" w:color="0000FF"/>
            </w:tcBorders>
            <w:gridSpan w:val="6"/>
          </w:tcPr>
          <w:p>
            <w:pPr>
              <w:ind w:left="4040"/>
              <w:spacing w:after="0"/>
              <w:rPr>
                <w:sz w:val="20"/>
                <w:szCs w:val="20"/>
                <w:color w:val="auto"/>
              </w:rPr>
            </w:pPr>
            <w:r>
              <w:rPr>
                <w:rFonts w:ascii="Arial" w:cs="Arial" w:eastAsia="Arial" w:hAnsi="Arial"/>
                <w:sz w:val="18"/>
                <w:szCs w:val="18"/>
                <w:color w:val="auto"/>
              </w:rPr>
              <w:t>88</w:t>
            </w:r>
          </w:p>
        </w:tc>
        <w:tc>
          <w:tcPr>
            <w:tcW w:w="26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10.67</w:t>
            </w:r>
          </w:p>
        </w:tc>
        <w:tc>
          <w:tcPr>
            <w:tcW w:w="9820" w:type="dxa"/>
            <w:vAlign w:val="bottom"/>
            <w:gridSpan w:val="38"/>
          </w:tcPr>
          <w:p>
            <w:pPr>
              <w:spacing w:after="0"/>
              <w:rPr>
                <w:rFonts w:ascii="Arial" w:cs="Arial" w:eastAsia="Arial" w:hAnsi="Arial"/>
                <w:sz w:val="18"/>
                <w:szCs w:val="18"/>
                <w:color w:val="0000FF"/>
                <w:w w:val="99"/>
              </w:rPr>
            </w:pPr>
            <w:hyperlink r:id="rId432">
              <w:r>
                <w:rPr>
                  <w:rFonts w:ascii="Arial" w:cs="Arial" w:eastAsia="Arial" w:hAnsi="Arial"/>
                  <w:sz w:val="18"/>
                  <w:szCs w:val="18"/>
                  <w:color w:val="0000FF"/>
                  <w:w w:val="99"/>
                </w:rPr>
                <w:t>Supplemental Indenture, dated April 16, 2021, among Domino’s Pizza Master Issuer LLC, Domino’s SPV Canadian Holding</w:t>
              </w:r>
            </w:hyperlink>
          </w:p>
        </w:tc>
      </w:tr>
      <w:tr>
        <w:trPr>
          <w:trHeight w:val="156"/>
        </w:trPr>
        <w:tc>
          <w:tcPr>
            <w:tcW w:w="150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432">
              <w:r>
                <w:rPr>
                  <w:rFonts w:ascii="Arial" w:cs="Arial" w:eastAsia="Arial" w:hAnsi="Arial"/>
                  <w:sz w:val="18"/>
                  <w:szCs w:val="18"/>
                  <w:color w:val="0000FF"/>
                  <w:w w:val="92"/>
                </w:rPr>
                <w:t>Company Inc., Domino’s Pizza Distribution LLC and Domino’s IP Holder LLC, each as Co-Issuer of Series 2021-1 2.662%</w:t>
              </w:r>
            </w:hyperlink>
          </w:p>
        </w:tc>
        <w:tc>
          <w:tcPr>
            <w:tcW w:w="400" w:type="dxa"/>
            <w:vAlign w:val="bottom"/>
            <w:tcBorders>
              <w:bottom w:val="single" w:sz="8" w:color="0000FF"/>
            </w:tcBorders>
            <w:gridSpan w:val="11"/>
          </w:tcPr>
          <w:p>
            <w:pPr>
              <w:spacing w:after="0" w:line="156" w:lineRule="exact"/>
              <w:rPr>
                <w:rFonts w:ascii="Arial" w:cs="Arial" w:eastAsia="Arial" w:hAnsi="Arial"/>
                <w:sz w:val="18"/>
                <w:szCs w:val="18"/>
                <w:color w:val="0000FF"/>
                <w:w w:val="86"/>
              </w:rPr>
            </w:pPr>
            <w:hyperlink r:id="rId432">
              <w:r>
                <w:rPr>
                  <w:rFonts w:ascii="Arial" w:cs="Arial" w:eastAsia="Arial" w:hAnsi="Arial"/>
                  <w:sz w:val="18"/>
                  <w:szCs w:val="18"/>
                  <w:color w:val="0000FF"/>
                  <w:w w:val="86"/>
                </w:rPr>
                <w:t>Fixed</w:t>
              </w:r>
            </w:hyperlink>
          </w:p>
        </w:tc>
        <w:tc>
          <w:tcPr>
            <w:tcW w:w="380" w:type="dxa"/>
            <w:vAlign w:val="bottom"/>
            <w:gridSpan w:val="14"/>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1"/>
              </w:rPr>
            </w:pPr>
            <w:hyperlink r:id="rId432">
              <w:r>
                <w:rPr>
                  <w:rFonts w:ascii="Arial" w:cs="Arial" w:eastAsia="Arial" w:hAnsi="Arial"/>
                  <w:sz w:val="18"/>
                  <w:szCs w:val="18"/>
                  <w:color w:val="0000FF"/>
                  <w:w w:val="91"/>
                </w:rPr>
                <w:t>Rate Senior Secured Notes, Class A-2-I and Series 2021-1 3.151% Fixed Rate Senior Secured Notes, Class A-2-II, and Citibank, N.A.,</w:t>
              </w:r>
            </w:hyperlink>
          </w:p>
        </w:tc>
      </w:tr>
      <w:tr>
        <w:trPr>
          <w:trHeight w:val="156"/>
        </w:trPr>
        <w:tc>
          <w:tcPr>
            <w:tcW w:w="150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432">
              <w:r>
                <w:rPr>
                  <w:rFonts w:ascii="Arial" w:cs="Arial" w:eastAsia="Arial" w:hAnsi="Arial"/>
                  <w:sz w:val="18"/>
                  <w:szCs w:val="18"/>
                  <w:color w:val="0000FF"/>
                  <w:w w:val="91"/>
                </w:rPr>
                <w:t>as Trustee and Securities Intermediary (Incorporated by reference to Exhibit 4.2 to the April 2021 8-K).</w:t>
              </w:r>
            </w:hyperlink>
          </w:p>
        </w:tc>
        <w:tc>
          <w:tcPr>
            <w:tcW w:w="20" w:type="dxa"/>
            <w:vAlign w:val="bottom"/>
            <w:tcBorders>
              <w:top w:val="single" w:sz="8" w:color="0000FF"/>
              <w:bottom w:val="single" w:sz="8" w:color="0000EE"/>
            </w:tcBorders>
          </w:tcPr>
          <w:p>
            <w:pPr>
              <w:spacing w:after="0"/>
              <w:rPr>
                <w:sz w:val="13"/>
                <w:szCs w:val="13"/>
                <w:color w:val="auto"/>
              </w:rPr>
            </w:pPr>
          </w:p>
        </w:tc>
        <w:tc>
          <w:tcPr>
            <w:tcW w:w="23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10.68</w:t>
            </w:r>
          </w:p>
        </w:tc>
        <w:tc>
          <w:tcPr>
            <w:tcW w:w="9540" w:type="dxa"/>
            <w:vAlign w:val="bottom"/>
            <w:tcBorders>
              <w:bottom w:val="single" w:sz="8" w:color="0000FF"/>
            </w:tcBorders>
            <w:gridSpan w:val="27"/>
          </w:tcPr>
          <w:p>
            <w:pPr>
              <w:spacing w:after="0"/>
              <w:rPr>
                <w:rFonts w:ascii="Arial" w:cs="Arial" w:eastAsia="Arial" w:hAnsi="Arial"/>
                <w:sz w:val="18"/>
                <w:szCs w:val="18"/>
                <w:color w:val="0000FF"/>
                <w:w w:val="91"/>
              </w:rPr>
            </w:pPr>
            <w:hyperlink r:id="rId433">
              <w:r>
                <w:rPr>
                  <w:rFonts w:ascii="Arial" w:cs="Arial" w:eastAsia="Arial" w:hAnsi="Arial"/>
                  <w:sz w:val="18"/>
                  <w:szCs w:val="18"/>
                  <w:color w:val="0000FF"/>
                  <w:w w:val="91"/>
                </w:rPr>
                <w:t>Purchase Agreement dated as of October 14, 2015 among Domino’s Pizza Master Issuer LLC, Domino’s IP Holder LLC, Domino’s</w:t>
              </w:r>
            </w:hyperlink>
          </w:p>
        </w:tc>
        <w:tc>
          <w:tcPr>
            <w:tcW w:w="280" w:type="dxa"/>
            <w:vAlign w:val="bottom"/>
            <w:gridSpan w:val="11"/>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2"/>
              </w:rPr>
            </w:pPr>
            <w:hyperlink r:id="rId433">
              <w:r>
                <w:rPr>
                  <w:rFonts w:ascii="Arial" w:cs="Arial" w:eastAsia="Arial" w:hAnsi="Arial"/>
                  <w:sz w:val="18"/>
                  <w:szCs w:val="18"/>
                  <w:color w:val="0000FF"/>
                  <w:w w:val="92"/>
                </w:rPr>
                <w:t>Pizza Distribution LLC and Domino’s SPV Canadian Holding Company Inc. for the Series 2015-1 3.484% Fixed Rate Senior Secured</w:t>
              </w:r>
            </w:hyperlink>
          </w:p>
        </w:tc>
      </w:tr>
      <w:tr>
        <w:trPr>
          <w:trHeight w:val="156"/>
        </w:trPr>
        <w:tc>
          <w:tcPr>
            <w:tcW w:w="150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Arial" w:cs="Arial" w:eastAsia="Arial" w:hAnsi="Arial"/>
                <w:sz w:val="18"/>
                <w:szCs w:val="18"/>
                <w:color w:val="0000FF"/>
                <w:w w:val="91"/>
              </w:rPr>
            </w:pPr>
            <w:hyperlink r:id="rId433">
              <w:r>
                <w:rPr>
                  <w:rFonts w:ascii="Arial" w:cs="Arial" w:eastAsia="Arial" w:hAnsi="Arial"/>
                  <w:sz w:val="18"/>
                  <w:szCs w:val="18"/>
                  <w:color w:val="0000FF"/>
                  <w:w w:val="91"/>
                </w:rPr>
                <w:t>Notes, Class A-2-I and the Series 2015-1 4.474% Fixed Rate Senior Secured Notes, Class A-2-II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22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43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October 2015 8-K).</w:t>
              </w:r>
            </w:hyperlink>
          </w:p>
        </w:tc>
        <w:tc>
          <w:tcPr>
            <w:tcW w:w="20" w:type="dxa"/>
            <w:vAlign w:val="bottom"/>
            <w:tcBorders>
              <w:top w:val="single" w:sz="8" w:color="0000FF"/>
              <w:bottom w:val="single" w:sz="8" w:color="0000EE"/>
            </w:tcBorders>
          </w:tcPr>
          <w:p>
            <w:pPr>
              <w:spacing w:after="0"/>
              <w:rPr>
                <w:sz w:val="13"/>
                <w:szCs w:val="13"/>
                <w:color w:val="auto"/>
              </w:rPr>
            </w:pPr>
          </w:p>
        </w:tc>
        <w:tc>
          <w:tcPr>
            <w:tcW w:w="756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10.69</w:t>
            </w:r>
          </w:p>
        </w:tc>
        <w:tc>
          <w:tcPr>
            <w:tcW w:w="9820" w:type="dxa"/>
            <w:vAlign w:val="bottom"/>
            <w:gridSpan w:val="38"/>
          </w:tcPr>
          <w:p>
            <w:pPr>
              <w:spacing w:after="0"/>
              <w:rPr>
                <w:rFonts w:ascii="Arial" w:cs="Arial" w:eastAsia="Arial" w:hAnsi="Arial"/>
                <w:sz w:val="18"/>
                <w:szCs w:val="18"/>
                <w:color w:val="0000FF"/>
                <w:w w:val="98"/>
              </w:rPr>
            </w:pPr>
            <w:hyperlink r:id="rId434">
              <w:r>
                <w:rPr>
                  <w:rFonts w:ascii="Arial" w:cs="Arial" w:eastAsia="Arial" w:hAnsi="Arial"/>
                  <w:sz w:val="18"/>
                  <w:szCs w:val="18"/>
                  <w:color w:val="0000FF"/>
                  <w:w w:val="98"/>
                </w:rPr>
                <w:t>Purchase Agreement dated as of June 12, 2017 among Domino’s Pizza Master Issuer LLC, Domino’s SPV Canadian Holding</w:t>
              </w:r>
            </w:hyperlink>
          </w:p>
        </w:tc>
      </w:tr>
      <w:tr>
        <w:trPr>
          <w:trHeight w:val="155"/>
        </w:trPr>
        <w:tc>
          <w:tcPr>
            <w:tcW w:w="1500" w:type="dxa"/>
            <w:vAlign w:val="bottom"/>
          </w:tcPr>
          <w:p>
            <w:pPr>
              <w:spacing w:after="0"/>
              <w:rPr>
                <w:sz w:val="13"/>
                <w:szCs w:val="13"/>
                <w:color w:val="auto"/>
              </w:rPr>
            </w:pPr>
          </w:p>
        </w:tc>
        <w:tc>
          <w:tcPr>
            <w:tcW w:w="906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434">
              <w:r>
                <w:rPr>
                  <w:rFonts w:ascii="Arial" w:cs="Arial" w:eastAsia="Arial" w:hAnsi="Arial"/>
                  <w:sz w:val="18"/>
                  <w:szCs w:val="18"/>
                  <w:color w:val="0000FF"/>
                  <w:w w:val="92"/>
                </w:rPr>
                <w:t>Company Inc., Domino’s Pizza Distribution LLC and Domino’s IP Holder LLC, each as Co-Issuer, Domino’s SPV Guarantor</w:t>
              </w:r>
            </w:hyperlink>
          </w:p>
        </w:tc>
        <w:tc>
          <w:tcPr>
            <w:tcW w:w="760" w:type="dxa"/>
            <w:vAlign w:val="bottom"/>
            <w:gridSpan w:val="24"/>
          </w:tcPr>
          <w:p>
            <w:pPr>
              <w:jc w:val="right"/>
              <w:ind w:right="340"/>
              <w:spacing w:after="0" w:line="156" w:lineRule="exact"/>
              <w:rPr>
                <w:rFonts w:ascii="Arial" w:cs="Arial" w:eastAsia="Arial" w:hAnsi="Arial"/>
                <w:sz w:val="18"/>
                <w:szCs w:val="18"/>
                <w:color w:val="0000FF"/>
              </w:rPr>
            </w:pPr>
            <w:hyperlink r:id="rId434">
              <w:r>
                <w:rPr>
                  <w:rFonts w:ascii="Arial" w:cs="Arial" w:eastAsia="Arial" w:hAnsi="Arial"/>
                  <w:sz w:val="18"/>
                  <w:szCs w:val="18"/>
                  <w:color w:val="0000FF"/>
                </w:rPr>
                <w:t>LLC,</w:t>
              </w:r>
            </w:hyperlink>
          </w:p>
        </w:tc>
      </w:tr>
      <w:tr>
        <w:trPr>
          <w:trHeight w:val="156"/>
        </w:trPr>
        <w:tc>
          <w:tcPr>
            <w:tcW w:w="150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434">
              <w:r>
                <w:rPr>
                  <w:rFonts w:ascii="Arial" w:cs="Arial" w:eastAsia="Arial" w:hAnsi="Arial"/>
                  <w:sz w:val="18"/>
                  <w:szCs w:val="18"/>
                  <w:color w:val="0000FF"/>
                  <w:w w:val="92"/>
                </w:rPr>
                <w:t>Domino’s Pizza Franchising LLC, Domino’s Pizza International Franchising Inc., Domino’s Pizza Canadian Distribution ULC,</w:t>
              </w:r>
            </w:hyperlink>
          </w:p>
        </w:tc>
        <w:tc>
          <w:tcPr>
            <w:tcW w:w="3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3"/>
              </w:rPr>
            </w:pPr>
            <w:hyperlink r:id="rId434">
              <w:r>
                <w:rPr>
                  <w:rFonts w:ascii="Arial" w:cs="Arial" w:eastAsia="Arial" w:hAnsi="Arial"/>
                  <w:sz w:val="18"/>
                  <w:szCs w:val="18"/>
                  <w:color w:val="0000FF"/>
                  <w:w w:val="93"/>
                </w:rPr>
                <w:t>Domino’s RE LLC and Domino’s EQ LLC, each as Guarantor, Domino’s Pizza LLC, as manager, Domino’s Pizza, Inc. and Domino’s</w:t>
              </w:r>
            </w:hyperlink>
          </w:p>
        </w:tc>
      </w:tr>
      <w:tr>
        <w:trPr>
          <w:trHeight w:val="156"/>
        </w:trPr>
        <w:tc>
          <w:tcPr>
            <w:tcW w:w="15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32"/>
          </w:tcPr>
          <w:p>
            <w:pPr>
              <w:spacing w:after="0" w:line="156" w:lineRule="exact"/>
              <w:rPr>
                <w:rFonts w:ascii="Arial" w:cs="Arial" w:eastAsia="Arial" w:hAnsi="Arial"/>
                <w:sz w:val="18"/>
                <w:szCs w:val="18"/>
                <w:color w:val="0000FF"/>
                <w:w w:val="90"/>
              </w:rPr>
            </w:pPr>
            <w:hyperlink r:id="rId434">
              <w:r>
                <w:rPr>
                  <w:rFonts w:ascii="Arial" w:cs="Arial" w:eastAsia="Arial" w:hAnsi="Arial"/>
                  <w:sz w:val="18"/>
                  <w:szCs w:val="18"/>
                  <w:color w:val="0000FF"/>
                  <w:w w:val="90"/>
                </w:rPr>
                <w:t>Inc., as parent companies, and Guggenheim Securities, LLC and Barclays Capital Inc., as initial purchasers (Incorporated by reference</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8640" w:type="dxa"/>
            <w:vAlign w:val="bottom"/>
            <w:tcBorders>
              <w:bottom w:val="single" w:sz="8" w:color="0000FF"/>
            </w:tcBorders>
            <w:gridSpan w:val="11"/>
          </w:tcPr>
          <w:p>
            <w:pPr>
              <w:spacing w:after="0" w:line="156" w:lineRule="exact"/>
              <w:rPr>
                <w:rFonts w:ascii="Arial" w:cs="Arial" w:eastAsia="Arial" w:hAnsi="Arial"/>
                <w:sz w:val="18"/>
                <w:szCs w:val="18"/>
                <w:color w:val="0000FF"/>
                <w:w w:val="92"/>
              </w:rPr>
            </w:pPr>
            <w:hyperlink r:id="rId434">
              <w:r>
                <w:rPr>
                  <w:rFonts w:ascii="Arial" w:cs="Arial" w:eastAsia="Arial" w:hAnsi="Arial"/>
                  <w:sz w:val="18"/>
                  <w:szCs w:val="18"/>
                  <w:color w:val="0000FF"/>
                  <w:w w:val="92"/>
                </w:rPr>
                <w:t>to Exhibit 10.1 to the Domino’s Pizza, Inc. Current Report on Form 8-K, filed on June 14, 2017 (the “June 2017 8-K”)).</w:t>
              </w:r>
            </w:hyperlink>
          </w:p>
        </w:tc>
        <w:tc>
          <w:tcPr>
            <w:tcW w:w="20" w:type="dxa"/>
            <w:vAlign w:val="bottom"/>
            <w:tcBorders>
              <w:bottom w:val="single" w:sz="8" w:color="0000EE"/>
            </w:tcBorders>
          </w:tcPr>
          <w:p>
            <w:pPr>
              <w:spacing w:after="0"/>
              <w:rPr>
                <w:sz w:val="13"/>
                <w:szCs w:val="13"/>
                <w:color w:val="auto"/>
              </w:rPr>
            </w:pPr>
          </w:p>
        </w:tc>
        <w:tc>
          <w:tcPr>
            <w:tcW w:w="110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10.70</w:t>
            </w:r>
          </w:p>
        </w:tc>
        <w:tc>
          <w:tcPr>
            <w:tcW w:w="9380" w:type="dxa"/>
            <w:vAlign w:val="bottom"/>
            <w:tcBorders>
              <w:bottom w:val="single" w:sz="8" w:color="0000FF"/>
            </w:tcBorders>
            <w:gridSpan w:val="21"/>
          </w:tcPr>
          <w:p>
            <w:pPr>
              <w:spacing w:after="0"/>
              <w:rPr>
                <w:rFonts w:ascii="Arial" w:cs="Arial" w:eastAsia="Arial" w:hAnsi="Arial"/>
                <w:sz w:val="18"/>
                <w:szCs w:val="18"/>
                <w:color w:val="0000FF"/>
                <w:w w:val="91"/>
              </w:rPr>
            </w:pPr>
            <w:hyperlink r:id="rId435">
              <w:r>
                <w:rPr>
                  <w:rFonts w:ascii="Arial" w:cs="Arial" w:eastAsia="Arial" w:hAnsi="Arial"/>
                  <w:sz w:val="18"/>
                  <w:szCs w:val="18"/>
                  <w:color w:val="0000FF"/>
                  <w:w w:val="91"/>
                </w:rPr>
                <w:t>Purchase Agreement, dated April 18, 2018, by and among Domino’s Pizza Master Issuer LLC, Domino’s SPV Canadian Holding</w:t>
              </w:r>
            </w:hyperlink>
          </w:p>
        </w:tc>
        <w:tc>
          <w:tcPr>
            <w:tcW w:w="440" w:type="dxa"/>
            <w:vAlign w:val="bottom"/>
            <w:gridSpan w:val="17"/>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6"/>
              </w:rPr>
            </w:pPr>
            <w:hyperlink r:id="rId435">
              <w:r>
                <w:rPr>
                  <w:rFonts w:ascii="Arial" w:cs="Arial" w:eastAsia="Arial" w:hAnsi="Arial"/>
                  <w:sz w:val="18"/>
                  <w:szCs w:val="18"/>
                  <w:color w:val="0000FF"/>
                  <w:w w:val="96"/>
                </w:rPr>
                <w:t>Company Inc., Domino’s Pizza Distribution LLC, Domino’s IP Holder LLC, Domino’s Pizza, Inc., Domino’s Pizza LLC, Domino’s,</w:t>
              </w:r>
            </w:hyperlink>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29"/>
          </w:tcPr>
          <w:p>
            <w:pPr>
              <w:spacing w:after="0" w:line="156" w:lineRule="exact"/>
              <w:rPr>
                <w:rFonts w:ascii="Arial" w:cs="Arial" w:eastAsia="Arial" w:hAnsi="Arial"/>
                <w:sz w:val="18"/>
                <w:szCs w:val="18"/>
                <w:color w:val="0000FF"/>
                <w:w w:val="92"/>
              </w:rPr>
            </w:pPr>
            <w:hyperlink r:id="rId435">
              <w:r>
                <w:rPr>
                  <w:rFonts w:ascii="Arial" w:cs="Arial" w:eastAsia="Arial" w:hAnsi="Arial"/>
                  <w:sz w:val="18"/>
                  <w:szCs w:val="18"/>
                  <w:color w:val="0000FF"/>
                  <w:w w:val="92"/>
                </w:rPr>
                <w:t>Inc., the guarantors party thereto and Guggenheim Securities, LLC, as representative of the initial purchasers named in Schedule I</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435">
              <w:r>
                <w:rPr>
                  <w:rFonts w:ascii="Arial" w:cs="Arial" w:eastAsia="Arial" w:hAnsi="Arial"/>
                  <w:sz w:val="18"/>
                  <w:szCs w:val="18"/>
                  <w:color w:val="0000FF"/>
                  <w:w w:val="92"/>
                </w:rPr>
                <w:t>thereto (Incorporated by reference to Exhibit 1.1 to the April 2018 8-K).</w:t>
              </w:r>
            </w:hyperlink>
          </w:p>
        </w:tc>
        <w:tc>
          <w:tcPr>
            <w:tcW w:w="20" w:type="dxa"/>
            <w:vAlign w:val="bottom"/>
            <w:tcBorders>
              <w:top w:val="single" w:sz="8" w:color="0000FF"/>
              <w:bottom w:val="single" w:sz="8" w:color="0000EE"/>
            </w:tcBorders>
          </w:tcPr>
          <w:p>
            <w:pPr>
              <w:spacing w:after="0"/>
              <w:rPr>
                <w:sz w:val="13"/>
                <w:szCs w:val="13"/>
                <w:color w:val="auto"/>
              </w:rPr>
            </w:pPr>
          </w:p>
        </w:tc>
        <w:tc>
          <w:tcPr>
            <w:tcW w:w="41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10.71</w:t>
            </w:r>
          </w:p>
        </w:tc>
        <w:tc>
          <w:tcPr>
            <w:tcW w:w="9820" w:type="dxa"/>
            <w:vAlign w:val="bottom"/>
            <w:gridSpan w:val="38"/>
          </w:tcPr>
          <w:p>
            <w:pPr>
              <w:spacing w:after="0"/>
              <w:rPr>
                <w:rFonts w:ascii="Arial" w:cs="Arial" w:eastAsia="Arial" w:hAnsi="Arial"/>
                <w:sz w:val="18"/>
                <w:szCs w:val="18"/>
                <w:color w:val="0000FF"/>
                <w:w w:val="98"/>
              </w:rPr>
            </w:pPr>
            <w:hyperlink r:id="rId436">
              <w:r>
                <w:rPr>
                  <w:rFonts w:ascii="Arial" w:cs="Arial" w:eastAsia="Arial" w:hAnsi="Arial"/>
                  <w:sz w:val="18"/>
                  <w:szCs w:val="18"/>
                  <w:color w:val="0000FF"/>
                  <w:w w:val="98"/>
                </w:rPr>
                <w:t>Purchase Agreement, dated November 6, 2019, among Domino’s Pizza Master Issuer LLC, Domino’s SPV Canadian Holding</w:t>
              </w:r>
            </w:hyperlink>
          </w:p>
        </w:tc>
      </w:tr>
      <w:tr>
        <w:trPr>
          <w:trHeight w:val="156"/>
        </w:trPr>
        <w:tc>
          <w:tcPr>
            <w:tcW w:w="150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Arial" w:cs="Arial" w:eastAsia="Arial" w:hAnsi="Arial"/>
                <w:sz w:val="18"/>
                <w:szCs w:val="18"/>
                <w:color w:val="0000FF"/>
                <w:w w:val="92"/>
              </w:rPr>
            </w:pPr>
            <w:hyperlink r:id="rId436">
              <w:r>
                <w:rPr>
                  <w:rFonts w:ascii="Arial" w:cs="Arial" w:eastAsia="Arial" w:hAnsi="Arial"/>
                  <w:sz w:val="18"/>
                  <w:szCs w:val="18"/>
                  <w:color w:val="0000FF"/>
                  <w:w w:val="92"/>
                </w:rPr>
                <w:t>Company Inc., Domino’s Pizza Distribution LLC and Domino’s IP Holder LLC, each as Co-Issuer, Domino’s SPV Guarantor</w:t>
              </w:r>
            </w:hyperlink>
          </w:p>
        </w:tc>
        <w:tc>
          <w:tcPr>
            <w:tcW w:w="720" w:type="dxa"/>
            <w:vAlign w:val="bottom"/>
            <w:gridSpan w:val="23"/>
          </w:tcPr>
          <w:p>
            <w:pPr>
              <w:jc w:val="right"/>
              <w:ind w:right="340"/>
              <w:spacing w:after="0" w:line="156" w:lineRule="exact"/>
              <w:rPr>
                <w:rFonts w:ascii="Arial" w:cs="Arial" w:eastAsia="Arial" w:hAnsi="Arial"/>
                <w:sz w:val="18"/>
                <w:szCs w:val="18"/>
                <w:color w:val="0000FF"/>
                <w:w w:val="94"/>
              </w:rPr>
            </w:pPr>
            <w:hyperlink r:id="rId436">
              <w:r>
                <w:rPr>
                  <w:rFonts w:ascii="Arial" w:cs="Arial" w:eastAsia="Arial" w:hAnsi="Arial"/>
                  <w:sz w:val="18"/>
                  <w:szCs w:val="18"/>
                  <w:color w:val="0000FF"/>
                  <w:w w:val="94"/>
                </w:rPr>
                <w:t>LLC,</w:t>
              </w:r>
            </w:hyperlink>
          </w:p>
        </w:tc>
      </w:tr>
      <w:tr>
        <w:trPr>
          <w:trHeight w:val="155"/>
        </w:trPr>
        <w:tc>
          <w:tcPr>
            <w:tcW w:w="1500" w:type="dxa"/>
            <w:vAlign w:val="bottom"/>
          </w:tcPr>
          <w:p>
            <w:pPr>
              <w:spacing w:after="0"/>
              <w:rPr>
                <w:sz w:val="13"/>
                <w:szCs w:val="13"/>
                <w:color w:val="auto"/>
              </w:rPr>
            </w:pPr>
          </w:p>
        </w:tc>
        <w:tc>
          <w:tcPr>
            <w:tcW w:w="9520" w:type="dxa"/>
            <w:vAlign w:val="bottom"/>
            <w:tcBorders>
              <w:top w:val="single" w:sz="8" w:color="0000FF"/>
            </w:tcBorders>
            <w:gridSpan w:val="26"/>
          </w:tcPr>
          <w:p>
            <w:pPr>
              <w:spacing w:after="0" w:line="156" w:lineRule="exact"/>
              <w:rPr>
                <w:rFonts w:ascii="Arial" w:cs="Arial" w:eastAsia="Arial" w:hAnsi="Arial"/>
                <w:sz w:val="18"/>
                <w:szCs w:val="18"/>
                <w:color w:val="0000FF"/>
                <w:w w:val="96"/>
              </w:rPr>
            </w:pPr>
            <w:hyperlink r:id="rId436">
              <w:r>
                <w:rPr>
                  <w:rFonts w:ascii="Arial" w:cs="Arial" w:eastAsia="Arial" w:hAnsi="Arial"/>
                  <w:sz w:val="18"/>
                  <w:szCs w:val="18"/>
                  <w:color w:val="0000FF"/>
                  <w:w w:val="96"/>
                </w:rPr>
                <w:t>Domino’s Pizza Franchising LLC, Domino’s Pizza International Franchising Inc., Domino’s Pizza Canadian Distribution ULC,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r:id="rId436">
              <w:r>
                <w:rPr>
                  <w:rFonts w:ascii="Arial" w:cs="Arial" w:eastAsia="Arial" w:hAnsi="Arial"/>
                  <w:sz w:val="18"/>
                  <w:szCs w:val="18"/>
                  <w:color w:val="0000FF"/>
                  <w:w w:val="92"/>
                </w:rPr>
                <w:t>Domino’s RE LLC and Domino’s EQ LLC, each as Guarantor, Domino’s Pizza LLC, as manager, the Company and Domino’s</w:t>
              </w:r>
            </w:hyperlink>
          </w:p>
        </w:tc>
        <w:tc>
          <w:tcPr>
            <w:tcW w:w="620" w:type="dxa"/>
            <w:vAlign w:val="bottom"/>
            <w:gridSpan w:val="21"/>
          </w:tcPr>
          <w:p>
            <w:pPr>
              <w:jc w:val="center"/>
              <w:ind w:right="160"/>
              <w:spacing w:after="0" w:line="156" w:lineRule="exact"/>
              <w:rPr>
                <w:rFonts w:ascii="Arial" w:cs="Arial" w:eastAsia="Arial" w:hAnsi="Arial"/>
                <w:sz w:val="18"/>
                <w:szCs w:val="18"/>
                <w:color w:val="0000FF"/>
                <w:w w:val="79"/>
              </w:rPr>
            </w:pPr>
            <w:hyperlink r:id="rId436">
              <w:r>
                <w:rPr>
                  <w:rFonts w:ascii="Arial" w:cs="Arial" w:eastAsia="Arial" w:hAnsi="Arial"/>
                  <w:sz w:val="18"/>
                  <w:szCs w:val="18"/>
                  <w:color w:val="0000FF"/>
                  <w:w w:val="79"/>
                </w:rPr>
                <w:t>Inc., as</w:t>
              </w:r>
            </w:hyperlink>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436">
              <w:r>
                <w:rPr>
                  <w:rFonts w:ascii="Arial" w:cs="Arial" w:eastAsia="Arial" w:hAnsi="Arial"/>
                  <w:sz w:val="18"/>
                  <w:szCs w:val="18"/>
                  <w:color w:val="0000FF"/>
                  <w:w w:val="94"/>
                </w:rPr>
                <w:t>parent companies, and Guggenheim Securities, LLC and Barclays Capital Inc., as initial purchasers (Incorporated by reference to</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6420" w:type="dxa"/>
            <w:vAlign w:val="bottom"/>
            <w:tcBorders>
              <w:top w:val="single" w:sz="8" w:color="0000FF"/>
              <w:bottom w:val="single" w:sz="8" w:color="0000EE"/>
            </w:tcBorders>
            <w:gridSpan w:val="7"/>
          </w:tcPr>
          <w:p>
            <w:pPr>
              <w:spacing w:after="0" w:line="156" w:lineRule="exact"/>
              <w:rPr>
                <w:rFonts w:ascii="Arial" w:cs="Arial" w:eastAsia="Arial" w:hAnsi="Arial"/>
                <w:sz w:val="18"/>
                <w:szCs w:val="18"/>
                <w:color w:val="0000FF"/>
                <w:w w:val="92"/>
              </w:rPr>
            </w:pPr>
            <w:hyperlink r:id="rId436">
              <w:r>
                <w:rPr>
                  <w:rFonts w:ascii="Arial" w:cs="Arial" w:eastAsia="Arial" w:hAnsi="Arial"/>
                  <w:sz w:val="18"/>
                  <w:szCs w:val="18"/>
                  <w:color w:val="0000FF"/>
                  <w:w w:val="92"/>
                </w:rPr>
                <w:t>Exhibit 99.1 to the registrant’s Current Report on Form 8-K filed on November 7, 2019).</w:t>
              </w:r>
            </w:hyperlink>
          </w:p>
        </w:tc>
        <w:tc>
          <w:tcPr>
            <w:tcW w:w="29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10.72</w:t>
            </w:r>
          </w:p>
        </w:tc>
        <w:tc>
          <w:tcPr>
            <w:tcW w:w="9820" w:type="dxa"/>
            <w:vAlign w:val="bottom"/>
            <w:gridSpan w:val="38"/>
          </w:tcPr>
          <w:p>
            <w:pPr>
              <w:spacing w:after="0"/>
              <w:rPr>
                <w:rFonts w:ascii="Arial" w:cs="Arial" w:eastAsia="Arial" w:hAnsi="Arial"/>
                <w:sz w:val="18"/>
                <w:szCs w:val="18"/>
                <w:color w:val="0000FF"/>
                <w:w w:val="94"/>
              </w:rPr>
            </w:pPr>
            <w:hyperlink r:id="rId437">
              <w:r>
                <w:rPr>
                  <w:rFonts w:ascii="Arial" w:cs="Arial" w:eastAsia="Arial" w:hAnsi="Arial"/>
                  <w:sz w:val="18"/>
                  <w:szCs w:val="18"/>
                  <w:color w:val="0000FF"/>
                  <w:w w:val="94"/>
                </w:rPr>
                <w:t>Purchase Agreement, dated April 8, 2021, among Domino’s Pizza Master Issuer LLC, Domino’s SPV Canadian Holding Company</w:t>
              </w:r>
            </w:hyperlink>
          </w:p>
        </w:tc>
      </w:tr>
      <w:tr>
        <w:trPr>
          <w:trHeight w:val="156"/>
        </w:trPr>
        <w:tc>
          <w:tcPr>
            <w:tcW w:w="150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2"/>
              </w:rPr>
            </w:pPr>
            <w:hyperlink r:id="rId437">
              <w:r>
                <w:rPr>
                  <w:rFonts w:ascii="Arial" w:cs="Arial" w:eastAsia="Arial" w:hAnsi="Arial"/>
                  <w:sz w:val="18"/>
                  <w:szCs w:val="18"/>
                  <w:color w:val="0000FF"/>
                  <w:w w:val="92"/>
                </w:rPr>
                <w:t>Inc., Domino’s Pizza Distribution LLC and Domino’s IP Holder LLC, each as Co-Issuer, Domino’s SPV Guarantor LLC, Domino’s</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540" w:type="dxa"/>
            <w:vAlign w:val="bottom"/>
            <w:gridSpan w:val="27"/>
          </w:tcPr>
          <w:p>
            <w:pPr>
              <w:spacing w:after="0" w:line="156" w:lineRule="exact"/>
              <w:rPr>
                <w:rFonts w:ascii="Arial" w:cs="Arial" w:eastAsia="Arial" w:hAnsi="Arial"/>
                <w:sz w:val="18"/>
                <w:szCs w:val="18"/>
                <w:color w:val="0000FF"/>
                <w:w w:val="93"/>
              </w:rPr>
            </w:pPr>
            <w:hyperlink r:id="rId437">
              <w:r>
                <w:rPr>
                  <w:rFonts w:ascii="Arial" w:cs="Arial" w:eastAsia="Arial" w:hAnsi="Arial"/>
                  <w:sz w:val="18"/>
                  <w:szCs w:val="18"/>
                  <w:color w:val="0000FF"/>
                  <w:w w:val="93"/>
                </w:rPr>
                <w:t>Pizza Franchising LLC, Domino’s Pizza International Franchising Inc., Domino’s Pizza Canadian Distribution ULC, Domino’s RE</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437">
              <w:r>
                <w:rPr>
                  <w:rFonts w:ascii="Arial" w:cs="Arial" w:eastAsia="Arial" w:hAnsi="Arial"/>
                  <w:sz w:val="18"/>
                  <w:szCs w:val="18"/>
                  <w:color w:val="0000FF"/>
                  <w:w w:val="91"/>
                </w:rPr>
                <w:t>LLC and Domino’s EQ LLC, each as Guarantor, Domino’s Pizza LLC, as manager, the Company and Domino’s Inc., as parent</w:t>
              </w:r>
            </w:hyperlink>
          </w:p>
        </w:tc>
        <w:tc>
          <w:tcPr>
            <w:tcW w:w="300" w:type="dxa"/>
            <w:vAlign w:val="bottom"/>
            <w:tcBorders>
              <w:top w:val="single" w:sz="8" w:color="0000FF"/>
            </w:tcBorders>
            <w:gridSpan w:val="9"/>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5"/>
              </w:rPr>
            </w:pPr>
            <w:hyperlink r:id="rId437">
              <w:r>
                <w:rPr>
                  <w:rFonts w:ascii="Arial" w:cs="Arial" w:eastAsia="Arial" w:hAnsi="Arial"/>
                  <w:sz w:val="18"/>
                  <w:szCs w:val="18"/>
                  <w:color w:val="0000FF"/>
                  <w:w w:val="95"/>
                </w:rPr>
                <w:t>companies, and Guggenheim Securities, LLC and Barclays Capital Inc., as initial purchasers (Incorporated by reference to Exhibit</w:t>
              </w:r>
            </w:hyperlink>
          </w:p>
        </w:tc>
      </w:tr>
      <w:tr>
        <w:trPr>
          <w:trHeight w:val="156"/>
        </w:trPr>
        <w:tc>
          <w:tcPr>
            <w:tcW w:w="15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37">
              <w:r>
                <w:rPr>
                  <w:rFonts w:ascii="Arial" w:cs="Arial" w:eastAsia="Arial" w:hAnsi="Arial"/>
                  <w:sz w:val="18"/>
                  <w:szCs w:val="18"/>
                  <w:color w:val="0000FF"/>
                </w:rPr>
                <w:t>99.</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filed on April 9, 2021).</w:t>
              </w:r>
            </w:hyperlink>
          </w:p>
        </w:tc>
        <w:tc>
          <w:tcPr>
            <w:tcW w:w="1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2760" w:type="dxa"/>
            <w:vAlign w:val="bottom"/>
            <w:tcBorders>
              <w:right w:val="single" w:sz="8" w:color="0000EE"/>
            </w:tcBorders>
            <w:gridSpan w:val="3"/>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10.73</w:t>
            </w:r>
          </w:p>
        </w:tc>
        <w:tc>
          <w:tcPr>
            <w:tcW w:w="9340" w:type="dxa"/>
            <w:vAlign w:val="bottom"/>
            <w:tcBorders>
              <w:bottom w:val="single" w:sz="8" w:color="0000FF"/>
            </w:tcBorders>
            <w:gridSpan w:val="19"/>
          </w:tcPr>
          <w:p>
            <w:pPr>
              <w:spacing w:after="0"/>
              <w:rPr>
                <w:rFonts w:ascii="Arial" w:cs="Arial" w:eastAsia="Arial" w:hAnsi="Arial"/>
                <w:sz w:val="18"/>
                <w:szCs w:val="18"/>
                <w:color w:val="0000FF"/>
                <w:w w:val="91"/>
              </w:rPr>
            </w:pPr>
            <w:hyperlink r:id="rId438">
              <w:r>
                <w:rPr>
                  <w:rFonts w:ascii="Arial" w:cs="Arial" w:eastAsia="Arial" w:hAnsi="Arial"/>
                  <w:sz w:val="18"/>
                  <w:szCs w:val="18"/>
                  <w:color w:val="0000FF"/>
                  <w:w w:val="91"/>
                </w:rPr>
                <w:t>Class A-1 Note Purchase Agreement, dated April 16, 2021, among Domino’s Pizza Master Issuer LLC, Domino’s SPV Canadian</w:t>
              </w:r>
            </w:hyperlink>
          </w:p>
        </w:tc>
        <w:tc>
          <w:tcPr>
            <w:tcW w:w="480" w:type="dxa"/>
            <w:vAlign w:val="bottom"/>
            <w:gridSpan w:val="19"/>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820" w:type="dxa"/>
            <w:vAlign w:val="bottom"/>
            <w:gridSpan w:val="38"/>
          </w:tcPr>
          <w:p>
            <w:pPr>
              <w:spacing w:after="0" w:line="156" w:lineRule="exact"/>
              <w:rPr>
                <w:rFonts w:ascii="Arial" w:cs="Arial" w:eastAsia="Arial" w:hAnsi="Arial"/>
                <w:sz w:val="18"/>
                <w:szCs w:val="18"/>
                <w:color w:val="0000FF"/>
                <w:w w:val="93"/>
              </w:rPr>
            </w:pPr>
            <w:hyperlink r:id="rId438">
              <w:r>
                <w:rPr>
                  <w:rFonts w:ascii="Arial" w:cs="Arial" w:eastAsia="Arial" w:hAnsi="Arial"/>
                  <w:sz w:val="18"/>
                  <w:szCs w:val="18"/>
                  <w:color w:val="0000FF"/>
                  <w:w w:val="93"/>
                </w:rPr>
                <w:t>Holding Company Inc., Domino’s Pizza Distribution LLC and Domino’s IP Holder LLC, each as Co-Issuer, Domino’s SPV Guarantor</w:t>
              </w:r>
            </w:hyperlink>
          </w:p>
        </w:tc>
      </w:tr>
      <w:tr>
        <w:trPr>
          <w:trHeight w:val="155"/>
        </w:trPr>
        <w:tc>
          <w:tcPr>
            <w:tcW w:w="1500" w:type="dxa"/>
            <w:vAlign w:val="bottom"/>
          </w:tcPr>
          <w:p>
            <w:pPr>
              <w:spacing w:after="0"/>
              <w:rPr>
                <w:sz w:val="13"/>
                <w:szCs w:val="13"/>
                <w:color w:val="auto"/>
              </w:rPr>
            </w:pPr>
          </w:p>
        </w:tc>
        <w:tc>
          <w:tcPr>
            <w:tcW w:w="9780" w:type="dxa"/>
            <w:vAlign w:val="bottom"/>
            <w:tcBorders>
              <w:top w:val="single" w:sz="8" w:color="0000FF"/>
            </w:tcBorders>
            <w:gridSpan w:val="36"/>
          </w:tcPr>
          <w:p>
            <w:pPr>
              <w:spacing w:after="0" w:line="156" w:lineRule="exact"/>
              <w:rPr>
                <w:rFonts w:ascii="Arial" w:cs="Arial" w:eastAsia="Arial" w:hAnsi="Arial"/>
                <w:sz w:val="18"/>
                <w:szCs w:val="18"/>
                <w:color w:val="0000FF"/>
                <w:w w:val="94"/>
              </w:rPr>
            </w:pPr>
            <w:hyperlink r:id="rId438">
              <w:r>
                <w:rPr>
                  <w:rFonts w:ascii="Arial" w:cs="Arial" w:eastAsia="Arial" w:hAnsi="Arial"/>
                  <w:sz w:val="18"/>
                  <w:szCs w:val="18"/>
                  <w:color w:val="0000FF"/>
                  <w:w w:val="94"/>
                </w:rPr>
                <w:t>LLC, Domino’s Pizza Franchising LLC, Domino’s Pizza International Franchising Inc., Domino’s Pizza Canadian Distribution ULC,</w:t>
              </w:r>
            </w:hyperlink>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640" w:type="dxa"/>
            <w:vAlign w:val="bottom"/>
            <w:tcBorders>
              <w:top w:val="single" w:sz="8" w:color="0000FF"/>
            </w:tcBorders>
            <w:gridSpan w:val="31"/>
          </w:tcPr>
          <w:p>
            <w:pPr>
              <w:spacing w:after="0" w:line="156" w:lineRule="exact"/>
              <w:rPr>
                <w:rFonts w:ascii="Arial" w:cs="Arial" w:eastAsia="Arial" w:hAnsi="Arial"/>
                <w:sz w:val="18"/>
                <w:szCs w:val="18"/>
                <w:color w:val="0000FF"/>
                <w:w w:val="92"/>
              </w:rPr>
            </w:pPr>
            <w:hyperlink r:id="rId438">
              <w:r>
                <w:rPr>
                  <w:rFonts w:ascii="Arial" w:cs="Arial" w:eastAsia="Arial" w:hAnsi="Arial"/>
                  <w:sz w:val="18"/>
                  <w:szCs w:val="18"/>
                  <w:color w:val="0000FF"/>
                  <w:w w:val="92"/>
                </w:rPr>
                <w:t>Domino’s RE LLC and Domino’s EQ LLC, each as Guarantor, Domino’s Pizza LLC, as manager, certain conduit investors, financial</w:t>
              </w:r>
            </w:hyperlink>
          </w:p>
        </w:tc>
        <w:tc>
          <w:tcPr>
            <w:tcW w:w="180" w:type="dxa"/>
            <w:vAlign w:val="bottom"/>
            <w:gridSpan w:val="7"/>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62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438">
              <w:r>
                <w:rPr>
                  <w:rFonts w:ascii="Arial" w:cs="Arial" w:eastAsia="Arial" w:hAnsi="Arial"/>
                  <w:sz w:val="18"/>
                  <w:szCs w:val="18"/>
                  <w:color w:val="0000FF"/>
                  <w:w w:val="93"/>
                </w:rPr>
                <w:t>institutions and funding agents, and Coöperatieve Rabobank U.A., New York Branch, as provider of letters of credit, as swingline</w:t>
              </w:r>
            </w:hyperlink>
          </w:p>
        </w:tc>
        <w:tc>
          <w:tcPr>
            <w:tcW w:w="200" w:type="dxa"/>
            <w:vAlign w:val="bottom"/>
            <w:gridSpan w:val="8"/>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438">
              <w:r>
                <w:rPr>
                  <w:rFonts w:ascii="Arial" w:cs="Arial" w:eastAsia="Arial" w:hAnsi="Arial"/>
                  <w:sz w:val="18"/>
                  <w:szCs w:val="18"/>
                  <w:color w:val="0000FF"/>
                </w:rPr>
                <w:t>lender and as administrative agent (Incorporated by reference to Exhibit 10.1 to the April 2021 8-K).</w:t>
              </w:r>
            </w:hyperlink>
          </w:p>
        </w:tc>
        <w:tc>
          <w:tcPr>
            <w:tcW w:w="180" w:type="dxa"/>
            <w:vAlign w:val="bottom"/>
            <w:gridSpan w:val="7"/>
          </w:tcPr>
          <w:p>
            <w:pPr>
              <w:spacing w:after="0"/>
              <w:rPr>
                <w:sz w:val="13"/>
                <w:szCs w:val="13"/>
                <w:color w:val="auto"/>
              </w:rPr>
            </w:pPr>
          </w:p>
        </w:tc>
        <w:tc>
          <w:tcPr>
            <w:tcW w:w="260" w:type="dxa"/>
            <w:vAlign w:val="bottom"/>
            <w:gridSpan w:val="10"/>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580" w:type="dxa"/>
            <w:vAlign w:val="bottom"/>
            <w:tcBorders>
              <w:right w:val="single" w:sz="8" w:color="0000EE"/>
            </w:tcBorders>
            <w:gridSpan w:val="5"/>
            <w:shd w:val="clear" w:color="auto" w:fill="0000FF"/>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r>
      <w:tr>
        <w:trPr>
          <w:trHeight w:val="31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10.74</w:t>
            </w:r>
          </w:p>
        </w:tc>
        <w:tc>
          <w:tcPr>
            <w:tcW w:w="9820" w:type="dxa"/>
            <w:vAlign w:val="bottom"/>
            <w:gridSpan w:val="38"/>
          </w:tcPr>
          <w:p>
            <w:pPr>
              <w:spacing w:after="0"/>
              <w:rPr>
                <w:rFonts w:ascii="Arial" w:cs="Arial" w:eastAsia="Arial" w:hAnsi="Arial"/>
                <w:sz w:val="18"/>
                <w:szCs w:val="18"/>
                <w:color w:val="0000FF"/>
                <w:w w:val="95"/>
              </w:rPr>
            </w:pPr>
            <w:hyperlink r:id="rId439">
              <w:r>
                <w:rPr>
                  <w:rFonts w:ascii="Arial" w:cs="Arial" w:eastAsia="Arial" w:hAnsi="Arial"/>
                  <w:sz w:val="18"/>
                  <w:szCs w:val="18"/>
                  <w:color w:val="0000FF"/>
                  <w:w w:val="95"/>
                </w:rPr>
                <w:t>Amended and Restated Guarantee and Collateral Agreement dated as of March 15, 2012 among Domino’s SPV Guarantor LLC,</w:t>
              </w:r>
            </w:hyperlink>
          </w:p>
        </w:tc>
      </w:tr>
      <w:tr>
        <w:trPr>
          <w:trHeight w:val="155"/>
        </w:trPr>
        <w:tc>
          <w:tcPr>
            <w:tcW w:w="150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439">
              <w:r>
                <w:rPr>
                  <w:rFonts w:ascii="Arial" w:cs="Arial" w:eastAsia="Arial" w:hAnsi="Arial"/>
                  <w:sz w:val="18"/>
                  <w:szCs w:val="18"/>
                  <w:color w:val="0000FF"/>
                  <w:w w:val="93"/>
                </w:rPr>
                <w:t>Domino’s Pizza Franchising LLC, Domino’s Pizza International Franchising Inc., Domino’s Pizza Canadian Distribution ULC,</w:t>
              </w:r>
            </w:hyperlink>
          </w:p>
        </w:tc>
        <w:tc>
          <w:tcPr>
            <w:tcW w:w="280" w:type="dxa"/>
            <w:vAlign w:val="bottom"/>
            <w:gridSpan w:val="10"/>
          </w:tcPr>
          <w:p>
            <w:pPr>
              <w:spacing w:after="0"/>
              <w:rPr>
                <w:sz w:val="13"/>
                <w:szCs w:val="13"/>
                <w:color w:val="auto"/>
              </w:rPr>
            </w:pPr>
          </w:p>
        </w:tc>
        <w:tc>
          <w:tcPr>
            <w:tcW w:w="260" w:type="dxa"/>
            <w:vAlign w:val="bottom"/>
            <w:gridSpan w:val="10"/>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r:id="rId439">
              <w:r>
                <w:rPr>
                  <w:rFonts w:ascii="Arial" w:cs="Arial" w:eastAsia="Arial" w:hAnsi="Arial"/>
                  <w:sz w:val="18"/>
                  <w:szCs w:val="18"/>
                  <w:color w:val="0000FF"/>
                  <w:w w:val="90"/>
                </w:rPr>
                <w:t>Domino’s RE LLC and Domino’s EQ LLC, each as a Guarantor, in favor of Citibank, N.A., as Trustee (Incorporated by reference</w:t>
              </w:r>
            </w:hyperlink>
          </w:p>
        </w:tc>
        <w:tc>
          <w:tcPr>
            <w:tcW w:w="620" w:type="dxa"/>
            <w:vAlign w:val="bottom"/>
            <w:gridSpan w:val="21"/>
          </w:tcPr>
          <w:p>
            <w:pPr>
              <w:jc w:val="center"/>
              <w:ind w:right="120"/>
              <w:spacing w:after="0" w:line="156" w:lineRule="exact"/>
              <w:rPr>
                <w:rFonts w:ascii="Arial" w:cs="Arial" w:eastAsia="Arial" w:hAnsi="Arial"/>
                <w:sz w:val="18"/>
                <w:szCs w:val="18"/>
                <w:color w:val="0000FF"/>
                <w:w w:val="92"/>
              </w:rPr>
            </w:pPr>
            <w:hyperlink r:id="rId439">
              <w:r>
                <w:rPr>
                  <w:rFonts w:ascii="Arial" w:cs="Arial" w:eastAsia="Arial" w:hAnsi="Arial"/>
                  <w:sz w:val="18"/>
                  <w:szCs w:val="18"/>
                  <w:color w:val="0000FF"/>
                  <w:w w:val="92"/>
                </w:rPr>
                <w:t>to</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39">
              <w:r>
                <w:rPr>
                  <w:rFonts w:ascii="Arial" w:cs="Arial" w:eastAsia="Arial" w:hAnsi="Arial"/>
                  <w:sz w:val="18"/>
                  <w:szCs w:val="18"/>
                  <w:color w:val="0000FF"/>
                </w:rPr>
                <w:t>Exhibit 10.2 to the March 2012 8-K).</w:t>
              </w:r>
            </w:hyperlink>
          </w:p>
        </w:tc>
        <w:tc>
          <w:tcPr>
            <w:tcW w:w="260" w:type="dxa"/>
            <w:vAlign w:val="bottom"/>
            <w:gridSpan w:val="10"/>
          </w:tcPr>
          <w:p>
            <w:pPr>
              <w:spacing w:after="0"/>
              <w:rPr>
                <w:sz w:val="13"/>
                <w:szCs w:val="13"/>
                <w:color w:val="auto"/>
              </w:rPr>
            </w:pPr>
          </w:p>
        </w:tc>
      </w:tr>
      <w:tr>
        <w:trPr>
          <w:trHeight w:val="574"/>
        </w:trPr>
        <w:tc>
          <w:tcPr>
            <w:tcW w:w="1500" w:type="dxa"/>
            <w:vAlign w:val="bottom"/>
          </w:tcPr>
          <w:p>
            <w:pPr>
              <w:spacing w:after="0"/>
              <w:rPr>
                <w:sz w:val="24"/>
                <w:szCs w:val="24"/>
                <w:color w:val="auto"/>
              </w:rPr>
            </w:pPr>
          </w:p>
        </w:tc>
        <w:tc>
          <w:tcPr>
            <w:tcW w:w="2680" w:type="dxa"/>
            <w:vAlign w:val="bottom"/>
            <w:tcBorders>
              <w:top w:val="single" w:sz="8" w:color="0000FF"/>
            </w:tcBorders>
            <w:gridSpan w:val="3"/>
          </w:tcPr>
          <w:p>
            <w:pPr>
              <w:spacing w:after="0"/>
              <w:rPr>
                <w:sz w:val="24"/>
                <w:szCs w:val="24"/>
                <w:color w:val="auto"/>
              </w:rPr>
            </w:pPr>
          </w:p>
        </w:tc>
        <w:tc>
          <w:tcPr>
            <w:tcW w:w="2520" w:type="dxa"/>
            <w:vAlign w:val="bottom"/>
          </w:tcPr>
          <w:p>
            <w:pPr>
              <w:jc w:val="right"/>
              <w:ind w:right="89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5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Arial" w:cs="Arial" w:eastAsia="Arial" w:hAnsi="Arial"/>
                <w:sz w:val="18"/>
                <w:szCs w:val="18"/>
                <w:color w:val="auto"/>
              </w:rPr>
              <w:t>10.75</w:t>
            </w:r>
          </w:p>
        </w:tc>
        <w:tc>
          <w:tcPr>
            <w:tcW w:w="9800" w:type="dxa"/>
            <w:vAlign w:val="bottom"/>
            <w:gridSpan w:val="40"/>
          </w:tcPr>
          <w:p>
            <w:pPr>
              <w:spacing w:after="0"/>
              <w:rPr>
                <w:rFonts w:ascii="Arial" w:cs="Arial" w:eastAsia="Arial" w:hAnsi="Arial"/>
                <w:sz w:val="18"/>
                <w:szCs w:val="18"/>
                <w:color w:val="0000FF"/>
                <w:w w:val="95"/>
              </w:rPr>
            </w:pPr>
            <w:hyperlink r:id="rId442">
              <w:r>
                <w:rPr>
                  <w:rFonts w:ascii="Arial" w:cs="Arial" w:eastAsia="Arial" w:hAnsi="Arial"/>
                  <w:sz w:val="18"/>
                  <w:szCs w:val="18"/>
                  <w:color w:val="0000FF"/>
                  <w:w w:val="95"/>
                </w:rPr>
                <w:t>Amended and Restated Management Agreement dated as of March 15, 2012 among Domino’s Pizza Master Issuer LLC, certain</w:t>
              </w:r>
            </w:hyperlink>
          </w:p>
        </w:tc>
      </w:tr>
      <w:tr>
        <w:trPr>
          <w:trHeight w:val="156"/>
        </w:trPr>
        <w:tc>
          <w:tcPr>
            <w:tcW w:w="150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1"/>
              </w:rPr>
            </w:pPr>
            <w:hyperlink r:id="rId442">
              <w:r>
                <w:rPr>
                  <w:rFonts w:ascii="Arial" w:cs="Arial" w:eastAsia="Arial" w:hAnsi="Arial"/>
                  <w:sz w:val="18"/>
                  <w:szCs w:val="18"/>
                  <w:color w:val="0000FF"/>
                  <w:w w:val="91"/>
                </w:rPr>
                <w:t>subsidiaries of Domino’s Pizza Master Issuer LLC party thereto, Domino’s Pizza LLC, as Manager and in its individual capacity,</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340" w:type="dxa"/>
            <w:vAlign w:val="bottom"/>
            <w:gridSpan w:val="22"/>
          </w:tcPr>
          <w:p>
            <w:pPr>
              <w:spacing w:after="0" w:line="156" w:lineRule="exact"/>
              <w:rPr>
                <w:rFonts w:ascii="Arial" w:cs="Arial" w:eastAsia="Arial" w:hAnsi="Arial"/>
                <w:sz w:val="18"/>
                <w:szCs w:val="18"/>
                <w:color w:val="0000FF"/>
                <w:w w:val="96"/>
              </w:rPr>
            </w:pPr>
            <w:hyperlink r:id="rId442">
              <w:r>
                <w:rPr>
                  <w:rFonts w:ascii="Arial" w:cs="Arial" w:eastAsia="Arial" w:hAnsi="Arial"/>
                  <w:sz w:val="18"/>
                  <w:szCs w:val="18"/>
                  <w:color w:val="0000FF"/>
                  <w:w w:val="96"/>
                </w:rPr>
                <w:t>Domino’s Pizza NS Co., and Citibank, N.A. as Trustee (Incorporated by reference to Exhibit 10.3 to the March 2012 8-K).</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10.76</w:t>
            </w:r>
          </w:p>
        </w:tc>
        <w:tc>
          <w:tcPr>
            <w:tcW w:w="9800" w:type="dxa"/>
            <w:vAlign w:val="bottom"/>
            <w:gridSpan w:val="40"/>
          </w:tcPr>
          <w:p>
            <w:pPr>
              <w:spacing w:after="0"/>
              <w:rPr>
                <w:rFonts w:ascii="Arial" w:cs="Arial" w:eastAsia="Arial" w:hAnsi="Arial"/>
                <w:sz w:val="18"/>
                <w:szCs w:val="18"/>
                <w:color w:val="0000FF"/>
                <w:w w:val="92"/>
              </w:rPr>
            </w:pPr>
            <w:hyperlink r:id="rId443">
              <w:r>
                <w:rPr>
                  <w:rFonts w:ascii="Arial" w:cs="Arial" w:eastAsia="Arial" w:hAnsi="Arial"/>
                  <w:sz w:val="18"/>
                  <w:szCs w:val="18"/>
                  <w:color w:val="0000FF"/>
                  <w:w w:val="92"/>
                </w:rPr>
                <w:t>Amendment No. 1 dated as of October 21, 2015 to the Amended and Restated Management Agreement dated as of March 15, 2012</w:t>
              </w:r>
            </w:hyperlink>
          </w:p>
        </w:tc>
      </w:tr>
      <w:tr>
        <w:trPr>
          <w:trHeight w:val="156"/>
        </w:trPr>
        <w:tc>
          <w:tcPr>
            <w:tcW w:w="150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1"/>
              </w:rPr>
            </w:pPr>
            <w:hyperlink r:id="rId443">
              <w:r>
                <w:rPr>
                  <w:rFonts w:ascii="Arial" w:cs="Arial" w:eastAsia="Arial" w:hAnsi="Arial"/>
                  <w:sz w:val="18"/>
                  <w:szCs w:val="18"/>
                  <w:color w:val="0000FF"/>
                  <w:w w:val="91"/>
                </w:rPr>
                <w:t>among Domino’s Pizza Master Issuer LLC, certain subsidiaries of Domino’s Pizza Master Issuer LLC party thereto, Domino’s Pizza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620" w:type="dxa"/>
            <w:vAlign w:val="bottom"/>
            <w:tcBorders>
              <w:bottom w:val="single" w:sz="8" w:color="0000FF"/>
            </w:tcBorders>
            <w:gridSpan w:val="31"/>
          </w:tcPr>
          <w:p>
            <w:pPr>
              <w:spacing w:after="0" w:line="156" w:lineRule="exact"/>
              <w:rPr>
                <w:rFonts w:ascii="Arial" w:cs="Arial" w:eastAsia="Arial" w:hAnsi="Arial"/>
                <w:sz w:val="18"/>
                <w:szCs w:val="18"/>
                <w:color w:val="0000FF"/>
                <w:w w:val="91"/>
              </w:rPr>
            </w:pPr>
            <w:hyperlink r:id="rId443">
              <w:r>
                <w:rPr>
                  <w:rFonts w:ascii="Arial" w:cs="Arial" w:eastAsia="Arial" w:hAnsi="Arial"/>
                  <w:sz w:val="18"/>
                  <w:szCs w:val="18"/>
                  <w:color w:val="0000FF"/>
                  <w:w w:val="91"/>
                </w:rPr>
                <w:t>LLC, as Manager and in its individual capacity, Domino’s Pizza NS Co., and Citibank, N.A. as Trustee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280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r:id="rId443">
              <w:r>
                <w:rPr>
                  <w:rFonts w:ascii="Arial" w:cs="Arial" w:eastAsia="Arial" w:hAnsi="Arial"/>
                  <w:sz w:val="18"/>
                  <w:szCs w:val="18"/>
                  <w:color w:val="0000FF"/>
                  <w:w w:val="91"/>
                </w:rPr>
                <w:t>Exhibit 10.3 to the October 2015 8-K).</w:t>
              </w:r>
            </w:hyperlink>
          </w:p>
        </w:tc>
        <w:tc>
          <w:tcPr>
            <w:tcW w:w="684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10.77</w:t>
            </w:r>
          </w:p>
        </w:tc>
        <w:tc>
          <w:tcPr>
            <w:tcW w:w="9800" w:type="dxa"/>
            <w:vAlign w:val="bottom"/>
            <w:gridSpan w:val="40"/>
          </w:tcPr>
          <w:p>
            <w:pPr>
              <w:spacing w:after="0"/>
              <w:rPr>
                <w:rFonts w:ascii="Arial" w:cs="Arial" w:eastAsia="Arial" w:hAnsi="Arial"/>
                <w:sz w:val="18"/>
                <w:szCs w:val="18"/>
                <w:color w:val="0000FF"/>
                <w:w w:val="90"/>
              </w:rPr>
            </w:pPr>
            <w:hyperlink r:id="rId444">
              <w:r>
                <w:rPr>
                  <w:rFonts w:ascii="Arial" w:cs="Arial" w:eastAsia="Arial" w:hAnsi="Arial"/>
                  <w:sz w:val="18"/>
                  <w:szCs w:val="18"/>
                  <w:color w:val="0000FF"/>
                  <w:w w:val="90"/>
                </w:rPr>
                <w:t>Amendment No. 2 dated as of July 24, 2017 to the Amended and Restated Management Agreement dated as of March 15, 2012 by and</w:t>
              </w:r>
            </w:hyperlink>
          </w:p>
        </w:tc>
      </w:tr>
      <w:tr>
        <w:trPr>
          <w:trHeight w:val="156"/>
        </w:trPr>
        <w:tc>
          <w:tcPr>
            <w:tcW w:w="1500" w:type="dxa"/>
            <w:vAlign w:val="bottom"/>
          </w:tcPr>
          <w:p>
            <w:pPr>
              <w:spacing w:after="0"/>
              <w:rPr>
                <w:sz w:val="13"/>
                <w:szCs w:val="13"/>
                <w:color w:val="auto"/>
              </w:rPr>
            </w:pPr>
          </w:p>
        </w:tc>
        <w:tc>
          <w:tcPr>
            <w:tcW w:w="9780" w:type="dxa"/>
            <w:vAlign w:val="bottom"/>
            <w:tcBorders>
              <w:top w:val="single" w:sz="8" w:color="0000FF"/>
            </w:tcBorders>
            <w:gridSpan w:val="39"/>
          </w:tcPr>
          <w:p>
            <w:pPr>
              <w:spacing w:after="0" w:line="156" w:lineRule="exact"/>
              <w:rPr>
                <w:rFonts w:ascii="Arial" w:cs="Arial" w:eastAsia="Arial" w:hAnsi="Arial"/>
                <w:sz w:val="18"/>
                <w:szCs w:val="18"/>
                <w:color w:val="0000FF"/>
                <w:w w:val="94"/>
              </w:rPr>
            </w:pPr>
            <w:hyperlink r:id="rId444">
              <w:r>
                <w:rPr>
                  <w:rFonts w:ascii="Arial" w:cs="Arial" w:eastAsia="Arial" w:hAnsi="Arial"/>
                  <w:sz w:val="18"/>
                  <w:szCs w:val="18"/>
                  <w:color w:val="0000FF"/>
                  <w:w w:val="94"/>
                </w:rPr>
                <w:t>among Domino’s Pizza Master Issuer LLC, certain subsidiaries of Domino’s Pizza Master Issuer LLC party thereto, Domino’s SPV</w:t>
              </w:r>
            </w:hyperlink>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444">
              <w:r>
                <w:rPr>
                  <w:rFonts w:ascii="Arial" w:cs="Arial" w:eastAsia="Arial" w:hAnsi="Arial"/>
                  <w:sz w:val="18"/>
                  <w:szCs w:val="18"/>
                  <w:color w:val="0000FF"/>
                  <w:w w:val="94"/>
                </w:rPr>
                <w:t>Guarantor LLC, Domino’s Pizza LLC, as manager and in its individual capacity, Domino’s Pizza NS Co., and Citibank,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444">
              <w:r>
                <w:rPr>
                  <w:rFonts w:ascii="Arial" w:cs="Arial" w:eastAsia="Arial" w:hAnsi="Arial"/>
                  <w:sz w:val="18"/>
                  <w:szCs w:val="18"/>
                  <w:color w:val="0000FF"/>
                  <w:w w:val="91"/>
                </w:rPr>
                <w:t>Trustee (Incorporated by reference to Exhibit 10.1 to the July 2017 8-K)).</w:t>
              </w:r>
            </w:hyperlink>
          </w:p>
        </w:tc>
        <w:tc>
          <w:tcPr>
            <w:tcW w:w="20" w:type="dxa"/>
            <w:vAlign w:val="bottom"/>
            <w:tcBorders>
              <w:top w:val="single" w:sz="8" w:color="0000FF"/>
              <w:bottom w:val="single" w:sz="8" w:color="0000EE"/>
            </w:tcBorders>
          </w:tcPr>
          <w:p>
            <w:pPr>
              <w:spacing w:after="0"/>
              <w:rPr>
                <w:sz w:val="13"/>
                <w:szCs w:val="13"/>
                <w:color w:val="auto"/>
              </w:rPr>
            </w:pPr>
          </w:p>
        </w:tc>
        <w:tc>
          <w:tcPr>
            <w:tcW w:w="39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10.78</w:t>
            </w:r>
          </w:p>
        </w:tc>
        <w:tc>
          <w:tcPr>
            <w:tcW w:w="9800" w:type="dxa"/>
            <w:vAlign w:val="bottom"/>
            <w:gridSpan w:val="40"/>
          </w:tcPr>
          <w:p>
            <w:pPr>
              <w:spacing w:after="0"/>
              <w:rPr>
                <w:rFonts w:ascii="Arial" w:cs="Arial" w:eastAsia="Arial" w:hAnsi="Arial"/>
                <w:sz w:val="18"/>
                <w:szCs w:val="18"/>
                <w:color w:val="0000FF"/>
                <w:w w:val="93"/>
              </w:rPr>
            </w:pPr>
            <w:hyperlink r:id="rId445">
              <w:r>
                <w:rPr>
                  <w:rFonts w:ascii="Arial" w:cs="Arial" w:eastAsia="Arial" w:hAnsi="Arial"/>
                  <w:sz w:val="18"/>
                  <w:szCs w:val="18"/>
                  <w:color w:val="0000FF"/>
                  <w:w w:val="93"/>
                </w:rPr>
                <w:t>Amendment No. 3 dated as of April 16, 2021 to the Amended and Restated Management Agreement by and among Domino’s Pizza</w:t>
              </w:r>
            </w:hyperlink>
          </w:p>
        </w:tc>
      </w:tr>
      <w:tr>
        <w:trPr>
          <w:trHeight w:val="155"/>
        </w:trPr>
        <w:tc>
          <w:tcPr>
            <w:tcW w:w="1500" w:type="dxa"/>
            <w:vAlign w:val="bottom"/>
          </w:tcPr>
          <w:p>
            <w:pPr>
              <w:spacing w:after="0"/>
              <w:rPr>
                <w:sz w:val="13"/>
                <w:szCs w:val="13"/>
                <w:color w:val="auto"/>
              </w:rPr>
            </w:pPr>
          </w:p>
        </w:tc>
        <w:tc>
          <w:tcPr>
            <w:tcW w:w="9600" w:type="dxa"/>
            <w:vAlign w:val="bottom"/>
            <w:tcBorders>
              <w:top w:val="single" w:sz="8" w:color="0000FF"/>
            </w:tcBorders>
            <w:gridSpan w:val="30"/>
          </w:tcPr>
          <w:p>
            <w:pPr>
              <w:spacing w:after="0" w:line="156" w:lineRule="exact"/>
              <w:rPr>
                <w:rFonts w:ascii="Arial" w:cs="Arial" w:eastAsia="Arial" w:hAnsi="Arial"/>
                <w:sz w:val="18"/>
                <w:szCs w:val="18"/>
                <w:color w:val="0000FF"/>
                <w:w w:val="90"/>
              </w:rPr>
            </w:pPr>
            <w:hyperlink r:id="rId445">
              <w:r>
                <w:rPr>
                  <w:rFonts w:ascii="Arial" w:cs="Arial" w:eastAsia="Arial" w:hAnsi="Arial"/>
                  <w:sz w:val="18"/>
                  <w:szCs w:val="18"/>
                  <w:color w:val="0000FF"/>
                  <w:w w:val="90"/>
                </w:rPr>
                <w:t>Master Issuer LLC, certain subsidiaries of Domino’s Pizza Master Issuer LLC party thereto, Domino’s SPV Guarantor LLC, Domino’s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780" w:type="dxa"/>
            <w:vAlign w:val="bottom"/>
            <w:tcBorders>
              <w:top w:val="single" w:sz="8" w:color="0000FF"/>
            </w:tcBorders>
            <w:gridSpan w:val="39"/>
          </w:tcPr>
          <w:p>
            <w:pPr>
              <w:spacing w:after="0" w:line="156" w:lineRule="exact"/>
              <w:rPr>
                <w:rFonts w:ascii="Arial" w:cs="Arial" w:eastAsia="Arial" w:hAnsi="Arial"/>
                <w:sz w:val="18"/>
                <w:szCs w:val="18"/>
                <w:color w:val="0000FF"/>
                <w:w w:val="97"/>
              </w:rPr>
            </w:pPr>
            <w:hyperlink r:id="rId445">
              <w:r>
                <w:rPr>
                  <w:rFonts w:ascii="Arial" w:cs="Arial" w:eastAsia="Arial" w:hAnsi="Arial"/>
                  <w:sz w:val="18"/>
                  <w:szCs w:val="18"/>
                  <w:color w:val="0000FF"/>
                  <w:w w:val="97"/>
                </w:rPr>
                <w:t>Pizza LLC, as manager and in its individual capacity, Domino’s Pizza NS Co., and Citibank, N.A., as Trustee (Incorporated by</w:t>
              </w:r>
            </w:hyperlink>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445">
              <w:r>
                <w:rPr>
                  <w:rFonts w:ascii="Arial" w:cs="Arial" w:eastAsia="Arial" w:hAnsi="Arial"/>
                  <w:sz w:val="18"/>
                  <w:szCs w:val="18"/>
                  <w:color w:val="0000FF"/>
                  <w:w w:val="92"/>
                </w:rPr>
                <w:t>reference to Exhibit 10.2 to the April 2021 8-K).</w:t>
              </w:r>
            </w:hyperlink>
          </w:p>
        </w:tc>
        <w:tc>
          <w:tcPr>
            <w:tcW w:w="20" w:type="dxa"/>
            <w:vAlign w:val="bottom"/>
            <w:tcBorders>
              <w:top w:val="single" w:sz="8" w:color="0000FF"/>
              <w:bottom w:val="single" w:sz="8" w:color="0000EE"/>
            </w:tcBorders>
          </w:tcPr>
          <w:p>
            <w:pPr>
              <w:spacing w:after="0"/>
              <w:rPr>
                <w:sz w:val="13"/>
                <w:szCs w:val="13"/>
                <w:color w:val="auto"/>
              </w:rPr>
            </w:pPr>
          </w:p>
        </w:tc>
        <w:tc>
          <w:tcPr>
            <w:tcW w:w="564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10.79</w:t>
            </w:r>
          </w:p>
        </w:tc>
        <w:tc>
          <w:tcPr>
            <w:tcW w:w="9800" w:type="dxa"/>
            <w:vAlign w:val="bottom"/>
            <w:gridSpan w:val="40"/>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Amendment No. 4 dated as of December 30, 2021 to the Amended and Restated Management Agreement dated as of March 15, 2012</w:t>
              </w:r>
            </w:hyperlink>
          </w:p>
        </w:tc>
      </w:tr>
      <w:tr>
        <w:trPr>
          <w:trHeight w:val="155"/>
        </w:trPr>
        <w:tc>
          <w:tcPr>
            <w:tcW w:w="15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2"/>
              </w:rPr>
            </w:pPr>
            <w:hyperlink w:anchor="page113">
              <w:r>
                <w:rPr>
                  <w:rFonts w:ascii="Arial" w:cs="Arial" w:eastAsia="Arial" w:hAnsi="Arial"/>
                  <w:sz w:val="18"/>
                  <w:szCs w:val="18"/>
                  <w:color w:val="0000FF"/>
                  <w:w w:val="92"/>
                </w:rPr>
                <w:t>by and among Domino’s Pizza Master Issuer LLC, certain subsidiaries of Domino’s Pizza Master Issuer LLC party thereto, Domino’s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740" w:type="dxa"/>
            <w:vAlign w:val="bottom"/>
            <w:gridSpan w:val="37"/>
          </w:tcPr>
          <w:p>
            <w:pPr>
              <w:spacing w:after="0" w:line="156" w:lineRule="exact"/>
              <w:rPr>
                <w:rFonts w:ascii="Arial" w:cs="Arial" w:eastAsia="Arial" w:hAnsi="Arial"/>
                <w:sz w:val="18"/>
                <w:szCs w:val="18"/>
                <w:color w:val="0000FF"/>
                <w:w w:val="92"/>
              </w:rPr>
            </w:pPr>
            <w:hyperlink w:anchor="page113">
              <w:r>
                <w:rPr>
                  <w:rFonts w:ascii="Arial" w:cs="Arial" w:eastAsia="Arial" w:hAnsi="Arial"/>
                  <w:sz w:val="18"/>
                  <w:szCs w:val="18"/>
                  <w:color w:val="0000FF"/>
                  <w:w w:val="92"/>
                </w:rPr>
                <w:t>SPV Guarantor LLC, Domino’s Pizza LLC, as manager and in its individual capacity, Domino’s Pizza NS Co., and Citibank, N.A.,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113">
              <w:r>
                <w:rPr>
                  <w:rFonts w:ascii="Arial" w:cs="Arial" w:eastAsia="Arial" w:hAnsi="Arial"/>
                  <w:sz w:val="18"/>
                  <w:szCs w:val="18"/>
                  <w:color w:val="0000FF"/>
                  <w:w w:val="84"/>
                </w:rPr>
                <w:t>Trustee.</w:t>
              </w:r>
            </w:hyperlink>
          </w:p>
        </w:tc>
        <w:tc>
          <w:tcPr>
            <w:tcW w:w="20" w:type="dxa"/>
            <w:vAlign w:val="bottom"/>
            <w:tcBorders>
              <w:top w:val="single" w:sz="8" w:color="0000FF"/>
              <w:bottom w:val="single" w:sz="8" w:color="0000EE"/>
            </w:tcBorders>
          </w:tcPr>
          <w:p>
            <w:pPr>
              <w:spacing w:after="0"/>
              <w:rPr>
                <w:sz w:val="13"/>
                <w:szCs w:val="13"/>
                <w:color w:val="auto"/>
              </w:rPr>
            </w:pPr>
          </w:p>
        </w:tc>
        <w:tc>
          <w:tcPr>
            <w:tcW w:w="9120" w:type="dxa"/>
            <w:vAlign w:val="bottom"/>
            <w:tcBorders>
              <w:top w:val="single" w:sz="8" w:color="0000FF"/>
            </w:tcBorders>
            <w:gridSpan w:val="3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10.80</w:t>
            </w:r>
          </w:p>
        </w:tc>
        <w:tc>
          <w:tcPr>
            <w:tcW w:w="9800" w:type="dxa"/>
            <w:vAlign w:val="bottom"/>
            <w:gridSpan w:val="40"/>
          </w:tcPr>
          <w:p>
            <w:pPr>
              <w:spacing w:after="0"/>
              <w:rPr>
                <w:rFonts w:ascii="Arial" w:cs="Arial" w:eastAsia="Arial" w:hAnsi="Arial"/>
                <w:sz w:val="18"/>
                <w:szCs w:val="18"/>
                <w:color w:val="0000FF"/>
                <w:w w:val="92"/>
              </w:rPr>
            </w:pPr>
            <w:hyperlink r:id="rId446">
              <w:r>
                <w:rPr>
                  <w:rFonts w:ascii="Arial" w:cs="Arial" w:eastAsia="Arial" w:hAnsi="Arial"/>
                  <w:sz w:val="18"/>
                  <w:szCs w:val="18"/>
                  <w:color w:val="0000FF"/>
                  <w:w w:val="92"/>
                </w:rPr>
                <w:t>Parent Company Support Agreement dated as of March 15, 2012 made by Domino’s Pizza, Inc. in favor of Citibank, N.A., as Trustee</w:t>
              </w:r>
            </w:hyperlink>
          </w:p>
        </w:tc>
      </w:tr>
      <w:tr>
        <w:trPr>
          <w:trHeight w:val="156"/>
        </w:trPr>
        <w:tc>
          <w:tcPr>
            <w:tcW w:w="150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446">
              <w:r>
                <w:rPr>
                  <w:rFonts w:ascii="Arial" w:cs="Arial" w:eastAsia="Arial" w:hAnsi="Arial"/>
                  <w:sz w:val="18"/>
                  <w:szCs w:val="18"/>
                  <w:color w:val="0000FF"/>
                  <w:w w:val="91"/>
                </w:rPr>
                <w:t>(Incorporated by reference to Exhibit 10.4 to the October 2015 8-K).</w:t>
              </w:r>
            </w:hyperlink>
          </w:p>
        </w:tc>
        <w:tc>
          <w:tcPr>
            <w:tcW w:w="20" w:type="dxa"/>
            <w:vAlign w:val="bottom"/>
            <w:tcBorders>
              <w:top w:val="single" w:sz="8" w:color="0000FF"/>
              <w:bottom w:val="single" w:sz="8" w:color="0000EE"/>
            </w:tcBorders>
          </w:tcPr>
          <w:p>
            <w:pPr>
              <w:spacing w:after="0"/>
              <w:rPr>
                <w:sz w:val="13"/>
                <w:szCs w:val="13"/>
                <w:color w:val="auto"/>
              </w:rPr>
            </w:pPr>
          </w:p>
        </w:tc>
        <w:tc>
          <w:tcPr>
            <w:tcW w:w="4720" w:type="dxa"/>
            <w:vAlign w:val="bottom"/>
            <w:tcBorders>
              <w:top w:val="single" w:sz="8" w:color="0000FF"/>
            </w:tcBorders>
            <w:gridSpan w:val="2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10.81</w:t>
            </w:r>
          </w:p>
        </w:tc>
        <w:tc>
          <w:tcPr>
            <w:tcW w:w="9800" w:type="dxa"/>
            <w:vAlign w:val="bottom"/>
            <w:gridSpan w:val="40"/>
          </w:tcPr>
          <w:p>
            <w:pPr>
              <w:spacing w:after="0"/>
              <w:rPr>
                <w:rFonts w:ascii="Arial" w:cs="Arial" w:eastAsia="Arial" w:hAnsi="Arial"/>
                <w:sz w:val="18"/>
                <w:szCs w:val="18"/>
                <w:color w:val="0000FF"/>
                <w:w w:val="94"/>
              </w:rPr>
            </w:pPr>
            <w:hyperlink r:id="rId447">
              <w:r>
                <w:rPr>
                  <w:rFonts w:ascii="Arial" w:cs="Arial" w:eastAsia="Arial" w:hAnsi="Arial"/>
                  <w:sz w:val="18"/>
                  <w:szCs w:val="18"/>
                  <w:color w:val="0000FF"/>
                  <w:w w:val="94"/>
                </w:rPr>
                <w:t>Amendment No. 1 dated as of October 21, 2015 to the Parent Company Support Agreement dated as of March 15, 2012 made by</w:t>
              </w:r>
            </w:hyperlink>
          </w:p>
        </w:tc>
      </w:tr>
      <w:tr>
        <w:trPr>
          <w:trHeight w:val="155"/>
        </w:trPr>
        <w:tc>
          <w:tcPr>
            <w:tcW w:w="150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447">
              <w:r>
                <w:rPr>
                  <w:rFonts w:ascii="Arial" w:cs="Arial" w:eastAsia="Arial" w:hAnsi="Arial"/>
                  <w:sz w:val="18"/>
                  <w:szCs w:val="18"/>
                  <w:color w:val="0000FF"/>
                  <w:w w:val="92"/>
                </w:rPr>
                <w:t>Domino’s Pizza, Inc. in favor of Citibank, N.A., as Trustee (Incorporated by reference to Exhibit 10.5 to the October 2015 8-K).</w:t>
              </w:r>
            </w:hyperlink>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gridSpan w:val="6"/>
            <w:shd w:val="clear" w:color="auto" w:fill="0000FF"/>
          </w:tcPr>
          <w:p>
            <w:pPr>
              <w:spacing w:after="0" w:line="20" w:lineRule="exact"/>
              <w:rPr>
                <w:sz w:val="1"/>
                <w:szCs w:val="1"/>
                <w:color w:val="auto"/>
              </w:rPr>
            </w:pPr>
          </w:p>
        </w:tc>
        <w:tc>
          <w:tcPr>
            <w:tcW w:w="324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10.82</w:t>
            </w:r>
          </w:p>
        </w:tc>
        <w:tc>
          <w:tcPr>
            <w:tcW w:w="9800" w:type="dxa"/>
            <w:vAlign w:val="bottom"/>
            <w:gridSpan w:val="40"/>
          </w:tcPr>
          <w:p>
            <w:pPr>
              <w:spacing w:after="0"/>
              <w:rPr>
                <w:rFonts w:ascii="Arial" w:cs="Arial" w:eastAsia="Arial" w:hAnsi="Arial"/>
                <w:sz w:val="18"/>
                <w:szCs w:val="18"/>
                <w:color w:val="0000FF"/>
                <w:w w:val="93"/>
              </w:rPr>
            </w:pPr>
            <w:hyperlink r:id="rId448">
              <w:r>
                <w:rPr>
                  <w:rFonts w:ascii="Arial" w:cs="Arial" w:eastAsia="Arial" w:hAnsi="Arial"/>
                  <w:sz w:val="18"/>
                  <w:szCs w:val="18"/>
                  <w:color w:val="0000FF"/>
                  <w:w w:val="93"/>
                </w:rPr>
                <w:t>Amendment No. 2 dated April 16, 2021 to the Parent Company Support Agreement dated as of March 15, 2012 made by Domino’s</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448">
              <w:r>
                <w:rPr>
                  <w:rFonts w:ascii="Arial" w:cs="Arial" w:eastAsia="Arial" w:hAnsi="Arial"/>
                  <w:sz w:val="18"/>
                  <w:szCs w:val="18"/>
                  <w:color w:val="0000FF"/>
                </w:rPr>
                <w:t>Pizza, Inc. in favor of Citibank, N.A., as Trustee (Incorporated by reference to Exhibit 10.3 to the April 2021 8-K).</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tcBorders>
              <w:right w:val="single" w:sz="8" w:color="0000FF"/>
            </w:tcBorders>
            <w:gridSpan w:val="6"/>
            <w:shd w:val="clear" w:color="auto" w:fill="0000FF"/>
          </w:tcPr>
          <w:p>
            <w:pPr>
              <w:spacing w:after="0" w:line="20" w:lineRule="exact"/>
              <w:rPr>
                <w:sz w:val="1"/>
                <w:szCs w:val="1"/>
                <w:color w:val="auto"/>
              </w:rPr>
            </w:pPr>
          </w:p>
        </w:tc>
        <w:tc>
          <w:tcPr>
            <w:tcW w:w="324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10.83</w:t>
            </w:r>
          </w:p>
        </w:tc>
        <w:tc>
          <w:tcPr>
            <w:tcW w:w="9800" w:type="dxa"/>
            <w:vAlign w:val="bottom"/>
            <w:gridSpan w:val="40"/>
          </w:tcPr>
          <w:p>
            <w:pPr>
              <w:spacing w:after="0"/>
              <w:rPr>
                <w:rFonts w:ascii="Arial" w:cs="Arial" w:eastAsia="Arial" w:hAnsi="Arial"/>
                <w:sz w:val="18"/>
                <w:szCs w:val="18"/>
                <w:color w:val="0000FF"/>
                <w:w w:val="91"/>
              </w:rPr>
            </w:pPr>
            <w:hyperlink r:id="rId449">
              <w:r>
                <w:rPr>
                  <w:rFonts w:ascii="Arial" w:cs="Arial" w:eastAsia="Arial" w:hAnsi="Arial"/>
                  <w:sz w:val="18"/>
                  <w:szCs w:val="18"/>
                  <w:color w:val="0000FF"/>
                  <w:w w:val="91"/>
                </w:rPr>
                <w:t>Fixed Dollar Accelerated Share Repurchase Transaction Confirmation, dated April 30, 2021 (Incorporated by reference to Exhibit 10.1</w:t>
              </w:r>
            </w:hyperlink>
          </w:p>
        </w:tc>
      </w:tr>
      <w:tr>
        <w:trPr>
          <w:trHeight w:val="155"/>
        </w:trPr>
        <w:tc>
          <w:tcPr>
            <w:tcW w:w="1500" w:type="dxa"/>
            <w:vAlign w:val="bottom"/>
          </w:tcPr>
          <w:p>
            <w:pPr>
              <w:spacing w:after="0"/>
              <w:rPr>
                <w:sz w:val="13"/>
                <w:szCs w:val="13"/>
                <w:color w:val="auto"/>
              </w:rPr>
            </w:pPr>
          </w:p>
        </w:tc>
        <w:tc>
          <w:tcPr>
            <w:tcW w:w="978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449">
              <w:r>
                <w:rPr>
                  <w:rFonts w:ascii="Arial" w:cs="Arial" w:eastAsia="Arial" w:hAnsi="Arial"/>
                  <w:sz w:val="18"/>
                  <w:szCs w:val="18"/>
                  <w:color w:val="0000FF"/>
                </w:rPr>
                <w:t>to the registrant’s Current Report on Form 8-K filed on May 3, 2021).</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tcBorders>
              <w:right w:val="single" w:sz="8" w:color="0000EE"/>
            </w:tcBorders>
            <w:gridSpan w:val="6"/>
            <w:shd w:val="clear" w:color="auto" w:fill="0000FF"/>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10.84</w:t>
            </w:r>
          </w:p>
        </w:tc>
        <w:tc>
          <w:tcPr>
            <w:tcW w:w="9800" w:type="dxa"/>
            <w:vAlign w:val="bottom"/>
            <w:gridSpan w:val="40"/>
          </w:tcPr>
          <w:p>
            <w:pPr>
              <w:spacing w:after="0"/>
              <w:rPr>
                <w:rFonts w:ascii="Arial" w:cs="Arial" w:eastAsia="Arial" w:hAnsi="Arial"/>
                <w:sz w:val="18"/>
                <w:szCs w:val="18"/>
                <w:color w:val="0000FF"/>
                <w:w w:val="92"/>
              </w:rPr>
            </w:pPr>
            <w:hyperlink r:id="rId450">
              <w:r>
                <w:rPr>
                  <w:rFonts w:ascii="Arial" w:cs="Arial" w:eastAsia="Arial" w:hAnsi="Arial"/>
                  <w:sz w:val="18"/>
                  <w:szCs w:val="18"/>
                  <w:color w:val="0000FF"/>
                  <w:w w:val="92"/>
                </w:rPr>
                <w:t>Omnibus Amendment No. 1, dated December 15, 2017, among Domino’s Pizza Master Issuer LLC, Domino’s SPV Canadian Holding</w:t>
              </w:r>
            </w:hyperlink>
          </w:p>
        </w:tc>
      </w:tr>
      <w:tr>
        <w:trPr>
          <w:trHeight w:val="155"/>
        </w:trPr>
        <w:tc>
          <w:tcPr>
            <w:tcW w:w="1500" w:type="dxa"/>
            <w:vAlign w:val="bottom"/>
          </w:tcPr>
          <w:p>
            <w:pPr>
              <w:spacing w:after="0"/>
              <w:rPr>
                <w:sz w:val="13"/>
                <w:szCs w:val="13"/>
                <w:color w:val="auto"/>
              </w:rPr>
            </w:pPr>
          </w:p>
        </w:tc>
        <w:tc>
          <w:tcPr>
            <w:tcW w:w="9760" w:type="dxa"/>
            <w:vAlign w:val="bottom"/>
            <w:tcBorders>
              <w:top w:val="single" w:sz="8" w:color="0000FF"/>
            </w:tcBorders>
            <w:gridSpan w:val="38"/>
          </w:tcPr>
          <w:p>
            <w:pPr>
              <w:spacing w:after="0" w:line="156" w:lineRule="exact"/>
              <w:rPr>
                <w:rFonts w:ascii="Arial" w:cs="Arial" w:eastAsia="Arial" w:hAnsi="Arial"/>
                <w:sz w:val="18"/>
                <w:szCs w:val="18"/>
                <w:color w:val="0000FF"/>
                <w:w w:val="95"/>
              </w:rPr>
            </w:pPr>
            <w:hyperlink r:id="rId450">
              <w:r>
                <w:rPr>
                  <w:rFonts w:ascii="Arial" w:cs="Arial" w:eastAsia="Arial" w:hAnsi="Arial"/>
                  <w:sz w:val="18"/>
                  <w:szCs w:val="18"/>
                  <w:color w:val="0000FF"/>
                  <w:w w:val="95"/>
                </w:rPr>
                <w:t>Company Inc., Domino’s Pizza Distribution LLC and Domino’s IP Holder LLC, each as Co-Issuer, Domino’s SPV Guarantor LLC,</w:t>
              </w:r>
            </w:hyperlink>
          </w:p>
        </w:tc>
        <w:tc>
          <w:tcPr>
            <w:tcW w:w="40" w:type="dxa"/>
            <w:vAlign w:val="bottom"/>
            <w:gridSpan w:val="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2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2"/>
              </w:rPr>
            </w:pPr>
            <w:hyperlink r:id="rId450">
              <w:r>
                <w:rPr>
                  <w:rFonts w:ascii="Arial" w:cs="Arial" w:eastAsia="Arial" w:hAnsi="Arial"/>
                  <w:sz w:val="18"/>
                  <w:szCs w:val="18"/>
                  <w:color w:val="0000FF"/>
                  <w:w w:val="92"/>
                </w:rPr>
                <w:t>Domino’s Pizza Franchising LLC, Domino’s Pizza International Franchising Inc., Domino’s Pizza Canadian Distribution ULC,</w:t>
              </w:r>
            </w:hyperlink>
          </w:p>
        </w:tc>
        <w:tc>
          <w:tcPr>
            <w:tcW w:w="3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800" w:type="dxa"/>
            <w:vAlign w:val="bottom"/>
            <w:gridSpan w:val="40"/>
          </w:tcPr>
          <w:p>
            <w:pPr>
              <w:spacing w:after="0" w:line="156" w:lineRule="exact"/>
              <w:rPr>
                <w:rFonts w:ascii="Arial" w:cs="Arial" w:eastAsia="Arial" w:hAnsi="Arial"/>
                <w:sz w:val="18"/>
                <w:szCs w:val="18"/>
                <w:color w:val="0000FF"/>
                <w:w w:val="93"/>
              </w:rPr>
            </w:pPr>
            <w:hyperlink r:id="rId450">
              <w:r>
                <w:rPr>
                  <w:rFonts w:ascii="Arial" w:cs="Arial" w:eastAsia="Arial" w:hAnsi="Arial"/>
                  <w:sz w:val="18"/>
                  <w:szCs w:val="18"/>
                  <w:color w:val="0000FF"/>
                  <w:w w:val="93"/>
                </w:rPr>
                <w:t>Domino’s RE LLC and Domino’s EQ LLC, each as Guarantor, Domino’s Pizza LLC, as manager, certain conduit investors, financial</w:t>
              </w:r>
            </w:hyperlink>
          </w:p>
        </w:tc>
      </w:tr>
      <w:tr>
        <w:trPr>
          <w:trHeight w:val="156"/>
        </w:trPr>
        <w:tc>
          <w:tcPr>
            <w:tcW w:w="1500" w:type="dxa"/>
            <w:vAlign w:val="bottom"/>
          </w:tcPr>
          <w:p>
            <w:pPr>
              <w:spacing w:after="0"/>
              <w:rPr>
                <w:sz w:val="13"/>
                <w:szCs w:val="13"/>
                <w:color w:val="auto"/>
              </w:rPr>
            </w:pPr>
          </w:p>
        </w:tc>
        <w:tc>
          <w:tcPr>
            <w:tcW w:w="966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450">
              <w:r>
                <w:rPr>
                  <w:rFonts w:ascii="Arial" w:cs="Arial" w:eastAsia="Arial" w:hAnsi="Arial"/>
                  <w:sz w:val="18"/>
                  <w:szCs w:val="18"/>
                  <w:color w:val="0000FF"/>
                  <w:w w:val="94"/>
                </w:rPr>
                <w:t>institutions and funding agents, and Coöperatieve Rabobank U.A., New York Branch, as provider of letters of credit, as swingline</w:t>
              </w:r>
            </w:hyperlink>
          </w:p>
        </w:tc>
        <w:tc>
          <w:tcPr>
            <w:tcW w:w="140" w:type="dxa"/>
            <w:vAlign w:val="bottom"/>
            <w:gridSpan w:val="7"/>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23"/>
          </w:tcPr>
          <w:p>
            <w:pPr>
              <w:spacing w:after="0" w:line="156" w:lineRule="exact"/>
              <w:rPr>
                <w:rFonts w:ascii="Arial" w:cs="Arial" w:eastAsia="Arial" w:hAnsi="Arial"/>
                <w:sz w:val="18"/>
                <w:szCs w:val="18"/>
                <w:color w:val="0000FF"/>
                <w:w w:val="91"/>
              </w:rPr>
            </w:pPr>
            <w:hyperlink r:id="rId450">
              <w:r>
                <w:rPr>
                  <w:rFonts w:ascii="Arial" w:cs="Arial" w:eastAsia="Arial" w:hAnsi="Arial"/>
                  <w:sz w:val="18"/>
                  <w:szCs w:val="18"/>
                  <w:color w:val="0000FF"/>
                  <w:w w:val="91"/>
                </w:rPr>
                <w:t>lender and as administrative agent (Incorporated by reference to Exhibit 10.1 to the Domino’s Pizza, Inc. Current Report on Form</w:t>
              </w:r>
            </w:hyperlink>
          </w:p>
        </w:tc>
        <w:tc>
          <w:tcPr>
            <w:tcW w:w="420" w:type="dxa"/>
            <w:vAlign w:val="bottom"/>
            <w:gridSpan w:val="17"/>
          </w:tcPr>
          <w:p>
            <w:pPr>
              <w:spacing w:after="0" w:line="156" w:lineRule="exact"/>
              <w:rPr>
                <w:rFonts w:ascii="Arial" w:cs="Arial" w:eastAsia="Arial" w:hAnsi="Arial"/>
                <w:sz w:val="18"/>
                <w:szCs w:val="18"/>
                <w:color w:val="0000FF"/>
              </w:rPr>
            </w:pPr>
            <w:hyperlink r:id="rId450">
              <w:r>
                <w:rPr>
                  <w:rFonts w:ascii="Arial" w:cs="Arial" w:eastAsia="Arial" w:hAnsi="Arial"/>
                  <w:sz w:val="18"/>
                  <w:szCs w:val="18"/>
                  <w:color w:val="0000FF"/>
                </w:rPr>
                <w:t>8-K,</w:t>
              </w:r>
            </w:hyperlink>
          </w:p>
        </w:tc>
      </w:tr>
      <w:tr>
        <w:trPr>
          <w:trHeight w:val="155"/>
        </w:trPr>
        <w:tc>
          <w:tcPr>
            <w:tcW w:w="15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450">
              <w:r>
                <w:rPr>
                  <w:rFonts w:ascii="Arial" w:cs="Arial" w:eastAsia="Arial" w:hAnsi="Arial"/>
                  <w:sz w:val="18"/>
                  <w:szCs w:val="18"/>
                  <w:color w:val="0000FF"/>
                  <w:w w:val="90"/>
                </w:rPr>
                <w:t>filed on December 19, 2017).</w:t>
              </w:r>
            </w:hyperlink>
          </w:p>
        </w:tc>
        <w:tc>
          <w:tcPr>
            <w:tcW w:w="766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10.85</w:t>
            </w:r>
          </w:p>
        </w:tc>
        <w:tc>
          <w:tcPr>
            <w:tcW w:w="9800" w:type="dxa"/>
            <w:vAlign w:val="bottom"/>
            <w:gridSpan w:val="40"/>
          </w:tcPr>
          <w:p>
            <w:pPr>
              <w:spacing w:after="0"/>
              <w:rPr>
                <w:rFonts w:ascii="Arial" w:cs="Arial" w:eastAsia="Arial" w:hAnsi="Arial"/>
                <w:sz w:val="18"/>
                <w:szCs w:val="18"/>
                <w:color w:val="0000FF"/>
                <w:w w:val="93"/>
              </w:rPr>
            </w:pPr>
            <w:hyperlink r:id="rId451">
              <w:r>
                <w:rPr>
                  <w:rFonts w:ascii="Arial" w:cs="Arial" w:eastAsia="Arial" w:hAnsi="Arial"/>
                  <w:sz w:val="18"/>
                  <w:szCs w:val="18"/>
                  <w:color w:val="0000FF"/>
                  <w:w w:val="93"/>
                </w:rPr>
                <w:t>Agreement dated as of January 6, 2009 between Domino’s Pizza, Inc., Blue Harbour Strategic Value Partners Master Fund, LP and</w:t>
              </w:r>
            </w:hyperlink>
          </w:p>
        </w:tc>
      </w:tr>
      <w:tr>
        <w:trPr>
          <w:trHeight w:val="155"/>
        </w:trPr>
        <w:tc>
          <w:tcPr>
            <w:tcW w:w="150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451">
              <w:r>
                <w:rPr>
                  <w:rFonts w:ascii="Arial" w:cs="Arial" w:eastAsia="Arial" w:hAnsi="Arial"/>
                  <w:sz w:val="18"/>
                  <w:szCs w:val="18"/>
                  <w:color w:val="0000FF"/>
                  <w:w w:val="90"/>
                </w:rPr>
                <w:t>Blue Harbour Institutional Partners Master Fund, L.P. (Incorporated by reference to Exhibit 10.1 to the registrant’s current report on</w:t>
              </w:r>
            </w:hyperlink>
          </w:p>
        </w:tc>
        <w:tc>
          <w:tcPr>
            <w:tcW w:w="120" w:type="dxa"/>
            <w:vAlign w:val="bottom"/>
            <w:tcBorders>
              <w:bottom w:val="single" w:sz="8" w:color="0000FF"/>
            </w:tcBorders>
            <w:gridSpan w:val="5"/>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9580" w:type="dxa"/>
            <w:vAlign w:val="bottom"/>
            <w:gridSpan w:val="29"/>
          </w:tcPr>
          <w:p>
            <w:pPr>
              <w:spacing w:after="0" w:line="156" w:lineRule="exact"/>
              <w:rPr>
                <w:rFonts w:ascii="Arial" w:cs="Arial" w:eastAsia="Arial" w:hAnsi="Arial"/>
                <w:sz w:val="18"/>
                <w:szCs w:val="18"/>
                <w:color w:val="0000FF"/>
              </w:rPr>
            </w:pPr>
            <w:hyperlink r:id="rId451">
              <w:r>
                <w:rPr>
                  <w:rFonts w:ascii="Arial" w:cs="Arial" w:eastAsia="Arial" w:hAnsi="Arial"/>
                  <w:sz w:val="18"/>
                  <w:szCs w:val="18"/>
                  <w:color w:val="0000FF"/>
                </w:rPr>
                <w:t>Form 8-K filed on January 9, 2009).</w:t>
              </w:r>
            </w:hyperlink>
          </w:p>
        </w:tc>
        <w:tc>
          <w:tcPr>
            <w:tcW w:w="220" w:type="dxa"/>
            <w:vAlign w:val="bottom"/>
            <w:gridSpan w:val="11"/>
          </w:tcPr>
          <w:p>
            <w:pPr>
              <w:spacing w:after="0"/>
              <w:rPr>
                <w:sz w:val="13"/>
                <w:szCs w:val="13"/>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10.86</w:t>
            </w:r>
          </w:p>
        </w:tc>
        <w:tc>
          <w:tcPr>
            <w:tcW w:w="2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21">
              <w:r>
                <w:rPr>
                  <w:rFonts w:ascii="Arial" w:cs="Arial" w:eastAsia="Arial" w:hAnsi="Arial"/>
                  <w:sz w:val="18"/>
                  <w:szCs w:val="18"/>
                  <w:color w:val="0000FF"/>
                  <w:w w:val="91"/>
                </w:rPr>
                <w:t>Board of Directors’ Compensation.</w:t>
              </w:r>
            </w:hyperlink>
          </w:p>
        </w:tc>
        <w:tc>
          <w:tcPr>
            <w:tcW w:w="60" w:type="dxa"/>
            <w:vAlign w:val="bottom"/>
            <w:tcBorders>
              <w:top w:val="single" w:sz="8" w:color="0000FF"/>
            </w:tcBorders>
          </w:tcPr>
          <w:p>
            <w:pPr>
              <w:spacing w:after="0"/>
              <w:rPr>
                <w:sz w:val="24"/>
                <w:szCs w:val="24"/>
                <w:color w:val="auto"/>
              </w:rPr>
            </w:pPr>
          </w:p>
        </w:tc>
        <w:tc>
          <w:tcPr>
            <w:tcW w:w="7200" w:type="dxa"/>
            <w:vAlign w:val="bottom"/>
            <w:gridSpan w:val="35"/>
          </w:tcPr>
          <w:p>
            <w:pPr>
              <w:spacing w:after="0"/>
              <w:rPr>
                <w:sz w:val="24"/>
                <w:szCs w:val="24"/>
                <w:color w:val="auto"/>
              </w:rPr>
            </w:pPr>
          </w:p>
        </w:tc>
      </w:tr>
      <w:tr>
        <w:trPr>
          <w:trHeight w:val="318"/>
        </w:trPr>
        <w:tc>
          <w:tcPr>
            <w:tcW w:w="1500" w:type="dxa"/>
            <w:vAlign w:val="bottom"/>
          </w:tcPr>
          <w:p>
            <w:pPr>
              <w:ind w:left="20"/>
              <w:spacing w:after="0"/>
              <w:rPr>
                <w:sz w:val="20"/>
                <w:szCs w:val="20"/>
                <w:color w:val="auto"/>
              </w:rPr>
            </w:pPr>
            <w:r>
              <w:rPr>
                <w:rFonts w:ascii="Arial" w:cs="Arial" w:eastAsia="Arial" w:hAnsi="Arial"/>
                <w:sz w:val="18"/>
                <w:szCs w:val="18"/>
                <w:color w:val="auto"/>
              </w:rPr>
              <w:t>21.1</w:t>
            </w:r>
          </w:p>
        </w:tc>
        <w:tc>
          <w:tcPr>
            <w:tcW w:w="9800" w:type="dxa"/>
            <w:vAlign w:val="bottom"/>
            <w:gridSpan w:val="40"/>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Subsidiaries of Domino’s Pizza, Inc.</w:t>
              </w:r>
            </w:hyperlink>
          </w:p>
        </w:tc>
      </w:tr>
      <w:tr>
        <w:trPr>
          <w:trHeight w:val="574"/>
        </w:trPr>
        <w:tc>
          <w:tcPr>
            <w:tcW w:w="1500" w:type="dxa"/>
            <w:vAlign w:val="bottom"/>
          </w:tcPr>
          <w:p>
            <w:pPr>
              <w:spacing w:after="0"/>
              <w:rPr>
                <w:sz w:val="24"/>
                <w:szCs w:val="24"/>
                <w:color w:val="auto"/>
              </w:rPr>
            </w:pPr>
          </w:p>
        </w:tc>
        <w:tc>
          <w:tcPr>
            <w:tcW w:w="2620" w:type="dxa"/>
            <w:vAlign w:val="bottom"/>
            <w:tcBorders>
              <w:top w:val="single" w:sz="8" w:color="0000FF"/>
            </w:tcBorders>
            <w:gridSpan w:val="6"/>
          </w:tcPr>
          <w:p>
            <w:pPr>
              <w:spacing w:after="0"/>
              <w:rPr>
                <w:sz w:val="24"/>
                <w:szCs w:val="24"/>
                <w:color w:val="auto"/>
              </w:rPr>
            </w:pPr>
          </w:p>
        </w:tc>
        <w:tc>
          <w:tcPr>
            <w:tcW w:w="2320" w:type="dxa"/>
            <w:vAlign w:val="bottom"/>
            <w:gridSpan w:val="4"/>
          </w:tcPr>
          <w:p>
            <w:pPr>
              <w:jc w:val="right"/>
              <w:ind w:right="7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5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9640" w:type="dxa"/>
            <w:vAlign w:val="bottom"/>
            <w:gridSpan w:val="6"/>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Consent of PricewaterhouseCoopers LLP.</w:t>
              </w:r>
            </w:hyperlink>
          </w:p>
        </w:tc>
      </w:tr>
      <w:tr>
        <w:trPr>
          <w:trHeight w:val="20"/>
        </w:trPr>
        <w:tc>
          <w:tcPr>
            <w:tcW w:w="1480" w:type="dxa"/>
            <w:vAlign w:val="bottom"/>
          </w:tcPr>
          <w:p>
            <w:pPr>
              <w:spacing w:after="0" w:line="20" w:lineRule="exact"/>
              <w:rPr>
                <w:sz w:val="1"/>
                <w:szCs w:val="1"/>
                <w:color w:val="auto"/>
              </w:rPr>
            </w:pPr>
          </w:p>
        </w:tc>
        <w:tc>
          <w:tcPr>
            <w:tcW w:w="302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24">
              <w:r>
                <w:rPr>
                  <w:rFonts w:ascii="Arial" w:cs="Arial" w:eastAsia="Arial" w:hAnsi="Arial"/>
                  <w:sz w:val="18"/>
                  <w:szCs w:val="18"/>
                  <w:color w:val="0000FF"/>
                  <w:w w:val="92"/>
                </w:rPr>
                <w:t>Certification of Chief Executive Officer pursuant to Section 302 of the Sarbanes-Oxley Act of 2002, relating to Domino’s Pizza, Inc.</w:t>
              </w:r>
            </w:hyperlink>
          </w:p>
        </w:tc>
        <w:tc>
          <w:tcPr>
            <w:tcW w:w="20" w:type="dxa"/>
            <w:vAlign w:val="bottom"/>
            <w:tcBorders>
              <w:bottom w:val="single" w:sz="8" w:color="0000EE"/>
            </w:tcBorders>
          </w:tcPr>
          <w:p>
            <w:pPr>
              <w:spacing w:after="0"/>
              <w:rPr>
                <w:sz w:val="24"/>
                <w:szCs w:val="24"/>
                <w:color w:val="auto"/>
              </w:rPr>
            </w:pPr>
          </w:p>
        </w:tc>
        <w:tc>
          <w:tcPr>
            <w:tcW w:w="60" w:type="dxa"/>
            <w:vAlign w:val="bottom"/>
            <w:gridSpan w:val="2"/>
          </w:tcPr>
          <w:p>
            <w:pPr>
              <w:spacing w:after="0"/>
              <w:rPr>
                <w:sz w:val="24"/>
                <w:szCs w:val="24"/>
                <w:color w:val="auto"/>
              </w:rPr>
            </w:pPr>
          </w:p>
        </w:tc>
      </w:tr>
      <w:tr>
        <w:trPr>
          <w:trHeight w:val="318"/>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640" w:type="dxa"/>
            <w:vAlign w:val="bottom"/>
            <w:gridSpan w:val="6"/>
          </w:tcPr>
          <w:p>
            <w:pPr>
              <w:spacing w:after="0"/>
              <w:rPr>
                <w:rFonts w:ascii="Arial" w:cs="Arial" w:eastAsia="Arial" w:hAnsi="Arial"/>
                <w:sz w:val="18"/>
                <w:szCs w:val="18"/>
                <w:color w:val="0000FF"/>
                <w:w w:val="91"/>
              </w:rPr>
            </w:pPr>
            <w:hyperlink w:anchor="page125">
              <w:r>
                <w:rPr>
                  <w:rFonts w:ascii="Arial" w:cs="Arial" w:eastAsia="Arial" w:hAnsi="Arial"/>
                  <w:sz w:val="18"/>
                  <w:szCs w:val="18"/>
                  <w:color w:val="0000FF"/>
                  <w:w w:val="91"/>
                </w:rPr>
                <w:t>Certification of Chief Executive Officer pursuant to Section 1350, Chapter 63 of Title 18, United States Code, as adopted pursuant to</w:t>
              </w:r>
            </w:hyperlink>
          </w:p>
        </w:tc>
      </w:tr>
      <w:tr>
        <w:trPr>
          <w:trHeight w:val="156"/>
        </w:trPr>
        <w:tc>
          <w:tcPr>
            <w:tcW w:w="1480" w:type="dxa"/>
            <w:vAlign w:val="bottom"/>
          </w:tcPr>
          <w:p>
            <w:pPr>
              <w:spacing w:after="0"/>
              <w:rPr>
                <w:sz w:val="13"/>
                <w:szCs w:val="13"/>
                <w:color w:val="auto"/>
              </w:rPr>
            </w:pPr>
          </w:p>
        </w:tc>
        <w:tc>
          <w:tcPr>
            <w:tcW w:w="96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25">
              <w:r>
                <w:rPr>
                  <w:rFonts w:ascii="Arial" w:cs="Arial" w:eastAsia="Arial" w:hAnsi="Arial"/>
                  <w:sz w:val="18"/>
                  <w:szCs w:val="18"/>
                  <w:color w:val="0000FF"/>
                </w:rPr>
                <w:t>Section 906 of the Sarbanes-Oxley Act of 2002, relating to Domino’s Pizza, Inc.</w:t>
              </w:r>
            </w:hyperlink>
          </w:p>
        </w:tc>
        <w:tc>
          <w:tcPr>
            <w:tcW w:w="2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5800" w:type="dxa"/>
            <w:vAlign w:val="bottom"/>
            <w:tcBorders>
              <w:right w:val="single" w:sz="8" w:color="0000EE"/>
            </w:tcBorders>
            <w:gridSpan w:val="2"/>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r>
      <w:tr>
        <w:trPr>
          <w:trHeight w:val="304"/>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9640" w:type="dxa"/>
            <w:vAlign w:val="bottom"/>
            <w:gridSpan w:val="6"/>
          </w:tcPr>
          <w:p>
            <w:pPr>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1480" w:type="dxa"/>
            <w:vAlign w:val="bottom"/>
          </w:tcPr>
          <w:p>
            <w:pPr>
              <w:spacing w:after="0"/>
              <w:rPr>
                <w:sz w:val="20"/>
                <w:szCs w:val="20"/>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96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61" w:lineRule="exact"/>
        <w:rPr>
          <w:sz w:val="20"/>
          <w:szCs w:val="20"/>
          <w:color w:val="auto"/>
        </w:rPr>
      </w:pPr>
    </w:p>
    <w:p>
      <w:pPr>
        <w:ind w:left="220" w:hanging="142"/>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management contract or compensatory plan or arrangement required to be filed as an exhibit to this report pursuant to Item 15(b) of Form 10-K.</w:t>
      </w:r>
    </w:p>
    <w:p>
      <w:pPr>
        <w:spacing w:after="0" w:line="221"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15684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54">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297"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SCHEDULE I – CONDENSED FINANCIAL INFORMATION OF THE REGISTRANT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CONDENSED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January 2,</w:t>
            </w:r>
          </w:p>
        </w:tc>
        <w:tc>
          <w:tcPr>
            <w:tcW w:w="28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3,</w:t>
            </w:r>
          </w:p>
        </w:tc>
        <w:tc>
          <w:tcPr>
            <w:tcW w:w="0" w:type="dxa"/>
            <w:vAlign w:val="bottom"/>
          </w:tcPr>
          <w:p>
            <w:pPr>
              <w:spacing w:after="0"/>
              <w:rPr>
                <w:sz w:val="1"/>
                <w:szCs w:val="1"/>
                <w:color w:val="auto"/>
              </w:rPr>
            </w:pPr>
          </w:p>
        </w:tc>
      </w:tr>
      <w:tr>
        <w:trPr>
          <w:trHeight w:val="185"/>
        </w:trPr>
        <w:tc>
          <w:tcPr>
            <w:tcW w:w="17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4220" w:type="dxa"/>
            <w:vAlign w:val="bottom"/>
            <w:gridSpan w:val="3"/>
            <w:shd w:val="clear" w:color="auto" w:fill="CFF0FC"/>
          </w:tcPr>
          <w:p>
            <w:pPr>
              <w:jc w:val="center"/>
              <w:ind w:right="3560"/>
              <w:spacing w:after="0" w:line="169" w:lineRule="exact"/>
              <w:rPr>
                <w:sz w:val="20"/>
                <w:szCs w:val="20"/>
                <w:color w:val="auto"/>
              </w:rPr>
            </w:pPr>
            <w:r>
              <w:rPr>
                <w:rFonts w:ascii="Arial" w:cs="Arial" w:eastAsia="Arial" w:hAnsi="Arial"/>
                <w:sz w:val="18"/>
                <w:szCs w:val="18"/>
                <w:b w:val="1"/>
                <w:bCs w:val="1"/>
                <w:color w:val="auto"/>
                <w:w w:val="91"/>
              </w:rPr>
              <w:t>ASSETS</w:t>
            </w:r>
          </w:p>
        </w:tc>
        <w:tc>
          <w:tcPr>
            <w:tcW w:w="3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Borders>
              <w:top w:val="single" w:sz="8" w:color="CFF0FC"/>
            </w:tcBorders>
            <w:gridSpan w:val="2"/>
          </w:tcPr>
          <w:p>
            <w:pPr>
              <w:ind w:left="20"/>
              <w:spacing w:after="0" w:line="202"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auto"/>
            </w:tcBorders>
          </w:tcPr>
          <w:p>
            <w:pPr>
              <w:spacing w:after="0"/>
              <w:rPr>
                <w:sz w:val="17"/>
                <w:szCs w:val="17"/>
                <w:color w:val="auto"/>
              </w:rPr>
            </w:pPr>
          </w:p>
        </w:tc>
        <w:tc>
          <w:tcPr>
            <w:tcW w:w="3560" w:type="dxa"/>
            <w:vAlign w:val="bottom"/>
            <w:tcBorders>
              <w:top w:val="single" w:sz="8" w:color="CFF0FC"/>
            </w:tcBorders>
            <w:gridSpan w:val="2"/>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34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gridSpan w:val="5"/>
            <w:shd w:val="clear" w:color="auto" w:fill="CFF0FC"/>
          </w:tcPr>
          <w:p>
            <w:pPr>
              <w:ind w:left="200"/>
              <w:spacing w:after="0" w:line="202" w:lineRule="exact"/>
              <w:rPr>
                <w:sz w:val="20"/>
                <w:szCs w:val="20"/>
                <w:color w:val="auto"/>
              </w:rPr>
            </w:pPr>
            <w:r>
              <w:rPr>
                <w:rFonts w:ascii="Arial" w:cs="Arial" w:eastAsia="Arial" w:hAnsi="Arial"/>
                <w:sz w:val="18"/>
                <w:szCs w:val="18"/>
                <w:color w:val="auto"/>
              </w:rPr>
              <w:t>Cash</w:t>
            </w:r>
          </w:p>
        </w:tc>
        <w:tc>
          <w:tcPr>
            <w:tcW w:w="320" w:type="dxa"/>
            <w:vAlign w:val="bottom"/>
            <w:tcBorders>
              <w:bottom w:val="single" w:sz="8" w:color="auto"/>
            </w:tcBorders>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5"/>
          </w:tcPr>
          <w:p>
            <w:pPr>
              <w:ind w:left="380"/>
              <w:spacing w:after="0" w:line="196"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740" w:type="dxa"/>
            <w:vAlign w:val="bottom"/>
            <w:shd w:val="clear" w:color="auto" w:fill="CFF0FC"/>
          </w:tcPr>
          <w:p>
            <w:pPr>
              <w:spacing w:after="0"/>
              <w:rPr>
                <w:sz w:val="14"/>
                <w:szCs w:val="14"/>
                <w:color w:val="auto"/>
              </w:rPr>
            </w:pPr>
          </w:p>
        </w:tc>
        <w:tc>
          <w:tcPr>
            <w:tcW w:w="5860" w:type="dxa"/>
            <w:vAlign w:val="bottom"/>
            <w:gridSpan w:val="4"/>
            <w:shd w:val="clear" w:color="auto" w:fill="CFF0FC"/>
          </w:tcPr>
          <w:p>
            <w:pPr>
              <w:jc w:val="center"/>
              <w:ind w:right="1920"/>
              <w:spacing w:after="0" w:line="156" w:lineRule="exact"/>
              <w:rPr>
                <w:sz w:val="20"/>
                <w:szCs w:val="20"/>
                <w:color w:val="auto"/>
              </w:rPr>
            </w:pPr>
            <w:r>
              <w:rPr>
                <w:rFonts w:ascii="Arial" w:cs="Arial" w:eastAsia="Arial" w:hAnsi="Arial"/>
                <w:sz w:val="18"/>
                <w:szCs w:val="18"/>
                <w:b w:val="1"/>
                <w:bCs w:val="1"/>
                <w:color w:val="auto"/>
              </w:rPr>
              <w:t>LIABILITIES AND STOCKHOLDERS’ DEFICIT</w:t>
            </w:r>
          </w:p>
        </w:tc>
        <w:tc>
          <w:tcPr>
            <w:tcW w:w="3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Borders>
              <w:top w:val="single" w:sz="8" w:color="CFF0FC"/>
            </w:tcBorders>
          </w:tcPr>
          <w:p>
            <w:pPr>
              <w:ind w:left="20"/>
              <w:spacing w:after="0" w:line="202" w:lineRule="exact"/>
              <w:rPr>
                <w:sz w:val="20"/>
                <w:szCs w:val="20"/>
                <w:color w:val="auto"/>
              </w:rPr>
            </w:pPr>
            <w:r>
              <w:rPr>
                <w:rFonts w:ascii="Arial" w:cs="Arial" w:eastAsia="Arial" w:hAnsi="Arial"/>
                <w:sz w:val="18"/>
                <w:szCs w:val="18"/>
                <w:color w:val="auto"/>
              </w:rPr>
              <w:t>LIABILITIES:</w:t>
            </w:r>
          </w:p>
        </w:tc>
        <w:tc>
          <w:tcPr>
            <w:tcW w:w="3940" w:type="dxa"/>
            <w:vAlign w:val="bottom"/>
            <w:tcBorders>
              <w:top w:val="single" w:sz="8" w:color="auto"/>
            </w:tcBorders>
            <w:gridSpan w:val="3"/>
          </w:tcPr>
          <w:p>
            <w:pPr>
              <w:spacing w:after="0"/>
              <w:rPr>
                <w:sz w:val="17"/>
                <w:szCs w:val="17"/>
                <w:color w:val="auto"/>
              </w:rPr>
            </w:pPr>
          </w:p>
        </w:tc>
        <w:tc>
          <w:tcPr>
            <w:tcW w:w="19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34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5"/>
            <w:shd w:val="clear" w:color="auto" w:fill="CFF0FC"/>
          </w:tcPr>
          <w:p>
            <w:pPr>
              <w:ind w:left="200"/>
              <w:spacing w:after="0" w:line="202" w:lineRule="exact"/>
              <w:rPr>
                <w:sz w:val="20"/>
                <w:szCs w:val="20"/>
                <w:color w:val="auto"/>
              </w:rPr>
            </w:pPr>
            <w:r>
              <w:rPr>
                <w:rFonts w:ascii="Arial" w:cs="Arial" w:eastAsia="Arial" w:hAnsi="Arial"/>
                <w:sz w:val="18"/>
                <w:szCs w:val="18"/>
                <w:color w:val="auto"/>
              </w:rPr>
              <w:t>Equity in net deficit of subsidiaries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4,209,536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3,300,405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Due to subsidiary</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gridSpan w:val="5"/>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4,209,542</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3,300,411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STOCKHOLDERS’ DEFICIT:</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00" w:type="dxa"/>
            <w:vAlign w:val="bottom"/>
            <w:gridSpan w:val="5"/>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par value $0.01 per share; 170,000,000 shares authorized;</w:t>
            </w:r>
          </w:p>
        </w:tc>
        <w:tc>
          <w:tcPr>
            <w:tcW w:w="32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gridSpan w:val="5"/>
            <w:shd w:val="clear" w:color="auto" w:fill="CFF0FC"/>
          </w:tcPr>
          <w:p>
            <w:pPr>
              <w:ind w:left="300"/>
              <w:spacing w:after="0"/>
              <w:rPr>
                <w:sz w:val="20"/>
                <w:szCs w:val="20"/>
                <w:color w:val="auto"/>
              </w:rPr>
            </w:pPr>
            <w:r>
              <w:rPr>
                <w:rFonts w:ascii="Arial" w:cs="Arial" w:eastAsia="Arial" w:hAnsi="Arial"/>
                <w:sz w:val="18"/>
                <w:szCs w:val="18"/>
                <w:color w:val="auto"/>
              </w:rPr>
              <w:t>36,138,273 in 2021 and 38,868,350 in 2020 issued and outstanding</w:t>
            </w:r>
          </w:p>
        </w:tc>
        <w:tc>
          <w:tcPr>
            <w:tcW w:w="32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Preferred stock, par value $0.01 per share; 5,000,000 shares authorized, none issued</w:t>
            </w:r>
          </w:p>
        </w:tc>
        <w:tc>
          <w:tcPr>
            <w:tcW w:w="320" w:type="dxa"/>
            <w:vAlign w:val="bottom"/>
          </w:tcPr>
          <w:p>
            <w:pPr>
              <w:spacing w:after="0"/>
              <w:rPr>
                <w:sz w:val="17"/>
                <w:szCs w:val="17"/>
                <w:color w:val="auto"/>
              </w:rPr>
            </w:pPr>
          </w:p>
        </w:tc>
        <w:tc>
          <w:tcPr>
            <w:tcW w:w="16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gridSpan w:val="5"/>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Retained deficit</w:t>
            </w:r>
          </w:p>
        </w:tc>
        <w:tc>
          <w:tcPr>
            <w:tcW w:w="320" w:type="dxa"/>
            <w:vAlign w:val="bottom"/>
          </w:tcPr>
          <w:p>
            <w:pPr>
              <w:spacing w:after="0"/>
              <w:rPr>
                <w:sz w:val="17"/>
                <w:szCs w:val="17"/>
                <w:color w:val="auto"/>
              </w:rPr>
            </w:pP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(4,207,917 )</w:t>
            </w:r>
          </w:p>
        </w:tc>
        <w:tc>
          <w:tcPr>
            <w:tcW w:w="280" w:type="dxa"/>
            <w:vAlign w:val="bottom"/>
          </w:tcPr>
          <w:p>
            <w:pPr>
              <w:spacing w:after="0"/>
              <w:rPr>
                <w:sz w:val="17"/>
                <w:szCs w:val="17"/>
                <w:color w:val="auto"/>
              </w:rPr>
            </w:pP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(3,303,492 )</w:t>
            </w:r>
          </w:p>
        </w:tc>
        <w:tc>
          <w:tcPr>
            <w:tcW w:w="0" w:type="dxa"/>
            <w:vAlign w:val="bottom"/>
          </w:tcPr>
          <w:p>
            <w:pPr>
              <w:spacing w:after="0"/>
              <w:rPr>
                <w:sz w:val="1"/>
                <w:szCs w:val="1"/>
                <w:color w:val="auto"/>
              </w:rPr>
            </w:pPr>
          </w:p>
        </w:tc>
      </w:tr>
      <w:tr>
        <w:trPr>
          <w:trHeight w:val="203"/>
        </w:trPr>
        <w:tc>
          <w:tcPr>
            <w:tcW w:w="7600" w:type="dxa"/>
            <w:vAlign w:val="bottom"/>
            <w:gridSpan w:val="5"/>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(2,820 )</w:t>
            </w:r>
          </w:p>
        </w:tc>
        <w:tc>
          <w:tcPr>
            <w:tcW w:w="2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(2,424 )</w:t>
            </w:r>
          </w:p>
        </w:tc>
        <w:tc>
          <w:tcPr>
            <w:tcW w:w="0" w:type="dxa"/>
            <w:vAlign w:val="bottom"/>
          </w:tcPr>
          <w:p>
            <w:pPr>
              <w:spacing w:after="0"/>
              <w:rPr>
                <w:sz w:val="1"/>
                <w:szCs w:val="1"/>
                <w:color w:val="auto"/>
              </w:rPr>
            </w:pPr>
          </w:p>
        </w:tc>
      </w:tr>
      <w:tr>
        <w:trPr>
          <w:trHeight w:val="20"/>
        </w:trPr>
        <w:tc>
          <w:tcPr>
            <w:tcW w:w="17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5"/>
          </w:tcPr>
          <w:p>
            <w:pPr>
              <w:ind w:left="380"/>
              <w:spacing w:after="0" w:line="196" w:lineRule="exact"/>
              <w:rPr>
                <w:sz w:val="20"/>
                <w:szCs w:val="20"/>
                <w:color w:val="auto"/>
              </w:rPr>
            </w:pPr>
            <w:r>
              <w:rPr>
                <w:rFonts w:ascii="Arial" w:cs="Arial" w:eastAsia="Arial" w:hAnsi="Arial"/>
                <w:sz w:val="18"/>
                <w:szCs w:val="18"/>
                <w:color w:val="auto"/>
              </w:rPr>
              <w:t>Total stockholders’ deficit</w:t>
            </w:r>
          </w:p>
        </w:tc>
        <w:tc>
          <w:tcPr>
            <w:tcW w:w="320" w:type="dxa"/>
            <w:vAlign w:val="bottom"/>
          </w:tcPr>
          <w:p>
            <w:pPr>
              <w:spacing w:after="0"/>
              <w:rPr>
                <w:sz w:val="17"/>
                <w:szCs w:val="17"/>
                <w:color w:val="auto"/>
              </w:rPr>
            </w:pPr>
          </w:p>
        </w:tc>
        <w:tc>
          <w:tcPr>
            <w:tcW w:w="16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(4,209,536 )</w:t>
            </w:r>
          </w:p>
        </w:tc>
        <w:tc>
          <w:tcPr>
            <w:tcW w:w="280" w:type="dxa"/>
            <w:vAlign w:val="bottom"/>
          </w:tcPr>
          <w:p>
            <w:pPr>
              <w:spacing w:after="0"/>
              <w:rPr>
                <w:sz w:val="17"/>
                <w:szCs w:val="17"/>
                <w:color w:val="auto"/>
              </w:rPr>
            </w:pPr>
          </w:p>
        </w:tc>
        <w:tc>
          <w:tcPr>
            <w:tcW w:w="1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(3,300,405 )</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gridSpan w:val="5"/>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 and stockholders’ deficit</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-2002155</wp:posOffset>
            </wp:positionV>
            <wp:extent cx="6032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-2002155</wp:posOffset>
            </wp:positionV>
            <wp:extent cx="5969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5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-1188085</wp:posOffset>
            </wp:positionV>
            <wp:extent cx="6032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-1188085</wp:posOffset>
            </wp:positionV>
            <wp:extent cx="5969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-296545</wp:posOffset>
            </wp:positionV>
            <wp:extent cx="6032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03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Schedule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CONDENSED STATEMENTS OF INCOME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For the Years Ended</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73"/>
              <w:spacing w:after="0" w:line="160" w:lineRule="exact"/>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73"/>
              <w:spacing w:after="0" w:line="160" w:lineRule="exact"/>
              <w:rPr>
                <w:sz w:val="20"/>
                <w:szCs w:val="20"/>
                <w:color w:val="auto"/>
              </w:rPr>
            </w:pPr>
            <w:r>
              <w:rPr>
                <w:rFonts w:ascii="Arial" w:cs="Arial" w:eastAsia="Arial" w:hAnsi="Arial"/>
                <w:sz w:val="14"/>
                <w:szCs w:val="14"/>
                <w:b w:val="1"/>
                <w:bCs w:val="1"/>
                <w:color w:val="auto"/>
              </w:rPr>
              <w:t>January 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3"/>
              <w:spacing w:after="0" w:line="160" w:lineRule="exact"/>
              <w:rPr>
                <w:sz w:val="20"/>
                <w:szCs w:val="20"/>
                <w:color w:val="auto"/>
              </w:rPr>
            </w:pPr>
            <w:r>
              <w:rPr>
                <w:rFonts w:ascii="Arial" w:cs="Arial" w:eastAsia="Arial" w:hAnsi="Arial"/>
                <w:sz w:val="14"/>
                <w:szCs w:val="14"/>
                <w:b w:val="1"/>
                <w:bCs w:val="1"/>
                <w:color w:val="auto"/>
                <w:w w:val="98"/>
              </w:rPr>
              <w:t>December 29,</w:t>
            </w:r>
          </w:p>
        </w:tc>
        <w:tc>
          <w:tcPr>
            <w:tcW w:w="100" w:type="dxa"/>
            <w:vAlign w:val="bottom"/>
          </w:tcPr>
          <w:p>
            <w:pPr>
              <w:spacing w:after="0"/>
              <w:rPr>
                <w:sz w:val="13"/>
                <w:szCs w:val="13"/>
                <w:color w:val="auto"/>
              </w:rPr>
            </w:pPr>
          </w:p>
        </w:tc>
      </w:tr>
      <w:tr>
        <w:trPr>
          <w:trHeight w:val="185"/>
        </w:trPr>
        <w:tc>
          <w:tcPr>
            <w:tcW w:w="6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380"/>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Equity earnings in subsidiaries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510,467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491,296</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400,709</w:t>
            </w:r>
          </w:p>
        </w:tc>
        <w:tc>
          <w:tcPr>
            <w:tcW w:w="100" w:type="dxa"/>
            <w:vAlign w:val="bottom"/>
          </w:tcPr>
          <w:p>
            <w:pPr>
              <w:spacing w:after="0"/>
              <w:rPr>
                <w:sz w:val="17"/>
                <w:szCs w:val="17"/>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510,467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491,296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400,709</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510,467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491,296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400,709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560" w:type="dxa"/>
            <w:vAlign w:val="bottom"/>
          </w:tcPr>
          <w:p>
            <w:pPr>
              <w:ind w:left="20"/>
              <w:spacing w:after="0" w:line="183" w:lineRule="exact"/>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510,071</w:t>
            </w:r>
          </w:p>
        </w:tc>
        <w:tc>
          <w:tcPr>
            <w:tcW w:w="480" w:type="dxa"/>
            <w:vAlign w:val="bottom"/>
            <w:gridSpan w:val="2"/>
          </w:tcPr>
          <w:p>
            <w:pPr>
              <w:ind w:left="26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492,614</w:t>
            </w:r>
          </w:p>
        </w:tc>
        <w:tc>
          <w:tcPr>
            <w:tcW w:w="4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401,396</w:t>
            </w:r>
          </w:p>
        </w:tc>
        <w:tc>
          <w:tcPr>
            <w:tcW w:w="10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Common Stock – basic</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13.72</w:t>
            </w:r>
          </w:p>
        </w:tc>
        <w:tc>
          <w:tcPr>
            <w:tcW w:w="4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12.61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0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 – diluted</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13.54</w:t>
            </w:r>
          </w:p>
        </w:tc>
        <w:tc>
          <w:tcPr>
            <w:tcW w:w="4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12.39</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-1642110</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-1642110</wp:posOffset>
            </wp:positionV>
            <wp:extent cx="685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-1642110</wp:posOffset>
            </wp:positionV>
            <wp:extent cx="5969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-1367790</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-1367790</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-1367790</wp:posOffset>
            </wp:positionV>
            <wp:extent cx="5969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-565150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-548005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-548005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-565150</wp:posOffset>
            </wp:positionV>
            <wp:extent cx="596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-548005</wp:posOffset>
            </wp:positionV>
            <wp:extent cx="596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Schedule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CONDENSED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600"/>
              <w:spacing w:after="0" w:line="160" w:lineRule="exact"/>
              <w:rPr>
                <w:sz w:val="20"/>
                <w:szCs w:val="20"/>
                <w:color w:val="auto"/>
              </w:rPr>
            </w:pPr>
            <w:r>
              <w:rPr>
                <w:rFonts w:ascii="Arial" w:cs="Arial" w:eastAsia="Arial" w:hAnsi="Arial"/>
                <w:sz w:val="14"/>
                <w:szCs w:val="14"/>
                <w:b w:val="1"/>
                <w:bCs w:val="1"/>
                <w:color w:val="auto"/>
              </w:rPr>
              <w:t>January 2,</w:t>
            </w:r>
          </w:p>
        </w:tc>
        <w:tc>
          <w:tcPr>
            <w:tcW w:w="220" w:type="dxa"/>
            <w:vAlign w:val="bottom"/>
          </w:tcPr>
          <w:p>
            <w:pPr>
              <w:spacing w:after="0"/>
              <w:rPr>
                <w:sz w:val="13"/>
                <w:szCs w:val="13"/>
                <w:color w:val="auto"/>
              </w:rPr>
            </w:pPr>
          </w:p>
        </w:tc>
        <w:tc>
          <w:tcPr>
            <w:tcW w:w="1380" w:type="dxa"/>
            <w:vAlign w:val="bottom"/>
            <w:gridSpan w:val="2"/>
          </w:tcPr>
          <w:p>
            <w:pPr>
              <w:jc w:val="right"/>
              <w:ind w:right="600"/>
              <w:spacing w:after="0" w:line="160" w:lineRule="exact"/>
              <w:rPr>
                <w:sz w:val="20"/>
                <w:szCs w:val="20"/>
                <w:color w:val="auto"/>
              </w:rPr>
            </w:pPr>
            <w:r>
              <w:rPr>
                <w:rFonts w:ascii="Arial" w:cs="Arial" w:eastAsia="Arial" w:hAnsi="Arial"/>
                <w:sz w:val="14"/>
                <w:szCs w:val="14"/>
                <w:b w:val="1"/>
                <w:bCs w:val="1"/>
                <w:color w:val="auto"/>
              </w:rPr>
              <w:t>January 3,</w:t>
            </w:r>
          </w:p>
        </w:tc>
        <w:tc>
          <w:tcPr>
            <w:tcW w:w="160" w:type="dxa"/>
            <w:vAlign w:val="bottom"/>
          </w:tcPr>
          <w:p>
            <w:pPr>
              <w:spacing w:after="0"/>
              <w:rPr>
                <w:sz w:val="13"/>
                <w:szCs w:val="13"/>
                <w:color w:val="auto"/>
              </w:rPr>
            </w:pPr>
          </w:p>
        </w:tc>
        <w:tc>
          <w:tcPr>
            <w:tcW w:w="1180" w:type="dxa"/>
            <w:vAlign w:val="bottom"/>
          </w:tcPr>
          <w:p>
            <w:pPr>
              <w:jc w:val="right"/>
              <w:ind w:right="181"/>
              <w:spacing w:after="0" w:line="160" w:lineRule="exact"/>
              <w:rPr>
                <w:sz w:val="20"/>
                <w:szCs w:val="20"/>
                <w:color w:val="auto"/>
              </w:rPr>
            </w:pPr>
            <w:r>
              <w:rPr>
                <w:rFonts w:ascii="Arial" w:cs="Arial" w:eastAsia="Arial" w:hAnsi="Arial"/>
                <w:sz w:val="14"/>
                <w:szCs w:val="14"/>
                <w:b w:val="1"/>
                <w:bCs w:val="1"/>
                <w:color w:val="auto"/>
                <w:w w:val="98"/>
              </w:rPr>
              <w:t>December 29,</w:t>
            </w:r>
          </w:p>
        </w:tc>
        <w:tc>
          <w:tcPr>
            <w:tcW w:w="100" w:type="dxa"/>
            <w:vAlign w:val="bottom"/>
          </w:tcPr>
          <w:p>
            <w:pPr>
              <w:spacing w:after="0"/>
              <w:rPr>
                <w:sz w:val="13"/>
                <w:szCs w:val="13"/>
                <w:color w:val="auto"/>
              </w:rPr>
            </w:pPr>
          </w:p>
        </w:tc>
      </w:tr>
      <w:tr>
        <w:trPr>
          <w:trHeight w:val="185"/>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0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538,741</w:t>
            </w:r>
          </w:p>
        </w:tc>
        <w:tc>
          <w:tcPr>
            <w:tcW w:w="260" w:type="dxa"/>
            <w:vAlign w:val="bottom"/>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402,348</w:t>
            </w:r>
          </w:p>
        </w:tc>
        <w:tc>
          <w:tcPr>
            <w:tcW w:w="2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421,661</w:t>
            </w:r>
          </w:p>
        </w:tc>
        <w:tc>
          <w:tcPr>
            <w:tcW w:w="100" w:type="dxa"/>
            <w:vAlign w:val="bottom"/>
          </w:tcPr>
          <w:p>
            <w:pPr>
              <w:spacing w:after="0"/>
              <w:rPr>
                <w:sz w:val="16"/>
                <w:szCs w:val="16"/>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Dividends from subsidiaries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908,698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375,948</w:t>
            </w:r>
          </w:p>
        </w:tc>
        <w:tc>
          <w:tcPr>
            <w:tcW w:w="100" w:type="dxa"/>
            <w:vAlign w:val="bottom"/>
          </w:tcPr>
          <w:p>
            <w:pPr>
              <w:spacing w:after="0"/>
              <w:rPr>
                <w:sz w:val="16"/>
                <w:szCs w:val="16"/>
                <w:color w:val="auto"/>
              </w:rPr>
            </w:pPr>
          </w:p>
        </w:tc>
      </w:tr>
      <w:tr>
        <w:trPr>
          <w:trHeight w:val="196"/>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cash provided by investing activities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908,698</w:t>
            </w:r>
          </w:p>
        </w:tc>
        <w:tc>
          <w:tcPr>
            <w:tcW w:w="2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375,948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of common stock dividends and equivalents</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(139,399 )</w:t>
            </w:r>
          </w:p>
        </w:tc>
        <w:tc>
          <w:tcPr>
            <w:tcW w:w="2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(121,925 )</w:t>
            </w: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(105,715 )</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Purchases of common stock</w:t>
            </w:r>
          </w:p>
        </w:tc>
        <w:tc>
          <w:tcPr>
            <w:tcW w:w="2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(1,320,902 )</w:t>
            </w:r>
          </w:p>
        </w:tc>
        <w:tc>
          <w:tcPr>
            <w:tcW w:w="22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(304,590 )</w:t>
            </w:r>
          </w:p>
        </w:tc>
        <w:tc>
          <w:tcPr>
            <w:tcW w:w="160" w:type="dxa"/>
            <w:vAlign w:val="bottom"/>
          </w:tcPr>
          <w:p>
            <w:pPr>
              <w:spacing w:after="0"/>
              <w:rPr>
                <w:sz w:val="16"/>
                <w:szCs w:val="16"/>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(699,007 )</w:t>
            </w:r>
          </w:p>
        </w:tc>
      </w:tr>
      <w:tr>
        <w:trPr>
          <w:trHeight w:val="18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12,862</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24,167</w:t>
            </w: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7,113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00" w:type="dxa"/>
            <w:vAlign w:val="bottom"/>
          </w:tcPr>
          <w:p>
            <w:pPr>
              <w:ind w:left="380"/>
              <w:spacing w:after="0" w:line="183" w:lineRule="exact"/>
              <w:rPr>
                <w:sz w:val="20"/>
                <w:szCs w:val="20"/>
                <w:color w:val="auto"/>
              </w:rPr>
            </w:pPr>
            <w:r>
              <w:rPr>
                <w:rFonts w:ascii="Arial" w:cs="Arial" w:eastAsia="Arial" w:hAnsi="Arial"/>
                <w:sz w:val="16"/>
                <w:szCs w:val="16"/>
                <w:color w:val="auto"/>
              </w:rPr>
              <w:t>Net cash used in financing activities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(1,447,439 )</w:t>
            </w:r>
          </w:p>
        </w:tc>
        <w:tc>
          <w:tcPr>
            <w:tcW w:w="220" w:type="dxa"/>
            <w:vAlign w:val="bottom"/>
          </w:tcPr>
          <w:p>
            <w:pPr>
              <w:spacing w:after="0"/>
              <w:rPr>
                <w:sz w:val="15"/>
                <w:szCs w:val="15"/>
                <w:color w:val="auto"/>
              </w:rPr>
            </w:pPr>
          </w:p>
        </w:tc>
        <w:tc>
          <w:tcPr>
            <w:tcW w:w="13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(402,348 )</w:t>
            </w:r>
          </w:p>
        </w:tc>
        <w:tc>
          <w:tcPr>
            <w:tcW w:w="160" w:type="dxa"/>
            <w:vAlign w:val="bottom"/>
          </w:tcPr>
          <w:p>
            <w:pPr>
              <w:spacing w:after="0"/>
              <w:rPr>
                <w:sz w:val="15"/>
                <w:szCs w:val="15"/>
                <w:color w:val="auto"/>
              </w:rPr>
            </w:pPr>
          </w:p>
        </w:tc>
        <w:tc>
          <w:tcPr>
            <w:tcW w:w="12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(797,609 )</w:t>
            </w: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CHANGE IN CASH</w:t>
            </w:r>
          </w:p>
        </w:tc>
        <w:tc>
          <w:tcPr>
            <w:tcW w:w="2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CASH, AT BEGINNING OF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AT END OF PERIOD</w:t>
            </w: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-1016635</wp:posOffset>
            </wp:positionV>
            <wp:extent cx="685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-1016635</wp:posOffset>
            </wp:positionV>
            <wp:extent cx="6858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-1016635</wp:posOffset>
            </wp:positionV>
            <wp:extent cx="6858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-527685</wp:posOffset>
            </wp:positionV>
            <wp:extent cx="6858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-527685</wp:posOffset>
            </wp:positionV>
            <wp:extent cx="6858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Schedule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8"/>
          <w:szCs w:val="18"/>
          <w:b w:val="1"/>
          <w:bCs w:val="1"/>
          <w:color w:val="auto"/>
        </w:rPr>
        <w:t>Domino’s Pizza,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PARENT COMPANY FINANCIAL STATEMENTS</w:t>
      </w:r>
    </w:p>
    <w:p>
      <w:pPr>
        <w:spacing w:after="0" w:line="178"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Basis of Presentation</w:t>
      </w:r>
    </w:p>
    <w:p>
      <w:pPr>
        <w:spacing w:after="0" w:line="202" w:lineRule="exact"/>
        <w:rPr>
          <w:sz w:val="20"/>
          <w:szCs w:val="20"/>
          <w:color w:val="auto"/>
        </w:rPr>
      </w:pPr>
    </w:p>
    <w:p>
      <w:pPr>
        <w:ind w:right="240" w:firstLine="562"/>
        <w:spacing w:after="0" w:line="243" w:lineRule="auto"/>
        <w:rPr>
          <w:sz w:val="20"/>
          <w:szCs w:val="20"/>
          <w:color w:val="auto"/>
        </w:rPr>
      </w:pPr>
      <w:r>
        <w:rPr>
          <w:rFonts w:ascii="Arial" w:cs="Arial" w:eastAsia="Arial" w:hAnsi="Arial"/>
          <w:sz w:val="18"/>
          <w:szCs w:val="18"/>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420" w:firstLine="562"/>
        <w:spacing w:after="0" w:line="261" w:lineRule="auto"/>
        <w:rPr>
          <w:sz w:val="20"/>
          <w:szCs w:val="20"/>
          <w:color w:val="auto"/>
        </w:rPr>
      </w:pPr>
      <w:r>
        <w:rPr>
          <w:rFonts w:ascii="Arial" w:cs="Arial" w:eastAsia="Arial" w:hAnsi="Arial"/>
          <w:sz w:val="18"/>
          <w:szCs w:val="18"/>
          <w:color w:val="auto"/>
        </w:rPr>
        <w:t>The use of estimates is inherent in the preparation of financial statements in accordance with generally accepted accounting principles. Actual results could differ from those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adopted the below new accounting pronouncements that impacted the Parent Company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2016-13, Financial Instruments – Credit Losses (Topic 326)</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Measurement of Credit Losses on Financial Instruments (“ASC 326”). ASC 326 requires companies to measure credit losses utilizing a methodology that reflects expected credit losses and requires a consideration of a broader range of reasonable and supportable information to inform credit loss estimates. On December 30, 2019, the Company adopted ASC 326 using the modified retrospective method. The Parent Company recorded a $1.1 million adjustment to equity in net deficit of subsidiaries and recorded a $1.1 million adjustment to retained deficit related to this new accounting standard in 2020. See Note 1 to the Company’s consolidated financial statements as filed in this Form 10-K for additional information related to the adoption of this new accounting standard.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Disclosures of Cash Flow Information</w:t>
      </w:r>
    </w:p>
    <w:p>
      <w:pPr>
        <w:spacing w:after="0" w:line="202"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During 2021, 2020 and 2019, the Parent Company received dividends from its subsidiaries primarily consisting of amounts received to pay dividends and repurchase common stock in connection with the Company’s recapitalization transactions. See Note 3 to the Company’s consolidated financial statements as filed in this Form 10-K for a description of these recapitalization transactions. In 2021 and 2019, the amount of dividends received was in excess of current year equity in earnings from its subsidiaries, and thus a portion of these dividends was considered to be a return of investment and is classified as a cash inflow from investing activities.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DOMINO’S PIZZA, INC.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E. Allison, Jr.</w:t>
      </w:r>
    </w:p>
    <w:p>
      <w:pPr>
        <w:ind w:left="5640"/>
        <w:spacing w:after="0" w:line="234" w:lineRule="auto"/>
        <w:rPr>
          <w:sz w:val="20"/>
          <w:szCs w:val="20"/>
          <w:color w:val="auto"/>
        </w:rPr>
      </w:pPr>
      <w:r>
        <w:rPr>
          <w:rFonts w:ascii="Arial" w:cs="Arial" w:eastAsia="Arial" w:hAnsi="Arial"/>
          <w:sz w:val="18"/>
          <w:szCs w:val="18"/>
          <w:color w:val="auto"/>
        </w:rPr>
        <w:t>Chief Executive Officer</w:t>
      </w:r>
    </w:p>
    <w:p>
      <w:pPr>
        <w:ind w:left="5640"/>
        <w:spacing w:after="0" w:line="235" w:lineRule="auto"/>
        <w:rPr>
          <w:sz w:val="20"/>
          <w:szCs w:val="20"/>
          <w:color w:val="auto"/>
        </w:rPr>
      </w:pPr>
      <w:r>
        <w:rPr>
          <w:rFonts w:ascii="Arial" w:cs="Arial" w:eastAsia="Arial" w:hAnsi="Arial"/>
          <w:sz w:val="18"/>
          <w:szCs w:val="18"/>
          <w:color w:val="auto"/>
        </w:rPr>
        <w:t>(Principal Executive Officer and Principal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 2022</w:t>
      </w:r>
    </w:p>
    <w:p>
      <w:pPr>
        <w:spacing w:after="0" w:line="18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E. Allison, Jr.</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4720" w:type="dxa"/>
            <w:vAlign w:val="bottom"/>
            <w:gridSpan w:val="2"/>
          </w:tcPr>
          <w:p>
            <w:pPr>
              <w:spacing w:after="0" w:line="182" w:lineRule="exact"/>
              <w:rPr>
                <w:sz w:val="20"/>
                <w:szCs w:val="20"/>
                <w:color w:val="auto"/>
              </w:rPr>
            </w:pPr>
            <w:r>
              <w:rPr>
                <w:rFonts w:ascii="Arial" w:cs="Arial" w:eastAsia="Arial" w:hAnsi="Arial"/>
                <w:sz w:val="18"/>
                <w:szCs w:val="18"/>
                <w:color w:val="auto"/>
              </w:rPr>
              <w:t>Richard E. Allison, Jr.</w:t>
            </w:r>
          </w:p>
        </w:tc>
        <w:tc>
          <w:tcPr>
            <w:tcW w:w="6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ind w:left="160"/>
              <w:spacing w:after="0"/>
              <w:rPr>
                <w:sz w:val="20"/>
                <w:szCs w:val="20"/>
                <w:color w:val="auto"/>
              </w:rPr>
            </w:pPr>
            <w:r>
              <w:rPr>
                <w:rFonts w:ascii="Arial" w:cs="Arial" w:eastAsia="Arial" w:hAnsi="Arial"/>
                <w:sz w:val="18"/>
                <w:szCs w:val="18"/>
                <w:color w:val="auto"/>
              </w:rPr>
              <w:t>(Principal Executive Officer and Principal Financial Officer)</w:t>
            </w: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Jessica L. Parrish</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Vice President, Corporate Controller and Treasurer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Jessica L. Parrish</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David A. Brandon</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Brandon</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C. Andrew Ballard</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 Andrew Ballard</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Andrew B. Balson</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B. Balson</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Corie S. Barry</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Corie S. Barry</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Diana F. Cantor</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Diana F. Cantor</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Richard L. Federico</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Federico</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James A. Goldman</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A. Goldman</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 Patricia E. Lopez</w:t>
            </w:r>
          </w:p>
        </w:tc>
        <w:tc>
          <w:tcPr>
            <w:tcW w:w="644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Patricia E. Lopez</w:t>
            </w:r>
          </w:p>
        </w:tc>
        <w:tc>
          <w:tcPr>
            <w:tcW w:w="20" w:type="dxa"/>
            <w:vAlign w:val="bottom"/>
          </w:tcPr>
          <w:p>
            <w:pPr>
              <w:spacing w:after="0"/>
              <w:rPr>
                <w:sz w:val="16"/>
                <w:szCs w:val="16"/>
                <w:color w:val="auto"/>
              </w:rPr>
            </w:pPr>
          </w:p>
        </w:tc>
        <w:tc>
          <w:tcPr>
            <w:tcW w:w="6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March 1, 2022</w:t>
            </w:r>
          </w:p>
        </w:tc>
        <w:tc>
          <w:tcPr>
            <w:tcW w:w="6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ind w:left="7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4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10.13</w:t>
      </w:r>
    </w:p>
    <w:p>
      <w:pPr>
        <w:spacing w:after="0" w:line="216" w:lineRule="exact"/>
        <w:rPr>
          <w:sz w:val="20"/>
          <w:szCs w:val="20"/>
          <w:color w:val="auto"/>
        </w:rPr>
      </w:pPr>
    </w:p>
    <w:p>
      <w:pPr>
        <w:jc w:val="center"/>
        <w:ind w:left="740" w:right="2060"/>
        <w:spacing w:after="0" w:line="258" w:lineRule="auto"/>
        <w:rPr>
          <w:sz w:val="20"/>
          <w:szCs w:val="20"/>
          <w:color w:val="auto"/>
        </w:rPr>
      </w:pPr>
      <w:r>
        <w:rPr>
          <w:rFonts w:ascii="Arial" w:cs="Arial" w:eastAsia="Arial" w:hAnsi="Arial"/>
          <w:sz w:val="21"/>
          <w:szCs w:val="21"/>
          <w:b w:val="1"/>
          <w:bCs w:val="1"/>
          <w:color w:val="161616"/>
        </w:rPr>
        <w:t>AMENDMENT #15 TO A LEASE AGREEMENT BETWEEN DOMINO'S FARMS OFFICE PARK LLC (LANDLORD) AND DOMINO'S PIZZA LLC (TENANT)</w:t>
      </w:r>
    </w:p>
    <w:p>
      <w:pPr>
        <w:spacing w:after="0" w:line="360" w:lineRule="exact"/>
        <w:rPr>
          <w:sz w:val="20"/>
          <w:szCs w:val="20"/>
          <w:color w:val="auto"/>
        </w:rPr>
      </w:pPr>
    </w:p>
    <w:p>
      <w:pPr>
        <w:ind w:left="600" w:right="1680" w:firstLine="1460"/>
        <w:spacing w:after="0" w:line="294" w:lineRule="auto"/>
        <w:rPr>
          <w:sz w:val="20"/>
          <w:szCs w:val="20"/>
          <w:color w:val="auto"/>
        </w:rPr>
      </w:pPr>
      <w:r>
        <w:rPr>
          <w:rFonts w:ascii="Arial" w:cs="Arial" w:eastAsia="Arial" w:hAnsi="Arial"/>
          <w:sz w:val="22"/>
          <w:szCs w:val="22"/>
          <w:color w:val="161616"/>
        </w:rPr>
        <w:t>THIS AMENDMENT #15 TO A LEASE AGREEMENT is made as on July 21</w:t>
      </w:r>
      <w:r>
        <w:rPr>
          <w:rFonts w:ascii="Arial" w:cs="Arial" w:eastAsia="Arial" w:hAnsi="Arial"/>
          <w:sz w:val="16"/>
          <w:szCs w:val="16"/>
          <w:color w:val="2F2F2F"/>
        </w:rPr>
        <w:t>,</w:t>
      </w:r>
      <w:r>
        <w:rPr>
          <w:rFonts w:ascii="Arial" w:cs="Arial" w:eastAsia="Arial" w:hAnsi="Arial"/>
          <w:sz w:val="22"/>
          <w:szCs w:val="22"/>
          <w:color w:val="161616"/>
        </w:rPr>
        <w:t xml:space="preserve"> 2021 by and between DOMINO'S FARMS OFFICE PARK LLC, a Michigan</w:t>
      </w:r>
    </w:p>
    <w:p>
      <w:pPr>
        <w:spacing w:after="0" w:line="1" w:lineRule="exact"/>
        <w:rPr>
          <w:sz w:val="20"/>
          <w:szCs w:val="20"/>
          <w:color w:val="auto"/>
        </w:rPr>
      </w:pPr>
    </w:p>
    <w:p>
      <w:pPr>
        <w:jc w:val="both"/>
        <w:ind w:left="720" w:right="360" w:firstLine="2"/>
        <w:spacing w:after="0" w:line="238" w:lineRule="auto"/>
        <w:rPr>
          <w:sz w:val="20"/>
          <w:szCs w:val="20"/>
          <w:color w:val="auto"/>
        </w:rPr>
      </w:pPr>
      <w:r>
        <w:rPr>
          <w:rFonts w:ascii="Arial" w:cs="Arial" w:eastAsia="Arial" w:hAnsi="Arial"/>
          <w:sz w:val="22"/>
          <w:szCs w:val="22"/>
          <w:color w:val="161616"/>
        </w:rPr>
        <w:t>Limited Liability Company, f/k/a Domino's Farms Office Park Limited Partnership (Landlord) and DOMINO'S PIZZA LLC (Tenant)</w:t>
      </w:r>
      <w:r>
        <w:rPr>
          <w:rFonts w:ascii="Arial" w:cs="Arial" w:eastAsia="Arial" w:hAnsi="Arial"/>
          <w:sz w:val="22"/>
          <w:szCs w:val="22"/>
          <w:color w:val="5E5E5E"/>
        </w:rPr>
        <w:t>.</w:t>
      </w:r>
    </w:p>
    <w:p>
      <w:pPr>
        <w:spacing w:after="0" w:line="227" w:lineRule="exact"/>
        <w:rPr>
          <w:sz w:val="20"/>
          <w:szCs w:val="20"/>
          <w:color w:val="auto"/>
        </w:rPr>
      </w:pPr>
    </w:p>
    <w:p>
      <w:pPr>
        <w:jc w:val="both"/>
        <w:ind w:left="700" w:right="340" w:firstLine="12"/>
        <w:spacing w:after="0" w:line="234" w:lineRule="auto"/>
        <w:rPr>
          <w:sz w:val="20"/>
          <w:szCs w:val="20"/>
          <w:color w:val="auto"/>
        </w:rPr>
      </w:pPr>
      <w:r>
        <w:rPr>
          <w:rFonts w:ascii="Arial" w:cs="Arial" w:eastAsia="Arial" w:hAnsi="Arial"/>
          <w:sz w:val="22"/>
          <w:szCs w:val="22"/>
          <w:color w:val="161616"/>
        </w:rPr>
        <w:t>WHEREAS, Landlord entered into a Lease Agreement (the Lease) for a portion of the office building known as Domino's Farms Prairie House located at 30 Frank Lloyd Wright Drive, Ann Arbor, Michigan 48106 with Domino's Pizza, Inc., whose successor in interest is Domino's Pizza LLC (Tenant), for a term of five (5) years commencing as of December 21, 1998; and</w:t>
      </w:r>
    </w:p>
    <w:p>
      <w:pPr>
        <w:spacing w:after="0" w:line="215" w:lineRule="exact"/>
        <w:rPr>
          <w:sz w:val="20"/>
          <w:szCs w:val="20"/>
          <w:color w:val="auto"/>
        </w:rPr>
      </w:pPr>
    </w:p>
    <w:p>
      <w:pPr>
        <w:jc w:val="both"/>
        <w:ind w:left="700" w:right="340" w:firstLine="7"/>
        <w:spacing w:after="0" w:line="235" w:lineRule="auto"/>
        <w:rPr>
          <w:sz w:val="20"/>
          <w:szCs w:val="20"/>
          <w:color w:val="auto"/>
        </w:rPr>
      </w:pPr>
      <w:r>
        <w:rPr>
          <w:rFonts w:ascii="Arial" w:cs="Arial" w:eastAsia="Arial" w:hAnsi="Arial"/>
          <w:sz w:val="22"/>
          <w:szCs w:val="22"/>
          <w:color w:val="161616"/>
        </w:rPr>
        <w:t>WHEREAS, via a First Amendment to Lease dated August 8, 2002, Landlord and Tenant extended the term of the Lease Agreement, included additional space as a part of the Premises, and incorporated additional provisions; and</w:t>
      </w:r>
    </w:p>
    <w:p>
      <w:pPr>
        <w:spacing w:after="0" w:line="229" w:lineRule="exact"/>
        <w:rPr>
          <w:sz w:val="20"/>
          <w:szCs w:val="20"/>
          <w:color w:val="auto"/>
        </w:rPr>
      </w:pPr>
    </w:p>
    <w:p>
      <w:pPr>
        <w:jc w:val="both"/>
        <w:ind w:left="700" w:right="360" w:firstLine="6"/>
        <w:spacing w:after="0" w:line="238" w:lineRule="auto"/>
        <w:rPr>
          <w:sz w:val="20"/>
          <w:szCs w:val="20"/>
          <w:color w:val="auto"/>
        </w:rPr>
      </w:pPr>
      <w:r>
        <w:rPr>
          <w:rFonts w:ascii="Arial" w:cs="Arial" w:eastAsia="Arial" w:hAnsi="Arial"/>
          <w:sz w:val="22"/>
          <w:szCs w:val="22"/>
          <w:color w:val="161616"/>
        </w:rPr>
        <w:t>WHEREAS, via a Second Amendment to Lease dated May 5, 2004, Landlord and Tenant amended the Lease by replacing Section B (Premises) of the First Amended Standard Lease Summary; and</w:t>
      </w:r>
    </w:p>
    <w:p>
      <w:pPr>
        <w:spacing w:after="0" w:line="214" w:lineRule="exact"/>
        <w:rPr>
          <w:sz w:val="20"/>
          <w:szCs w:val="20"/>
          <w:color w:val="auto"/>
        </w:rPr>
      </w:pPr>
    </w:p>
    <w:p>
      <w:pPr>
        <w:jc w:val="both"/>
        <w:ind w:left="680" w:right="360" w:firstLine="4"/>
        <w:spacing w:after="0" w:line="235" w:lineRule="auto"/>
        <w:rPr>
          <w:sz w:val="20"/>
          <w:szCs w:val="20"/>
          <w:color w:val="auto"/>
        </w:rPr>
      </w:pPr>
      <w:r>
        <w:rPr>
          <w:rFonts w:ascii="Arial" w:cs="Arial" w:eastAsia="Arial" w:hAnsi="Arial"/>
          <w:sz w:val="22"/>
          <w:szCs w:val="22"/>
          <w:color w:val="161616"/>
        </w:rPr>
        <w:t>WHEREAS, via a Third Amendment to Lease dated November 18, 2009, Landlord and Tenant amended the Lease to clarify actual size of the warehouse and to add an additional 4,790 usable square feet of space, and</w:t>
      </w:r>
    </w:p>
    <w:p>
      <w:pPr>
        <w:spacing w:after="0" w:line="229" w:lineRule="exact"/>
        <w:rPr>
          <w:sz w:val="20"/>
          <w:szCs w:val="20"/>
          <w:color w:val="auto"/>
        </w:rPr>
      </w:pPr>
    </w:p>
    <w:p>
      <w:pPr>
        <w:jc w:val="both"/>
        <w:ind w:left="680" w:right="380" w:firstLine="1"/>
        <w:spacing w:after="0" w:line="238" w:lineRule="auto"/>
        <w:rPr>
          <w:sz w:val="20"/>
          <w:szCs w:val="20"/>
          <w:color w:val="auto"/>
        </w:rPr>
      </w:pPr>
      <w:r>
        <w:rPr>
          <w:rFonts w:ascii="Arial" w:cs="Arial" w:eastAsia="Arial" w:hAnsi="Arial"/>
          <w:sz w:val="22"/>
          <w:szCs w:val="22"/>
          <w:color w:val="161616"/>
        </w:rPr>
        <w:t>WHEREAS, via a Fourth Amendment to Lease dated April, 2010, Landlord and Tenant amended the Lease for the temporary lease of additional space, and</w:t>
      </w:r>
    </w:p>
    <w:p>
      <w:pPr>
        <w:spacing w:after="0" w:line="214" w:lineRule="exact"/>
        <w:rPr>
          <w:sz w:val="20"/>
          <w:szCs w:val="20"/>
          <w:color w:val="auto"/>
        </w:rPr>
      </w:pPr>
    </w:p>
    <w:p>
      <w:pPr>
        <w:jc w:val="both"/>
        <w:ind w:left="660" w:right="380" w:firstLine="6"/>
        <w:spacing w:after="0" w:line="235" w:lineRule="auto"/>
        <w:rPr>
          <w:sz w:val="20"/>
          <w:szCs w:val="20"/>
          <w:color w:val="auto"/>
        </w:rPr>
      </w:pPr>
      <w:r>
        <w:rPr>
          <w:rFonts w:ascii="Arial" w:cs="Arial" w:eastAsia="Arial" w:hAnsi="Arial"/>
          <w:sz w:val="22"/>
          <w:szCs w:val="22"/>
          <w:color w:val="161616"/>
        </w:rPr>
        <w:t>WHEREAS, via a further amendment mistakenly captioned as the "Fourth Amendment to Lease" dated August 28, 2012, Landlord and Tenant amended the Lease to expand the primary Premises and extend the Term of the Lease, and</w:t>
      </w:r>
    </w:p>
    <w:p>
      <w:pPr>
        <w:spacing w:after="0" w:line="215" w:lineRule="exact"/>
        <w:rPr>
          <w:sz w:val="20"/>
          <w:szCs w:val="20"/>
          <w:color w:val="auto"/>
        </w:rPr>
      </w:pPr>
    </w:p>
    <w:p>
      <w:pPr>
        <w:jc w:val="both"/>
        <w:ind w:left="660" w:right="380" w:firstLine="2"/>
        <w:spacing w:after="0" w:line="238" w:lineRule="auto"/>
        <w:rPr>
          <w:sz w:val="20"/>
          <w:szCs w:val="20"/>
          <w:color w:val="auto"/>
        </w:rPr>
      </w:pPr>
      <w:r>
        <w:rPr>
          <w:rFonts w:ascii="Arial" w:cs="Arial" w:eastAsia="Arial" w:hAnsi="Arial"/>
          <w:sz w:val="22"/>
          <w:szCs w:val="22"/>
          <w:color w:val="161616"/>
        </w:rPr>
        <w:t>WHEREAS, via a Fifth Amendment to Lease dated February 2015, Landlord and Tenant amended the Lease for the temporary lease of additional space, and</w:t>
      </w:r>
    </w:p>
    <w:p>
      <w:pPr>
        <w:spacing w:after="0" w:line="227" w:lineRule="exact"/>
        <w:rPr>
          <w:sz w:val="20"/>
          <w:szCs w:val="20"/>
          <w:color w:val="auto"/>
        </w:rPr>
      </w:pPr>
    </w:p>
    <w:p>
      <w:pPr>
        <w:jc w:val="both"/>
        <w:ind w:left="660" w:right="380" w:firstLine="4"/>
        <w:spacing w:after="0" w:line="238" w:lineRule="auto"/>
        <w:rPr>
          <w:sz w:val="20"/>
          <w:szCs w:val="20"/>
          <w:color w:val="auto"/>
        </w:rPr>
      </w:pPr>
      <w:r>
        <w:rPr>
          <w:rFonts w:ascii="Arial" w:cs="Arial" w:eastAsia="Arial" w:hAnsi="Arial"/>
          <w:sz w:val="22"/>
          <w:szCs w:val="22"/>
          <w:color w:val="161616"/>
        </w:rPr>
        <w:t>WHEREAS, via a Sixth Amendment to Lease, Landlord and Tenant amended the Lease in February 2015 to expand the primary Premises, and</w:t>
      </w:r>
    </w:p>
    <w:p>
      <w:pPr>
        <w:spacing w:after="0" w:line="227" w:lineRule="exact"/>
        <w:rPr>
          <w:sz w:val="20"/>
          <w:szCs w:val="20"/>
          <w:color w:val="auto"/>
        </w:rPr>
      </w:pPr>
    </w:p>
    <w:p>
      <w:pPr>
        <w:ind w:left="640" w:right="400" w:firstLine="7"/>
        <w:spacing w:after="0" w:line="238" w:lineRule="auto"/>
        <w:rPr>
          <w:sz w:val="20"/>
          <w:szCs w:val="20"/>
          <w:color w:val="auto"/>
        </w:rPr>
      </w:pPr>
      <w:r>
        <w:rPr>
          <w:rFonts w:ascii="Arial" w:cs="Arial" w:eastAsia="Arial" w:hAnsi="Arial"/>
          <w:sz w:val="22"/>
          <w:szCs w:val="22"/>
          <w:color w:val="161616"/>
        </w:rPr>
        <w:t>WHEREAS, via a Seventh Amendment to Lease dated April 2016, Tenant absorbed an additional 6,448 rentable square feet (5,607 usable square feet) located at Lobby H on Level 3, and</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16161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5" w:right="339" w:bottom="1440" w:gutter="0" w:footer="0" w:header="0"/>
        </w:sectPr>
      </w:pPr>
    </w:p>
    <w:bookmarkStart w:id="98" w:name="page99"/>
    <w:bookmarkEnd w:id="98"/>
    <w:p>
      <w:pPr>
        <w:ind w:left="820" w:firstLine="7"/>
        <w:spacing w:after="0" w:line="238" w:lineRule="auto"/>
        <w:rPr>
          <w:sz w:val="20"/>
          <w:szCs w:val="20"/>
          <w:color w:val="auto"/>
        </w:rPr>
      </w:pPr>
      <w:r>
        <w:rPr>
          <w:rFonts w:ascii="Arial" w:cs="Arial" w:eastAsia="Arial" w:hAnsi="Arial"/>
          <w:sz w:val="22"/>
          <w:szCs w:val="22"/>
          <w:color w:val="161616"/>
        </w:rPr>
        <w:t>WHEREAS, via an Eighth Amendment to Lease dated November 4, 2016 Tenant absorbed an additional 15,700 rentable square feet (13,652 usable square feet) located at Lobby D on Level 3, and</w:t>
      </w:r>
    </w:p>
    <w:p>
      <w:pPr>
        <w:spacing w:after="0" w:line="227" w:lineRule="exact"/>
        <w:rPr>
          <w:sz w:val="20"/>
          <w:szCs w:val="20"/>
          <w:color w:val="auto"/>
        </w:rPr>
      </w:pPr>
    </w:p>
    <w:p>
      <w:pPr>
        <w:jc w:val="both"/>
        <w:ind w:left="800" w:right="20" w:firstLine="2"/>
        <w:spacing w:after="0" w:line="238" w:lineRule="auto"/>
        <w:rPr>
          <w:sz w:val="20"/>
          <w:szCs w:val="20"/>
          <w:color w:val="auto"/>
        </w:rPr>
      </w:pPr>
      <w:r>
        <w:rPr>
          <w:rFonts w:ascii="Arial" w:cs="Arial" w:eastAsia="Arial" w:hAnsi="Arial"/>
          <w:sz w:val="22"/>
          <w:szCs w:val="22"/>
          <w:color w:val="161616"/>
        </w:rPr>
        <w:t>WHEREAS, via a Ninth Amendment to Lease dated February 16, 2017, Tenant absorbed an additional 9,343 rentable square feet (8,124 usable square feet) located at Lobby K on Level 1, and</w:t>
      </w:r>
    </w:p>
    <w:p>
      <w:pPr>
        <w:spacing w:after="0" w:line="227" w:lineRule="exact"/>
        <w:rPr>
          <w:sz w:val="20"/>
          <w:szCs w:val="20"/>
          <w:color w:val="auto"/>
        </w:rPr>
      </w:pPr>
    </w:p>
    <w:p>
      <w:pPr>
        <w:jc w:val="both"/>
        <w:ind w:left="800" w:firstLine="6"/>
        <w:spacing w:after="0" w:line="235" w:lineRule="auto"/>
        <w:rPr>
          <w:sz w:val="20"/>
          <w:szCs w:val="20"/>
          <w:color w:val="auto"/>
        </w:rPr>
      </w:pPr>
      <w:r>
        <w:rPr>
          <w:rFonts w:ascii="Arial" w:cs="Arial" w:eastAsia="Arial" w:hAnsi="Arial"/>
          <w:sz w:val="22"/>
          <w:szCs w:val="22"/>
          <w:color w:val="161616"/>
        </w:rPr>
        <w:t>WHEREAS, via a Tenth Amendment to Lease dated October 2017, Tenant expanded to the south of Premises on the third level into the space formerly occupied by IBM equal to 8,188 rentable square feet (7,120 usable square feet), and</w:t>
      </w:r>
    </w:p>
    <w:p>
      <w:pPr>
        <w:spacing w:after="0" w:line="229" w:lineRule="exact"/>
        <w:rPr>
          <w:sz w:val="20"/>
          <w:szCs w:val="20"/>
          <w:color w:val="auto"/>
        </w:rPr>
      </w:pPr>
    </w:p>
    <w:p>
      <w:pPr>
        <w:jc w:val="both"/>
        <w:ind w:left="780" w:right="20" w:firstLine="10"/>
        <w:spacing w:after="0" w:line="238" w:lineRule="auto"/>
        <w:rPr>
          <w:sz w:val="20"/>
          <w:szCs w:val="20"/>
          <w:color w:val="auto"/>
        </w:rPr>
      </w:pPr>
      <w:r>
        <w:rPr>
          <w:rFonts w:ascii="Arial" w:cs="Arial" w:eastAsia="Arial" w:hAnsi="Arial"/>
          <w:sz w:val="22"/>
          <w:szCs w:val="22"/>
          <w:color w:val="161616"/>
        </w:rPr>
        <w:t>WHEREAS, via Amendment #11 to Lease dated July 17, 2018, Tenant extended the Term for the Lease to be concurrent with Amendment #12, and</w:t>
      </w:r>
    </w:p>
    <w:p>
      <w:pPr>
        <w:spacing w:after="0" w:line="227" w:lineRule="exact"/>
        <w:rPr>
          <w:sz w:val="20"/>
          <w:szCs w:val="20"/>
          <w:color w:val="auto"/>
        </w:rPr>
      </w:pPr>
    </w:p>
    <w:p>
      <w:pPr>
        <w:jc w:val="both"/>
        <w:ind w:left="780" w:right="20" w:firstLine="4"/>
        <w:spacing w:after="0" w:line="235" w:lineRule="auto"/>
        <w:rPr>
          <w:sz w:val="20"/>
          <w:szCs w:val="20"/>
          <w:color w:val="auto"/>
        </w:rPr>
      </w:pPr>
      <w:r>
        <w:rPr>
          <w:rFonts w:ascii="Arial" w:cs="Arial" w:eastAsia="Arial" w:hAnsi="Arial"/>
          <w:sz w:val="22"/>
          <w:szCs w:val="22"/>
          <w:color w:val="161616"/>
        </w:rPr>
        <w:t>WHEREAS, via Amendment #12 dated July 17, 2018, Tenant desired to lease additional space, and Landlord agreed to construct a building called "the Innovation Garage" and leased same to Tenant for a period of 10 years, and</w:t>
      </w:r>
    </w:p>
    <w:p>
      <w:pPr>
        <w:spacing w:after="0" w:line="229" w:lineRule="exact"/>
        <w:rPr>
          <w:sz w:val="20"/>
          <w:szCs w:val="20"/>
          <w:color w:val="auto"/>
        </w:rPr>
      </w:pPr>
    </w:p>
    <w:p>
      <w:pPr>
        <w:jc w:val="both"/>
        <w:ind w:left="760" w:right="20" w:firstLine="7"/>
        <w:spacing w:after="0" w:line="238" w:lineRule="auto"/>
        <w:rPr>
          <w:sz w:val="20"/>
          <w:szCs w:val="20"/>
          <w:color w:val="auto"/>
        </w:rPr>
      </w:pPr>
      <w:r>
        <w:rPr>
          <w:rFonts w:ascii="Arial" w:cs="Arial" w:eastAsia="Arial" w:hAnsi="Arial"/>
          <w:sz w:val="22"/>
          <w:szCs w:val="22"/>
          <w:color w:val="161616"/>
        </w:rPr>
        <w:t>WHEREAS, via Amendment #13 dated May 14, 2019, Tenant has agreed to lease additional space in the Prairie House on a temporary basis to be used for an IT workroom, and</w:t>
      </w:r>
    </w:p>
    <w:p>
      <w:pPr>
        <w:spacing w:after="0" w:line="227" w:lineRule="exact"/>
        <w:rPr>
          <w:sz w:val="20"/>
          <w:szCs w:val="20"/>
          <w:color w:val="auto"/>
        </w:rPr>
      </w:pPr>
    </w:p>
    <w:p>
      <w:pPr>
        <w:jc w:val="both"/>
        <w:ind w:left="760" w:right="40" w:firstLine="4"/>
        <w:spacing w:after="0" w:line="238" w:lineRule="auto"/>
        <w:rPr>
          <w:sz w:val="20"/>
          <w:szCs w:val="20"/>
          <w:color w:val="auto"/>
        </w:rPr>
      </w:pPr>
      <w:r>
        <w:rPr>
          <w:rFonts w:ascii="Arial" w:cs="Arial" w:eastAsia="Arial" w:hAnsi="Arial"/>
          <w:sz w:val="22"/>
          <w:szCs w:val="22"/>
          <w:color w:val="161616"/>
        </w:rPr>
        <w:t>WHEREAS, via Amendment #14 dated May 31, 2019, Tenant modified the term of one leased suite and return three (3) additional suites back to the Landlord, and</w:t>
      </w:r>
    </w:p>
    <w:p>
      <w:pPr>
        <w:spacing w:after="0" w:line="349" w:lineRule="exact"/>
        <w:rPr>
          <w:sz w:val="20"/>
          <w:szCs w:val="20"/>
          <w:color w:val="auto"/>
        </w:rPr>
      </w:pPr>
    </w:p>
    <w:p>
      <w:pPr>
        <w:ind w:left="760" w:right="660" w:firstLine="4"/>
        <w:spacing w:after="0" w:line="403" w:lineRule="auto"/>
        <w:rPr>
          <w:sz w:val="20"/>
          <w:szCs w:val="20"/>
          <w:color w:val="auto"/>
        </w:rPr>
      </w:pPr>
      <w:r>
        <w:rPr>
          <w:rFonts w:ascii="Arial" w:cs="Arial" w:eastAsia="Arial" w:hAnsi="Arial"/>
          <w:sz w:val="22"/>
          <w:szCs w:val="22"/>
          <w:color w:val="161616"/>
        </w:rPr>
        <w:t>WHEREAS, the Suite leased via Amendment #13 expired on May 19, 2020, NOW, THEREFORE, Landlord and Tenant agree to the following:</w:t>
      </w:r>
    </w:p>
    <w:p>
      <w:pPr>
        <w:spacing w:after="0" w:line="1" w:lineRule="exact"/>
        <w:rPr>
          <w:sz w:val="20"/>
          <w:szCs w:val="20"/>
          <w:color w:val="auto"/>
        </w:rPr>
      </w:pPr>
    </w:p>
    <w:p>
      <w:pPr>
        <w:jc w:val="both"/>
        <w:ind w:left="1480" w:right="40" w:hanging="357"/>
        <w:spacing w:after="0" w:line="235" w:lineRule="auto"/>
        <w:tabs>
          <w:tab w:leader="none" w:pos="1480" w:val="left"/>
        </w:tabs>
        <w:numPr>
          <w:ilvl w:val="0"/>
          <w:numId w:val="31"/>
        </w:numPr>
        <w:rPr>
          <w:rFonts w:ascii="Arial" w:cs="Arial" w:eastAsia="Arial" w:hAnsi="Arial"/>
          <w:sz w:val="22"/>
          <w:szCs w:val="22"/>
          <w:color w:val="161616"/>
        </w:rPr>
      </w:pPr>
      <w:r>
        <w:rPr>
          <w:rFonts w:ascii="Arial" w:cs="Arial" w:eastAsia="Arial" w:hAnsi="Arial"/>
          <w:sz w:val="22"/>
          <w:szCs w:val="22"/>
          <w:color w:val="161616"/>
        </w:rPr>
        <w:t>The space located near the North Dock on Level 1 at Lobby L, and covered by Amendment #13 shall continue to be leased by Tenant on a month-to-month basis. The Tenant shall have the ability to terminate the lease for this space with the provision of a 30-day notice to the Landlord.</w:t>
      </w:r>
    </w:p>
    <w:p>
      <w:pPr>
        <w:spacing w:after="0" w:line="228" w:lineRule="exact"/>
        <w:rPr>
          <w:rFonts w:ascii="Arial" w:cs="Arial" w:eastAsia="Arial" w:hAnsi="Arial"/>
          <w:sz w:val="22"/>
          <w:szCs w:val="22"/>
          <w:color w:val="161616"/>
        </w:rPr>
      </w:pPr>
    </w:p>
    <w:p>
      <w:pPr>
        <w:ind w:left="1480" w:right="60" w:hanging="363"/>
        <w:spacing w:after="0" w:line="238" w:lineRule="auto"/>
        <w:tabs>
          <w:tab w:leader="none" w:pos="1480" w:val="left"/>
        </w:tabs>
        <w:numPr>
          <w:ilvl w:val="0"/>
          <w:numId w:val="31"/>
        </w:numPr>
        <w:rPr>
          <w:rFonts w:ascii="Arial" w:cs="Arial" w:eastAsia="Arial" w:hAnsi="Arial"/>
          <w:sz w:val="22"/>
          <w:szCs w:val="22"/>
          <w:color w:val="161616"/>
        </w:rPr>
      </w:pPr>
      <w:r>
        <w:rPr>
          <w:rFonts w:ascii="Arial" w:cs="Arial" w:eastAsia="Arial" w:hAnsi="Arial"/>
          <w:sz w:val="22"/>
          <w:szCs w:val="22"/>
          <w:color w:val="161616"/>
        </w:rPr>
        <w:t>The rent for said suite shall be $2,662.50 per month effective May 20, 2020,</w:t>
      </w:r>
      <w:r>
        <w:rPr>
          <w:rFonts w:ascii="Arial" w:cs="Arial" w:eastAsia="Arial" w:hAnsi="Arial"/>
          <w:sz w:val="22"/>
          <w:szCs w:val="22"/>
          <w:color w:val="595959"/>
        </w:rPr>
        <w:t>.</w:t>
      </w:r>
      <w:r>
        <w:rPr>
          <w:rFonts w:ascii="Arial" w:cs="Arial" w:eastAsia="Arial" w:hAnsi="Arial"/>
          <w:sz w:val="22"/>
          <w:szCs w:val="22"/>
          <w:color w:val="161616"/>
        </w:rPr>
        <w:t xml:space="preserve"> and shall increase annually on May 20</w:t>
      </w:r>
      <w:r>
        <w:rPr>
          <w:rFonts w:ascii="Arial" w:cs="Arial" w:eastAsia="Arial" w:hAnsi="Arial"/>
          <w:sz w:val="13"/>
          <w:szCs w:val="13"/>
          <w:color w:val="161616"/>
        </w:rPr>
        <w:t>th</w:t>
      </w:r>
      <w:r>
        <w:rPr>
          <w:rFonts w:ascii="Arial" w:cs="Arial" w:eastAsia="Arial" w:hAnsi="Arial"/>
          <w:sz w:val="22"/>
          <w:szCs w:val="22"/>
          <w:color w:val="161616"/>
        </w:rPr>
        <w:t xml:space="preserve"> by the amount of the Consumers Price Index.</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60"/>
        <w:spacing w:after="0"/>
        <w:rPr>
          <w:sz w:val="20"/>
          <w:szCs w:val="20"/>
          <w:color w:val="auto"/>
        </w:rPr>
      </w:pPr>
      <w:r>
        <w:rPr>
          <w:rFonts w:ascii="Arial" w:cs="Arial" w:eastAsia="Arial" w:hAnsi="Arial"/>
          <w:sz w:val="21"/>
          <w:szCs w:val="21"/>
          <w:b w:val="1"/>
          <w:bCs w:val="1"/>
          <w:color w:val="161616"/>
        </w:rPr>
        <w:t>SURVIVAL OF LEASE</w:t>
      </w:r>
    </w:p>
    <w:p>
      <w:pPr>
        <w:spacing w:after="0" w:line="262" w:lineRule="exact"/>
        <w:rPr>
          <w:sz w:val="20"/>
          <w:szCs w:val="20"/>
          <w:color w:val="auto"/>
        </w:rPr>
      </w:pPr>
    </w:p>
    <w:p>
      <w:pPr>
        <w:ind w:left="720" w:right="60" w:firstLine="4"/>
        <w:spacing w:after="0" w:line="238" w:lineRule="auto"/>
        <w:rPr>
          <w:sz w:val="20"/>
          <w:szCs w:val="20"/>
          <w:color w:val="auto"/>
        </w:rPr>
      </w:pPr>
      <w:r>
        <w:rPr>
          <w:rFonts w:ascii="Arial" w:cs="Arial" w:eastAsia="Arial" w:hAnsi="Arial"/>
          <w:sz w:val="22"/>
          <w:szCs w:val="22"/>
          <w:color w:val="161616"/>
        </w:rPr>
        <w:t>Except as set forth in this Amendment #15 to Lease Agreement, all other terms and conditions of the Lease shall remain the same and unchanged in full force and effect.</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16161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00" w:top="201" w:right="619" w:bottom="1440" w:gutter="0" w:footer="0" w:header="0"/>
        </w:sectPr>
      </w:pPr>
    </w:p>
    <w:bookmarkStart w:id="99" w:name="page100"/>
    <w:bookmarkEnd w:id="99"/>
    <w:p>
      <w:pPr>
        <w:ind w:left="760" w:firstLine="1"/>
        <w:spacing w:after="0" w:line="238" w:lineRule="auto"/>
        <w:rPr>
          <w:sz w:val="20"/>
          <w:szCs w:val="20"/>
          <w:color w:val="auto"/>
        </w:rPr>
      </w:pPr>
      <w:r>
        <w:rPr>
          <w:rFonts w:ascii="Arial" w:cs="Arial" w:eastAsia="Arial" w:hAnsi="Arial"/>
          <w:sz w:val="22"/>
          <w:szCs w:val="22"/>
          <w:color w:val="161616"/>
        </w:rPr>
        <w:t>IN WITNESS WHEREOF, the parties have hereunto executed this AMENDMENT #15 TO LEASE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161616"/>
        </w:rPr>
        <w:t>TENANT: LANDLORD:</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161616"/>
        </w:rPr>
        <w:t>DOMINO'S PIZZA LLC DOMINO'S FARMS OFFICE PARK LLC</w:t>
      </w:r>
    </w:p>
    <w:p>
      <w:pPr>
        <w:spacing w:after="0" w:line="18" w:lineRule="exact"/>
        <w:rPr>
          <w:sz w:val="20"/>
          <w:szCs w:val="20"/>
          <w:color w:val="auto"/>
        </w:rPr>
      </w:pPr>
    </w:p>
    <w:tbl>
      <w:tblPr>
        <w:tblLayout w:type="fixed"/>
        <w:tblInd w:w="1060" w:type="dxa"/>
        <w:tblCellMar>
          <w:top w:w="0" w:type="dxa"/>
          <w:left w:w="0" w:type="dxa"/>
          <w:bottom w:w="0" w:type="dxa"/>
          <w:right w:w="0" w:type="dxa"/>
        </w:tblCellMar>
      </w:tblPr>
      <w:tr>
        <w:trPr>
          <w:trHeight w:val="249"/>
        </w:trPr>
        <w:tc>
          <w:tcPr>
            <w:tcW w:w="3480" w:type="dxa"/>
            <w:vAlign w:val="bottom"/>
            <w:gridSpan w:val="3"/>
          </w:tcPr>
          <w:p>
            <w:pPr>
              <w:spacing w:after="0"/>
              <w:rPr>
                <w:sz w:val="20"/>
                <w:szCs w:val="20"/>
                <w:color w:val="auto"/>
              </w:rPr>
            </w:pPr>
            <w:r>
              <w:rPr>
                <w:rFonts w:ascii="Arial" w:cs="Arial" w:eastAsia="Arial" w:hAnsi="Arial"/>
                <w:sz w:val="21"/>
                <w:szCs w:val="21"/>
                <w:color w:val="161616"/>
              </w:rPr>
              <w:t>(a Michigan limited liability company)</w:t>
            </w:r>
          </w:p>
        </w:tc>
        <w:tc>
          <w:tcPr>
            <w:tcW w:w="3420" w:type="dxa"/>
            <w:vAlign w:val="bottom"/>
            <w:gridSpan w:val="3"/>
          </w:tcPr>
          <w:p>
            <w:pPr>
              <w:ind w:left="120"/>
              <w:spacing w:after="0"/>
              <w:rPr>
                <w:sz w:val="20"/>
                <w:szCs w:val="20"/>
                <w:color w:val="auto"/>
              </w:rPr>
            </w:pPr>
            <w:r>
              <w:rPr>
                <w:rFonts w:ascii="Arial" w:cs="Arial" w:eastAsia="Arial" w:hAnsi="Arial"/>
                <w:sz w:val="21"/>
                <w:szCs w:val="21"/>
                <w:color w:val="161616"/>
                <w:w w:val="97"/>
              </w:rPr>
              <w:t>(a Michigan limited liability company</w:t>
            </w:r>
          </w:p>
        </w:tc>
      </w:tr>
      <w:tr>
        <w:trPr>
          <w:trHeight w:val="681"/>
        </w:trPr>
        <w:tc>
          <w:tcPr>
            <w:tcW w:w="3480" w:type="dxa"/>
            <w:vAlign w:val="bottom"/>
            <w:gridSpan w:val="3"/>
          </w:tcPr>
          <w:p>
            <w:pPr>
              <w:spacing w:after="0"/>
              <w:rPr>
                <w:sz w:val="20"/>
                <w:szCs w:val="20"/>
                <w:color w:val="auto"/>
              </w:rPr>
            </w:pPr>
            <w:r>
              <w:rPr>
                <w:rFonts w:ascii="Arial" w:cs="Arial" w:eastAsia="Arial" w:hAnsi="Arial"/>
                <w:sz w:val="21"/>
                <w:szCs w:val="21"/>
                <w:color w:val="161616"/>
              </w:rPr>
              <w:t>By: /s/ Richard E. Allison, Jr.</w:t>
            </w:r>
          </w:p>
        </w:tc>
        <w:tc>
          <w:tcPr>
            <w:tcW w:w="3420" w:type="dxa"/>
            <w:vAlign w:val="bottom"/>
            <w:gridSpan w:val="3"/>
          </w:tcPr>
          <w:p>
            <w:pPr>
              <w:ind w:left="200"/>
              <w:spacing w:after="0"/>
              <w:rPr>
                <w:sz w:val="20"/>
                <w:szCs w:val="20"/>
                <w:color w:val="auto"/>
              </w:rPr>
            </w:pPr>
            <w:r>
              <w:rPr>
                <w:rFonts w:ascii="Arial" w:cs="Arial" w:eastAsia="Arial" w:hAnsi="Arial"/>
                <w:sz w:val="21"/>
                <w:szCs w:val="21"/>
                <w:color w:val="161616"/>
              </w:rPr>
              <w:t>/s/ Paul R. Roney</w:t>
            </w: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1616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shd w:val="clear" w:color="auto" w:fill="1616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01"/>
        </w:trPr>
        <w:tc>
          <w:tcPr>
            <w:tcW w:w="3480" w:type="dxa"/>
            <w:vAlign w:val="bottom"/>
            <w:gridSpan w:val="3"/>
          </w:tcPr>
          <w:p>
            <w:pPr>
              <w:spacing w:after="0"/>
              <w:rPr>
                <w:sz w:val="20"/>
                <w:szCs w:val="20"/>
                <w:color w:val="auto"/>
              </w:rPr>
            </w:pPr>
            <w:r>
              <w:rPr>
                <w:rFonts w:ascii="Arial" w:cs="Arial" w:eastAsia="Arial" w:hAnsi="Arial"/>
                <w:sz w:val="21"/>
                <w:szCs w:val="21"/>
                <w:color w:val="161616"/>
              </w:rPr>
              <w:t>Its: Chief Executive Officer</w:t>
            </w:r>
          </w:p>
        </w:tc>
        <w:tc>
          <w:tcPr>
            <w:tcW w:w="2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1"/>
                <w:szCs w:val="21"/>
                <w:color w:val="161616"/>
              </w:rPr>
              <w:t>Its: Manager</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16161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00" w:top="201" w:right="65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10.14</w:t>
      </w:r>
    </w:p>
    <w:p>
      <w:pPr>
        <w:spacing w:after="0" w:line="67" w:lineRule="exact"/>
        <w:rPr>
          <w:sz w:val="20"/>
          <w:szCs w:val="20"/>
          <w:color w:val="auto"/>
        </w:rPr>
      </w:pPr>
    </w:p>
    <w:p>
      <w:pPr>
        <w:jc w:val="center"/>
        <w:ind w:left="1060" w:right="2040"/>
        <w:spacing w:after="0" w:line="255" w:lineRule="auto"/>
        <w:rPr>
          <w:sz w:val="20"/>
          <w:szCs w:val="20"/>
          <w:color w:val="auto"/>
        </w:rPr>
      </w:pPr>
      <w:r>
        <w:rPr>
          <w:rFonts w:ascii="Arial" w:cs="Arial" w:eastAsia="Arial" w:hAnsi="Arial"/>
          <w:sz w:val="20"/>
          <w:szCs w:val="20"/>
          <w:b w:val="1"/>
          <w:bCs w:val="1"/>
          <w:color w:val="161616"/>
        </w:rPr>
        <w:t>AMENDMENT #16 TO A LEASE AGREEMENT BETWEEN DOMINO'S FARMS OFFICE PARK LLC (LANDLORD) AND DOMINO'S PIZZA LLC (TENANT)</w:t>
      </w:r>
    </w:p>
    <w:p>
      <w:pPr>
        <w:spacing w:after="0" w:line="200" w:lineRule="exact"/>
        <w:rPr>
          <w:sz w:val="20"/>
          <w:szCs w:val="20"/>
          <w:color w:val="auto"/>
        </w:rPr>
      </w:pPr>
    </w:p>
    <w:p>
      <w:pPr>
        <w:spacing w:after="0" w:line="238" w:lineRule="exact"/>
        <w:rPr>
          <w:sz w:val="20"/>
          <w:szCs w:val="20"/>
          <w:color w:val="auto"/>
        </w:rPr>
      </w:pPr>
    </w:p>
    <w:p>
      <w:pPr>
        <w:jc w:val="both"/>
        <w:ind w:left="1060" w:right="420" w:firstLine="15"/>
        <w:spacing w:after="0" w:line="243" w:lineRule="auto"/>
        <w:rPr>
          <w:sz w:val="20"/>
          <w:szCs w:val="20"/>
          <w:color w:val="auto"/>
        </w:rPr>
      </w:pPr>
      <w:r>
        <w:rPr>
          <w:rFonts w:ascii="Arial" w:cs="Arial" w:eastAsia="Arial" w:hAnsi="Arial"/>
          <w:sz w:val="20"/>
          <w:szCs w:val="20"/>
          <w:color w:val="161616"/>
        </w:rPr>
        <w:t>THIS AMENDMENT #16 TO A LEASE AGREEMENT is made on July 21, 2021 by and between DOMINO'S FARMS OFFICE PARK LLC, a Michigan Limited Liability Company, f/k/a Domino's Farms Office Park Limited Partnership (Landlord) and DOMINO'S PIZZA LLC (Tenant).</w:t>
      </w:r>
    </w:p>
    <w:p>
      <w:pPr>
        <w:spacing w:after="0" w:line="219" w:lineRule="exact"/>
        <w:rPr>
          <w:sz w:val="20"/>
          <w:szCs w:val="20"/>
          <w:color w:val="auto"/>
        </w:rPr>
      </w:pPr>
    </w:p>
    <w:p>
      <w:pPr>
        <w:jc w:val="both"/>
        <w:ind w:left="1080" w:right="400" w:firstLine="21"/>
        <w:spacing w:after="0" w:line="241" w:lineRule="auto"/>
        <w:rPr>
          <w:sz w:val="20"/>
          <w:szCs w:val="20"/>
          <w:color w:val="auto"/>
        </w:rPr>
      </w:pPr>
      <w:r>
        <w:rPr>
          <w:rFonts w:ascii="Arial" w:cs="Arial" w:eastAsia="Arial" w:hAnsi="Arial"/>
          <w:sz w:val="20"/>
          <w:szCs w:val="20"/>
          <w:color w:val="161616"/>
        </w:rPr>
        <w:t>WHEREAS, Landlord entered into a Lease Agreement (the Lease) for a portion of the office building known as Domino's Farms Prairie House located at 30 Frank Lloyd Wright Drive, Ann Arbor, Michigan 48106 with Domino's Pizza, Inc., whose successor in interest is Domino's Pizza LLC (Tenant), for a term of five (5) years commencing as of December 21, 1998; and</w:t>
      </w:r>
    </w:p>
    <w:p>
      <w:pPr>
        <w:spacing w:after="0" w:line="210" w:lineRule="exact"/>
        <w:rPr>
          <w:sz w:val="20"/>
          <w:szCs w:val="20"/>
          <w:color w:val="auto"/>
        </w:rPr>
      </w:pPr>
    </w:p>
    <w:p>
      <w:pPr>
        <w:jc w:val="both"/>
        <w:ind w:left="1060" w:right="420" w:firstLine="15"/>
        <w:spacing w:after="0" w:line="243" w:lineRule="auto"/>
        <w:rPr>
          <w:sz w:val="20"/>
          <w:szCs w:val="20"/>
          <w:color w:val="auto"/>
        </w:rPr>
      </w:pPr>
      <w:r>
        <w:rPr>
          <w:rFonts w:ascii="Arial" w:cs="Arial" w:eastAsia="Arial" w:hAnsi="Arial"/>
          <w:sz w:val="20"/>
          <w:szCs w:val="20"/>
          <w:color w:val="161616"/>
        </w:rPr>
        <w:t>WHEREAS, via a First Amendment to Lease dated August 8, 2002, Landlord and Tenant extended the term of the Lease Agreement, included additional space as a part of the Premises, and incorporated additional provisions; and</w:t>
      </w:r>
    </w:p>
    <w:p>
      <w:pPr>
        <w:spacing w:after="0" w:line="219" w:lineRule="exact"/>
        <w:rPr>
          <w:sz w:val="20"/>
          <w:szCs w:val="20"/>
          <w:color w:val="auto"/>
        </w:rPr>
      </w:pPr>
    </w:p>
    <w:p>
      <w:pPr>
        <w:ind w:left="1040" w:right="440" w:firstLine="16"/>
        <w:spacing w:after="0" w:line="246" w:lineRule="auto"/>
        <w:rPr>
          <w:sz w:val="20"/>
          <w:szCs w:val="20"/>
          <w:color w:val="auto"/>
        </w:rPr>
      </w:pPr>
      <w:r>
        <w:rPr>
          <w:rFonts w:ascii="Arial" w:cs="Arial" w:eastAsia="Arial" w:hAnsi="Arial"/>
          <w:sz w:val="20"/>
          <w:szCs w:val="20"/>
          <w:color w:val="161616"/>
        </w:rPr>
        <w:t>WHEREAS, via a Second Amendment to Lease dated May 5, 2004, Landlord and Tenant amended the Lease by replacing Section B (Premises) of the First Amended Standard Lease Summary; and</w:t>
      </w:r>
    </w:p>
    <w:p>
      <w:pPr>
        <w:spacing w:after="0" w:line="217" w:lineRule="exact"/>
        <w:rPr>
          <w:sz w:val="20"/>
          <w:szCs w:val="20"/>
          <w:color w:val="auto"/>
        </w:rPr>
      </w:pPr>
    </w:p>
    <w:p>
      <w:pPr>
        <w:ind w:left="1020" w:right="460" w:firstLine="10"/>
        <w:spacing w:after="0" w:line="246" w:lineRule="auto"/>
        <w:rPr>
          <w:sz w:val="20"/>
          <w:szCs w:val="20"/>
          <w:color w:val="auto"/>
        </w:rPr>
      </w:pPr>
      <w:r>
        <w:rPr>
          <w:rFonts w:ascii="Arial" w:cs="Arial" w:eastAsia="Arial" w:hAnsi="Arial"/>
          <w:sz w:val="20"/>
          <w:szCs w:val="20"/>
          <w:color w:val="161616"/>
        </w:rPr>
        <w:t>WHEREAS, via a Third Amendment to Lease dated November 18, 2009, Landlord and Tenant amended the Lease to clarify actual size of the warehouse and to add an additional 4,790 usable square feet of space, and</w:t>
      </w:r>
    </w:p>
    <w:p>
      <w:pPr>
        <w:spacing w:after="0" w:line="204" w:lineRule="exact"/>
        <w:rPr>
          <w:sz w:val="20"/>
          <w:szCs w:val="20"/>
          <w:color w:val="auto"/>
        </w:rPr>
      </w:pPr>
    </w:p>
    <w:p>
      <w:pPr>
        <w:jc w:val="both"/>
        <w:ind w:left="1000" w:right="460" w:firstLine="7"/>
        <w:spacing w:after="0" w:line="246" w:lineRule="auto"/>
        <w:rPr>
          <w:sz w:val="20"/>
          <w:szCs w:val="20"/>
          <w:color w:val="auto"/>
        </w:rPr>
      </w:pPr>
      <w:r>
        <w:rPr>
          <w:rFonts w:ascii="Arial" w:cs="Arial" w:eastAsia="Arial" w:hAnsi="Arial"/>
          <w:sz w:val="20"/>
          <w:szCs w:val="20"/>
          <w:color w:val="161616"/>
        </w:rPr>
        <w:t>WHEREAS, via a Fourth Amendment to Lease dated April, 2010, Landlord and Tenant amended the Lease for the temporary lease of additional space, and</w:t>
      </w:r>
    </w:p>
    <w:p>
      <w:pPr>
        <w:spacing w:after="0" w:line="204" w:lineRule="exact"/>
        <w:rPr>
          <w:sz w:val="20"/>
          <w:szCs w:val="20"/>
          <w:color w:val="auto"/>
        </w:rPr>
      </w:pPr>
    </w:p>
    <w:p>
      <w:pPr>
        <w:jc w:val="both"/>
        <w:ind w:left="980" w:right="480" w:firstLine="15"/>
        <w:spacing w:after="0" w:line="243" w:lineRule="auto"/>
        <w:rPr>
          <w:sz w:val="20"/>
          <w:szCs w:val="20"/>
          <w:color w:val="auto"/>
        </w:rPr>
      </w:pPr>
      <w:r>
        <w:rPr>
          <w:rFonts w:ascii="Arial" w:cs="Arial" w:eastAsia="Arial" w:hAnsi="Arial"/>
          <w:sz w:val="20"/>
          <w:szCs w:val="20"/>
          <w:color w:val="161616"/>
        </w:rPr>
        <w:t>WHEREAS, via a further amendment mistakenly captioned as the "Fourth Amendment to Lease" dated August 28, 2012, Landlord and Tenant amended the Lease to expand the primary Premises and extend the Term of the Lease, and</w:t>
      </w:r>
    </w:p>
    <w:p>
      <w:pPr>
        <w:spacing w:after="0" w:line="219" w:lineRule="exact"/>
        <w:rPr>
          <w:sz w:val="20"/>
          <w:szCs w:val="20"/>
          <w:color w:val="auto"/>
        </w:rPr>
      </w:pPr>
    </w:p>
    <w:p>
      <w:pPr>
        <w:jc w:val="both"/>
        <w:ind w:left="960" w:right="480" w:firstLine="7"/>
        <w:spacing w:after="0" w:line="246" w:lineRule="auto"/>
        <w:rPr>
          <w:sz w:val="20"/>
          <w:szCs w:val="20"/>
          <w:color w:val="auto"/>
        </w:rPr>
      </w:pPr>
      <w:r>
        <w:rPr>
          <w:rFonts w:ascii="Arial" w:cs="Arial" w:eastAsia="Arial" w:hAnsi="Arial"/>
          <w:sz w:val="20"/>
          <w:szCs w:val="20"/>
          <w:color w:val="161616"/>
        </w:rPr>
        <w:t>WHEREAS, via a Fifth Amendment to Lease dated February 2015, Landlord and Tenant amended the Lease for the temporary lease of additional space, and</w:t>
      </w:r>
    </w:p>
    <w:p>
      <w:pPr>
        <w:spacing w:after="0" w:line="204" w:lineRule="exact"/>
        <w:rPr>
          <w:sz w:val="20"/>
          <w:szCs w:val="20"/>
          <w:color w:val="auto"/>
        </w:rPr>
      </w:pPr>
    </w:p>
    <w:p>
      <w:pPr>
        <w:jc w:val="both"/>
        <w:ind w:left="960" w:right="500" w:firstLine="3"/>
        <w:spacing w:after="0" w:line="246" w:lineRule="auto"/>
        <w:rPr>
          <w:sz w:val="20"/>
          <w:szCs w:val="20"/>
          <w:color w:val="auto"/>
        </w:rPr>
      </w:pPr>
      <w:r>
        <w:rPr>
          <w:rFonts w:ascii="Arial" w:cs="Arial" w:eastAsia="Arial" w:hAnsi="Arial"/>
          <w:sz w:val="20"/>
          <w:szCs w:val="20"/>
          <w:color w:val="161616"/>
        </w:rPr>
        <w:t>WHEREAS, via a Sixth Amendment to Lease, Landlord and Tenant amended the Lease in February 2015 to expand the primary Premises, and</w:t>
      </w:r>
    </w:p>
    <w:p>
      <w:pPr>
        <w:spacing w:after="0" w:line="217" w:lineRule="exact"/>
        <w:rPr>
          <w:sz w:val="20"/>
          <w:szCs w:val="20"/>
          <w:color w:val="auto"/>
        </w:rPr>
      </w:pPr>
    </w:p>
    <w:p>
      <w:pPr>
        <w:jc w:val="both"/>
        <w:ind w:left="940" w:right="500" w:firstLine="12"/>
        <w:spacing w:after="0" w:line="246" w:lineRule="auto"/>
        <w:rPr>
          <w:sz w:val="20"/>
          <w:szCs w:val="20"/>
          <w:color w:val="auto"/>
        </w:rPr>
      </w:pPr>
      <w:r>
        <w:rPr>
          <w:rFonts w:ascii="Arial" w:cs="Arial" w:eastAsia="Arial" w:hAnsi="Arial"/>
          <w:sz w:val="20"/>
          <w:szCs w:val="20"/>
          <w:color w:val="161616"/>
        </w:rPr>
        <w:t>WHEREAS, via a Seventh Amendment to Lease dated April 2016, Tenant absorbed an additional 6,448 rentable square feet (5,607 usable square feet) located at Lobby H on Level 3, and</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16161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1" w:right="339" w:bottom="1440" w:gutter="0" w:footer="0" w:header="0"/>
        </w:sectPr>
      </w:pPr>
    </w:p>
    <w:bookmarkStart w:id="101" w:name="page102"/>
    <w:bookmarkEnd w:id="101"/>
    <w:p>
      <w:pPr>
        <w:ind w:left="1180" w:firstLine="16"/>
        <w:spacing w:after="0" w:line="237" w:lineRule="auto"/>
        <w:rPr>
          <w:sz w:val="20"/>
          <w:szCs w:val="20"/>
          <w:color w:val="auto"/>
        </w:rPr>
      </w:pPr>
      <w:r>
        <w:rPr>
          <w:rFonts w:ascii="Arial" w:cs="Arial" w:eastAsia="Arial" w:hAnsi="Arial"/>
          <w:sz w:val="21"/>
          <w:szCs w:val="21"/>
          <w:color w:val="161616"/>
        </w:rPr>
        <w:t>WHEREAS, via an Eighth Amendment to Lease dated November 4, 2016 Tenant absorbed an additional 15,700 rentable square feet (13,652 usable square feet) located at Lobby D on Level 3, and</w:t>
      </w:r>
    </w:p>
    <w:p>
      <w:pPr>
        <w:spacing w:after="0" w:line="225" w:lineRule="exact"/>
        <w:rPr>
          <w:sz w:val="20"/>
          <w:szCs w:val="20"/>
          <w:color w:val="auto"/>
        </w:rPr>
      </w:pPr>
    </w:p>
    <w:p>
      <w:pPr>
        <w:ind w:left="1160" w:firstLine="16"/>
        <w:spacing w:after="0" w:line="237" w:lineRule="auto"/>
        <w:rPr>
          <w:sz w:val="20"/>
          <w:szCs w:val="20"/>
          <w:color w:val="auto"/>
        </w:rPr>
      </w:pPr>
      <w:r>
        <w:rPr>
          <w:rFonts w:ascii="Arial" w:cs="Arial" w:eastAsia="Arial" w:hAnsi="Arial"/>
          <w:sz w:val="21"/>
          <w:szCs w:val="21"/>
          <w:color w:val="161616"/>
        </w:rPr>
        <w:t>WHEREAS, via a Ninth Amendment to Lease dated February 16, 2017, Tenant absorbed an additional 9,343 rentable square feet (8,124 usable square feet) located at Lobby K on Level 1, and</w:t>
      </w:r>
    </w:p>
    <w:p>
      <w:pPr>
        <w:spacing w:after="0" w:line="225" w:lineRule="exact"/>
        <w:rPr>
          <w:sz w:val="20"/>
          <w:szCs w:val="20"/>
          <w:color w:val="auto"/>
        </w:rPr>
      </w:pPr>
    </w:p>
    <w:p>
      <w:pPr>
        <w:jc w:val="both"/>
        <w:ind w:left="1120" w:right="20" w:firstLine="19"/>
        <w:spacing w:after="0" w:line="234" w:lineRule="auto"/>
        <w:rPr>
          <w:sz w:val="20"/>
          <w:szCs w:val="20"/>
          <w:color w:val="auto"/>
        </w:rPr>
      </w:pPr>
      <w:r>
        <w:rPr>
          <w:rFonts w:ascii="Arial" w:cs="Arial" w:eastAsia="Arial" w:hAnsi="Arial"/>
          <w:sz w:val="21"/>
          <w:szCs w:val="21"/>
          <w:color w:val="161616"/>
        </w:rPr>
        <w:t>WHEREAS, via a Tenth Amendment to Lease dated October 2017, Tenant expanded to the south of Premises on the third level into the space formerly occupied by IBM equal to 8,188 rentable square feet (7,120 usable square feet), and</w:t>
      </w:r>
    </w:p>
    <w:p>
      <w:pPr>
        <w:spacing w:after="0" w:line="239" w:lineRule="exact"/>
        <w:rPr>
          <w:sz w:val="20"/>
          <w:szCs w:val="20"/>
          <w:color w:val="auto"/>
        </w:rPr>
      </w:pPr>
    </w:p>
    <w:p>
      <w:pPr>
        <w:ind w:left="1100" w:right="60" w:firstLine="10"/>
        <w:spacing w:after="0" w:line="237" w:lineRule="auto"/>
        <w:rPr>
          <w:sz w:val="20"/>
          <w:szCs w:val="20"/>
          <w:color w:val="auto"/>
        </w:rPr>
      </w:pPr>
      <w:r>
        <w:rPr>
          <w:rFonts w:ascii="Arial" w:cs="Arial" w:eastAsia="Arial" w:hAnsi="Arial"/>
          <w:sz w:val="21"/>
          <w:szCs w:val="21"/>
          <w:color w:val="161616"/>
        </w:rPr>
        <w:t>WHEREAS, via Amendment #11 to Lease dated July 17, 2018, Tenant extended the Term for the Lease to be concurrent with Amendment #12, and</w:t>
      </w:r>
    </w:p>
    <w:p>
      <w:pPr>
        <w:spacing w:after="0" w:line="212" w:lineRule="exact"/>
        <w:rPr>
          <w:sz w:val="20"/>
          <w:szCs w:val="20"/>
          <w:color w:val="auto"/>
        </w:rPr>
      </w:pPr>
    </w:p>
    <w:p>
      <w:pPr>
        <w:jc w:val="both"/>
        <w:ind w:left="1080" w:right="60" w:firstLine="19"/>
        <w:spacing w:after="0" w:line="234" w:lineRule="auto"/>
        <w:rPr>
          <w:sz w:val="20"/>
          <w:szCs w:val="20"/>
          <w:color w:val="auto"/>
        </w:rPr>
      </w:pPr>
      <w:r>
        <w:rPr>
          <w:rFonts w:ascii="Arial" w:cs="Arial" w:eastAsia="Arial" w:hAnsi="Arial"/>
          <w:sz w:val="21"/>
          <w:szCs w:val="21"/>
          <w:color w:val="161616"/>
        </w:rPr>
        <w:t>WHEREAS, via Amendment #12 dated July 17, 2018, Tenant desired to lease additional space, and Landlord agreed to construct a building called "the Innovation Garage" and leased same to Tenant for a period of 10 years, and</w:t>
      </w:r>
    </w:p>
    <w:p>
      <w:pPr>
        <w:spacing w:after="0" w:line="212" w:lineRule="exact"/>
        <w:rPr>
          <w:sz w:val="20"/>
          <w:szCs w:val="20"/>
          <w:color w:val="auto"/>
        </w:rPr>
      </w:pPr>
    </w:p>
    <w:p>
      <w:pPr>
        <w:jc w:val="both"/>
        <w:ind w:left="1060" w:right="60" w:firstLine="15"/>
        <w:spacing w:after="0" w:line="237" w:lineRule="auto"/>
        <w:rPr>
          <w:sz w:val="20"/>
          <w:szCs w:val="20"/>
          <w:color w:val="auto"/>
        </w:rPr>
      </w:pPr>
      <w:r>
        <w:rPr>
          <w:rFonts w:ascii="Arial" w:cs="Arial" w:eastAsia="Arial" w:hAnsi="Arial"/>
          <w:sz w:val="21"/>
          <w:szCs w:val="21"/>
          <w:color w:val="161616"/>
        </w:rPr>
        <w:t>WHEREAS, via Amendment #13 dated May 14, 2019, Tenant has agreed to lease additional space in the Prairie House on a temporary basis to be used for an IT workroom, and</w:t>
      </w:r>
    </w:p>
    <w:p>
      <w:pPr>
        <w:spacing w:after="0" w:line="225" w:lineRule="exact"/>
        <w:rPr>
          <w:sz w:val="20"/>
          <w:szCs w:val="20"/>
          <w:color w:val="auto"/>
        </w:rPr>
      </w:pPr>
    </w:p>
    <w:p>
      <w:pPr>
        <w:jc w:val="both"/>
        <w:ind w:left="1040" w:right="80" w:firstLine="15"/>
        <w:spacing w:after="0" w:line="237" w:lineRule="auto"/>
        <w:rPr>
          <w:sz w:val="20"/>
          <w:szCs w:val="20"/>
          <w:color w:val="auto"/>
        </w:rPr>
      </w:pPr>
      <w:r>
        <w:rPr>
          <w:rFonts w:ascii="Arial" w:cs="Arial" w:eastAsia="Arial" w:hAnsi="Arial"/>
          <w:sz w:val="21"/>
          <w:szCs w:val="21"/>
          <w:color w:val="161616"/>
        </w:rPr>
        <w:t>WHEREAS, via Amendment #14 dated May 31, 2019, Tenant modified the term of one leased suite and return three (3) additional suites back to the Landlord, and</w:t>
      </w:r>
    </w:p>
    <w:p>
      <w:pPr>
        <w:spacing w:after="0" w:line="212" w:lineRule="exact"/>
        <w:rPr>
          <w:sz w:val="20"/>
          <w:szCs w:val="20"/>
          <w:color w:val="auto"/>
        </w:rPr>
      </w:pPr>
    </w:p>
    <w:p>
      <w:pPr>
        <w:ind w:left="1020" w:right="100" w:firstLine="7"/>
        <w:spacing w:after="0" w:line="237" w:lineRule="auto"/>
        <w:rPr>
          <w:sz w:val="20"/>
          <w:szCs w:val="20"/>
          <w:color w:val="auto"/>
        </w:rPr>
      </w:pPr>
      <w:r>
        <w:rPr>
          <w:rFonts w:ascii="Arial" w:cs="Arial" w:eastAsia="Arial" w:hAnsi="Arial"/>
          <w:sz w:val="21"/>
          <w:szCs w:val="21"/>
          <w:color w:val="161616"/>
        </w:rPr>
        <w:t>WHEREAS, via Amendment #15 dated May 20, 2020, Tenant extended the lease of space located near the North Dock on Level 1 at Lobby L on a month-to month basis, and</w:t>
      </w:r>
    </w:p>
    <w:p>
      <w:pPr>
        <w:spacing w:after="0" w:line="225" w:lineRule="exact"/>
        <w:rPr>
          <w:sz w:val="20"/>
          <w:szCs w:val="20"/>
          <w:color w:val="auto"/>
        </w:rPr>
      </w:pPr>
    </w:p>
    <w:p>
      <w:pPr>
        <w:ind w:left="1000" w:right="1260" w:firstLine="21"/>
        <w:spacing w:after="0" w:line="456" w:lineRule="auto"/>
        <w:rPr>
          <w:sz w:val="20"/>
          <w:szCs w:val="20"/>
          <w:color w:val="auto"/>
        </w:rPr>
      </w:pPr>
      <w:r>
        <w:rPr>
          <w:rFonts w:ascii="Arial" w:cs="Arial" w:eastAsia="Arial" w:hAnsi="Arial"/>
          <w:sz w:val="21"/>
          <w:szCs w:val="21"/>
          <w:color w:val="161616"/>
        </w:rPr>
        <w:t>WHEREAS, Tenant will relinquish a portion of the total leased Premises back to the Landlord, NOW, THEREFORE, Landlord and Tenant agree to the following:</w:t>
      </w:r>
    </w:p>
    <w:p>
      <w:pPr>
        <w:jc w:val="both"/>
        <w:ind w:left="980" w:right="120" w:firstLine="7"/>
        <w:spacing w:after="0" w:line="234" w:lineRule="auto"/>
        <w:rPr>
          <w:sz w:val="20"/>
          <w:szCs w:val="20"/>
          <w:color w:val="auto"/>
        </w:rPr>
      </w:pPr>
      <w:r>
        <w:rPr>
          <w:rFonts w:ascii="Arial" w:cs="Arial" w:eastAsia="Arial" w:hAnsi="Arial"/>
          <w:sz w:val="21"/>
          <w:szCs w:val="21"/>
          <w:color w:val="161616"/>
        </w:rPr>
        <w:t>A portion of the leased Premises located on Level 3 at Lobby B shall be returned by the Tenant back to the Landlord. (Reference attachment.) Said space is 2,048 rentable square feet, equal to 1,781 usable square feet with a 15% Common Area Factor.</w:t>
      </w:r>
    </w:p>
    <w:p>
      <w:pPr>
        <w:spacing w:after="0" w:line="198" w:lineRule="exact"/>
        <w:rPr>
          <w:sz w:val="20"/>
          <w:szCs w:val="20"/>
          <w:color w:val="auto"/>
        </w:rPr>
      </w:pPr>
    </w:p>
    <w:p>
      <w:pPr>
        <w:jc w:val="both"/>
        <w:ind w:left="960" w:right="140" w:firstLine="16"/>
        <w:spacing w:after="0" w:line="233" w:lineRule="auto"/>
        <w:rPr>
          <w:sz w:val="20"/>
          <w:szCs w:val="20"/>
          <w:color w:val="auto"/>
        </w:rPr>
      </w:pPr>
      <w:r>
        <w:rPr>
          <w:rFonts w:ascii="Arial" w:cs="Arial" w:eastAsia="Arial" w:hAnsi="Arial"/>
          <w:sz w:val="21"/>
          <w:szCs w:val="21"/>
          <w:color w:val="161616"/>
        </w:rPr>
        <w:t>The preliminary construction costs associated with the return of this space are estimated to be $69,336.00. (Reference attachment.) Landlord will manage the construction project, and will not charge a management fee for said oversight. The actual cost of the work shall be invoiced to the Tenant upon project completion, and shall be paid in a lump sum with thirty (30) days of receipt of said invoice.</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16161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209" w:right="679" w:bottom="1440" w:gutter="0" w:footer="0" w:header="0"/>
        </w:sectPr>
      </w:pPr>
    </w:p>
    <w:bookmarkStart w:id="102" w:name="page103"/>
    <w:bookmarkEnd w:id="102"/>
    <w:p>
      <w:pPr>
        <w:jc w:val="both"/>
        <w:ind w:left="1140" w:firstLine="28"/>
        <w:spacing w:after="0" w:line="232" w:lineRule="auto"/>
        <w:rPr>
          <w:sz w:val="20"/>
          <w:szCs w:val="20"/>
          <w:color w:val="auto"/>
        </w:rPr>
      </w:pPr>
      <w:r>
        <w:rPr>
          <w:rFonts w:ascii="Arial" w:cs="Arial" w:eastAsia="Arial" w:hAnsi="Arial"/>
          <w:sz w:val="21"/>
          <w:szCs w:val="21"/>
          <w:color w:val="161616"/>
        </w:rPr>
        <w:t>The planned construction includes a new demising wall, and a new entrance to the returned space. The work should be completed on or about September 1, 2021. Upon completion of the construction and receipt of a Certificate of Occupancy from the Ann Arbor Township Building Inspector, the total monthly rent for the Premises shall be reduced by $5,312.85. The rent reduction shall be pro-rated for a partial month if necessary.</w:t>
      </w:r>
    </w:p>
    <w:p>
      <w:pPr>
        <w:spacing w:after="0" w:line="200" w:lineRule="exact"/>
        <w:rPr>
          <w:sz w:val="20"/>
          <w:szCs w:val="20"/>
          <w:color w:val="auto"/>
        </w:rPr>
      </w:pPr>
    </w:p>
    <w:p>
      <w:pPr>
        <w:spacing w:after="0" w:line="237" w:lineRule="exact"/>
        <w:rPr>
          <w:sz w:val="20"/>
          <w:szCs w:val="20"/>
          <w:color w:val="auto"/>
        </w:rPr>
      </w:pPr>
    </w:p>
    <w:p>
      <w:pPr>
        <w:jc w:val="center"/>
        <w:ind w:left="780"/>
        <w:spacing w:after="0"/>
        <w:rPr>
          <w:sz w:val="20"/>
          <w:szCs w:val="20"/>
          <w:color w:val="auto"/>
        </w:rPr>
      </w:pPr>
      <w:r>
        <w:rPr>
          <w:rFonts w:ascii="Arial" w:cs="Arial" w:eastAsia="Arial" w:hAnsi="Arial"/>
          <w:sz w:val="20"/>
          <w:szCs w:val="20"/>
          <w:b w:val="1"/>
          <w:bCs w:val="1"/>
          <w:color w:val="161616"/>
        </w:rPr>
        <w:t>SURVIVAL OF LEASE</w:t>
      </w:r>
    </w:p>
    <w:p>
      <w:pPr>
        <w:spacing w:after="0" w:line="258" w:lineRule="exact"/>
        <w:rPr>
          <w:sz w:val="20"/>
          <w:szCs w:val="20"/>
          <w:color w:val="auto"/>
        </w:rPr>
      </w:pPr>
    </w:p>
    <w:p>
      <w:pPr>
        <w:ind w:left="1120" w:right="40" w:firstLine="4"/>
        <w:spacing w:after="0" w:line="237" w:lineRule="auto"/>
        <w:rPr>
          <w:sz w:val="20"/>
          <w:szCs w:val="20"/>
          <w:color w:val="auto"/>
        </w:rPr>
      </w:pPr>
      <w:r>
        <w:rPr>
          <w:rFonts w:ascii="Arial" w:cs="Arial" w:eastAsia="Arial" w:hAnsi="Arial"/>
          <w:sz w:val="21"/>
          <w:szCs w:val="21"/>
          <w:color w:val="161616"/>
        </w:rPr>
        <w:t>Except as set forth in this Amendment #16 to Lease Agreement, all other terms and conditions of the Lease shall remain the same and unchanged in full force and effect.</w:t>
      </w:r>
    </w:p>
    <w:p>
      <w:pPr>
        <w:spacing w:after="0" w:line="200" w:lineRule="exact"/>
        <w:rPr>
          <w:sz w:val="20"/>
          <w:szCs w:val="20"/>
          <w:color w:val="auto"/>
        </w:rPr>
      </w:pPr>
    </w:p>
    <w:p>
      <w:pPr>
        <w:spacing w:after="0" w:line="255" w:lineRule="exact"/>
        <w:rPr>
          <w:sz w:val="20"/>
          <w:szCs w:val="20"/>
          <w:color w:val="auto"/>
        </w:rPr>
      </w:pPr>
    </w:p>
    <w:p>
      <w:pPr>
        <w:ind w:left="1100" w:right="60" w:firstLine="3"/>
        <w:spacing w:after="0" w:line="237" w:lineRule="auto"/>
        <w:rPr>
          <w:sz w:val="20"/>
          <w:szCs w:val="20"/>
          <w:color w:val="auto"/>
        </w:rPr>
      </w:pPr>
      <w:r>
        <w:rPr>
          <w:rFonts w:ascii="Arial" w:cs="Arial" w:eastAsia="Arial" w:hAnsi="Arial"/>
          <w:sz w:val="21"/>
          <w:szCs w:val="21"/>
          <w:color w:val="161616"/>
        </w:rPr>
        <w:t>IN WITNESS WHEREOF, the parties have hereunto executed this AMENDMENT #16 TO LEASE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161616"/>
        </w:rPr>
        <w:t>TENANT: LANDLORD:</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161616"/>
        </w:rPr>
        <w:t>DOMINO'S PIZZA LLC DOMINO'S FARMS OFFICE PARK LLC</w:t>
      </w:r>
    </w:p>
    <w:p>
      <w:pPr>
        <w:spacing w:after="0" w:line="32" w:lineRule="exact"/>
        <w:rPr>
          <w:sz w:val="20"/>
          <w:szCs w:val="20"/>
          <w:color w:val="auto"/>
        </w:rPr>
      </w:pPr>
    </w:p>
    <w:tbl>
      <w:tblPr>
        <w:tblLayout w:type="fixed"/>
        <w:tblInd w:w="1060" w:type="dxa"/>
        <w:tblCellMar>
          <w:top w:w="0" w:type="dxa"/>
          <w:left w:w="0" w:type="dxa"/>
          <w:bottom w:w="0" w:type="dxa"/>
          <w:right w:w="0" w:type="dxa"/>
        </w:tblCellMar>
      </w:tblPr>
      <w:tr>
        <w:trPr>
          <w:trHeight w:val="249"/>
        </w:trPr>
        <w:tc>
          <w:tcPr>
            <w:tcW w:w="3480" w:type="dxa"/>
            <w:vAlign w:val="bottom"/>
            <w:gridSpan w:val="3"/>
          </w:tcPr>
          <w:p>
            <w:pPr>
              <w:spacing w:after="0"/>
              <w:rPr>
                <w:sz w:val="20"/>
                <w:szCs w:val="20"/>
                <w:color w:val="auto"/>
              </w:rPr>
            </w:pPr>
            <w:r>
              <w:rPr>
                <w:rFonts w:ascii="Arial" w:cs="Arial" w:eastAsia="Arial" w:hAnsi="Arial"/>
                <w:sz w:val="21"/>
                <w:szCs w:val="21"/>
                <w:color w:val="161616"/>
              </w:rPr>
              <w:t>(a Michigan limited liability company)</w:t>
            </w:r>
          </w:p>
        </w:tc>
        <w:tc>
          <w:tcPr>
            <w:tcW w:w="3420" w:type="dxa"/>
            <w:vAlign w:val="bottom"/>
            <w:gridSpan w:val="3"/>
          </w:tcPr>
          <w:p>
            <w:pPr>
              <w:ind w:left="120"/>
              <w:spacing w:after="0"/>
              <w:rPr>
                <w:sz w:val="20"/>
                <w:szCs w:val="20"/>
                <w:color w:val="auto"/>
              </w:rPr>
            </w:pPr>
            <w:r>
              <w:rPr>
                <w:rFonts w:ascii="Arial" w:cs="Arial" w:eastAsia="Arial" w:hAnsi="Arial"/>
                <w:sz w:val="21"/>
                <w:szCs w:val="21"/>
                <w:color w:val="161616"/>
                <w:w w:val="97"/>
              </w:rPr>
              <w:t>(a Michigan limited liability company</w:t>
            </w:r>
          </w:p>
        </w:tc>
      </w:tr>
      <w:tr>
        <w:trPr>
          <w:trHeight w:val="667"/>
        </w:trPr>
        <w:tc>
          <w:tcPr>
            <w:tcW w:w="3480" w:type="dxa"/>
            <w:vAlign w:val="bottom"/>
            <w:gridSpan w:val="3"/>
          </w:tcPr>
          <w:p>
            <w:pPr>
              <w:spacing w:after="0"/>
              <w:rPr>
                <w:sz w:val="20"/>
                <w:szCs w:val="20"/>
                <w:color w:val="auto"/>
              </w:rPr>
            </w:pPr>
            <w:r>
              <w:rPr>
                <w:rFonts w:ascii="Arial" w:cs="Arial" w:eastAsia="Arial" w:hAnsi="Arial"/>
                <w:sz w:val="21"/>
                <w:szCs w:val="21"/>
                <w:color w:val="161616"/>
              </w:rPr>
              <w:t>By: /s/ Richard E. Allison, Jr.</w:t>
            </w:r>
          </w:p>
        </w:tc>
        <w:tc>
          <w:tcPr>
            <w:tcW w:w="3420" w:type="dxa"/>
            <w:vAlign w:val="bottom"/>
            <w:gridSpan w:val="3"/>
          </w:tcPr>
          <w:p>
            <w:pPr>
              <w:ind w:left="200"/>
              <w:spacing w:after="0"/>
              <w:rPr>
                <w:sz w:val="20"/>
                <w:szCs w:val="20"/>
                <w:color w:val="auto"/>
              </w:rPr>
            </w:pPr>
            <w:r>
              <w:rPr>
                <w:rFonts w:ascii="Arial" w:cs="Arial" w:eastAsia="Arial" w:hAnsi="Arial"/>
                <w:sz w:val="21"/>
                <w:szCs w:val="21"/>
                <w:color w:val="161616"/>
              </w:rPr>
              <w:t>/s/ Paul R. Roney</w:t>
            </w: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1616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shd w:val="clear" w:color="auto" w:fill="1616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14"/>
        </w:trPr>
        <w:tc>
          <w:tcPr>
            <w:tcW w:w="3480" w:type="dxa"/>
            <w:vAlign w:val="bottom"/>
            <w:gridSpan w:val="3"/>
          </w:tcPr>
          <w:p>
            <w:pPr>
              <w:spacing w:after="0"/>
              <w:rPr>
                <w:sz w:val="20"/>
                <w:szCs w:val="20"/>
                <w:color w:val="auto"/>
              </w:rPr>
            </w:pPr>
            <w:r>
              <w:rPr>
                <w:rFonts w:ascii="Arial" w:cs="Arial" w:eastAsia="Arial" w:hAnsi="Arial"/>
                <w:sz w:val="21"/>
                <w:szCs w:val="21"/>
                <w:color w:val="161616"/>
              </w:rPr>
              <w:t>Its: Chief Executive Officer</w:t>
            </w:r>
          </w:p>
        </w:tc>
        <w:tc>
          <w:tcPr>
            <w:tcW w:w="2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21"/>
                <w:szCs w:val="21"/>
                <w:color w:val="161616"/>
              </w:rPr>
              <w:t>Its: Manager</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16161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400" w:top="195" w:right="6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wp:posOffset>
            </wp:positionV>
            <wp:extent cx="713232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left="1820" w:right="2940"/>
        <w:spacing w:after="0"/>
        <w:rPr>
          <w:sz w:val="20"/>
          <w:szCs w:val="20"/>
          <w:color w:val="auto"/>
        </w:rPr>
      </w:pPr>
      <w:r>
        <w:rPr>
          <w:rFonts w:ascii="Arial" w:cs="Arial" w:eastAsia="Arial" w:hAnsi="Arial"/>
          <w:sz w:val="22"/>
          <w:szCs w:val="22"/>
          <w:color w:val="auto"/>
        </w:rPr>
        <w:t>DOMINO’S PIZZA MASTER ISSUER LLC, DOMINO’S PIZZA DISTRIBUTION LLC, DOMINO’S IP HOLDER LLC and DOMINO’S SPV CANADIAN HOLDING COMPANY INC. each as a Co-Issuer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CITIBANK, N.A.,</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Trustee and Securities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269875</wp:posOffset>
            </wp:positionV>
            <wp:extent cx="3326130"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05">
                      <a:extLst>
                        <a:ext uri="{28A0092B-C50C-407E-A947-70E740481C1C}"/>
                      </a:extLst>
                    </a:blip>
                    <a:srcRect/>
                    <a:stretch>
                      <a:fillRect/>
                    </a:stretch>
                  </pic:blipFill>
                  <pic:spPr bwMode="auto">
                    <a:xfrm>
                      <a:off x="0" y="0"/>
                      <a:ext cx="33261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SEVENTH SUPPLEMENT</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as of December 30, 2021</w:t>
      </w:r>
    </w:p>
    <w:p>
      <w:pPr>
        <w:jc w:val="center"/>
        <w:ind w:right="1120"/>
        <w:spacing w:after="0" w:line="230" w:lineRule="auto"/>
        <w:rPr>
          <w:sz w:val="20"/>
          <w:szCs w:val="20"/>
          <w:color w:val="auto"/>
        </w:rPr>
      </w:pPr>
      <w:r>
        <w:rPr>
          <w:rFonts w:ascii="Arial" w:cs="Arial" w:eastAsia="Arial" w:hAnsi="Arial"/>
          <w:sz w:val="22"/>
          <w:szCs w:val="22"/>
          <w:color w:val="auto"/>
        </w:rPr>
        <w:t>to the</w:t>
      </w:r>
    </w:p>
    <w:p>
      <w:pPr>
        <w:jc w:val="center"/>
        <w:ind w:right="1120"/>
        <w:spacing w:after="0" w:line="231" w:lineRule="auto"/>
        <w:rPr>
          <w:sz w:val="20"/>
          <w:szCs w:val="20"/>
          <w:color w:val="auto"/>
        </w:rPr>
      </w:pPr>
      <w:r>
        <w:rPr>
          <w:rFonts w:ascii="Arial" w:cs="Arial" w:eastAsia="Arial" w:hAnsi="Arial"/>
          <w:sz w:val="22"/>
          <w:szCs w:val="22"/>
          <w:b w:val="1"/>
          <w:bCs w:val="1"/>
          <w:color w:val="auto"/>
        </w:rPr>
        <w:t>AMENDED AND RESTATED BASE INDENTURE</w:t>
      </w:r>
    </w:p>
    <w:p>
      <w:pPr>
        <w:jc w:val="center"/>
        <w:ind w:right="1120"/>
        <w:spacing w:after="0"/>
        <w:rPr>
          <w:sz w:val="20"/>
          <w:szCs w:val="20"/>
          <w:color w:val="auto"/>
        </w:rPr>
      </w:pPr>
      <w:r>
        <w:rPr>
          <w:rFonts w:ascii="Arial" w:cs="Arial" w:eastAsia="Arial" w:hAnsi="Arial"/>
          <w:sz w:val="22"/>
          <w:szCs w:val="22"/>
          <w:color w:val="auto"/>
        </w:rPr>
        <w:t>Dated as of March 15,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132715</wp:posOffset>
            </wp:positionV>
            <wp:extent cx="3326130"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6">
                      <a:extLst>
                        <a:ext uri="{28A0092B-C50C-407E-A947-70E740481C1C}"/>
                      </a:extLst>
                    </a:blip>
                    <a:srcRect/>
                    <a:stretch>
                      <a:fillRect/>
                    </a:stretch>
                  </pic:blipFill>
                  <pic:spPr bwMode="auto">
                    <a:xfrm>
                      <a:off x="0" y="0"/>
                      <a:ext cx="33261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Asset Backed Notes</w:t>
      </w:r>
    </w:p>
    <w:p>
      <w:pPr>
        <w:spacing w:after="0" w:line="8"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(Issuable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471805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color w:val="auto"/>
        </w:rPr>
        <w:t>SEVENTH SUPPLEMENT TO AMENDED AND RESTATED BASE INDENTURE</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SEVENTH SUPPLEMENT, dated as of December 30, 2021 (this “</w:t>
      </w:r>
      <w:r>
        <w:rPr>
          <w:rFonts w:ascii="Arial" w:cs="Arial" w:eastAsia="Arial" w:hAnsi="Arial"/>
          <w:sz w:val="21"/>
          <w:szCs w:val="21"/>
          <w:u w:val="single" w:color="auto"/>
          <w:color w:val="auto"/>
        </w:rPr>
        <w:t>Seventh Supplement</w:t>
      </w:r>
      <w:r>
        <w:rPr>
          <w:rFonts w:ascii="Arial" w:cs="Arial" w:eastAsia="Arial" w:hAnsi="Arial"/>
          <w:sz w:val="21"/>
          <w:szCs w:val="21"/>
          <w:color w:val="auto"/>
        </w:rPr>
        <w:t>”), to the Amended and Restated Base Indenture, dated as of March 15, 2012, is by and among DOMINO'S PIZZA MASTER ISSUER LLC, a Delaware limited liability company (the "Master Issuer"), DOMINO'S PIZZA DISTRIBUTION LLC, a Delaware limited liability company (the "Domestic Distributor"), DOMINO'S SPV CANADIAN HOLDING COMPANY INC., a Delaware corporation (the "SPV Canadian Holdco"), DOMINO'S IP HOLDER LLC, a Delaware limited liability company (the "IP Holder" and together with the Master Issuer, the Domestic Distributor and the SPV Canadian Holdco, collectively, the "Co-Issuers" and each, a "Co-Issuer"), and CITIBANK, N.A., a national banking association, as trustee (in such capacity, the "Trustee"), and as securities intermediary (in such capacity, the “Securities Intermediary”).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WHEREAS, the Co-Issuers and the Trustee entered into the Amended and Restated Base Indenture (as amended by the First Supplement to Amended and Restated Base Indenture, dated as of September 16, 2013, the Second Supplement to Amended and Restated Base Indenture, dated as of October 21, 2015, the Third Supplement to Amended and Restated Base Indenture, dated as of October 21, 2015, the Fourth Supplement to Amended and Restated Base Indenture, dated as of July 24, 2017, the Fifth Supplement to Amended and Restated Base Indenture, dated as of November 21, 2018, and the Sixth Supplement to Amended and Restated Base Indenture, dated as of April 16, 2021 and as further amended, modified or supplemented prior to the date hereof, the "Base Indenture");</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13.2(a)</w:t>
      </w:r>
      <w:r>
        <w:rPr>
          <w:rFonts w:ascii="Arial" w:cs="Arial" w:eastAsia="Arial" w:hAnsi="Arial"/>
          <w:sz w:val="22"/>
          <w:szCs w:val="22"/>
          <w:color w:val="auto"/>
        </w:rPr>
        <w:t xml:space="preserve"> of the Base Indenture provides, among other things, that the Co-Issuers and the Trustee, with the consent of the Control Party (at the direction of the Controlling Class Representative), may at any time, and from time to time, make amendments, waivers and other modifications to the Base Indenture;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Co-Issuers have duly authorized the execution and delivery of this Seventh Supplement;</w:t>
      </w:r>
    </w:p>
    <w:p>
      <w:pPr>
        <w:spacing w:after="0" w:line="206" w:lineRule="exact"/>
        <w:rPr>
          <w:sz w:val="20"/>
          <w:szCs w:val="20"/>
          <w:color w:val="auto"/>
        </w:rPr>
      </w:pPr>
    </w:p>
    <w:p>
      <w:pPr>
        <w:ind w:right="240" w:firstLine="749"/>
        <w:spacing w:after="0" w:line="250" w:lineRule="auto"/>
        <w:rPr>
          <w:sz w:val="20"/>
          <w:szCs w:val="20"/>
          <w:color w:val="auto"/>
        </w:rPr>
      </w:pPr>
      <w:r>
        <w:rPr>
          <w:rFonts w:ascii="Arial" w:cs="Arial" w:eastAsia="Arial" w:hAnsi="Arial"/>
          <w:sz w:val="22"/>
          <w:szCs w:val="22"/>
          <w:color w:val="auto"/>
        </w:rPr>
        <w:t>WHEREAS, the Control Party is willing to provide its written consent (in accordance with the terms and conditions of the Base Indenture) to the execution of this Seventh Supplement and;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WHEREAS, the Co-Issuers and the Trustee wish to amend the Base Indenture as set forth herein.</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NOW, THEREFORE, in consideration of the provisions, covenants and the mutual agreements herein contained, the parties hereto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Unless otherwise defined herein, all capitalized terms used herein (including in the preamble and the recitals hereto) shall have the meanings assigned to such terms in the Base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Indenture Definitions List attached to the Base Indenture as Annex A thereto (the “</w:t>
      </w:r>
      <w:r>
        <w:rPr>
          <w:rFonts w:ascii="Arial" w:cs="Arial" w:eastAsia="Arial" w:hAnsi="Arial"/>
          <w:sz w:val="22"/>
          <w:szCs w:val="22"/>
          <w:u w:val="single" w:color="auto"/>
          <w:color w:val="auto"/>
        </w:rPr>
        <w:t>Base Indenture Definitions List</w:t>
      </w:r>
      <w:r>
        <w:rPr>
          <w:rFonts w:ascii="Arial" w:cs="Arial" w:eastAsia="Arial" w:hAnsi="Arial"/>
          <w:sz w:val="22"/>
          <w:szCs w:val="22"/>
          <w:color w:val="auto"/>
        </w:rPr>
        <w:t>”).</w:t>
      </w:r>
    </w:p>
    <w:p>
      <w:pPr>
        <w:spacing w:after="0" w:line="200"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ind w:firstLine="757"/>
        <w:spacing w:after="0" w:line="250" w:lineRule="auto"/>
        <w:tabs>
          <w:tab w:leader="none" w:pos="149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Base Indenture Definitions List is hereby amended by deleting the stricken text and inserting the double underlined text in the following definitions:</w:t>
      </w:r>
    </w:p>
    <w:p>
      <w:pPr>
        <w:spacing w:after="0" w:line="175" w:lineRule="exact"/>
        <w:rPr>
          <w:sz w:val="20"/>
          <w:szCs w:val="20"/>
          <w:color w:val="auto"/>
        </w:rPr>
      </w:pPr>
    </w:p>
    <w:p>
      <w:pPr>
        <w:jc w:val="both"/>
        <w:ind w:left="760"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Franchisor</w:t>
      </w:r>
      <w:r>
        <w:rPr>
          <w:rFonts w:ascii="Arial" w:cs="Arial" w:eastAsia="Arial" w:hAnsi="Arial"/>
          <w:sz w:val="22"/>
          <w:szCs w:val="22"/>
          <w:color w:val="auto"/>
        </w:rPr>
        <w:t xml:space="preserve">” means any Additional Securitization Entity that, after the Closing Date, is designated as an Additional “Franchisor” pursuant to </w:t>
      </w:r>
      <w:r>
        <w:rPr>
          <w:rFonts w:ascii="Arial" w:cs="Arial" w:eastAsia="Arial" w:hAnsi="Arial"/>
          <w:sz w:val="22"/>
          <w:szCs w:val="22"/>
          <w:u w:val="single" w:color="auto"/>
          <w:color w:val="auto"/>
        </w:rPr>
        <w:t>Section 8.34</w:t>
      </w:r>
      <w:r>
        <w:rPr>
          <w:rFonts w:ascii="Arial" w:cs="Arial" w:eastAsia="Arial" w:hAnsi="Arial"/>
          <w:sz w:val="22"/>
          <w:szCs w:val="22"/>
          <w:color w:val="auto"/>
        </w:rPr>
        <w:t xml:space="preserve"> of the Base Indenture</w:t>
      </w:r>
      <w:r>
        <w:rPr>
          <w:rFonts w:ascii="Arial" w:cs="Arial" w:eastAsia="Arial" w:hAnsi="Arial"/>
          <w:sz w:val="22"/>
          <w:szCs w:val="22"/>
          <w:u w:val="single" w:color="auto"/>
          <w:color w:val="auto"/>
        </w:rPr>
        <w:t>, including, without limitation,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International Franchisor (Michigan)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-313055</wp:posOffset>
            </wp:positionV>
            <wp:extent cx="3505835" cy="145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9">
                      <a:extLst>
                        <a:ext uri="{28A0092B-C50C-407E-A947-70E740481C1C}"/>
                      </a:extLst>
                    </a:blip>
                    <a:srcRect/>
                    <a:stretch>
                      <a:fillRect/>
                    </a:stretch>
                  </pic:blipFill>
                  <pic:spPr bwMode="auto">
                    <a:xfrm>
                      <a:off x="0" y="0"/>
                      <a:ext cx="3505835" cy="145415"/>
                    </a:xfrm>
                    <a:prstGeom prst="rect">
                      <a:avLst/>
                    </a:prstGeom>
                    <a:noFill/>
                  </pic:spPr>
                </pic:pic>
              </a:graphicData>
            </a:graphic>
          </wp:anchor>
        </w:drawing>
      </w:r>
    </w:p>
    <w:p>
      <w:pPr>
        <w:spacing w:after="0" w:line="166" w:lineRule="exact"/>
        <w:rPr>
          <w:sz w:val="20"/>
          <w:szCs w:val="20"/>
          <w:color w:val="auto"/>
        </w:rPr>
      </w:pPr>
    </w:p>
    <w:p>
      <w:pPr>
        <w:jc w:val="both"/>
        <w:ind w:left="760"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Securitization Entity</w:t>
      </w:r>
      <w:r>
        <w:rPr>
          <w:rFonts w:ascii="Arial" w:cs="Arial" w:eastAsia="Arial" w:hAnsi="Arial"/>
          <w:sz w:val="19"/>
          <w:szCs w:val="19"/>
          <w:color w:val="auto"/>
          <w:highlight w:val="white"/>
        </w:rPr>
        <w:t>” means any entity that becomes a direct or indirect wholly-owned Subsidiary</w:t>
      </w:r>
      <w:r>
        <w:rPr>
          <w:rFonts w:ascii="Arial" w:cs="Arial" w:eastAsia="Arial" w:hAnsi="Arial"/>
          <w:sz w:val="19"/>
          <w:szCs w:val="19"/>
          <w:color w:val="auto"/>
        </w:rPr>
        <w:t xml:space="preserve"> of the Master Issuer or any other Securitization Entity after the Closing Date in accordance with and as permitted under the Related Documents and is designated by the Co-Issuers as an “Additional Securitization Entity”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8.34</w:t>
      </w:r>
      <w:r>
        <w:rPr>
          <w:rFonts w:ascii="Arial" w:cs="Arial" w:eastAsia="Arial" w:hAnsi="Arial"/>
          <w:sz w:val="19"/>
          <w:szCs w:val="19"/>
          <w:color w:val="auto"/>
        </w:rPr>
        <w:t xml:space="preserve"> of the Base Indenture</w:t>
      </w:r>
      <w:r>
        <w:rPr>
          <w:rFonts w:ascii="Arial" w:cs="Arial" w:eastAsia="Arial" w:hAnsi="Arial"/>
          <w:sz w:val="19"/>
          <w:szCs w:val="19"/>
          <w:u w:val="single" w:color="auto"/>
          <w:color w:val="auto"/>
        </w:rPr>
        <w:t>, including, without limitation, the International Franchisor (Michigan)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-186690</wp:posOffset>
            </wp:positionV>
            <wp:extent cx="5100320" cy="145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10">
                      <a:extLst>
                        <a:ext uri="{28A0092B-C50C-407E-A947-70E740481C1C}"/>
                      </a:extLst>
                    </a:blip>
                    <a:srcRect/>
                    <a:stretch>
                      <a:fillRect/>
                    </a:stretch>
                  </pic:blipFill>
                  <pic:spPr bwMode="auto">
                    <a:xfrm>
                      <a:off x="0" y="0"/>
                      <a:ext cx="5100320" cy="145415"/>
                    </a:xfrm>
                    <a:prstGeom prst="rect">
                      <a:avLst/>
                    </a:prstGeom>
                    <a:noFill/>
                  </pic:spPr>
                </pic:pic>
              </a:graphicData>
            </a:graphic>
          </wp:anchor>
        </w:drawing>
      </w:r>
    </w:p>
    <w:p>
      <w:pPr>
        <w:spacing w:after="0" w:line="123" w:lineRule="exact"/>
        <w:rPr>
          <w:sz w:val="20"/>
          <w:szCs w:val="20"/>
          <w:color w:val="auto"/>
        </w:rPr>
      </w:pPr>
    </w:p>
    <w:p>
      <w:pPr>
        <w:jc w:val="both"/>
        <w:ind w:left="760"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Subsidiary Guarantor</w:t>
      </w:r>
      <w:r>
        <w:rPr>
          <w:rFonts w:ascii="Arial" w:cs="Arial" w:eastAsia="Arial" w:hAnsi="Arial"/>
          <w:sz w:val="22"/>
          <w:szCs w:val="22"/>
          <w:color w:val="auto"/>
        </w:rPr>
        <w:t xml:space="preserve">” means an Additional Securitization Entity that, after the Closing Date, is designated as an “Additional Subsidiary Guarantor” pursuant to </w:t>
      </w:r>
      <w:r>
        <w:rPr>
          <w:rFonts w:ascii="Arial" w:cs="Arial" w:eastAsia="Arial" w:hAnsi="Arial"/>
          <w:sz w:val="22"/>
          <w:szCs w:val="22"/>
          <w:u w:val="single" w:color="auto"/>
          <w:color w:val="auto"/>
        </w:rPr>
        <w:t>Section 8.34</w:t>
      </w:r>
      <w:r>
        <w:rPr>
          <w:rFonts w:ascii="Arial" w:cs="Arial" w:eastAsia="Arial" w:hAnsi="Arial"/>
          <w:sz w:val="22"/>
          <w:szCs w:val="22"/>
          <w:color w:val="auto"/>
        </w:rPr>
        <w:t xml:space="preserve"> of the Base Indenture</w:t>
      </w:r>
      <w:r>
        <w:rPr>
          <w:rFonts w:ascii="Arial" w:cs="Arial" w:eastAsia="Arial" w:hAnsi="Arial"/>
          <w:sz w:val="22"/>
          <w:szCs w:val="22"/>
          <w:u w:val="single" w:color="auto"/>
          <w:color w:val="auto"/>
        </w:rPr>
        <w:t>, including, without</w:t>
      </w:r>
      <w:r>
        <w:rPr>
          <w:rFonts w:ascii="Arial" w:cs="Arial" w:eastAsia="Arial" w:hAnsi="Arial"/>
          <w:sz w:val="22"/>
          <w:szCs w:val="22"/>
          <w:color w:val="auto"/>
        </w:rPr>
        <w:t xml:space="preserve"> </w:t>
      </w:r>
      <w:r>
        <w:rPr>
          <w:rFonts w:ascii="Arial" w:cs="Arial" w:eastAsia="Arial" w:hAnsi="Arial"/>
          <w:sz w:val="22"/>
          <w:szCs w:val="22"/>
          <w:u w:val="single" w:color="auto"/>
          <w:color w:val="auto"/>
        </w:rPr>
        <w:t>limitation, the International Franchisor (Michigan)</w:t>
      </w:r>
      <w:r>
        <w:rPr>
          <w:rFonts w:ascii="Arial" w:cs="Arial" w:eastAsia="Arial" w:hAnsi="Arial"/>
          <w:sz w:val="22"/>
          <w:szCs w:val="22"/>
          <w:color w:val="auto"/>
          <w:highlight w:val="white"/>
        </w:rPr>
        <w:t>.</w:t>
      </w:r>
    </w:p>
    <w:p>
      <w:pPr>
        <w:spacing w:after="0" w:line="186" w:lineRule="exact"/>
        <w:rPr>
          <w:sz w:val="20"/>
          <w:szCs w:val="20"/>
          <w:color w:val="auto"/>
        </w:rPr>
      </w:pPr>
    </w:p>
    <w:p>
      <w:pPr>
        <w:jc w:val="both"/>
        <w:ind w:left="760"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Franchisee Insurance Proceeds</w:t>
      </w:r>
      <w:r>
        <w:rPr>
          <w:rFonts w:ascii="Arial" w:cs="Arial" w:eastAsia="Arial" w:hAnsi="Arial"/>
          <w:sz w:val="19"/>
          <w:szCs w:val="19"/>
          <w:color w:val="auto"/>
          <w:highlight w:val="white"/>
        </w:rPr>
        <w:t>” means any amounts actually received by DPL, DPI, the Master Issuer, the</w:t>
      </w:r>
      <w:r>
        <w:rPr>
          <w:rFonts w:ascii="Arial" w:cs="Arial" w:eastAsia="Arial" w:hAnsi="Arial"/>
          <w:sz w:val="19"/>
          <w:szCs w:val="19"/>
          <w:color w:val="auto"/>
        </w:rPr>
        <w:t xml:space="preserve"> Domestic Franchisor or</w:t>
      </w:r>
      <w:r>
        <w:rPr>
          <w:rFonts w:ascii="Arial" w:cs="Arial" w:eastAsia="Arial" w:hAnsi="Arial"/>
          <w:sz w:val="19"/>
          <w:szCs w:val="19"/>
          <w:u w:val="single" w:color="auto"/>
          <w:color w:val="auto"/>
        </w:rPr>
        <w:t>,</w:t>
      </w:r>
      <w:r>
        <w:rPr>
          <w:rFonts w:ascii="Arial" w:cs="Arial" w:eastAsia="Arial" w:hAnsi="Arial"/>
          <w:sz w:val="19"/>
          <w:szCs w:val="19"/>
          <w:color w:val="auto"/>
        </w:rPr>
        <w:t xml:space="preserve"> the International </w:t>
      </w:r>
      <w:r>
        <w:rPr>
          <w:rFonts w:ascii="Arial" w:cs="Arial" w:eastAsia="Arial" w:hAnsi="Arial"/>
          <w:sz w:val="19"/>
          <w:szCs w:val="19"/>
          <w:color w:val="auto"/>
          <w:strike w:val="1"/>
        </w:rPr>
        <w:t>Franchiser</w:t>
      </w:r>
      <w:r>
        <w:rPr>
          <w:rFonts w:ascii="Arial" w:cs="Arial" w:eastAsia="Arial" w:hAnsi="Arial"/>
          <w:sz w:val="19"/>
          <w:szCs w:val="19"/>
          <w:color w:val="auto"/>
          <w:highlight w:val="white"/>
        </w:rPr>
        <w:t>Franchisor or International Franchisor (Michigan), as additional</w:t>
      </w:r>
      <w:r>
        <w:rPr>
          <w:rFonts w:ascii="Arial" w:cs="Arial" w:eastAsia="Arial" w:hAnsi="Arial"/>
          <w:sz w:val="19"/>
          <w:szCs w:val="19"/>
          <w:color w:val="auto"/>
        </w:rPr>
        <w:t xml:space="preserve"> insured or loss payee, upon settlement of a claim filed under a Franchisee Insurance Policy, net of direct fees, out-of-pocket costs (exclusive of overhead) and disbursements incurred in connection with the collection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-417830</wp:posOffset>
            </wp:positionV>
            <wp:extent cx="1657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11">
                      <a:extLst>
                        <a:ext uri="{28A0092B-C50C-407E-A947-70E740481C1C}"/>
                      </a:extLst>
                    </a:blip>
                    <a:srcRect/>
                    <a:stretch>
                      <a:fillRect/>
                    </a:stretch>
                  </pic:blipFill>
                  <pic:spPr bwMode="auto">
                    <a:xfrm>
                      <a:off x="0" y="0"/>
                      <a:ext cx="165735" cy="825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-366395</wp:posOffset>
            </wp:positionV>
            <wp:extent cx="28428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12">
                      <a:extLst>
                        <a:ext uri="{28A0092B-C50C-407E-A947-70E740481C1C}"/>
                      </a:extLst>
                    </a:blip>
                    <a:srcRect/>
                    <a:stretch>
                      <a:fillRect/>
                    </a:stretch>
                  </pic:blipFill>
                  <pic:spPr bwMode="auto">
                    <a:xfrm>
                      <a:off x="0" y="0"/>
                      <a:ext cx="2842895" cy="8255"/>
                    </a:xfrm>
                    <a:prstGeom prst="rect">
                      <a:avLst/>
                    </a:prstGeom>
                    <a:noFill/>
                  </pic:spPr>
                </pic:pic>
              </a:graphicData>
            </a:graphic>
          </wp:anchor>
        </w:drawing>
      </w:r>
    </w:p>
    <w:p>
      <w:pPr>
        <w:spacing w:after="0" w:line="123" w:lineRule="exact"/>
        <w:rPr>
          <w:sz w:val="20"/>
          <w:szCs w:val="20"/>
          <w:color w:val="auto"/>
        </w:rPr>
      </w:pPr>
    </w:p>
    <w:p>
      <w:pPr>
        <w:jc w:val="both"/>
        <w:ind w:left="760" w:firstLine="749"/>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Franchisee Payments</w:t>
      </w:r>
      <w:r>
        <w:rPr>
          <w:rFonts w:ascii="Arial" w:cs="Arial" w:eastAsia="Arial" w:hAnsi="Arial"/>
          <w:sz w:val="19"/>
          <w:szCs w:val="19"/>
          <w:color w:val="auto"/>
        </w:rPr>
        <w:t>” means, collectively, all amounts paid by or on behalf of Domestic Franchisees and International Franchisees to the Domestic Franchisor</w:t>
      </w:r>
      <w:r>
        <w:rPr>
          <w:rFonts w:ascii="Arial" w:cs="Arial" w:eastAsia="Arial" w:hAnsi="Arial"/>
          <w:sz w:val="19"/>
          <w:szCs w:val="19"/>
          <w:u w:val="single" w:color="auto"/>
          <w:color w:val="auto"/>
        </w:rPr>
        <w:t>, the International Franchisor</w:t>
      </w:r>
      <w:r>
        <w:rPr>
          <w:rFonts w:ascii="Arial" w:cs="Arial" w:eastAsia="Arial" w:hAnsi="Arial"/>
          <w:sz w:val="19"/>
          <w:szCs w:val="19"/>
          <w:color w:val="auto"/>
        </w:rPr>
        <w:t xml:space="preserve"> or the International Franchisor </w:t>
      </w:r>
      <w:r>
        <w:rPr>
          <w:rFonts w:ascii="Arial" w:cs="Arial" w:eastAsia="Arial" w:hAnsi="Arial"/>
          <w:sz w:val="19"/>
          <w:szCs w:val="19"/>
          <w:u w:val="single" w:color="auto"/>
          <w:color w:val="auto"/>
        </w:rPr>
        <w:t>(Michigan)</w:t>
      </w:r>
      <w:r>
        <w:rPr>
          <w:rFonts w:ascii="Arial" w:cs="Arial" w:eastAsia="Arial" w:hAnsi="Arial"/>
          <w:sz w:val="19"/>
          <w:szCs w:val="19"/>
          <w:color w:val="auto"/>
        </w:rPr>
        <w:t xml:space="preserve"> </w:t>
      </w:r>
      <w:r>
        <w:rPr>
          <w:rFonts w:ascii="Arial" w:cs="Arial" w:eastAsia="Arial" w:hAnsi="Arial"/>
          <w:sz w:val="19"/>
          <w:szCs w:val="19"/>
          <w:color w:val="auto"/>
          <w:highlight w:val="white"/>
        </w:rPr>
        <w:t>under or in connection with the Domestic Franchise Arrangements and the International Franchise</w:t>
      </w:r>
      <w:r>
        <w:rPr>
          <w:rFonts w:ascii="Arial" w:cs="Arial" w:eastAsia="Arial" w:hAnsi="Arial"/>
          <w:sz w:val="19"/>
          <w:szCs w:val="19"/>
          <w:color w:val="auto"/>
        </w:rPr>
        <w:t xml:space="preserve"> Arrangements that are Continuing Franchise Fees, Initial Franchise Fees, Other Franchise Fees, PULSE Maintenance Fees, PULSE License Fees, Technology Fees or Franchisee Insurance Proceeds and any other amounts payable in respect of such Franchise Arrangements by or on behalf of any such Franchisee that are not Excluded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-798830</wp:posOffset>
            </wp:positionV>
            <wp:extent cx="186055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13">
                      <a:extLst>
                        <a:ext uri="{28A0092B-C50C-407E-A947-70E740481C1C}"/>
                      </a:extLst>
                    </a:blip>
                    <a:srcRect/>
                    <a:stretch>
                      <a:fillRect/>
                    </a:stretch>
                  </pic:blipFill>
                  <pic:spPr bwMode="auto">
                    <a:xfrm>
                      <a:off x="0" y="0"/>
                      <a:ext cx="1860550" cy="145415"/>
                    </a:xfrm>
                    <a:prstGeom prst="rect">
                      <a:avLst/>
                    </a:prstGeom>
                    <a:noFill/>
                  </pic:spPr>
                </pic:pic>
              </a:graphicData>
            </a:graphic>
          </wp:anchor>
        </w:drawing>
      </w:r>
    </w:p>
    <w:p>
      <w:pPr>
        <w:spacing w:after="0" w:line="130" w:lineRule="exact"/>
        <w:rPr>
          <w:sz w:val="20"/>
          <w:szCs w:val="20"/>
          <w:color w:val="auto"/>
        </w:rPr>
      </w:pPr>
    </w:p>
    <w:p>
      <w:pPr>
        <w:jc w:val="both"/>
        <w:ind w:left="760"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License Agreements</w:t>
      </w:r>
      <w:r>
        <w:rPr>
          <w:rFonts w:ascii="Arial" w:cs="Arial" w:eastAsia="Arial" w:hAnsi="Arial"/>
          <w:sz w:val="22"/>
          <w:szCs w:val="22"/>
          <w:color w:val="auto"/>
          <w:highlight w:val="white"/>
        </w:rPr>
        <w:t>” means the Company-Owned Stores Master License Agreement, the DPL IP License</w:t>
      </w:r>
      <w:r>
        <w:rPr>
          <w:rFonts w:ascii="Arial" w:cs="Arial" w:eastAsia="Arial" w:hAnsi="Arial"/>
          <w:sz w:val="22"/>
          <w:szCs w:val="22"/>
          <w:color w:val="auto"/>
        </w:rPr>
        <w:t xml:space="preserve"> Agreement, the DNAF IP License Agreement, the Canadian Distributor IP License Agreement, the International Franchisor IP License Agreement, </w:t>
      </w:r>
      <w:r>
        <w:rPr>
          <w:rFonts w:ascii="Arial" w:cs="Arial" w:eastAsia="Arial" w:hAnsi="Arial"/>
          <w:sz w:val="22"/>
          <w:szCs w:val="22"/>
          <w:u w:val="single" w:color="auto"/>
          <w:color w:val="auto"/>
        </w:rPr>
        <w:t>the International Franchisor (Michigan) IP License Agreement,</w:t>
      </w:r>
      <w:r>
        <w:rPr>
          <w:rFonts w:ascii="Arial" w:cs="Arial" w:eastAsia="Arial" w:hAnsi="Arial"/>
          <w:sz w:val="22"/>
          <w:szCs w:val="22"/>
          <w:color w:val="auto"/>
        </w:rPr>
        <w:t xml:space="preserve"> the Domestic Franchisor IP License Agreement, the Domestic Distributor IP License Agreement, the Master Issuer IP License Agreement, the Overseas IP Holder IP License Agreement, the Overseas IP Holder Asset Sale and IP License Agreement and any similar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jc w:val="both"/>
        <w:ind w:left="760"/>
        <w:spacing w:after="0" w:line="238" w:lineRule="auto"/>
        <w:rPr>
          <w:sz w:val="20"/>
          <w:szCs w:val="20"/>
          <w:color w:val="auto"/>
        </w:rPr>
      </w:pPr>
      <w:r>
        <w:rPr>
          <w:rFonts w:ascii="Arial" w:cs="Arial" w:eastAsia="Arial" w:hAnsi="Arial"/>
          <w:sz w:val="22"/>
          <w:szCs w:val="22"/>
          <w:color w:val="auto"/>
        </w:rPr>
        <w:t xml:space="preserve">entered into by the IP Holder or an Additional IP Holder with respect to the Domino’s Brand or Future Brand;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 of the Closing Date “</w:t>
      </w:r>
      <w:r>
        <w:rPr>
          <w:rFonts w:ascii="Arial" w:cs="Arial" w:eastAsia="Arial" w:hAnsi="Arial"/>
          <w:sz w:val="22"/>
          <w:szCs w:val="22"/>
          <w:u w:val="single" w:color="auto"/>
          <w:color w:val="auto"/>
        </w:rPr>
        <w:t>IP License Agreements</w:t>
      </w:r>
      <w:r>
        <w:rPr>
          <w:rFonts w:ascii="Arial" w:cs="Arial" w:eastAsia="Arial" w:hAnsi="Arial"/>
          <w:sz w:val="22"/>
          <w:szCs w:val="22"/>
          <w:color w:val="auto"/>
          <w:highlight w:val="white"/>
        </w:rPr>
        <w:t>” will not include (i) the Overseas IP Holder Asset Sale and IP</w:t>
      </w:r>
      <w:r>
        <w:rPr>
          <w:rFonts w:ascii="Arial" w:cs="Arial" w:eastAsia="Arial" w:hAnsi="Arial"/>
          <w:sz w:val="22"/>
          <w:szCs w:val="22"/>
          <w:color w:val="auto"/>
        </w:rPr>
        <w:t xml:space="preserve"> License Agreement, (ii) the Overseas IP Holder IP License Agreement and (iii) the Overseas Franchisor Asset Sale and IP License Agreement.</w:t>
      </w:r>
    </w:p>
    <w:p>
      <w:pPr>
        <w:spacing w:after="0" w:line="185" w:lineRule="exact"/>
        <w:rPr>
          <w:sz w:val="20"/>
          <w:szCs w:val="20"/>
          <w:color w:val="auto"/>
        </w:rPr>
      </w:pPr>
    </w:p>
    <w:p>
      <w:pPr>
        <w:jc w:val="both"/>
        <w:ind w:left="760"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Master Issuer Securitization Subs</w:t>
      </w:r>
      <w:r>
        <w:rPr>
          <w:rFonts w:ascii="Arial" w:cs="Arial" w:eastAsia="Arial" w:hAnsi="Arial"/>
          <w:sz w:val="19"/>
          <w:szCs w:val="19"/>
          <w:color w:val="auto"/>
        </w:rPr>
        <w:t>” means the IP Holder, the Domestic Distributor, the Canadian Distributor, the Domestic Franchisor, the International Franchisor</w:t>
      </w:r>
      <w:r>
        <w:rPr>
          <w:rFonts w:ascii="Arial" w:cs="Arial" w:eastAsia="Arial" w:hAnsi="Arial"/>
          <w:sz w:val="19"/>
          <w:szCs w:val="19"/>
          <w:u w:val="single" w:color="auto"/>
          <w:color w:val="auto"/>
        </w:rPr>
        <w:t>, the International Franchisor (Michigan)</w:t>
      </w:r>
      <w:r>
        <w:rPr>
          <w:rFonts w:ascii="Arial" w:cs="Arial" w:eastAsia="Arial" w:hAnsi="Arial"/>
          <w:sz w:val="19"/>
          <w:szCs w:val="19"/>
          <w:color w:val="auto"/>
        </w:rPr>
        <w:t>, the SPV Canadian Holdco, the Domestic Distribution Equipment Holder and the Domestic Distribution Real Estate Holder.</w:t>
      </w:r>
    </w:p>
    <w:p>
      <w:pPr>
        <w:spacing w:after="0" w:line="134" w:lineRule="exact"/>
        <w:rPr>
          <w:sz w:val="20"/>
          <w:szCs w:val="20"/>
          <w:color w:val="auto"/>
        </w:rPr>
      </w:pPr>
    </w:p>
    <w:p>
      <w:pPr>
        <w:jc w:val="both"/>
        <w:ind w:left="760"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Post-Closing Overseas Franchise Arrangements</w:t>
      </w:r>
      <w:r>
        <w:rPr>
          <w:rFonts w:ascii="Arial" w:cs="Arial" w:eastAsia="Arial" w:hAnsi="Arial"/>
          <w:sz w:val="21"/>
          <w:szCs w:val="21"/>
          <w:color w:val="auto"/>
          <w:highlight w:val="white"/>
        </w:rPr>
        <w:t>” means, depending on the context in which it is used, each</w:t>
      </w:r>
      <w:r>
        <w:rPr>
          <w:rFonts w:ascii="Arial" w:cs="Arial" w:eastAsia="Arial" w:hAnsi="Arial"/>
          <w:sz w:val="21"/>
          <w:szCs w:val="21"/>
          <w:color w:val="auto"/>
        </w:rPr>
        <w:t xml:space="preserve"> new master franchise agreement, store franchise agreement or area development agreement entered into by the International Franchisor </w:t>
      </w:r>
      <w:r>
        <w:rPr>
          <w:rFonts w:ascii="Arial" w:cs="Arial" w:eastAsia="Arial" w:hAnsi="Arial"/>
          <w:sz w:val="21"/>
          <w:szCs w:val="21"/>
          <w:u w:val="single" w:color="auto"/>
          <w:color w:val="auto"/>
        </w:rPr>
        <w:t>or the International Franchisor (Michigan)</w:t>
      </w:r>
      <w:r>
        <w:rPr>
          <w:rFonts w:ascii="Arial" w:cs="Arial" w:eastAsia="Arial" w:hAnsi="Arial"/>
          <w:sz w:val="21"/>
          <w:szCs w:val="21"/>
          <w:color w:val="auto"/>
        </w:rPr>
        <w:t xml:space="preserve"> after the Closing Date pursuant to which a master franchisor or area developer is given the right to franchise or a Franchisee is given the right to operate a Store(s) in an Overseas Country or the rights and obligations of the International Franchisor </w:t>
      </w:r>
      <w:r>
        <w:rPr>
          <w:rFonts w:ascii="Arial" w:cs="Arial" w:eastAsia="Arial" w:hAnsi="Arial"/>
          <w:sz w:val="21"/>
          <w:szCs w:val="21"/>
          <w:u w:val="single" w:color="auto"/>
          <w:color w:val="auto"/>
        </w:rPr>
        <w:t>or the International Franchisor</w:t>
      </w:r>
      <w:r>
        <w:rPr>
          <w:rFonts w:ascii="Arial" w:cs="Arial" w:eastAsia="Arial" w:hAnsi="Arial"/>
          <w:sz w:val="21"/>
          <w:szCs w:val="21"/>
          <w:color w:val="auto"/>
        </w:rPr>
        <w:t xml:space="preserve"> </w:t>
      </w:r>
      <w:r>
        <w:rPr>
          <w:rFonts w:ascii="Arial" w:cs="Arial" w:eastAsia="Arial" w:hAnsi="Arial"/>
          <w:sz w:val="21"/>
          <w:szCs w:val="21"/>
          <w:u w:val="single" w:color="auto"/>
          <w:color w:val="auto"/>
        </w:rPr>
        <w:t>(Michigan), respectively,</w:t>
      </w:r>
      <w:r>
        <w:rPr>
          <w:rFonts w:ascii="Arial" w:cs="Arial" w:eastAsia="Arial" w:hAnsi="Arial"/>
          <w:sz w:val="21"/>
          <w:szCs w:val="21"/>
          <w:color w:val="auto"/>
        </w:rPr>
        <w:t xml:space="preserve"> under each such agreement.</w:t>
      </w:r>
    </w:p>
    <w:p>
      <w:pPr>
        <w:spacing w:after="0" w:line="177" w:lineRule="exact"/>
        <w:rPr>
          <w:sz w:val="20"/>
          <w:szCs w:val="20"/>
          <w:color w:val="auto"/>
        </w:rPr>
      </w:pPr>
    </w:p>
    <w:p>
      <w:pPr>
        <w:jc w:val="both"/>
        <w:ind w:left="760"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Post-Securitization International Franchise Arrangements</w:t>
      </w:r>
      <w:r>
        <w:rPr>
          <w:rFonts w:ascii="Arial" w:cs="Arial" w:eastAsia="Arial" w:hAnsi="Arial"/>
          <w:sz w:val="22"/>
          <w:szCs w:val="22"/>
          <w:color w:val="auto"/>
          <w:highlight w:val="white"/>
        </w:rPr>
        <w:t>” means International Franchise Arrangements</w:t>
      </w:r>
      <w:r>
        <w:rPr>
          <w:rFonts w:ascii="Arial" w:cs="Arial" w:eastAsia="Arial" w:hAnsi="Arial"/>
          <w:sz w:val="22"/>
          <w:szCs w:val="22"/>
          <w:color w:val="auto"/>
        </w:rPr>
        <w:t xml:space="preserve"> entered into by the International Franchisor </w:t>
      </w:r>
      <w:r>
        <w:rPr>
          <w:rFonts w:ascii="Arial" w:cs="Arial" w:eastAsia="Arial" w:hAnsi="Arial"/>
          <w:sz w:val="22"/>
          <w:szCs w:val="22"/>
          <w:u w:val="single" w:color="auto"/>
          <w:color w:val="auto"/>
        </w:rPr>
        <w:t>or the International Franchisor (Michigan)</w:t>
      </w:r>
      <w:r>
        <w:rPr>
          <w:rFonts w:ascii="Arial" w:cs="Arial" w:eastAsia="Arial" w:hAnsi="Arial"/>
          <w:sz w:val="22"/>
          <w:szCs w:val="22"/>
          <w:color w:val="auto"/>
        </w:rPr>
        <w:t xml:space="preserve"> </w:t>
      </w:r>
      <w:r>
        <w:rPr>
          <w:rFonts w:ascii="Arial" w:cs="Arial" w:eastAsia="Arial" w:hAnsi="Arial"/>
          <w:sz w:val="22"/>
          <w:szCs w:val="22"/>
          <w:color w:val="auto"/>
          <w:highlight w:val="white"/>
        </w:rPr>
        <w:t>(a) with respect to the period from</w:t>
      </w:r>
      <w:r>
        <w:rPr>
          <w:rFonts w:ascii="Arial" w:cs="Arial" w:eastAsia="Arial" w:hAnsi="Arial"/>
          <w:sz w:val="22"/>
          <w:szCs w:val="22"/>
          <w:color w:val="auto"/>
        </w:rPr>
        <w:t xml:space="preserve"> the Series 2007-1 Closing Date to the Closing Date in the International Territory other than the Overseas Countries, and (b) after the Closing Date in the International Territory.</w:t>
      </w:r>
    </w:p>
    <w:p>
      <w:pPr>
        <w:spacing w:after="0" w:line="185" w:lineRule="exact"/>
        <w:rPr>
          <w:sz w:val="20"/>
          <w:szCs w:val="20"/>
          <w:color w:val="auto"/>
        </w:rPr>
      </w:pPr>
    </w:p>
    <w:p>
      <w:pPr>
        <w:ind w:firstLine="757"/>
        <w:spacing w:after="0" w:line="250" w:lineRule="auto"/>
        <w:tabs>
          <w:tab w:leader="none" w:pos="149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Base Indenture Definitions List is hereby amended by inserting the following definitions in the Base Indenture Definitions List in accordance with alphabetical order:</w:t>
      </w:r>
    </w:p>
    <w:p>
      <w:pPr>
        <w:spacing w:after="0" w:line="175" w:lineRule="exact"/>
        <w:rPr>
          <w:sz w:val="20"/>
          <w:szCs w:val="20"/>
          <w:color w:val="auto"/>
        </w:rPr>
      </w:pPr>
    </w:p>
    <w:p>
      <w:pPr>
        <w:jc w:val="both"/>
        <w:ind w:left="760"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International Franchisor (Michigan)</w:t>
      </w:r>
      <w:r>
        <w:rPr>
          <w:rFonts w:ascii="Arial" w:cs="Arial" w:eastAsia="Arial" w:hAnsi="Arial"/>
          <w:sz w:val="22"/>
          <w:szCs w:val="22"/>
          <w:color w:val="auto"/>
          <w:highlight w:val="white"/>
        </w:rPr>
        <w:t>” means Domino’s Pizza International Franchising of Michigan LLC, a</w:t>
      </w:r>
      <w:r>
        <w:rPr>
          <w:rFonts w:ascii="Arial" w:cs="Arial" w:eastAsia="Arial" w:hAnsi="Arial"/>
          <w:sz w:val="22"/>
          <w:szCs w:val="22"/>
          <w:color w:val="auto"/>
        </w:rPr>
        <w:t xml:space="preserve"> Michigan limited liability company, and its successors and assigns.</w:t>
      </w:r>
    </w:p>
    <w:p>
      <w:pPr>
        <w:spacing w:after="0" w:line="175" w:lineRule="exact"/>
        <w:rPr>
          <w:sz w:val="20"/>
          <w:szCs w:val="20"/>
          <w:color w:val="auto"/>
        </w:rPr>
      </w:pPr>
    </w:p>
    <w:p>
      <w:pPr>
        <w:jc w:val="both"/>
        <w:ind w:left="760"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International Franchisor (Michigan) IP License Agreement</w:t>
      </w:r>
      <w:r>
        <w:rPr>
          <w:rFonts w:ascii="Arial" w:cs="Arial" w:eastAsia="Arial" w:hAnsi="Arial"/>
          <w:sz w:val="21"/>
          <w:szCs w:val="21"/>
          <w:color w:val="auto"/>
          <w:highlight w:val="white"/>
        </w:rPr>
        <w:t>” means the International Franchisor (Michigan) IP</w:t>
      </w:r>
      <w:r>
        <w:rPr>
          <w:rFonts w:ascii="Arial" w:cs="Arial" w:eastAsia="Arial" w:hAnsi="Arial"/>
          <w:sz w:val="21"/>
          <w:szCs w:val="21"/>
          <w:color w:val="auto"/>
        </w:rPr>
        <w:t xml:space="preserve"> License Agreement, dated as of December 30, 2021, by and between the International Franchisor (Michigan) and the IP Holder, as may be amended, supplemented or otherwise modified from time to time.</w:t>
      </w:r>
    </w:p>
    <w:p>
      <w:pPr>
        <w:spacing w:after="0" w:line="169" w:lineRule="exact"/>
        <w:rPr>
          <w:sz w:val="20"/>
          <w:szCs w:val="20"/>
          <w:color w:val="auto"/>
        </w:rPr>
      </w:pPr>
    </w:p>
    <w:p>
      <w:pPr>
        <w:ind w:firstLine="757"/>
        <w:spacing w:after="0" w:line="250" w:lineRule="auto"/>
        <w:tabs>
          <w:tab w:leader="none" w:pos="1498" w:val="left"/>
        </w:tabs>
        <w:numPr>
          <w:ilvl w:val="0"/>
          <w:numId w:val="34"/>
        </w:numPr>
        <w:rPr>
          <w:rFonts w:ascii="Arial" w:cs="Arial" w:eastAsia="Arial" w:hAnsi="Arial"/>
          <w:sz w:val="22"/>
          <w:szCs w:val="22"/>
          <w:color w:val="auto"/>
        </w:rPr>
      </w:pPr>
      <w:r>
        <w:rPr>
          <w:rFonts w:ascii="Arial" w:cs="Arial" w:eastAsia="Arial" w:hAnsi="Arial"/>
          <w:sz w:val="22"/>
          <w:szCs w:val="22"/>
          <w:color w:val="auto"/>
        </w:rPr>
        <w:t>Section 7.12 of the Base Indenture is hereby amended by inserting the following paragraph as Section 7.12(h) and re-numbering the sub-paragraphs in Section 7.12 thereafter:</w:t>
      </w:r>
    </w:p>
    <w:p>
      <w:pPr>
        <w:spacing w:after="0" w:line="17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i. All of the issued and outstanding limited liability company interests of the International Franchisor (Michigan) are owned by the International Franchisor, all of which limited liability company interests have been validly issued and are owned of record by the International Franchisor, free and clear of all Liens other than Permitted Liens.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b w:val="1"/>
          <w:bCs w:val="1"/>
          <w:color w:val="auto"/>
        </w:rPr>
        <w:t>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188" w:lineRule="exact"/>
        <w:rPr>
          <w:sz w:val="20"/>
          <w:szCs w:val="20"/>
          <w:color w:val="auto"/>
        </w:rPr>
      </w:pPr>
    </w:p>
    <w:p>
      <w:pPr>
        <w:jc w:val="both"/>
        <w:ind w:firstLine="757"/>
        <w:spacing w:after="0" w:line="257" w:lineRule="auto"/>
        <w:tabs>
          <w:tab w:leader="none" w:pos="1498"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Conditions to Effectiveness</w:t>
      </w:r>
      <w:r>
        <w:rPr>
          <w:rFonts w:ascii="Arial" w:cs="Arial" w:eastAsia="Arial" w:hAnsi="Arial"/>
          <w:sz w:val="21"/>
          <w:szCs w:val="21"/>
          <w:color w:val="auto"/>
        </w:rPr>
        <w:t>. The provisions of this Seventh Supplement shall be effective upon execution and delivery of this instrument by the parties hereto, with the consent of the Control Party and the delivery of the Opinion of Counsel and Officer's Certificate described in Sections 13.3 and 14.3 of the Base Indenture.</w:t>
      </w:r>
    </w:p>
    <w:p>
      <w:pPr>
        <w:spacing w:after="0" w:line="169" w:lineRule="exact"/>
        <w:rPr>
          <w:rFonts w:ascii="Arial" w:cs="Arial" w:eastAsia="Arial" w:hAnsi="Arial"/>
          <w:sz w:val="21"/>
          <w:szCs w:val="21"/>
          <w:color w:val="auto"/>
        </w:rPr>
      </w:pPr>
    </w:p>
    <w:p>
      <w:pPr>
        <w:jc w:val="both"/>
        <w:ind w:firstLine="757"/>
        <w:spacing w:after="0" w:line="279" w:lineRule="auto"/>
        <w:tabs>
          <w:tab w:leader="none" w:pos="149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Effect on Base Indenture</w:t>
      </w:r>
      <w:r>
        <w:rPr>
          <w:rFonts w:ascii="Arial" w:cs="Arial" w:eastAsia="Arial" w:hAnsi="Arial"/>
          <w:sz w:val="19"/>
          <w:szCs w:val="19"/>
          <w:color w:val="auto"/>
        </w:rPr>
        <w:t>. Subject to the satisfaction of the conditions precedent set forth in Section 3.1, upon the date hereof (i) the Base Indenture shall be amended in accordance herewith, (ii) this Seventh Supplement shall form part of the Base Indenture for all purposes and (iii) the parties and each Noteholder shall be bound by the Base Indenture, as so amended. Except as expressly set forth or contemplated in this Seventh Supplement, the terms and conditions of the Base Indenture shall remain in place and shall not be altered, amended or changed in any manner whatsoever, except by any further amendment to the Base Indenture made in accordance with the terms of the Base Indenture, as amended by this Seventh Supplement.</w:t>
      </w:r>
    </w:p>
    <w:p>
      <w:pPr>
        <w:spacing w:after="0" w:line="150" w:lineRule="exact"/>
        <w:rPr>
          <w:rFonts w:ascii="Arial" w:cs="Arial" w:eastAsia="Arial" w:hAnsi="Arial"/>
          <w:sz w:val="19"/>
          <w:szCs w:val="19"/>
          <w:color w:val="auto"/>
        </w:rPr>
      </w:pPr>
    </w:p>
    <w:p>
      <w:pPr>
        <w:ind w:right="20" w:firstLine="757"/>
        <w:spacing w:after="0" w:line="250" w:lineRule="auto"/>
        <w:tabs>
          <w:tab w:leader="none" w:pos="149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Seventh Supplement shall inure to the benefit of and be binding on the respective successors and assigns of the parties hereto, each Noteholder and each other Secured Party.</w:t>
      </w:r>
    </w:p>
    <w:p>
      <w:pPr>
        <w:spacing w:after="0" w:line="174" w:lineRule="exact"/>
        <w:rPr>
          <w:rFonts w:ascii="Arial" w:cs="Arial" w:eastAsia="Arial" w:hAnsi="Arial"/>
          <w:sz w:val="22"/>
          <w:szCs w:val="22"/>
          <w:color w:val="auto"/>
        </w:rPr>
      </w:pPr>
    </w:p>
    <w:p>
      <w:pPr>
        <w:jc w:val="both"/>
        <w:ind w:firstLine="757"/>
        <w:spacing w:after="0" w:line="328" w:lineRule="auto"/>
        <w:tabs>
          <w:tab w:leader="none" w:pos="149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Seventh Supplement may be executed in any number of counterparts, each of which so executed shall be deemed to be an original, but all of such counterparts shall together constitute but one and the same instrument.</w:t>
      </w:r>
    </w:p>
    <w:p>
      <w:pPr>
        <w:spacing w:after="0" w:line="98" w:lineRule="exact"/>
        <w:rPr>
          <w:rFonts w:ascii="Arial" w:cs="Arial" w:eastAsia="Arial" w:hAnsi="Arial"/>
          <w:sz w:val="19"/>
          <w:szCs w:val="19"/>
          <w:color w:val="auto"/>
        </w:rPr>
      </w:pPr>
    </w:p>
    <w:p>
      <w:pPr>
        <w:ind w:left="1500" w:hanging="743"/>
        <w:spacing w:after="0"/>
        <w:tabs>
          <w:tab w:leader="none" w:pos="150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SEVENTH SUPPLEMENT SHALL BE GOVERNED BY, AND CONSTRUED</w:t>
      </w:r>
    </w:p>
    <w:p>
      <w:pPr>
        <w:spacing w:after="0" w:line="1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b w:val="1"/>
          <w:bCs w:val="1"/>
          <w:color w:val="auto"/>
        </w:rPr>
        <w:t>AND INTERPRETED IN ACCORDANCE WITH, THE LAWS OF THE STATE OF NEW YORK.</w:t>
      </w:r>
    </w:p>
    <w:p>
      <w:pPr>
        <w:spacing w:after="0" w:line="188" w:lineRule="exact"/>
        <w:rPr>
          <w:rFonts w:ascii="Arial" w:cs="Arial" w:eastAsia="Arial" w:hAnsi="Arial"/>
          <w:sz w:val="22"/>
          <w:szCs w:val="22"/>
          <w:color w:val="auto"/>
        </w:rPr>
      </w:pPr>
    </w:p>
    <w:p>
      <w:pPr>
        <w:jc w:val="both"/>
        <w:ind w:firstLine="757"/>
        <w:spacing w:after="0" w:line="271" w:lineRule="auto"/>
        <w:tabs>
          <w:tab w:leader="none" w:pos="1498" w:val="left"/>
        </w:tabs>
        <w:numPr>
          <w:ilvl w:val="0"/>
          <w:numId w:val="35"/>
        </w:numPr>
        <w:rPr>
          <w:rFonts w:ascii="Arial" w:cs="Arial" w:eastAsia="Arial" w:hAnsi="Arial"/>
          <w:sz w:val="19"/>
          <w:szCs w:val="19"/>
          <w:color w:val="auto"/>
        </w:rPr>
      </w:pPr>
      <w:r>
        <w:rPr>
          <w:rFonts w:ascii="Arial" w:cs="Arial" w:eastAsia="Arial" w:hAnsi="Arial"/>
          <w:sz w:val="19"/>
          <w:szCs w:val="19"/>
          <w:color w:val="auto"/>
        </w:rPr>
        <w:t>Electronic Signatures and Transmission. For purposes of this Supplement, any reference to “written” or “in writing” means any form of written communication, including, without limitation, electronic signatures, and any such written communication may be transmitted by Electronic Transmission.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The Trustee is authorized to accept written instructions, directions, reports, notices or other communications delivered by Electronic Transmission and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to the Trustee, including, without limitation, the risk of the Trustee acting on unauthorized instructions, notices, reports or other communications or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jc w:val="both"/>
        <w:spacing w:after="0" w:line="277" w:lineRule="auto"/>
        <w:rPr>
          <w:sz w:val="20"/>
          <w:szCs w:val="20"/>
          <w:color w:val="auto"/>
        </w:rPr>
      </w:pPr>
      <w:r>
        <w:rPr>
          <w:rFonts w:ascii="Arial" w:cs="Arial" w:eastAsia="Arial" w:hAnsi="Arial"/>
          <w:sz w:val="19"/>
          <w:szCs w:val="19"/>
          <w:color w:val="auto"/>
        </w:rPr>
        <w:t>information, and the risk of interception and misuse by third parties (except to the extent such action results from gross negligence, willful misconduct or fraud by the Trustee). Any requirement in the Indenture that a document is to be signed or authenticated by “manual signature” or similar language shall not be deemed to prohibit signature to be by facsimile or electronic signature and shall not be deemed to prohibit delivery thereof by Electronic Transmission. Notwithstanding anything to the contrary in this Supplement, any and all communications (both text and attachments) by or from the Trustee that the Trustee in its sole discretion deems to contain confidential, proprietary and/or sensitive information and sent by Electronic Transmission will be encrypted. The recipient of the Electronic Transmission will be required to complete a one-time registration process.</w:t>
      </w:r>
    </w:p>
    <w:p>
      <w:pPr>
        <w:spacing w:after="0" w:line="152" w:lineRule="exact"/>
        <w:rPr>
          <w:sz w:val="20"/>
          <w:szCs w:val="20"/>
          <w:color w:val="auto"/>
        </w:rPr>
      </w:pPr>
    </w:p>
    <w:p>
      <w:pPr>
        <w:ind w:firstLine="757"/>
        <w:spacing w:after="0" w:line="250" w:lineRule="auto"/>
        <w:tabs>
          <w:tab w:leader="none" w:pos="149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Seventh Supplement may not be modified or amended except in accordance with the terms of the Base Indenture.</w:t>
      </w:r>
    </w:p>
    <w:p>
      <w:pPr>
        <w:spacing w:after="0" w:line="174" w:lineRule="exact"/>
        <w:rPr>
          <w:rFonts w:ascii="Arial" w:cs="Arial" w:eastAsia="Arial" w:hAnsi="Arial"/>
          <w:sz w:val="22"/>
          <w:szCs w:val="22"/>
          <w:color w:val="auto"/>
        </w:rPr>
      </w:pPr>
    </w:p>
    <w:p>
      <w:pPr>
        <w:jc w:val="both"/>
        <w:ind w:firstLine="757"/>
        <w:spacing w:after="0" w:line="234" w:lineRule="auto"/>
        <w:tabs>
          <w:tab w:leader="none" w:pos="1498"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Trustee and Securities Intermediary</w:t>
      </w:r>
      <w:r>
        <w:rPr>
          <w:rFonts w:ascii="Arial" w:cs="Arial" w:eastAsia="Arial" w:hAnsi="Arial"/>
          <w:sz w:val="22"/>
          <w:szCs w:val="22"/>
          <w:color w:val="auto"/>
        </w:rPr>
        <w:t>. The Trustee and the Securities Intermediary assume no responsibility for the correctness of the recitals contained herein, which shall be taken as the statements of the Master Issuer and neither the Trustee nor the Securities Intermediary shall be responsible or accountable in any way whatsoever for or with respect to the validity, execution or sufficiency of this Seventh Supplement and makes no representation with respect thereto. In entering into this Seventh Supplement, the Trustee and the Securities Intermediary shall be entitled to the benefit of every provision of the Base Indenture relating to the conduct of or affecting the liability of or affording protection to the Trustee or the Securities Intermediary.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Each party hereto represents and warrants to each other party hereto that this Seventh Supplement has been duly and validly executed and delivered by such party and constitutes its legal, valid and binding obligation, enforceable against such party in accordance with its terms.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ind w:firstLine="749"/>
        <w:spacing w:after="0" w:line="250" w:lineRule="auto"/>
        <w:rPr>
          <w:sz w:val="20"/>
          <w:szCs w:val="20"/>
          <w:color w:val="auto"/>
        </w:rPr>
      </w:pPr>
      <w:r>
        <w:rPr>
          <w:rFonts w:ascii="Arial" w:cs="Arial" w:eastAsia="Arial" w:hAnsi="Arial"/>
          <w:sz w:val="22"/>
          <w:szCs w:val="22"/>
          <w:color w:val="auto"/>
        </w:rPr>
        <w:t>IN WITNESS WHEREOF, each of the Co-Issuers and the Trustee have caused this Seventh Supplement to be executed and delivered by its respective duly authorized officer as of the day and year first written above.</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MASTER ISSUER LLC, as Co-Issuer</w:t>
      </w:r>
    </w:p>
    <w:p>
      <w:pPr>
        <w:spacing w:after="0" w:line="233"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11734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8">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 Jessica Parrish</w:t>
      </w:r>
    </w:p>
    <w:p>
      <w:pPr>
        <w:ind w:left="5680"/>
        <w:spacing w:after="0"/>
        <w:rPr>
          <w:sz w:val="20"/>
          <w:szCs w:val="20"/>
          <w:color w:val="auto"/>
        </w:rPr>
      </w:pPr>
      <w:r>
        <w:rPr>
          <w:rFonts w:ascii="Arial" w:cs="Arial" w:eastAsia="Arial" w:hAnsi="Arial"/>
          <w:sz w:val="22"/>
          <w:szCs w:val="22"/>
          <w:color w:val="auto"/>
        </w:rPr>
        <w:t>Title: Vice President, Controller and Treasurer</w:t>
      </w:r>
    </w:p>
    <w:p>
      <w:pPr>
        <w:spacing w:after="0" w:line="18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PIZZA DISTRIBUTION LLC, as Co-Issuer</w:t>
      </w:r>
    </w:p>
    <w:p>
      <w:pPr>
        <w:spacing w:after="0" w:line="200" w:lineRule="exact"/>
        <w:rPr>
          <w:sz w:val="20"/>
          <w:szCs w:val="20"/>
          <w:color w:val="auto"/>
        </w:rPr>
      </w:pPr>
    </w:p>
    <w:p>
      <w:pPr>
        <w:spacing w:after="0" w:line="276"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11734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 Jessica Parrish</w:t>
      </w:r>
    </w:p>
    <w:p>
      <w:pPr>
        <w:ind w:left="5680"/>
        <w:spacing w:after="0"/>
        <w:rPr>
          <w:sz w:val="20"/>
          <w:szCs w:val="20"/>
          <w:color w:val="auto"/>
        </w:rPr>
      </w:pPr>
      <w:r>
        <w:rPr>
          <w:rFonts w:ascii="Arial" w:cs="Arial" w:eastAsia="Arial" w:hAnsi="Arial"/>
          <w:sz w:val="22"/>
          <w:szCs w:val="22"/>
          <w:color w:val="auto"/>
        </w:rPr>
        <w:t>Title: Vice President, Controller and Treasurer</w:t>
      </w:r>
    </w:p>
    <w:p>
      <w:pPr>
        <w:spacing w:after="0" w:line="188" w:lineRule="exact"/>
        <w:rPr>
          <w:sz w:val="20"/>
          <w:szCs w:val="20"/>
          <w:color w:val="auto"/>
        </w:rPr>
      </w:pPr>
    </w:p>
    <w:p>
      <w:pPr>
        <w:ind w:left="5240" w:right="340"/>
        <w:spacing w:after="0" w:line="250" w:lineRule="auto"/>
        <w:rPr>
          <w:sz w:val="20"/>
          <w:szCs w:val="20"/>
          <w:color w:val="auto"/>
        </w:rPr>
      </w:pPr>
      <w:r>
        <w:rPr>
          <w:rFonts w:ascii="Arial" w:cs="Arial" w:eastAsia="Arial" w:hAnsi="Arial"/>
          <w:sz w:val="22"/>
          <w:szCs w:val="22"/>
          <w:color w:val="auto"/>
        </w:rPr>
        <w:t>DOMINO’S SPV CANADIAN HOLDING COMPANY INC., as Co-Issuer</w:t>
      </w:r>
    </w:p>
    <w:p>
      <w:pPr>
        <w:spacing w:after="0" w:line="200" w:lineRule="exact"/>
        <w:rPr>
          <w:sz w:val="20"/>
          <w:szCs w:val="20"/>
          <w:color w:val="auto"/>
        </w:rPr>
      </w:pPr>
    </w:p>
    <w:p>
      <w:pPr>
        <w:spacing w:after="0" w:line="24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11734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2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 Jessica Parrish</w:t>
      </w:r>
    </w:p>
    <w:p>
      <w:pPr>
        <w:ind w:left="5680"/>
        <w:spacing w:after="0"/>
        <w:rPr>
          <w:sz w:val="20"/>
          <w:szCs w:val="20"/>
          <w:color w:val="auto"/>
        </w:rPr>
      </w:pPr>
      <w:r>
        <w:rPr>
          <w:rFonts w:ascii="Arial" w:cs="Arial" w:eastAsia="Arial" w:hAnsi="Arial"/>
          <w:sz w:val="22"/>
          <w:szCs w:val="22"/>
          <w:color w:val="auto"/>
        </w:rPr>
        <w:t>Title: Vice President, Controller and Treasurer</w:t>
      </w:r>
    </w:p>
    <w:p>
      <w:pPr>
        <w:spacing w:after="0" w:line="18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DOMINO’S IP HOLDER LLC, as Co-Issuer</w:t>
      </w:r>
    </w:p>
    <w:p>
      <w:pPr>
        <w:spacing w:after="0" w:line="200" w:lineRule="exact"/>
        <w:rPr>
          <w:sz w:val="20"/>
          <w:szCs w:val="20"/>
          <w:color w:val="auto"/>
        </w:rPr>
      </w:pPr>
    </w:p>
    <w:p>
      <w:pPr>
        <w:spacing w:after="0" w:line="276"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11734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21">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 Jessica Parrish</w:t>
      </w:r>
    </w:p>
    <w:p>
      <w:pPr>
        <w:ind w:left="5680"/>
        <w:spacing w:after="0"/>
        <w:rPr>
          <w:sz w:val="20"/>
          <w:szCs w:val="20"/>
          <w:color w:val="auto"/>
        </w:rPr>
      </w:pPr>
      <w:r>
        <w:rPr>
          <w:rFonts w:ascii="Arial" w:cs="Arial" w:eastAsia="Arial" w:hAnsi="Arial"/>
          <w:sz w:val="22"/>
          <w:szCs w:val="22"/>
          <w:color w:val="auto"/>
        </w:rPr>
        <w:t>Title: Vice President, Controller and Treasurer</w:t>
      </w:r>
    </w:p>
    <w:p>
      <w:pPr>
        <w:spacing w:after="0" w:line="18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CITIBANK, N.A., in its capacity as Trustee and Securities</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Intermediary</w:t>
      </w:r>
    </w:p>
    <w:p>
      <w:pPr>
        <w:spacing w:after="0" w:line="200" w:lineRule="exact"/>
        <w:rPr>
          <w:sz w:val="20"/>
          <w:szCs w:val="20"/>
          <w:color w:val="auto"/>
        </w:r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By: /s/ Jacqueline Suarez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-17780</wp:posOffset>
            </wp:positionV>
            <wp:extent cx="14478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22">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5680"/>
        <w:spacing w:after="0" w:line="238" w:lineRule="auto"/>
        <w:rPr>
          <w:sz w:val="20"/>
          <w:szCs w:val="20"/>
          <w:color w:val="auto"/>
        </w:rPr>
      </w:pPr>
      <w:r>
        <w:rPr>
          <w:rFonts w:ascii="Arial" w:cs="Arial" w:eastAsia="Arial" w:hAnsi="Arial"/>
          <w:sz w:val="22"/>
          <w:szCs w:val="22"/>
          <w:color w:val="auto"/>
        </w:rPr>
        <w:t>Name: Jacqueline Suarez</w:t>
      </w:r>
    </w:p>
    <w:p>
      <w:pPr>
        <w:ind w:left="5680"/>
        <w:spacing w:after="0"/>
        <w:rPr>
          <w:sz w:val="20"/>
          <w:szCs w:val="20"/>
          <w:color w:val="auto"/>
        </w:rPr>
      </w:pPr>
      <w:r>
        <w:rPr>
          <w:rFonts w:ascii="Arial" w:cs="Arial" w:eastAsia="Arial" w:hAnsi="Arial"/>
          <w:sz w:val="22"/>
          <w:szCs w:val="22"/>
          <w:color w:val="auto"/>
        </w:rPr>
        <w:t>Title: Senior Trust Officer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Seventh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CONSENT OF CONTROL PARTY:</w:t>
      </w:r>
    </w:p>
    <w:p>
      <w:pPr>
        <w:spacing w:after="0" w:line="206" w:lineRule="exact"/>
        <w:rPr>
          <w:sz w:val="20"/>
          <w:szCs w:val="20"/>
          <w:color w:val="auto"/>
        </w:rPr>
      </w:pPr>
    </w:p>
    <w:p>
      <w:pPr>
        <w:ind w:right="4959"/>
        <w:spacing w:after="0" w:line="276" w:lineRule="auto"/>
        <w:rPr>
          <w:sz w:val="20"/>
          <w:szCs w:val="20"/>
          <w:color w:val="auto"/>
        </w:rPr>
      </w:pPr>
      <w:r>
        <w:rPr>
          <w:rFonts w:ascii="Arial" w:cs="Arial" w:eastAsia="Arial" w:hAnsi="Arial"/>
          <w:sz w:val="19"/>
          <w:szCs w:val="19"/>
          <w:color w:val="030303"/>
        </w:rPr>
        <w:t>In accordance with Section 2.4 of the Servicing Agreement, Midland Loan Services, a division of PNC Bank, National</w:t>
      </w:r>
    </w:p>
    <w:p>
      <w:pPr>
        <w:spacing w:after="0" w:line="1" w:lineRule="exact"/>
        <w:rPr>
          <w:sz w:val="20"/>
          <w:szCs w:val="20"/>
          <w:color w:val="auto"/>
        </w:rPr>
      </w:pPr>
    </w:p>
    <w:p>
      <w:pPr>
        <w:ind w:right="1619"/>
        <w:spacing w:after="0" w:line="308" w:lineRule="auto"/>
        <w:rPr>
          <w:sz w:val="20"/>
          <w:szCs w:val="20"/>
          <w:color w:val="auto"/>
        </w:rPr>
      </w:pPr>
      <w:r>
        <w:rPr>
          <w:rFonts w:ascii="Arial" w:cs="Arial" w:eastAsia="Arial" w:hAnsi="Arial"/>
          <w:sz w:val="19"/>
          <w:szCs w:val="19"/>
          <w:color w:val="030303"/>
        </w:rPr>
        <w:t>Association, as Control Party, hereby consents to the execution and delivery by the Co-Issuers and the Trustee of this Seventh Supplement to the Amended and Restated Base Indenture</w:t>
      </w:r>
      <w:r>
        <w:rPr>
          <w:rFonts w:ascii="Arial" w:cs="Arial" w:eastAsia="Arial" w:hAnsi="Arial"/>
          <w:sz w:val="19"/>
          <w:szCs w:val="19"/>
          <w:color w:val="000000"/>
        </w:rPr>
        <w: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MIDLAND LOAN SERVICES,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DIVISION OF PNC BANK, NATIONAL ASSOCIATION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/s/ Dugger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4478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24">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 Wm. Dugger Schwartz</w:t>
      </w:r>
    </w:p>
    <w:p>
      <w:pPr>
        <w:ind w:left="440"/>
        <w:spacing w:after="0"/>
        <w:rPr>
          <w:sz w:val="20"/>
          <w:szCs w:val="20"/>
          <w:color w:val="auto"/>
        </w:rPr>
      </w:pPr>
      <w:r>
        <w:rPr>
          <w:rFonts w:ascii="Arial" w:cs="Arial" w:eastAsia="Arial" w:hAnsi="Arial"/>
          <w:sz w:val="22"/>
          <w:szCs w:val="22"/>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 to Seventh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DIRECTION OF CONTROLLING CLASS REPRESENTATIVE:</w:t>
      </w:r>
    </w:p>
    <w:p>
      <w:pPr>
        <w:spacing w:after="0" w:line="206" w:lineRule="exact"/>
        <w:rPr>
          <w:sz w:val="20"/>
          <w:szCs w:val="20"/>
          <w:color w:val="auto"/>
        </w:rPr>
      </w:pPr>
    </w:p>
    <w:p>
      <w:pPr>
        <w:ind w:right="5039"/>
        <w:spacing w:after="0" w:line="238" w:lineRule="auto"/>
        <w:rPr>
          <w:sz w:val="20"/>
          <w:szCs w:val="20"/>
          <w:color w:val="auto"/>
        </w:rPr>
      </w:pPr>
      <w:r>
        <w:rPr>
          <w:rFonts w:ascii="Arial" w:cs="Arial" w:eastAsia="Arial" w:hAnsi="Arial"/>
          <w:sz w:val="22"/>
          <w:szCs w:val="22"/>
          <w:color w:val="auto"/>
        </w:rPr>
        <w:t>Athene Annuity and Life Company, as Controlling Class Representative, hereby directs the Control Party to consent to this Seventh Supplement to the Amended and Restated Base Indenture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ATHENE ANNUITY AND LIFE COMPANY</w:t>
      </w:r>
    </w:p>
    <w:p>
      <w:pPr>
        <w:spacing w:after="0" w:line="238" w:lineRule="auto"/>
        <w:rPr>
          <w:sz w:val="20"/>
          <w:szCs w:val="20"/>
          <w:color w:val="auto"/>
        </w:rPr>
      </w:pPr>
      <w:r>
        <w:rPr>
          <w:rFonts w:ascii="Arial" w:cs="Arial" w:eastAsia="Arial" w:hAnsi="Arial"/>
          <w:sz w:val="22"/>
          <w:szCs w:val="22"/>
          <w:color w:val="auto"/>
        </w:rPr>
        <w:t>By: Apollo Insurance Solutions Group LP, its investment adviser</w:t>
      </w:r>
    </w:p>
    <w:p>
      <w:pPr>
        <w:spacing w:after="0" w:line="230" w:lineRule="auto"/>
        <w:rPr>
          <w:sz w:val="20"/>
          <w:szCs w:val="20"/>
          <w:color w:val="auto"/>
        </w:rPr>
      </w:pPr>
      <w:r>
        <w:rPr>
          <w:rFonts w:ascii="Arial" w:cs="Arial" w:eastAsia="Arial" w:hAnsi="Arial"/>
          <w:sz w:val="22"/>
          <w:szCs w:val="22"/>
          <w:color w:val="auto"/>
        </w:rPr>
        <w:t>By: Apollo Capital Management, L.P., its sub-adviser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Apollo Capital Management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 /s/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391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340"/>
        <w:spacing w:after="0" w:line="238" w:lineRule="auto"/>
        <w:rPr>
          <w:sz w:val="20"/>
          <w:szCs w:val="20"/>
          <w:color w:val="auto"/>
        </w:rPr>
      </w:pPr>
      <w:r>
        <w:rPr>
          <w:rFonts w:ascii="Arial" w:cs="Arial" w:eastAsia="Arial" w:hAnsi="Arial"/>
          <w:sz w:val="22"/>
          <w:szCs w:val="22"/>
          <w:color w:val="auto"/>
        </w:rPr>
        <w:t>Name: Joseph D. Glatt</w:t>
      </w:r>
    </w:p>
    <w:p>
      <w:pPr>
        <w:ind w:left="3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[Signature Page to Seventh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10.79</w:t>
      </w: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4 </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18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HIS</w:t>
      </w:r>
      <w:r>
        <w:rPr>
          <w:rFonts w:ascii="Arial" w:cs="Arial" w:eastAsia="Arial" w:hAnsi="Arial"/>
          <w:sz w:val="20"/>
          <w:szCs w:val="20"/>
          <w:color w:val="auto"/>
        </w:rPr>
        <w:t xml:space="preserve"> A</w:t>
      </w:r>
      <w:r>
        <w:rPr>
          <w:rFonts w:ascii="Arial" w:cs="Arial" w:eastAsia="Arial" w:hAnsi="Arial"/>
          <w:sz w:val="13"/>
          <w:szCs w:val="13"/>
          <w:color w:val="auto"/>
        </w:rPr>
        <w:t>MENDMENT</w:t>
      </w:r>
      <w:r>
        <w:rPr>
          <w:rFonts w:ascii="Arial" w:cs="Arial" w:eastAsia="Arial" w:hAnsi="Arial"/>
          <w:sz w:val="20"/>
          <w:szCs w:val="20"/>
          <w:color w:val="auto"/>
        </w:rPr>
        <w:t xml:space="preserve"> N</w:t>
      </w:r>
      <w:r>
        <w:rPr>
          <w:rFonts w:ascii="Arial" w:cs="Arial" w:eastAsia="Arial" w:hAnsi="Arial"/>
          <w:sz w:val="13"/>
          <w:szCs w:val="13"/>
          <w:color w:val="auto"/>
        </w:rPr>
        <w:t>O</w:t>
      </w:r>
      <w:r>
        <w:rPr>
          <w:rFonts w:ascii="Arial" w:cs="Arial" w:eastAsia="Arial" w:hAnsi="Arial"/>
          <w:sz w:val="20"/>
          <w:szCs w:val="20"/>
          <w:color w:val="auto"/>
        </w:rPr>
        <w:t xml:space="preserve">. 4 </w:t>
      </w:r>
      <w:r>
        <w:rPr>
          <w:rFonts w:ascii="Arial" w:cs="Arial" w:eastAsia="Arial" w:hAnsi="Arial"/>
          <w:sz w:val="13"/>
          <w:szCs w:val="13"/>
          <w:color w:val="auto"/>
        </w:rPr>
        <w:t>TO</w:t>
      </w:r>
      <w:r>
        <w:rPr>
          <w:rFonts w:ascii="Arial" w:cs="Arial" w:eastAsia="Arial" w:hAnsi="Arial"/>
          <w:sz w:val="20"/>
          <w:szCs w:val="20"/>
          <w:color w:val="auto"/>
        </w:rPr>
        <w:t xml:space="preserve"> A</w:t>
      </w:r>
      <w:r>
        <w:rPr>
          <w:rFonts w:ascii="Arial" w:cs="Arial" w:eastAsia="Arial" w:hAnsi="Arial"/>
          <w:sz w:val="13"/>
          <w:szCs w:val="13"/>
          <w:color w:val="auto"/>
        </w:rPr>
        <w:t>MENDED AND</w:t>
      </w:r>
      <w:r>
        <w:rPr>
          <w:rFonts w:ascii="Arial" w:cs="Arial" w:eastAsia="Arial" w:hAnsi="Arial"/>
          <w:sz w:val="20"/>
          <w:szCs w:val="20"/>
          <w:color w:val="auto"/>
        </w:rPr>
        <w:t xml:space="preserve"> R</w:t>
      </w:r>
      <w:r>
        <w:rPr>
          <w:rFonts w:ascii="Arial" w:cs="Arial" w:eastAsia="Arial" w:hAnsi="Arial"/>
          <w:sz w:val="13"/>
          <w:szCs w:val="13"/>
          <w:color w:val="auto"/>
        </w:rPr>
        <w:t>ESTATED</w:t>
      </w:r>
      <w:r>
        <w:rPr>
          <w:rFonts w:ascii="Arial" w:cs="Arial" w:eastAsia="Arial" w:hAnsi="Arial"/>
          <w:sz w:val="20"/>
          <w:szCs w:val="20"/>
          <w:color w:val="auto"/>
        </w:rPr>
        <w:t xml:space="preserve"> M</w:t>
      </w:r>
      <w:r>
        <w:rPr>
          <w:rFonts w:ascii="Arial" w:cs="Arial" w:eastAsia="Arial" w:hAnsi="Arial"/>
          <w:sz w:val="13"/>
          <w:szCs w:val="13"/>
          <w:color w:val="auto"/>
        </w:rPr>
        <w:t>ANAGEMENT</w:t>
      </w:r>
      <w:r>
        <w:rPr>
          <w:rFonts w:ascii="Arial" w:cs="Arial" w:eastAsia="Arial" w:hAnsi="Arial"/>
          <w:sz w:val="20"/>
          <w:szCs w:val="20"/>
          <w:color w:val="auto"/>
        </w:rPr>
        <w:t xml:space="preserve"> A</w:t>
      </w:r>
      <w:r>
        <w:rPr>
          <w:rFonts w:ascii="Arial" w:cs="Arial" w:eastAsia="Arial" w:hAnsi="Arial"/>
          <w:sz w:val="13"/>
          <w:szCs w:val="13"/>
          <w:color w:val="auto"/>
        </w:rPr>
        <w:t>GREEMENT</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Amendment</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xml:space="preserve"> dated as of December 30, 2021, is made pursuant to that certain Amended and Restated Management Agreement dated as of March 15, 2012, (as amended by the Amendment No. 1 to Amended and Restated Management Agreement, dated as of October 21, 2015, by the Amendment No. 2 to Amended and Restated Management Agreement, dated as of July 24, 2017, and by the Amendment No. 3 to Amended and Restated Management Agreement, dated as of April 16, 2021,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Domino’s Pizza Master Issuer LLC, a Delaware limited liability company (the “</w:t>
      </w:r>
      <w:r>
        <w:rPr>
          <w:rFonts w:ascii="Arial" w:cs="Arial" w:eastAsia="Arial" w:hAnsi="Arial"/>
          <w:sz w:val="20"/>
          <w:szCs w:val="20"/>
          <w:u w:val="single" w:color="auto"/>
          <w:color w:val="auto"/>
        </w:rPr>
        <w:t>Master Issuer</w:t>
      </w:r>
      <w:r>
        <w:rPr>
          <w:rFonts w:ascii="Arial" w:cs="Arial" w:eastAsia="Arial" w:hAnsi="Arial"/>
          <w:sz w:val="20"/>
          <w:szCs w:val="20"/>
          <w:color w:val="auto"/>
        </w:rPr>
        <w:t>”), Domino’s Pizza Distribution LLC, a Delaware limited liability company (the “</w:t>
      </w:r>
      <w:r>
        <w:rPr>
          <w:rFonts w:ascii="Arial" w:cs="Arial" w:eastAsia="Arial" w:hAnsi="Arial"/>
          <w:sz w:val="20"/>
          <w:szCs w:val="20"/>
          <w:u w:val="single" w:color="auto"/>
          <w:color w:val="auto"/>
        </w:rPr>
        <w:t>Domestic Distributor</w:t>
      </w:r>
      <w:r>
        <w:rPr>
          <w:rFonts w:ascii="Arial" w:cs="Arial" w:eastAsia="Arial" w:hAnsi="Arial"/>
          <w:sz w:val="20"/>
          <w:szCs w:val="20"/>
          <w:color w:val="auto"/>
        </w:rPr>
        <w:t>”), Domino’s SPV Canadian Holding Company Inc., a Delaware corporation (the “</w:t>
      </w:r>
      <w:r>
        <w:rPr>
          <w:rFonts w:ascii="Arial" w:cs="Arial" w:eastAsia="Arial" w:hAnsi="Arial"/>
          <w:sz w:val="20"/>
          <w:szCs w:val="20"/>
          <w:u w:val="single" w:color="auto"/>
          <w:color w:val="auto"/>
        </w:rPr>
        <w:t>SPV Canadian Holdco</w:t>
      </w:r>
      <w:r>
        <w:rPr>
          <w:rFonts w:ascii="Arial" w:cs="Arial" w:eastAsia="Arial" w:hAnsi="Arial"/>
          <w:sz w:val="20"/>
          <w:szCs w:val="20"/>
          <w:color w:val="auto"/>
        </w:rPr>
        <w:t>”), Domino’s IP Holder LLC, a Delaware limited liability company (the “</w:t>
      </w:r>
      <w:r>
        <w:rPr>
          <w:rFonts w:ascii="Arial" w:cs="Arial" w:eastAsia="Arial" w:hAnsi="Arial"/>
          <w:sz w:val="20"/>
          <w:szCs w:val="20"/>
          <w:u w:val="single" w:color="auto"/>
          <w:color w:val="auto"/>
        </w:rPr>
        <w:t>IP Holder</w:t>
      </w:r>
      <w:r>
        <w:rPr>
          <w:rFonts w:ascii="Arial" w:cs="Arial" w:eastAsia="Arial" w:hAnsi="Arial"/>
          <w:sz w:val="20"/>
          <w:szCs w:val="20"/>
          <w:color w:val="auto"/>
        </w:rPr>
        <w:t>”, and together with the Master Issuer, the Domestic Distributor and SPV Canadian Holdco, the “</w:t>
      </w:r>
      <w:r>
        <w:rPr>
          <w:rFonts w:ascii="Arial" w:cs="Arial" w:eastAsia="Arial" w:hAnsi="Arial"/>
          <w:sz w:val="20"/>
          <w:szCs w:val="20"/>
          <w:u w:val="single" w:color="auto"/>
          <w:color w:val="auto"/>
        </w:rPr>
        <w:t>Co-Issuers</w:t>
      </w:r>
      <w:r>
        <w:rPr>
          <w:rFonts w:ascii="Arial" w:cs="Arial" w:eastAsia="Arial" w:hAnsi="Arial"/>
          <w:sz w:val="20"/>
          <w:szCs w:val="20"/>
          <w:color w:val="auto"/>
        </w:rPr>
        <w:t>”), Domino’s SPV Guarantor LLC, a Delaware limited liability company (the “</w:t>
      </w:r>
      <w:r>
        <w:rPr>
          <w:rFonts w:ascii="Arial" w:cs="Arial" w:eastAsia="Arial" w:hAnsi="Arial"/>
          <w:sz w:val="20"/>
          <w:szCs w:val="20"/>
          <w:u w:val="single" w:color="auto"/>
          <w:color w:val="auto"/>
        </w:rPr>
        <w:t>SPV Guarantor</w:t>
      </w:r>
      <w:r>
        <w:rPr>
          <w:rFonts w:ascii="Arial" w:cs="Arial" w:eastAsia="Arial" w:hAnsi="Arial"/>
          <w:sz w:val="20"/>
          <w:szCs w:val="20"/>
          <w:color w:val="auto"/>
        </w:rPr>
        <w:t>”), Domino’s Pizza Franchising LLC, a Delaware limited liability company (the “</w:t>
      </w:r>
      <w:r>
        <w:rPr>
          <w:rFonts w:ascii="Arial" w:cs="Arial" w:eastAsia="Arial" w:hAnsi="Arial"/>
          <w:sz w:val="20"/>
          <w:szCs w:val="20"/>
          <w:u w:val="single" w:color="auto"/>
          <w:color w:val="auto"/>
        </w:rPr>
        <w:t>Domestic Franchisor</w:t>
      </w:r>
      <w:r>
        <w:rPr>
          <w:rFonts w:ascii="Arial" w:cs="Arial" w:eastAsia="Arial" w:hAnsi="Arial"/>
          <w:sz w:val="20"/>
          <w:szCs w:val="20"/>
          <w:color w:val="auto"/>
        </w:rPr>
        <w:t>”), Domino’s Pizza International Franchising Inc., a Delaware corporation (the “</w:t>
      </w:r>
      <w:r>
        <w:rPr>
          <w:rFonts w:ascii="Arial" w:cs="Arial" w:eastAsia="Arial" w:hAnsi="Arial"/>
          <w:sz w:val="20"/>
          <w:szCs w:val="20"/>
          <w:u w:val="single" w:color="auto"/>
          <w:color w:val="auto"/>
        </w:rPr>
        <w:t>International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Franchisor</w:t>
      </w:r>
      <w:r>
        <w:rPr>
          <w:rFonts w:ascii="Arial" w:cs="Arial" w:eastAsia="Arial" w:hAnsi="Arial"/>
          <w:sz w:val="20"/>
          <w:szCs w:val="20"/>
          <w:color w:val="auto"/>
        </w:rPr>
        <w:t>”), Domino’s Pizza Canadian Distribution ULC, a Nova Scotia unlimited company (the “</w:t>
      </w:r>
      <w:r>
        <w:rPr>
          <w:rFonts w:ascii="Arial" w:cs="Arial" w:eastAsia="Arial" w:hAnsi="Arial"/>
          <w:sz w:val="20"/>
          <w:szCs w:val="20"/>
          <w:u w:val="single" w:color="auto"/>
          <w:color w:val="auto"/>
        </w:rPr>
        <w:t>Canadian Distributor</w:t>
      </w:r>
      <w:r>
        <w:rPr>
          <w:rFonts w:ascii="Arial" w:cs="Arial" w:eastAsia="Arial" w:hAnsi="Arial"/>
          <w:sz w:val="20"/>
          <w:szCs w:val="20"/>
          <w:color w:val="auto"/>
        </w:rPr>
        <w:t>”), Domino’s EQ LLC, a Delaware limited liability company (the “</w:t>
      </w:r>
      <w:r>
        <w:rPr>
          <w:rFonts w:ascii="Arial" w:cs="Arial" w:eastAsia="Arial" w:hAnsi="Arial"/>
          <w:sz w:val="20"/>
          <w:szCs w:val="20"/>
          <w:u w:val="single" w:color="auto"/>
          <w:color w:val="auto"/>
        </w:rPr>
        <w:t>Domestic Distribution Equipment Holder</w:t>
      </w:r>
      <w:r>
        <w:rPr>
          <w:rFonts w:ascii="Arial" w:cs="Arial" w:eastAsia="Arial" w:hAnsi="Arial"/>
          <w:sz w:val="20"/>
          <w:szCs w:val="20"/>
          <w:color w:val="auto"/>
        </w:rPr>
        <w:t>”), Domino’s RE LLC, a Delaware limited liability company (the “</w:t>
      </w:r>
      <w:r>
        <w:rPr>
          <w:rFonts w:ascii="Arial" w:cs="Arial" w:eastAsia="Arial" w:hAnsi="Arial"/>
          <w:sz w:val="20"/>
          <w:szCs w:val="20"/>
          <w:u w:val="single" w:color="auto"/>
          <w:color w:val="auto"/>
        </w:rPr>
        <w:t>Domestic Distribution Real Estate Holder</w:t>
      </w:r>
      <w:r>
        <w:rPr>
          <w:rFonts w:ascii="Arial" w:cs="Arial" w:eastAsia="Arial" w:hAnsi="Arial"/>
          <w:sz w:val="20"/>
          <w:szCs w:val="20"/>
          <w:color w:val="auto"/>
        </w:rPr>
        <w:t>”), Domino’s Pizza International Franchising of Michigan LLC, a Michigan limited liability company (the “</w:t>
      </w:r>
      <w:r>
        <w:rPr>
          <w:rFonts w:ascii="Arial" w:cs="Arial" w:eastAsia="Arial" w:hAnsi="Arial"/>
          <w:sz w:val="20"/>
          <w:szCs w:val="20"/>
          <w:u w:val="single" w:color="auto"/>
          <w:color w:val="auto"/>
        </w:rPr>
        <w:t>International Franchisor (Michigan)</w:t>
      </w:r>
      <w:r>
        <w:rPr>
          <w:rFonts w:ascii="Arial" w:cs="Arial" w:eastAsia="Arial" w:hAnsi="Arial"/>
          <w:sz w:val="20"/>
          <w:szCs w:val="20"/>
          <w:color w:val="auto"/>
        </w:rPr>
        <w:t>”, and together with the SPV Guarantor, the Domestic Franchisor, the International Franchisor, the Canadian Distributor, the Domestic Distribution Equipment Holder and the Domestic Distribution Real Estate Holder, the “</w:t>
      </w:r>
      <w:r>
        <w:rPr>
          <w:rFonts w:ascii="Arial" w:cs="Arial" w:eastAsia="Arial" w:hAnsi="Arial"/>
          <w:sz w:val="20"/>
          <w:szCs w:val="20"/>
          <w:u w:val="single" w:color="auto"/>
          <w:color w:val="auto"/>
        </w:rPr>
        <w:t>Guarantors</w:t>
      </w:r>
      <w:r>
        <w:rPr>
          <w:rFonts w:ascii="Arial" w:cs="Arial" w:eastAsia="Arial" w:hAnsi="Arial"/>
          <w:sz w:val="20"/>
          <w:szCs w:val="20"/>
          <w:color w:val="auto"/>
        </w:rPr>
        <w:t>”), Domino’s Pizza LLC, a Michigan limited liability company (“</w:t>
      </w:r>
      <w:r>
        <w:rPr>
          <w:rFonts w:ascii="Arial" w:cs="Arial" w:eastAsia="Arial" w:hAnsi="Arial"/>
          <w:sz w:val="20"/>
          <w:szCs w:val="20"/>
          <w:u w:val="single" w:color="auto"/>
          <w:color w:val="auto"/>
        </w:rPr>
        <w:t>DPL</w:t>
      </w:r>
      <w:r>
        <w:rPr>
          <w:rFonts w:ascii="Arial" w:cs="Arial" w:eastAsia="Arial" w:hAnsi="Arial"/>
          <w:sz w:val="20"/>
          <w:szCs w:val="20"/>
          <w:color w:val="auto"/>
        </w:rPr>
        <w:t>”), Domino’s Pizza NS Co., a Nova Scotia unlimited company (the “</w:t>
      </w:r>
      <w:r>
        <w:rPr>
          <w:rFonts w:ascii="Arial" w:cs="Arial" w:eastAsia="Arial" w:hAnsi="Arial"/>
          <w:sz w:val="20"/>
          <w:szCs w:val="20"/>
          <w:u w:val="single" w:color="auto"/>
          <w:color w:val="auto"/>
        </w:rPr>
        <w:t>Canadian Manufacturer</w:t>
      </w:r>
      <w:r>
        <w:rPr>
          <w:rFonts w:ascii="Arial" w:cs="Arial" w:eastAsia="Arial" w:hAnsi="Arial"/>
          <w:sz w:val="20"/>
          <w:szCs w:val="20"/>
          <w:color w:val="auto"/>
        </w:rPr>
        <w:t>”), Citibank, N.A. (“</w:t>
      </w:r>
      <w:r>
        <w:rPr>
          <w:rFonts w:ascii="Arial" w:cs="Arial" w:eastAsia="Arial" w:hAnsi="Arial"/>
          <w:sz w:val="20"/>
          <w:szCs w:val="20"/>
          <w:u w:val="single" w:color="auto"/>
          <w:color w:val="auto"/>
        </w:rPr>
        <w:t>Citibank</w:t>
      </w:r>
      <w:r>
        <w:rPr>
          <w:rFonts w:ascii="Arial" w:cs="Arial" w:eastAsia="Arial" w:hAnsi="Arial"/>
          <w:sz w:val="20"/>
          <w:szCs w:val="20"/>
          <w:color w:val="auto"/>
        </w:rPr>
        <w:t>”), as trustee (the “</w:t>
      </w:r>
      <w:r>
        <w:rPr>
          <w:rFonts w:ascii="Arial" w:cs="Arial" w:eastAsia="Arial" w:hAnsi="Arial"/>
          <w:sz w:val="20"/>
          <w:szCs w:val="20"/>
          <w:u w:val="single" w:color="auto"/>
          <w:color w:val="auto"/>
        </w:rPr>
        <w:t>Trustee</w:t>
      </w:r>
      <w:r>
        <w:rPr>
          <w:rFonts w:ascii="Arial" w:cs="Arial" w:eastAsia="Arial" w:hAnsi="Arial"/>
          <w:sz w:val="20"/>
          <w:szCs w:val="20"/>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ITNESSETH</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Section 8.2 of the Agreement provides, among other things, that the parties to the Agreement may amend the Agreement from time to time in a writing by such parties;</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the Co-Issuers, the Guarantors, DPL, the Canadian Manufacturer and the Trustee wish to amend the Agreement as set forth herein;</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w:t>
      </w:r>
      <w:r>
        <w:rPr>
          <w:rFonts w:ascii="Arial" w:cs="Arial" w:eastAsia="Arial" w:hAnsi="Arial"/>
          <w:sz w:val="14"/>
          <w:szCs w:val="14"/>
          <w:color w:val="auto"/>
        </w:rPr>
        <w:t>HEREAS</w:t>
      </w:r>
      <w:r>
        <w:rPr>
          <w:rFonts w:ascii="Arial" w:cs="Arial" w:eastAsia="Arial" w:hAnsi="Arial"/>
          <w:sz w:val="22"/>
          <w:szCs w:val="22"/>
          <w:color w:val="auto"/>
        </w:rPr>
        <w:t>, the Co-Issuers, the Guarantors, DPL and the Canadian Manufacturer have duly authorized the execution and delivery of this Amendment;</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OW</w:t>
      </w:r>
      <w:r>
        <w:rPr>
          <w:rFonts w:ascii="Arial" w:cs="Arial" w:eastAsia="Arial" w:hAnsi="Arial"/>
          <w:sz w:val="22"/>
          <w:szCs w:val="22"/>
          <w:color w:val="auto"/>
        </w:rPr>
        <w:t>, T</w:t>
      </w:r>
      <w:r>
        <w:rPr>
          <w:rFonts w:ascii="Arial" w:cs="Arial" w:eastAsia="Arial" w:hAnsi="Arial"/>
          <w:sz w:val="14"/>
          <w:szCs w:val="14"/>
          <w:color w:val="auto"/>
        </w:rPr>
        <w:t>HEREFORE</w:t>
      </w:r>
      <w:r>
        <w:rPr>
          <w:rFonts w:ascii="Arial" w:cs="Arial" w:eastAsia="Arial" w:hAnsi="Arial"/>
          <w:sz w:val="22"/>
          <w:szCs w:val="22"/>
          <w:color w:val="auto"/>
        </w:rPr>
        <w:t>, for good and valuable consideration, the receipt and sufficiency of which are hereby acknowledged, the parties hereto, intending to be legally bound, agree as follows: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Section 1.Defined Terms. </w:t>
      </w:r>
      <w:r>
        <w:rPr>
          <w:rFonts w:ascii="Arial" w:cs="Arial" w:eastAsia="Arial" w:hAnsi="Arial"/>
          <w:sz w:val="22"/>
          <w:szCs w:val="22"/>
          <w:color w:val="auto"/>
        </w:rPr>
        <w:t>Unless otherwise amended by the terms of this Amendment, terms used in this Amendment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meanings assigned in the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i w:val="1"/>
          <w:iCs w:val="1"/>
          <w:color w:val="auto"/>
        </w:rPr>
        <w:t>Section 2.Amendments.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ind w:left="1060"/>
        <w:spacing w:after="0"/>
        <w:tabs>
          <w:tab w:leader="none" w:pos="25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The Agreement is hereby amended to amend and restate the preamble as follows:</w:t>
      </w:r>
    </w:p>
    <w:p>
      <w:pPr>
        <w:spacing w:after="0" w:line="206" w:lineRule="exact"/>
        <w:rPr>
          <w:sz w:val="20"/>
          <w:szCs w:val="20"/>
          <w:color w:val="auto"/>
        </w:rPr>
      </w:pPr>
    </w:p>
    <w:p>
      <w:pPr>
        <w:jc w:val="both"/>
        <w:ind w:left="320" w:firstLine="749"/>
        <w:spacing w:after="0" w:line="269" w:lineRule="auto"/>
        <w:rPr>
          <w:sz w:val="20"/>
          <w:szCs w:val="20"/>
          <w:color w:val="auto"/>
        </w:rPr>
      </w:pPr>
      <w:r>
        <w:rPr>
          <w:rFonts w:ascii="Arial" w:cs="Arial" w:eastAsia="Arial" w:hAnsi="Arial"/>
          <w:sz w:val="19"/>
          <w:szCs w:val="19"/>
          <w:color w:val="auto"/>
        </w:rPr>
        <w:t>This AMENDED AND RESTATED MANAGEMENT AGREEMENT, dated as March 15, 2012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and among Domino's Pizza Master Issuer LLC, a Delaware limited liability company (the "</w:t>
      </w:r>
      <w:r>
        <w:rPr>
          <w:rFonts w:ascii="Arial" w:cs="Arial" w:eastAsia="Arial" w:hAnsi="Arial"/>
          <w:sz w:val="19"/>
          <w:szCs w:val="19"/>
          <w:u w:val="single" w:color="auto"/>
          <w:color w:val="auto"/>
        </w:rPr>
        <w:t>Master Issuer</w:t>
      </w:r>
      <w:r>
        <w:rPr>
          <w:rFonts w:ascii="Arial" w:cs="Arial" w:eastAsia="Arial" w:hAnsi="Arial"/>
          <w:sz w:val="19"/>
          <w:szCs w:val="19"/>
          <w:color w:val="auto"/>
        </w:rPr>
        <w:t>"), Domino's Pizza Distribution LLC, a Delaware limited liability company (the "</w:t>
      </w:r>
      <w:r>
        <w:rPr>
          <w:rFonts w:ascii="Arial" w:cs="Arial" w:eastAsia="Arial" w:hAnsi="Arial"/>
          <w:sz w:val="19"/>
          <w:szCs w:val="19"/>
          <w:u w:val="single" w:color="auto"/>
          <w:color w:val="auto"/>
        </w:rPr>
        <w:t>Domestic</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Distributor</w:t>
      </w:r>
      <w:r>
        <w:rPr>
          <w:rFonts w:ascii="Arial" w:cs="Arial" w:eastAsia="Arial" w:hAnsi="Arial"/>
          <w:sz w:val="19"/>
          <w:szCs w:val="19"/>
          <w:color w:val="auto"/>
        </w:rPr>
        <w:t>"), Domino's SPV Canadian Holding Company Inc., a Delaware corporation (the "</w:t>
      </w:r>
      <w:r>
        <w:rPr>
          <w:rFonts w:ascii="Arial" w:cs="Arial" w:eastAsia="Arial" w:hAnsi="Arial"/>
          <w:sz w:val="19"/>
          <w:szCs w:val="19"/>
          <w:u w:val="single" w:color="auto"/>
          <w:color w:val="auto"/>
        </w:rPr>
        <w:t>SPV Canadian Holdco</w:t>
      </w:r>
      <w:r>
        <w:rPr>
          <w:rFonts w:ascii="Arial" w:cs="Arial" w:eastAsia="Arial" w:hAnsi="Arial"/>
          <w:sz w:val="19"/>
          <w:szCs w:val="19"/>
          <w:color w:val="auto"/>
        </w:rPr>
        <w:t>"), Domino's IP Holder LLC, a Delaware limited liability company (the "</w:t>
      </w:r>
      <w:r>
        <w:rPr>
          <w:rFonts w:ascii="Arial" w:cs="Arial" w:eastAsia="Arial" w:hAnsi="Arial"/>
          <w:sz w:val="19"/>
          <w:szCs w:val="19"/>
          <w:u w:val="single" w:color="auto"/>
          <w:color w:val="auto"/>
        </w:rPr>
        <w:t>IP Holder</w:t>
      </w:r>
      <w:r>
        <w:rPr>
          <w:rFonts w:ascii="Arial" w:cs="Arial" w:eastAsia="Arial" w:hAnsi="Arial"/>
          <w:sz w:val="19"/>
          <w:szCs w:val="19"/>
          <w:color w:val="auto"/>
        </w:rPr>
        <w:t>", and together with the Master Issuer, the Domestic Distributor and SPV Canadian Holdco, the "</w:t>
      </w:r>
      <w:r>
        <w:rPr>
          <w:rFonts w:ascii="Arial" w:cs="Arial" w:eastAsia="Arial" w:hAnsi="Arial"/>
          <w:sz w:val="19"/>
          <w:szCs w:val="19"/>
          <w:u w:val="single" w:color="auto"/>
          <w:color w:val="auto"/>
        </w:rPr>
        <w:t>Co-Issuers</w:t>
      </w:r>
      <w:r>
        <w:rPr>
          <w:rFonts w:ascii="Arial" w:cs="Arial" w:eastAsia="Arial" w:hAnsi="Arial"/>
          <w:sz w:val="19"/>
          <w:szCs w:val="19"/>
          <w:color w:val="auto"/>
        </w:rPr>
        <w:t>"), Domino's SPV Guarantor LLC, a Delaware limited liability company (the "</w:t>
      </w:r>
      <w:r>
        <w:rPr>
          <w:rFonts w:ascii="Arial" w:cs="Arial" w:eastAsia="Arial" w:hAnsi="Arial"/>
          <w:sz w:val="19"/>
          <w:szCs w:val="19"/>
          <w:u w:val="single" w:color="auto"/>
          <w:color w:val="auto"/>
        </w:rPr>
        <w:t>SPV Guarantor</w:t>
      </w:r>
      <w:r>
        <w:rPr>
          <w:rFonts w:ascii="Arial" w:cs="Arial" w:eastAsia="Arial" w:hAnsi="Arial"/>
          <w:sz w:val="19"/>
          <w:szCs w:val="19"/>
          <w:color w:val="auto"/>
        </w:rPr>
        <w:t>"), Domino's Pizza Franchising LLC, a Delaware limited liability company (the "</w:t>
      </w:r>
      <w:r>
        <w:rPr>
          <w:rFonts w:ascii="Arial" w:cs="Arial" w:eastAsia="Arial" w:hAnsi="Arial"/>
          <w:sz w:val="19"/>
          <w:szCs w:val="19"/>
          <w:u w:val="single" w:color="auto"/>
          <w:color w:val="auto"/>
        </w:rPr>
        <w:t>Domestic Franchisor</w:t>
      </w:r>
      <w:r>
        <w:rPr>
          <w:rFonts w:ascii="Arial" w:cs="Arial" w:eastAsia="Arial" w:hAnsi="Arial"/>
          <w:sz w:val="19"/>
          <w:szCs w:val="19"/>
          <w:color w:val="auto"/>
        </w:rPr>
        <w:t>"), Domino's Pizza International Franchising Inc., a Delaware corporation (the "</w:t>
      </w:r>
      <w:r>
        <w:rPr>
          <w:rFonts w:ascii="Arial" w:cs="Arial" w:eastAsia="Arial" w:hAnsi="Arial"/>
          <w:sz w:val="19"/>
          <w:szCs w:val="19"/>
          <w:u w:val="single" w:color="auto"/>
          <w:color w:val="auto"/>
        </w:rPr>
        <w:t>International Franchisor</w:t>
      </w:r>
      <w:r>
        <w:rPr>
          <w:rFonts w:ascii="Arial" w:cs="Arial" w:eastAsia="Arial" w:hAnsi="Arial"/>
          <w:sz w:val="19"/>
          <w:szCs w:val="19"/>
          <w:color w:val="auto"/>
        </w:rPr>
        <w:t>"), Domino's Pizza Canadian Distribution ULC, a Nova Scotia unlimited company (the "</w:t>
      </w:r>
      <w:r>
        <w:rPr>
          <w:rFonts w:ascii="Arial" w:cs="Arial" w:eastAsia="Arial" w:hAnsi="Arial"/>
          <w:sz w:val="19"/>
          <w:szCs w:val="19"/>
          <w:u w:val="single" w:color="auto"/>
          <w:color w:val="auto"/>
        </w:rPr>
        <w:t>Canadian Distributor</w:t>
      </w:r>
      <w:r>
        <w:rPr>
          <w:rFonts w:ascii="Arial" w:cs="Arial" w:eastAsia="Arial" w:hAnsi="Arial"/>
          <w:sz w:val="19"/>
          <w:szCs w:val="19"/>
          <w:color w:val="auto"/>
        </w:rPr>
        <w:t>"), Domino's EQ LLC, a Delaware limited liability company (the "</w:t>
      </w:r>
      <w:r>
        <w:rPr>
          <w:rFonts w:ascii="Arial" w:cs="Arial" w:eastAsia="Arial" w:hAnsi="Arial"/>
          <w:sz w:val="19"/>
          <w:szCs w:val="19"/>
          <w:u w:val="single" w:color="auto"/>
          <w:color w:val="auto"/>
        </w:rPr>
        <w:t>Domestic Distribution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Equipment Holder</w:t>
      </w:r>
      <w:r>
        <w:rPr>
          <w:rFonts w:ascii="Arial" w:cs="Arial" w:eastAsia="Arial" w:hAnsi="Arial"/>
          <w:sz w:val="19"/>
          <w:szCs w:val="19"/>
          <w:color w:val="auto"/>
        </w:rPr>
        <w:t>"), Domino's RE LLC, a Delaware limited liability company (the "</w:t>
      </w:r>
      <w:r>
        <w:rPr>
          <w:rFonts w:ascii="Arial" w:cs="Arial" w:eastAsia="Arial" w:hAnsi="Arial"/>
          <w:sz w:val="19"/>
          <w:szCs w:val="19"/>
          <w:u w:val="single" w:color="auto"/>
          <w:color w:val="auto"/>
        </w:rPr>
        <w:t>Domestic Distribution Real Estate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Domino’s Pizza International Franchising of Michigan LLC, a Michigan limited liability company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“International Franchisor (Michigan)”</w:t>
      </w:r>
      <w:r>
        <w:rPr>
          <w:rFonts w:ascii="Arial" w:cs="Arial" w:eastAsia="Arial" w:hAnsi="Arial"/>
          <w:sz w:val="19"/>
          <w:szCs w:val="19"/>
          <w:color w:val="auto"/>
        </w:rPr>
        <w:t>, and together with the SPV Guarantor, the Domestic Franchisor,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Franchisor, the Canadian Distributor</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strike w:val="1"/>
        </w:rPr>
        <w:t>and</w:t>
      </w:r>
      <w:r>
        <w:rPr>
          <w:rFonts w:ascii="Arial" w:cs="Arial" w:eastAsia="Arial" w:hAnsi="Arial"/>
          <w:sz w:val="19"/>
          <w:szCs w:val="19"/>
          <w:color w:val="auto"/>
        </w:rPr>
        <w:t xml:space="preserve"> the Domestic Distribution Equipment Holder </w:t>
      </w:r>
      <w:r>
        <w:rPr>
          <w:rFonts w:ascii="Arial" w:cs="Arial" w:eastAsia="Arial" w:hAnsi="Arial"/>
          <w:sz w:val="19"/>
          <w:szCs w:val="19"/>
          <w:b w:val="1"/>
          <w:bCs w:val="1"/>
          <w:color w:val="auto"/>
        </w:rPr>
        <w:t>and the Domestic</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Distribution Real Estate Holder</w:t>
      </w:r>
      <w:r>
        <w:rPr>
          <w:rFonts w:ascii="Arial" w:cs="Arial" w:eastAsia="Arial" w:hAnsi="Arial"/>
          <w:sz w:val="19"/>
          <w:szCs w:val="19"/>
          <w:color w:val="auto"/>
        </w:rPr>
        <w:t>, the "</w:t>
      </w:r>
      <w:r>
        <w:rPr>
          <w:rFonts w:ascii="Arial" w:cs="Arial" w:eastAsia="Arial" w:hAnsi="Arial"/>
          <w:sz w:val="19"/>
          <w:szCs w:val="19"/>
          <w:u w:val="single" w:color="auto"/>
          <w:color w:val="auto"/>
        </w:rPr>
        <w:t>Guarantors</w:t>
      </w:r>
      <w:r>
        <w:rPr>
          <w:rFonts w:ascii="Arial" w:cs="Arial" w:eastAsia="Arial" w:hAnsi="Arial"/>
          <w:sz w:val="19"/>
          <w:szCs w:val="19"/>
          <w:color w:val="auto"/>
        </w:rPr>
        <w:t>"), Domino's Pizza LLC, a Michigan limited liability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DPL</w:t>
      </w:r>
      <w:r>
        <w:rPr>
          <w:rFonts w:ascii="Arial" w:cs="Arial" w:eastAsia="Arial" w:hAnsi="Arial"/>
          <w:sz w:val="19"/>
          <w:szCs w:val="19"/>
          <w:color w:val="auto"/>
        </w:rPr>
        <w:t>"), Domino's Pizza NS Co., a Nova Scotia unlimited company (the "</w:t>
      </w:r>
      <w:r>
        <w:rPr>
          <w:rFonts w:ascii="Arial" w:cs="Arial" w:eastAsia="Arial" w:hAnsi="Arial"/>
          <w:sz w:val="19"/>
          <w:szCs w:val="19"/>
          <w:u w:val="single" w:color="auto"/>
          <w:color w:val="auto"/>
        </w:rPr>
        <w:t>Canadian Manufacturer</w:t>
      </w:r>
      <w:r>
        <w:rPr>
          <w:rFonts w:ascii="Arial" w:cs="Arial" w:eastAsia="Arial" w:hAnsi="Arial"/>
          <w:sz w:val="19"/>
          <w:szCs w:val="19"/>
          <w:color w:val="auto"/>
        </w:rPr>
        <w:t>"), Citibank, N.A. ("</w:t>
      </w:r>
      <w:r>
        <w:rPr>
          <w:rFonts w:ascii="Arial" w:cs="Arial" w:eastAsia="Arial" w:hAnsi="Arial"/>
          <w:sz w:val="19"/>
          <w:szCs w:val="19"/>
          <w:u w:val="single" w:color="auto"/>
          <w:color w:val="auto"/>
        </w:rPr>
        <w:t>Citibank</w:t>
      </w:r>
      <w:r>
        <w:rPr>
          <w:rFonts w:ascii="Arial" w:cs="Arial" w:eastAsia="Arial" w:hAnsi="Arial"/>
          <w:sz w:val="19"/>
          <w:szCs w:val="19"/>
          <w:color w:val="auto"/>
        </w:rPr>
        <w:t>"),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and any other Securitization Entity that becomes party to this Agreement by execution of a joinder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This Agreement amends and restates the Master Servicing Agreement, dated as of April 16, 2007, by and among the Co-Issuers, the SPV Guarantor, the Domestic Franchisor, the International Franchisor, the Canadian Distributor, the Manager, the Canadian Manufacturer and Citibank, N.A., as trustee. For all purposes of this Agreement, capitalized terms used herein but not otherwise defined herein shall have the meanings ascribed thereto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to the Base Indenture (as defined below). "</w:t>
      </w:r>
      <w:r>
        <w:rPr>
          <w:rFonts w:ascii="Arial" w:cs="Arial" w:eastAsia="Arial" w:hAnsi="Arial"/>
          <w:sz w:val="19"/>
          <w:szCs w:val="19"/>
          <w:u w:val="single" w:color="auto"/>
          <w:color w:val="auto"/>
        </w:rPr>
        <w:t>Manager</w:t>
      </w:r>
      <w:r>
        <w:rPr>
          <w:rFonts w:ascii="Arial" w:cs="Arial" w:eastAsia="Arial" w:hAnsi="Arial"/>
          <w:sz w:val="19"/>
          <w:szCs w:val="19"/>
          <w:color w:val="auto"/>
        </w:rPr>
        <w:t xml:space="preserve">", when in reference to (a) the servicing of the Managed Assets of the Canadian Distributor, shall mean the Canadian Manufacturer, and (b) the servicing of all other Managed Assets, shall mean DPL;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w:t>
      </w:r>
      <w:r>
        <w:rPr>
          <w:rFonts w:ascii="Arial" w:cs="Arial" w:eastAsia="Arial" w:hAnsi="Arial"/>
          <w:sz w:val="19"/>
          <w:szCs w:val="19"/>
          <w:u w:val="single" w:color="auto"/>
          <w:color w:val="auto"/>
        </w:rPr>
        <w:t>Manager</w:t>
      </w:r>
      <w:r>
        <w:rPr>
          <w:rFonts w:ascii="Arial" w:cs="Arial" w:eastAsia="Arial" w:hAnsi="Arial"/>
          <w:sz w:val="19"/>
          <w:szCs w:val="19"/>
          <w:color w:val="auto"/>
        </w:rPr>
        <w:t xml:space="preserve">" shall mean only DPL with respect to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2.7</w:t>
      </w:r>
      <w:r>
        <w:rPr>
          <w:rFonts w:ascii="Arial" w:cs="Arial" w:eastAsia="Arial" w:hAnsi="Arial"/>
          <w:sz w:val="19"/>
          <w:szCs w:val="19"/>
          <w:color w:val="auto"/>
        </w:rPr>
        <w:t xml:space="preserve">, </w:t>
      </w:r>
      <w:r>
        <w:rPr>
          <w:rFonts w:ascii="Arial" w:cs="Arial" w:eastAsia="Arial" w:hAnsi="Arial"/>
          <w:sz w:val="19"/>
          <w:szCs w:val="19"/>
          <w:u w:val="single" w:color="auto"/>
          <w:color w:val="auto"/>
        </w:rPr>
        <w:t>2.8</w:t>
      </w:r>
      <w:r>
        <w:rPr>
          <w:rFonts w:ascii="Arial" w:cs="Arial" w:eastAsia="Arial" w:hAnsi="Arial"/>
          <w:sz w:val="19"/>
          <w:szCs w:val="19"/>
          <w:color w:val="auto"/>
        </w:rPr>
        <w:t xml:space="preserve">, </w:t>
      </w:r>
      <w:r>
        <w:rPr>
          <w:rFonts w:ascii="Arial" w:cs="Arial" w:eastAsia="Arial" w:hAnsi="Arial"/>
          <w:sz w:val="19"/>
          <w:szCs w:val="19"/>
          <w:u w:val="single" w:color="auto"/>
          <w:color w:val="auto"/>
        </w:rPr>
        <w:t>4.1(a)(i)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herein. All other representations, warranties and covenants of or about DPL made herein are repeated herein with respect to the Canadian Manufacturer, as applicable, as though fully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-1894205</wp:posOffset>
            </wp:positionV>
            <wp:extent cx="106489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9">
                      <a:extLst>
                        <a:ext uri="{28A0092B-C50C-407E-A947-70E740481C1C}"/>
                      </a:extLst>
                    </a:blip>
                    <a:srcRect/>
                    <a:stretch>
                      <a:fillRect/>
                    </a:stretch>
                  </pic:blipFill>
                  <pic:spPr bwMode="auto">
                    <a:xfrm>
                      <a:off x="0" y="0"/>
                      <a:ext cx="1064895" cy="8890"/>
                    </a:xfrm>
                    <a:prstGeom prst="rect">
                      <a:avLst/>
                    </a:prstGeom>
                    <a:noFill/>
                  </pic:spPr>
                </pic:pic>
              </a:graphicData>
            </a:graphic>
          </wp:anchor>
        </w:drawing>
      </w:r>
    </w:p>
    <w:p>
      <w:pPr>
        <w:spacing w:after="0" w:line="390" w:lineRule="exact"/>
        <w:rPr>
          <w:sz w:val="20"/>
          <w:szCs w:val="20"/>
          <w:color w:val="auto"/>
        </w:rPr>
      </w:pPr>
    </w:p>
    <w:p>
      <w:pPr>
        <w:ind w:left="1060"/>
        <w:spacing w:after="0"/>
        <w:tabs>
          <w:tab w:leader="none" w:pos="25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The Agreement is hereby amended to amend and restate the third recital as follows:</w:t>
      </w:r>
    </w:p>
    <w:p>
      <w:pPr>
        <w:spacing w:after="0" w:line="200" w:lineRule="exact"/>
        <w:rPr>
          <w:sz w:val="20"/>
          <w:szCs w:val="20"/>
          <w:color w:val="auto"/>
        </w:rPr>
      </w:pPr>
    </w:p>
    <w:p>
      <w:pPr>
        <w:jc w:val="both"/>
        <w:ind w:left="320" w:firstLine="749"/>
        <w:spacing w:after="0" w:line="256" w:lineRule="auto"/>
        <w:rPr>
          <w:sz w:val="20"/>
          <w:szCs w:val="20"/>
          <w:color w:val="auto"/>
        </w:rPr>
      </w:pPr>
      <w:r>
        <w:rPr>
          <w:rFonts w:ascii="Arial" w:cs="Arial" w:eastAsia="Arial" w:hAnsi="Arial"/>
          <w:sz w:val="22"/>
          <w:szCs w:val="22"/>
          <w:color w:val="auto"/>
        </w:rPr>
        <w:t xml:space="preserve">WHEREAS, from and after the Closing Date, the International Franchisor </w:t>
      </w:r>
      <w:r>
        <w:rPr>
          <w:rFonts w:ascii="Arial" w:cs="Arial" w:eastAsia="Arial" w:hAnsi="Arial"/>
          <w:sz w:val="22"/>
          <w:szCs w:val="22"/>
          <w:b w:val="1"/>
          <w:bCs w:val="1"/>
          <w:u w:val="single" w:color="auto"/>
          <w:color w:val="auto"/>
        </w:rPr>
        <w:t>or the International Franchisor</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(Michigan)</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will also originate all Post-Closing Overseas Franchise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62865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361" w:right="339" w:bottom="1440" w:gutter="0" w:footer="0" w:header="0"/>
        </w:sectPr>
      </w:pPr>
    </w:p>
    <w:bookmarkStart w:id="114" w:name="page115"/>
    <w:bookmarkEnd w:id="114"/>
    <w:p>
      <w:pPr>
        <w:ind w:left="1500"/>
        <w:spacing w:after="0"/>
        <w:tabs>
          <w:tab w:leader="none" w:pos="29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The Agreement is hereby amended to amend and restate the definition of “International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Continuing Franchise Fees” appearing in Section 1.1 thereof in its entirety as follows:</w:t>
      </w:r>
    </w:p>
    <w:p>
      <w:pPr>
        <w:spacing w:after="0" w:line="188" w:lineRule="exact"/>
        <w:rPr>
          <w:sz w:val="20"/>
          <w:szCs w:val="20"/>
          <w:color w:val="auto"/>
        </w:rPr>
      </w:pPr>
    </w:p>
    <w:p>
      <w:pPr>
        <w:ind w:left="7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International Continuing Franchise Fees</w:t>
      </w:r>
      <w:r>
        <w:rPr>
          <w:rFonts w:ascii="Arial" w:cs="Arial" w:eastAsia="Arial" w:hAnsi="Arial"/>
          <w:sz w:val="22"/>
          <w:szCs w:val="22"/>
          <w:color w:val="auto"/>
        </w:rPr>
        <w:t xml:space="preserve">" means the Continuing Franchise Fees received by the International Franchisor </w:t>
      </w:r>
      <w:r>
        <w:rPr>
          <w:rFonts w:ascii="Arial" w:cs="Arial" w:eastAsia="Arial" w:hAnsi="Arial"/>
          <w:sz w:val="22"/>
          <w:szCs w:val="22"/>
          <w:b w:val="1"/>
          <w:bCs w:val="1"/>
          <w:color w:val="auto"/>
        </w:rPr>
        <w:t>or the International Franchisor (Michigan)</w:t>
      </w:r>
      <w:r>
        <w:rPr>
          <w:rFonts w:ascii="Arial" w:cs="Arial" w:eastAsia="Arial" w:hAnsi="Arial"/>
          <w:sz w:val="22"/>
          <w:szCs w:val="22"/>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-37465</wp:posOffset>
            </wp:positionV>
            <wp:extent cx="25552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31">
                      <a:extLst>
                        <a:ext uri="{28A0092B-C50C-407E-A947-70E740481C1C}"/>
                      </a:extLst>
                    </a:blip>
                    <a:srcRect/>
                    <a:stretch>
                      <a:fillRect/>
                    </a:stretch>
                  </pic:blipFill>
                  <pic:spPr bwMode="auto">
                    <a:xfrm>
                      <a:off x="0" y="0"/>
                      <a:ext cx="2555240" cy="8255"/>
                    </a:xfrm>
                    <a:prstGeom prst="rect">
                      <a:avLst/>
                    </a:prstGeom>
                    <a:noFill/>
                  </pic:spPr>
                </pic:pic>
              </a:graphicData>
            </a:graphic>
          </wp:anchor>
        </w:drawing>
      </w:r>
    </w:p>
    <w:p>
      <w:pPr>
        <w:spacing w:after="0" w:line="155"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2.4. The Agreement is hereby amended to insert the definition of “International Franchisor (Michigan)” in Section 1.1 thereof in alphabetical order as follows:</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b w:val="1"/>
          <w:bCs w:val="1"/>
          <w:u w:val="single" w:color="auto"/>
          <w:color w:val="auto"/>
        </w:rPr>
        <w:t>"International Franchisor (Michigan)" has the meaning set forth in the preamble hereto.</w:t>
      </w:r>
    </w:p>
    <w:p>
      <w:pPr>
        <w:spacing w:after="0" w:line="212"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2.5. The Agreement is hereby amended to amend and restate clause (i) of the definition of “Services” appearing in Section 1.1 thereof in its entirety as follows:</w:t>
      </w:r>
    </w:p>
    <w:p>
      <w:pPr>
        <w:spacing w:after="0" w:line="169" w:lineRule="exact"/>
        <w:rPr>
          <w:sz w:val="20"/>
          <w:szCs w:val="20"/>
          <w:color w:val="auto"/>
        </w:rPr>
      </w:pPr>
    </w:p>
    <w:p>
      <w:pPr>
        <w:jc w:val="both"/>
        <w:ind w:left="760" w:firstLine="745"/>
        <w:spacing w:after="0" w:line="243" w:lineRule="auto"/>
        <w:tabs>
          <w:tab w:leader="none" w:pos="1776" w:val="left"/>
        </w:tabs>
        <w:numPr>
          <w:ilvl w:val="0"/>
          <w:numId w:val="37"/>
        </w:numPr>
        <w:rPr>
          <w:rFonts w:ascii="Arial" w:cs="Arial" w:eastAsia="Arial" w:hAnsi="Arial"/>
          <w:sz w:val="22"/>
          <w:szCs w:val="22"/>
          <w:color w:val="auto"/>
        </w:rPr>
      </w:pPr>
      <w:r>
        <w:rPr>
          <w:rFonts w:ascii="Arial" w:cs="Arial" w:eastAsia="Arial" w:hAnsi="Arial"/>
          <w:sz w:val="22"/>
          <w:szCs w:val="22"/>
          <w:color w:val="auto"/>
        </w:rPr>
        <w:t>ensuring material compliance by the Master Issuer, the Domestic Franchisor</w:t>
      </w:r>
      <w:r>
        <w:rPr>
          <w:rFonts w:ascii="Arial" w:cs="Arial" w:eastAsia="Arial" w:hAnsi="Arial"/>
          <w:sz w:val="22"/>
          <w:szCs w:val="22"/>
          <w:b w:val="1"/>
          <w:bCs w:val="1"/>
          <w:u w:val="single" w:color="auto"/>
          <w:color w:val="auto"/>
        </w:rPr>
        <w:t>, the International Franchisor</w:t>
      </w:r>
      <w:r>
        <w:rPr>
          <w:rFonts w:ascii="Arial" w:cs="Arial" w:eastAsia="Arial" w:hAnsi="Arial"/>
          <w:sz w:val="22"/>
          <w:szCs w:val="22"/>
          <w:color w:val="auto"/>
        </w:rPr>
        <w:t xml:space="preserve"> and the International Franchisor </w:t>
      </w:r>
      <w:r>
        <w:rPr>
          <w:rFonts w:ascii="Arial" w:cs="Arial" w:eastAsia="Arial" w:hAnsi="Arial"/>
          <w:sz w:val="22"/>
          <w:szCs w:val="22"/>
          <w:b w:val="1"/>
          <w:bCs w:val="1"/>
          <w:u w:val="single" w:color="auto"/>
          <w:color w:val="auto"/>
        </w:rPr>
        <w:t>(Michigan)</w:t>
      </w:r>
      <w:r>
        <w:rPr>
          <w:rFonts w:ascii="Arial" w:cs="Arial" w:eastAsia="Arial" w:hAnsi="Arial"/>
          <w:sz w:val="22"/>
          <w:szCs w:val="22"/>
          <w:color w:val="auto"/>
        </w:rPr>
        <w:t xml:space="preserve"> with franchise industry- specific government regulation and applicable laws;</w:t>
      </w:r>
    </w:p>
    <w:p>
      <w:pPr>
        <w:spacing w:after="0" w:line="183"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2.6. The Agreement is hereby amended to amend and restate Section 5.1(b)(ii) thereof in its entirety as follows:</w:t>
      </w:r>
    </w:p>
    <w:p>
      <w:pPr>
        <w:spacing w:after="0" w:line="175" w:lineRule="exact"/>
        <w:rPr>
          <w:sz w:val="20"/>
          <w:szCs w:val="20"/>
          <w:color w:val="auto"/>
        </w:rPr>
      </w:pPr>
    </w:p>
    <w:p>
      <w:pPr>
        <w:jc w:val="both"/>
        <w:ind w:left="760" w:firstLine="745"/>
        <w:spacing w:after="0" w:line="277" w:lineRule="auto"/>
        <w:tabs>
          <w:tab w:leader="none" w:pos="18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Either (a) such Post-Securitization International Franchise Arrangement requires the Franchisee under such Post-Securitization International Franchise Arrangement to comply in all material respects with all applicable Requirements of Law and to indemnify the International Franchisor </w:t>
      </w:r>
      <w:r>
        <w:rPr>
          <w:rFonts w:ascii="Arial" w:cs="Arial" w:eastAsia="Arial" w:hAnsi="Arial"/>
          <w:sz w:val="19"/>
          <w:szCs w:val="19"/>
          <w:b w:val="1"/>
          <w:bCs w:val="1"/>
          <w:u w:val="single" w:color="auto"/>
          <w:color w:val="auto"/>
        </w:rPr>
        <w:t>or the International Franchisor (Michigan)</w:t>
      </w:r>
      <w:r>
        <w:rPr>
          <w:rFonts w:ascii="Arial" w:cs="Arial" w:eastAsia="Arial" w:hAnsi="Arial"/>
          <w:sz w:val="19"/>
          <w:szCs w:val="19"/>
          <w:color w:val="auto"/>
        </w:rPr>
        <w:t xml:space="preserve"> </w:t>
      </w:r>
      <w:r>
        <w:rPr>
          <w:rFonts w:ascii="Arial" w:cs="Arial" w:eastAsia="Arial" w:hAnsi="Arial"/>
          <w:sz w:val="19"/>
          <w:szCs w:val="19"/>
          <w:color w:val="auto"/>
          <w:highlight w:val="white"/>
        </w:rPr>
        <w:t>for</w:t>
      </w:r>
      <w:r>
        <w:rPr>
          <w:rFonts w:ascii="Arial" w:cs="Arial" w:eastAsia="Arial" w:hAnsi="Arial"/>
          <w:sz w:val="19"/>
          <w:szCs w:val="19"/>
          <w:color w:val="auto"/>
        </w:rPr>
        <w:t xml:space="preserve"> any losses arising out of such Franchisee's failure to comply with the applicable Requirements of Law, including any necessary approvals or consents from a Governmental Authority or (b) the Manager has obtained a legal opinion or other evidence reasonably acceptable to the Control Party to the effect that such Post-Securitization International Franchise Arrangement complies in all material respects with all applicable Requirements of Law; and</w:t>
      </w:r>
    </w:p>
    <w:p>
      <w:pPr>
        <w:spacing w:after="0" w:line="15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i w:val="1"/>
          <w:iCs w:val="1"/>
          <w:color w:val="auto"/>
        </w:rPr>
        <w:t xml:space="preserve">Section 3.Effectiveness of Amendment. </w:t>
      </w:r>
      <w:r>
        <w:rPr>
          <w:rFonts w:ascii="Arial" w:cs="Arial" w:eastAsia="Arial" w:hAnsi="Arial"/>
          <w:sz w:val="22"/>
          <w:szCs w:val="22"/>
          <w:color w:val="auto"/>
        </w:rPr>
        <w:t>Upon the date hereof (i) the Agreement shall be amended in accordance</w:t>
      </w:r>
      <w:r>
        <w:rPr>
          <w:rFonts w:ascii="Arial" w:cs="Arial" w:eastAsia="Arial" w:hAnsi="Arial"/>
          <w:sz w:val="22"/>
          <w:szCs w:val="22"/>
          <w:i w:val="1"/>
          <w:iCs w:val="1"/>
          <w:color w:val="auto"/>
        </w:rPr>
        <w:t xml:space="preserve"> </w:t>
      </w:r>
      <w:r>
        <w:rPr>
          <w:rFonts w:ascii="Arial" w:cs="Arial" w:eastAsia="Arial" w:hAnsi="Arial"/>
          <w:sz w:val="22"/>
          <w:szCs w:val="22"/>
          <w:color w:val="auto"/>
        </w:rPr>
        <w:t>herewith, (ii) this Amendment shall form part of the Agreement for all purposes and (iii) the parties and each Noteholder shall be bound by the Agreement, as so amended. Except as expressly set forth or contemplated in this Amendment, the terms and conditions of the Agreement shall remain in place and shall not be altered, amended or changed in any manner whatsoever, except by any further amendment to the Agreement made in accordance with the terms of the Agreement, as amended by this Amendment.</w:t>
      </w:r>
    </w:p>
    <w:p>
      <w:pPr>
        <w:spacing w:after="0" w:line="188"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i w:val="1"/>
          <w:iCs w:val="1"/>
          <w:color w:val="auto"/>
        </w:rPr>
        <w:t xml:space="preserve">Section 4.Representations and Warranties. </w:t>
      </w:r>
      <w:r>
        <w:rPr>
          <w:rFonts w:ascii="Arial" w:cs="Arial" w:eastAsia="Arial" w:hAnsi="Arial"/>
          <w:sz w:val="22"/>
          <w:szCs w:val="22"/>
          <w:color w:val="auto"/>
        </w:rPr>
        <w:t>Each party hereto represents and warrants to each other party hereto that this</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 has been duly and validly executed and delivered by such party and constitutes its legal, valid and binding obligation, enforceable against such party in accordance with its terms.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jc w:val="both"/>
        <w:ind w:right="20" w:firstLine="749"/>
        <w:spacing w:after="0" w:line="250" w:lineRule="auto"/>
        <w:rPr>
          <w:sz w:val="20"/>
          <w:szCs w:val="20"/>
          <w:color w:val="auto"/>
        </w:rPr>
      </w:pPr>
      <w:r>
        <w:rPr>
          <w:rFonts w:ascii="Arial" w:cs="Arial" w:eastAsia="Arial" w:hAnsi="Arial"/>
          <w:sz w:val="22"/>
          <w:szCs w:val="22"/>
          <w:i w:val="1"/>
          <w:iCs w:val="1"/>
          <w:color w:val="auto"/>
        </w:rPr>
        <w:t xml:space="preserve">Section 5.Binding Effect. </w:t>
      </w:r>
      <w:r>
        <w:rPr>
          <w:rFonts w:ascii="Arial" w:cs="Arial" w:eastAsia="Arial" w:hAnsi="Arial"/>
          <w:sz w:val="22"/>
          <w:szCs w:val="22"/>
          <w:color w:val="auto"/>
        </w:rPr>
        <w:t>This Amendment shall inure to the benefit of and be binding on the respective successors and</w:t>
      </w:r>
      <w:r>
        <w:rPr>
          <w:rFonts w:ascii="Arial" w:cs="Arial" w:eastAsia="Arial" w:hAnsi="Arial"/>
          <w:sz w:val="22"/>
          <w:szCs w:val="22"/>
          <w:i w:val="1"/>
          <w:iCs w:val="1"/>
          <w:color w:val="auto"/>
        </w:rPr>
        <w:t xml:space="preserve"> </w:t>
      </w:r>
      <w:r>
        <w:rPr>
          <w:rFonts w:ascii="Arial" w:cs="Arial" w:eastAsia="Arial" w:hAnsi="Arial"/>
          <w:sz w:val="22"/>
          <w:szCs w:val="22"/>
          <w:color w:val="auto"/>
        </w:rPr>
        <w:t>assigns of the parties hereto, each Noteholder and each other Secured Party.</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Section 6.Execution in Counterparts. </w:t>
      </w:r>
      <w:r>
        <w:rPr>
          <w:rFonts w:ascii="Arial" w:cs="Arial" w:eastAsia="Arial" w:hAnsi="Arial"/>
          <w:sz w:val="22"/>
          <w:szCs w:val="22"/>
          <w:color w:val="auto"/>
        </w:rPr>
        <w:t>This Amendment may be executed in any number of counterparts, each of which</w:t>
      </w:r>
      <w:r>
        <w:rPr>
          <w:rFonts w:ascii="Arial" w:cs="Arial" w:eastAsia="Arial" w:hAnsi="Arial"/>
          <w:sz w:val="22"/>
          <w:szCs w:val="22"/>
          <w:i w:val="1"/>
          <w:iCs w:val="1"/>
          <w:color w:val="auto"/>
        </w:rPr>
        <w:t xml:space="preserve"> </w:t>
      </w:r>
      <w:r>
        <w:rPr>
          <w:rFonts w:ascii="Arial" w:cs="Arial" w:eastAsia="Arial" w:hAnsi="Arial"/>
          <w:sz w:val="22"/>
          <w:szCs w:val="22"/>
          <w:color w:val="auto"/>
        </w:rPr>
        <w:t>so executed shall be deemed to be an original, but all of such counterparts shall together constitute but one and the same instrument.</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Section 7.Governing Law. </w:t>
      </w:r>
      <w:r>
        <w:rPr>
          <w:rFonts w:ascii="Arial" w:cs="Arial" w:eastAsia="Arial" w:hAnsi="Arial"/>
          <w:sz w:val="22"/>
          <w:szCs w:val="22"/>
          <w:color w:val="auto"/>
        </w:rPr>
        <w:t>THIS AMENDMENT SHALL BE GOVERNED BY, AND CONSTRUED AND</w:t>
      </w:r>
      <w:r>
        <w:rPr>
          <w:rFonts w:ascii="Arial" w:cs="Arial" w:eastAsia="Arial" w:hAnsi="Arial"/>
          <w:sz w:val="22"/>
          <w:szCs w:val="22"/>
          <w:i w:val="1"/>
          <w:iCs w:val="1"/>
          <w:color w:val="auto"/>
        </w:rPr>
        <w:t xml:space="preserve"> </w:t>
      </w:r>
      <w:r>
        <w:rPr>
          <w:rFonts w:ascii="Arial" w:cs="Arial" w:eastAsia="Arial" w:hAnsi="Arial"/>
          <w:sz w:val="22"/>
          <w:szCs w:val="22"/>
          <w:color w:val="auto"/>
        </w:rPr>
        <w:t>INTERPRETED IN ACCORDANCE WITH, THE LAWS OF THE STATE OF NEW YORK.</w:t>
      </w:r>
    </w:p>
    <w:p>
      <w:pPr>
        <w:spacing w:after="0" w:line="17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Section 8.Trustee. </w:t>
      </w:r>
      <w:r>
        <w:rPr>
          <w:rFonts w:ascii="Arial" w:cs="Arial" w:eastAsia="Arial" w:hAnsi="Arial"/>
          <w:sz w:val="19"/>
          <w:szCs w:val="19"/>
          <w:color w:val="auto"/>
        </w:rPr>
        <w:t>The Trustee assumes no responsibility for the correctness of the recitals contained herein, which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taken as the statements of the Securitization Entities and the Trustee shall not be responsible or accountable in any way whatsoever for or with respect to the validity, execution or sufficiency of this Amendment and makes no representation with respect thereto. In entering into this Amendment, the Trustee shall be entitled to the benefit of every provision of the Indenture relating to the conduct of or affecting the liability of or affording protection to the Trustee.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AGES TO</w:t>
      </w:r>
      <w:r>
        <w:rPr>
          <w:rFonts w:ascii="Arial" w:cs="Arial" w:eastAsia="Arial" w:hAnsi="Arial"/>
          <w:sz w:val="22"/>
          <w:szCs w:val="22"/>
          <w:color w:val="auto"/>
        </w:rPr>
        <w:t xml:space="preserve"> F</w:t>
      </w:r>
      <w:r>
        <w:rPr>
          <w:rFonts w:ascii="Arial" w:cs="Arial" w:eastAsia="Arial" w:hAnsi="Arial"/>
          <w:sz w:val="14"/>
          <w:szCs w:val="14"/>
          <w:color w:val="auto"/>
        </w:rPr>
        <w:t>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ind w:firstLine="749"/>
        <w:spacing w:after="0" w:line="250" w:lineRule="auto"/>
        <w:rPr>
          <w:sz w:val="20"/>
          <w:szCs w:val="20"/>
          <w:color w:val="auto"/>
        </w:rPr>
      </w:pPr>
      <w:r>
        <w:rPr>
          <w:rFonts w:ascii="Arial" w:cs="Arial" w:eastAsia="Arial" w:hAnsi="Arial"/>
          <w:sz w:val="22"/>
          <w:szCs w:val="22"/>
          <w:color w:val="auto"/>
        </w:rPr>
        <w:t>I</w:t>
      </w:r>
      <w:r>
        <w:rPr>
          <w:rFonts w:ascii="Arial" w:cs="Arial" w:eastAsia="Arial" w:hAnsi="Arial"/>
          <w:sz w:val="14"/>
          <w:szCs w:val="14"/>
          <w:color w:val="auto"/>
        </w:rPr>
        <w:t>N</w:t>
      </w:r>
      <w:r>
        <w:rPr>
          <w:rFonts w:ascii="Arial" w:cs="Arial" w:eastAsia="Arial" w:hAnsi="Arial"/>
          <w:sz w:val="22"/>
          <w:szCs w:val="22"/>
          <w:color w:val="auto"/>
        </w:rPr>
        <w:t xml:space="preserve"> W</w:t>
      </w:r>
      <w:r>
        <w:rPr>
          <w:rFonts w:ascii="Arial" w:cs="Arial" w:eastAsia="Arial" w:hAnsi="Arial"/>
          <w:sz w:val="14"/>
          <w:szCs w:val="14"/>
          <w:color w:val="auto"/>
        </w:rPr>
        <w:t>ITNESS</w:t>
      </w:r>
      <w:r>
        <w:rPr>
          <w:rFonts w:ascii="Arial" w:cs="Arial" w:eastAsia="Arial" w:hAnsi="Arial"/>
          <w:sz w:val="22"/>
          <w:szCs w:val="22"/>
          <w:color w:val="auto"/>
        </w:rPr>
        <w:t xml:space="preserve"> W</w:t>
      </w:r>
      <w:r>
        <w:rPr>
          <w:rFonts w:ascii="Arial" w:cs="Arial" w:eastAsia="Arial" w:hAnsi="Arial"/>
          <w:sz w:val="14"/>
          <w:szCs w:val="14"/>
          <w:color w:val="auto"/>
        </w:rPr>
        <w:t>HEREOF</w:t>
      </w:r>
      <w:r>
        <w:rPr>
          <w:rFonts w:ascii="Arial" w:cs="Arial" w:eastAsia="Arial" w:hAnsi="Arial"/>
          <w:sz w:val="22"/>
          <w:szCs w:val="22"/>
          <w:color w:val="auto"/>
        </w:rPr>
        <w:t>, the parties hereto have caused this Amendment No. 4 to Management Agreement to be executed and delivered by their duly authorized officers as of the date hereof.</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DOMINO’S PIZZA LLC, as Manager and in its individual capacity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11734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3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880"/>
        <w:spacing w:after="0" w:line="238" w:lineRule="auto"/>
        <w:rPr>
          <w:sz w:val="20"/>
          <w:szCs w:val="20"/>
          <w:color w:val="auto"/>
        </w:rPr>
      </w:pPr>
      <w:r>
        <w:rPr>
          <w:rFonts w:ascii="Arial" w:cs="Arial" w:eastAsia="Arial" w:hAnsi="Arial"/>
          <w:sz w:val="22"/>
          <w:szCs w:val="22"/>
          <w:color w:val="auto"/>
        </w:rPr>
        <w:t>Name: Jessica Parrish</w:t>
      </w:r>
    </w:p>
    <w:p>
      <w:pPr>
        <w:ind w:left="488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DOMINO’S PIZZA NS CO.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11734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4880"/>
        <w:spacing w:after="0" w:line="238" w:lineRule="auto"/>
        <w:rPr>
          <w:sz w:val="20"/>
          <w:szCs w:val="20"/>
          <w:color w:val="auto"/>
        </w:rPr>
      </w:pPr>
      <w:r>
        <w:rPr>
          <w:rFonts w:ascii="Arial" w:cs="Arial" w:eastAsia="Arial" w:hAnsi="Arial"/>
          <w:sz w:val="22"/>
          <w:szCs w:val="22"/>
          <w:color w:val="auto"/>
        </w:rPr>
        <w:t>Name: Jessica Parrish</w:t>
      </w:r>
    </w:p>
    <w:p>
      <w:pPr>
        <w:ind w:left="488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DOMINO’S PIZZA MASTER ISSUER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11734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4880"/>
        <w:spacing w:after="0" w:line="238" w:lineRule="auto"/>
        <w:rPr>
          <w:sz w:val="20"/>
          <w:szCs w:val="20"/>
          <w:color w:val="auto"/>
        </w:rPr>
      </w:pPr>
      <w:r>
        <w:rPr>
          <w:rFonts w:ascii="Arial" w:cs="Arial" w:eastAsia="Arial" w:hAnsi="Arial"/>
          <w:sz w:val="22"/>
          <w:szCs w:val="22"/>
          <w:color w:val="auto"/>
        </w:rPr>
        <w:t>Name: Jessica Parrish</w:t>
      </w:r>
    </w:p>
    <w:p>
      <w:pPr>
        <w:ind w:left="488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DOMINO’S PIZZA DISTRIBUTION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11734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7">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4880"/>
        <w:spacing w:after="0" w:line="238" w:lineRule="auto"/>
        <w:rPr>
          <w:sz w:val="20"/>
          <w:szCs w:val="20"/>
          <w:color w:val="auto"/>
        </w:rPr>
      </w:pPr>
      <w:r>
        <w:rPr>
          <w:rFonts w:ascii="Arial" w:cs="Arial" w:eastAsia="Arial" w:hAnsi="Arial"/>
          <w:sz w:val="22"/>
          <w:szCs w:val="22"/>
          <w:color w:val="auto"/>
        </w:rPr>
        <w:t>Name: Jessica Parrish</w:t>
      </w:r>
    </w:p>
    <w:p>
      <w:pPr>
        <w:ind w:left="4880"/>
        <w:spacing w:after="0"/>
        <w:rPr>
          <w:sz w:val="20"/>
          <w:szCs w:val="20"/>
          <w:color w:val="auto"/>
        </w:rPr>
      </w:pPr>
      <w:r>
        <w:rPr>
          <w:rFonts w:ascii="Arial" w:cs="Arial" w:eastAsia="Arial" w:hAnsi="Arial"/>
          <w:sz w:val="22"/>
          <w:szCs w:val="22"/>
          <w:color w:val="auto"/>
        </w:rPr>
        <w:t>Title: Vice President, Controller and Treasurer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4 to Amended and Restated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17" w:name="page118"/>
    <w:bookmarkEnd w:id="117"/>
    <w:p>
      <w:pPr>
        <w:ind w:left="3380"/>
        <w:spacing w:after="0"/>
        <w:rPr>
          <w:sz w:val="20"/>
          <w:szCs w:val="20"/>
          <w:color w:val="auto"/>
        </w:rPr>
      </w:pPr>
      <w:r>
        <w:rPr>
          <w:rFonts w:ascii="Arial" w:cs="Arial" w:eastAsia="Arial" w:hAnsi="Arial"/>
          <w:sz w:val="21"/>
          <w:szCs w:val="21"/>
          <w:color w:val="auto"/>
        </w:rPr>
        <w:t>DOMINO’S SPV CANADIAN HOLDING COMPANY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DOMINO’S IP HOLDER LLC</w:t>
      </w:r>
    </w:p>
    <w:p>
      <w:pPr>
        <w:spacing w:after="0" w:line="200" w:lineRule="exact"/>
        <w:rPr>
          <w:sz w:val="20"/>
          <w:szCs w:val="20"/>
          <w:color w:val="auto"/>
        </w:rPr>
      </w:pPr>
    </w:p>
    <w:p>
      <w:pPr>
        <w:spacing w:after="0" w:line="27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4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DOMINO’S SPV GUARANTOR LLC</w:t>
      </w:r>
    </w:p>
    <w:p>
      <w:pPr>
        <w:spacing w:after="0" w:line="200" w:lineRule="exact"/>
        <w:rPr>
          <w:sz w:val="20"/>
          <w:szCs w:val="20"/>
          <w:color w:val="auto"/>
        </w:rPr>
      </w:pPr>
    </w:p>
    <w:p>
      <w:pPr>
        <w:spacing w:after="0" w:line="27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41">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DOMINO’S PIZZA FRANCHISING LLC</w:t>
      </w:r>
    </w:p>
    <w:p>
      <w:pPr>
        <w:spacing w:after="0" w:line="200" w:lineRule="exact"/>
        <w:rPr>
          <w:sz w:val="20"/>
          <w:szCs w:val="20"/>
          <w:color w:val="auto"/>
        </w:rPr>
      </w:pPr>
    </w:p>
    <w:p>
      <w:pPr>
        <w:spacing w:after="0" w:line="27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42">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jc w:val="right"/>
        <w:ind w:right="119"/>
        <w:spacing w:after="0"/>
        <w:rPr>
          <w:sz w:val="20"/>
          <w:szCs w:val="20"/>
          <w:color w:val="auto"/>
        </w:rPr>
      </w:pPr>
      <w:r>
        <w:rPr>
          <w:rFonts w:ascii="Arial" w:cs="Arial" w:eastAsia="Arial" w:hAnsi="Arial"/>
          <w:sz w:val="22"/>
          <w:szCs w:val="22"/>
          <w:color w:val="auto"/>
        </w:rPr>
        <w:t>DOMINO’S PIZZA INTERNATIONAL FRANCHISING INC.</w:t>
      </w:r>
    </w:p>
    <w:p>
      <w:pPr>
        <w:spacing w:after="0" w:line="200" w:lineRule="exact"/>
        <w:rPr>
          <w:sz w:val="20"/>
          <w:szCs w:val="20"/>
          <w:color w:val="auto"/>
        </w:rPr>
      </w:pPr>
    </w:p>
    <w:p>
      <w:pPr>
        <w:spacing w:after="0" w:line="27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43">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Amendment No. 4 to Amended and Restated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18" w:name="page119"/>
    <w:bookmarkEnd w:id="118"/>
    <w:p>
      <w:pPr>
        <w:ind w:left="3380"/>
        <w:spacing w:after="0"/>
        <w:rPr>
          <w:sz w:val="20"/>
          <w:szCs w:val="20"/>
          <w:color w:val="auto"/>
        </w:rPr>
      </w:pPr>
      <w:r>
        <w:rPr>
          <w:rFonts w:ascii="Arial" w:cs="Arial" w:eastAsia="Arial" w:hAnsi="Arial"/>
          <w:sz w:val="22"/>
          <w:szCs w:val="22"/>
          <w:color w:val="auto"/>
        </w:rPr>
        <w:t>DOMINO’S PIZZA CANADIAN DISTRIBUTION ULC</w:t>
      </w:r>
    </w:p>
    <w:p>
      <w:pPr>
        <w:spacing w:after="0" w:line="200" w:lineRule="exact"/>
        <w:rPr>
          <w:sz w:val="20"/>
          <w:szCs w:val="20"/>
          <w:color w:val="auto"/>
        </w:rPr>
      </w:pPr>
    </w:p>
    <w:p>
      <w:pPr>
        <w:spacing w:after="0" w:line="27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5">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DOMINO’S EQ LLC</w:t>
      </w:r>
    </w:p>
    <w:p>
      <w:pPr>
        <w:spacing w:after="0" w:line="200" w:lineRule="exact"/>
        <w:rPr>
          <w:sz w:val="20"/>
          <w:szCs w:val="20"/>
          <w:color w:val="auto"/>
        </w:rPr>
      </w:pPr>
    </w:p>
    <w:p>
      <w:pPr>
        <w:spacing w:after="0" w:line="276"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DOMINO’S RE LLC</w:t>
      </w:r>
    </w:p>
    <w:p>
      <w:pPr>
        <w:spacing w:after="0" w:line="233"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7">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58" w:lineRule="exact"/>
        <w:rPr>
          <w:sz w:val="20"/>
          <w:szCs w:val="20"/>
          <w:color w:val="auto"/>
        </w:rPr>
      </w:pPr>
    </w:p>
    <w:p>
      <w:pPr>
        <w:ind w:left="3380"/>
        <w:spacing w:after="0" w:line="250" w:lineRule="auto"/>
        <w:rPr>
          <w:sz w:val="20"/>
          <w:szCs w:val="20"/>
          <w:color w:val="auto"/>
        </w:rPr>
      </w:pPr>
      <w:r>
        <w:rPr>
          <w:rFonts w:ascii="Arial" w:cs="Arial" w:eastAsia="Arial" w:hAnsi="Arial"/>
          <w:sz w:val="22"/>
          <w:szCs w:val="22"/>
          <w:color w:val="auto"/>
        </w:rPr>
        <w:t>DOMINO’S PIZZA INTERNATIONAL FRANCHISING OF MICHIGAN LLC</w:t>
      </w:r>
    </w:p>
    <w:p>
      <w:pPr>
        <w:spacing w:after="0" w:line="202"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Jessica Parrish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1734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8">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Jessica Parrish</w:t>
      </w:r>
    </w:p>
    <w:p>
      <w:pPr>
        <w:ind w:left="3760"/>
        <w:spacing w:after="0"/>
        <w:rPr>
          <w:sz w:val="20"/>
          <w:szCs w:val="20"/>
          <w:color w:val="auto"/>
        </w:rPr>
      </w:pPr>
      <w:r>
        <w:rPr>
          <w:rFonts w:ascii="Arial" w:cs="Arial" w:eastAsia="Arial" w:hAnsi="Arial"/>
          <w:sz w:val="22"/>
          <w:szCs w:val="22"/>
          <w:color w:val="auto"/>
        </w:rPr>
        <w:t>Title: Vice President, Controller and Treasurer</w:t>
      </w:r>
    </w:p>
    <w:p>
      <w:pPr>
        <w:spacing w:after="0" w:line="200" w:lineRule="exact"/>
        <w:rPr>
          <w:sz w:val="20"/>
          <w:szCs w:val="20"/>
          <w:color w:val="auto"/>
        </w:rPr>
      </w:pP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[Signature Page to Amendment No. 4 to Amended and Restated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361" w:right="559" w:bottom="1440" w:gutter="0" w:footer="0" w:header="0"/>
        </w:sectPr>
      </w:pPr>
    </w:p>
    <w:bookmarkStart w:id="119" w:name="page120"/>
    <w:bookmarkEnd w:id="119"/>
    <w:p>
      <w:pPr>
        <w:ind w:left="3380"/>
        <w:spacing w:after="0"/>
        <w:rPr>
          <w:sz w:val="20"/>
          <w:szCs w:val="20"/>
          <w:color w:val="auto"/>
        </w:rPr>
      </w:pPr>
      <w:r>
        <w:rPr>
          <w:rFonts w:ascii="Arial" w:cs="Arial" w:eastAsia="Arial" w:hAnsi="Arial"/>
          <w:sz w:val="22"/>
          <w:szCs w:val="22"/>
          <w:color w:val="auto"/>
        </w:rPr>
        <w:t>CITIBANK, N.A., in its capacity as Trustee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80"/>
        <w:spacing w:after="0"/>
        <w:tabs>
          <w:tab w:leader="none" w:pos="3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Jacqueline Suarez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-17780</wp:posOffset>
            </wp:positionV>
            <wp:extent cx="14478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50">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3760"/>
        <w:spacing w:after="0" w:line="238" w:lineRule="auto"/>
        <w:rPr>
          <w:sz w:val="20"/>
          <w:szCs w:val="20"/>
          <w:color w:val="auto"/>
        </w:rPr>
      </w:pPr>
      <w:r>
        <w:rPr>
          <w:rFonts w:ascii="Arial" w:cs="Arial" w:eastAsia="Arial" w:hAnsi="Arial"/>
          <w:sz w:val="22"/>
          <w:szCs w:val="22"/>
          <w:color w:val="auto"/>
        </w:rPr>
        <w:t>Name: Jacqueline Suarez</w:t>
      </w:r>
    </w:p>
    <w:p>
      <w:pPr>
        <w:ind w:left="3760"/>
        <w:spacing w:after="0"/>
        <w:rPr>
          <w:sz w:val="20"/>
          <w:szCs w:val="20"/>
          <w:color w:val="auto"/>
        </w:rPr>
      </w:pPr>
      <w:r>
        <w:rPr>
          <w:rFonts w:ascii="Arial" w:cs="Arial" w:eastAsia="Arial" w:hAnsi="Arial"/>
          <w:sz w:val="22"/>
          <w:szCs w:val="22"/>
          <w:color w:val="auto"/>
        </w:rPr>
        <w:t>Title: Senior Trust Officer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Amendment No. 4 to Amended and Restated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10.86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Compensation Schedule</w:t>
      </w:r>
    </w:p>
    <w:p>
      <w:pPr>
        <w:spacing w:after="0" w:line="196"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The following table sets forth the current compensation received by independent directors of Domino’s Pizza, Inc. for service on the Board of Directors, Audit Committee, Compensation Committee, Nominating &amp; Corporate Governance Committee and Inclusion &amp; Diversity Committee:</w:t>
      </w: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Director Compensation Summary</w:t>
      </w:r>
    </w:p>
    <w:p>
      <w:pPr>
        <w:spacing w:after="0" w:line="171" w:lineRule="exact"/>
        <w:rPr>
          <w:sz w:val="20"/>
          <w:szCs w:val="20"/>
          <w:color w:val="auto"/>
        </w:rPr>
      </w:pPr>
    </w:p>
    <w:p>
      <w:pPr>
        <w:ind w:left="20"/>
        <w:spacing w:after="0"/>
        <w:tabs>
          <w:tab w:leader="none" w:pos="10160" w:val="left"/>
        </w:tabs>
        <w:rPr>
          <w:sz w:val="20"/>
          <w:szCs w:val="20"/>
          <w:color w:val="auto"/>
        </w:rPr>
      </w:pPr>
      <w:r>
        <w:rPr>
          <w:rFonts w:ascii="Arial" w:cs="Arial" w:eastAsia="Arial" w:hAnsi="Arial"/>
          <w:sz w:val="18"/>
          <w:szCs w:val="18"/>
          <w:b w:val="1"/>
          <w:bCs w:val="1"/>
          <w:color w:val="auto"/>
        </w:rPr>
        <w:t>Annual Retainer</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654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Board of Directors</w:t>
      </w:r>
    </w:p>
    <w:p>
      <w:pPr>
        <w:ind w:left="9840"/>
        <w:spacing w:after="0"/>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80,000</w:t>
      </w:r>
    </w:p>
    <w:p>
      <w:pPr>
        <w:spacing w:after="0" w:line="182" w:lineRule="exact"/>
        <w:rPr>
          <w:sz w:val="20"/>
          <w:szCs w:val="20"/>
          <w:color w:val="auto"/>
        </w:rPr>
      </w:pPr>
    </w:p>
    <w:p>
      <w:pPr>
        <w:jc w:val="right"/>
        <w:ind w:right="996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2400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right"/>
        <w:ind w:right="9900"/>
        <w:spacing w:after="0" w:line="230" w:lineRule="auto"/>
        <w:rPr>
          <w:sz w:val="20"/>
          <w:szCs w:val="20"/>
          <w:color w:val="auto"/>
        </w:rPr>
      </w:pPr>
      <w:r>
        <w:rPr>
          <w:rFonts w:ascii="Arial" w:cs="Arial" w:eastAsia="Arial" w:hAnsi="Arial"/>
          <w:sz w:val="18"/>
          <w:szCs w:val="18"/>
          <w:color w:val="auto"/>
        </w:rPr>
        <w:t>Chairperson</w:t>
      </w:r>
    </w:p>
    <w:p>
      <w:pPr>
        <w:ind w:left="9840"/>
        <w:spacing w:after="0" w:line="234" w:lineRule="auto"/>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30,000</w:t>
      </w:r>
    </w:p>
    <w:p>
      <w:pPr>
        <w:ind w:left="460"/>
        <w:spacing w:after="0" w:line="204" w:lineRule="auto"/>
        <w:rPr>
          <w:sz w:val="20"/>
          <w:szCs w:val="20"/>
          <w:color w:val="auto"/>
        </w:rPr>
      </w:pPr>
      <w:r>
        <w:rPr>
          <w:rFonts w:ascii="Arial" w:cs="Arial" w:eastAsia="Arial" w:hAnsi="Arial"/>
          <w:sz w:val="18"/>
          <w:szCs w:val="18"/>
          <w:color w:val="auto"/>
        </w:rPr>
        <w:t>Member</w:t>
      </w:r>
    </w:p>
    <w:p>
      <w:pPr>
        <w:ind w:left="9840"/>
        <w:spacing w:after="0"/>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460"/>
        <w:spacing w:after="0" w:line="216" w:lineRule="auto"/>
        <w:rPr>
          <w:sz w:val="20"/>
          <w:szCs w:val="20"/>
          <w:color w:val="auto"/>
        </w:rPr>
      </w:pPr>
      <w:r>
        <w:rPr>
          <w:rFonts w:ascii="Arial" w:cs="Arial" w:eastAsia="Arial" w:hAnsi="Arial"/>
          <w:sz w:val="18"/>
          <w:szCs w:val="18"/>
          <w:color w:val="auto"/>
        </w:rPr>
        <w:t>Chairperson</w:t>
      </w:r>
    </w:p>
    <w:p>
      <w:pPr>
        <w:ind w:left="9840"/>
        <w:spacing w:after="0" w:line="235" w:lineRule="auto"/>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400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60"/>
        <w:spacing w:after="0" w:line="204" w:lineRule="auto"/>
        <w:rPr>
          <w:sz w:val="20"/>
          <w:szCs w:val="20"/>
          <w:color w:val="auto"/>
        </w:rPr>
      </w:pPr>
      <w:r>
        <w:rPr>
          <w:rFonts w:ascii="Arial" w:cs="Arial" w:eastAsia="Arial" w:hAnsi="Arial"/>
          <w:sz w:val="18"/>
          <w:szCs w:val="18"/>
          <w:color w:val="auto"/>
        </w:rPr>
        <w:t>Member</w:t>
      </w:r>
    </w:p>
    <w:p>
      <w:pPr>
        <w:ind w:left="9840"/>
        <w:spacing w:after="0"/>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Nominating &amp;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400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60"/>
        <w:spacing w:after="0" w:line="216" w:lineRule="auto"/>
        <w:rPr>
          <w:sz w:val="20"/>
          <w:szCs w:val="20"/>
          <w:color w:val="auto"/>
        </w:rPr>
      </w:pPr>
      <w:r>
        <w:rPr>
          <w:rFonts w:ascii="Arial" w:cs="Arial" w:eastAsia="Arial" w:hAnsi="Arial"/>
          <w:sz w:val="18"/>
          <w:szCs w:val="18"/>
          <w:color w:val="auto"/>
        </w:rPr>
        <w:t>Chairperson</w:t>
      </w:r>
    </w:p>
    <w:p>
      <w:pPr>
        <w:ind w:left="9840"/>
        <w:spacing w:after="0" w:line="235" w:lineRule="auto"/>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w:t>
      </w:r>
    </w:p>
    <w:p>
      <w:pPr>
        <w:ind w:left="460"/>
        <w:spacing w:after="0" w:line="204" w:lineRule="auto"/>
        <w:rPr>
          <w:sz w:val="20"/>
          <w:szCs w:val="20"/>
          <w:color w:val="auto"/>
        </w:rPr>
      </w:pPr>
      <w:r>
        <w:rPr>
          <w:rFonts w:ascii="Arial" w:cs="Arial" w:eastAsia="Arial" w:hAnsi="Arial"/>
          <w:sz w:val="18"/>
          <w:szCs w:val="18"/>
          <w:color w:val="auto"/>
        </w:rPr>
        <w:t>Member</w:t>
      </w:r>
    </w:p>
    <w:p>
      <w:pPr>
        <w:ind w:left="9840"/>
        <w:spacing w:after="0"/>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Inclusion &amp; Diversity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400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60"/>
        <w:spacing w:after="0" w:line="216" w:lineRule="auto"/>
        <w:rPr>
          <w:sz w:val="20"/>
          <w:szCs w:val="20"/>
          <w:color w:val="auto"/>
        </w:rPr>
      </w:pPr>
      <w:r>
        <w:rPr>
          <w:rFonts w:ascii="Arial" w:cs="Arial" w:eastAsia="Arial" w:hAnsi="Arial"/>
          <w:sz w:val="18"/>
          <w:szCs w:val="18"/>
          <w:color w:val="auto"/>
        </w:rPr>
        <w:t>Chairperson</w:t>
      </w:r>
    </w:p>
    <w:p>
      <w:pPr>
        <w:ind w:left="9840"/>
        <w:spacing w:after="0" w:line="235" w:lineRule="auto"/>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w:t>
      </w:r>
    </w:p>
    <w:p>
      <w:pPr>
        <w:ind w:left="460"/>
        <w:spacing w:after="0" w:line="204" w:lineRule="auto"/>
        <w:rPr>
          <w:sz w:val="20"/>
          <w:szCs w:val="20"/>
          <w:color w:val="auto"/>
        </w:rPr>
      </w:pPr>
      <w:r>
        <w:rPr>
          <w:rFonts w:ascii="Arial" w:cs="Arial" w:eastAsia="Arial" w:hAnsi="Arial"/>
          <w:sz w:val="18"/>
          <w:szCs w:val="18"/>
          <w:color w:val="auto"/>
        </w:rPr>
        <w:t>Member</w:t>
      </w:r>
    </w:p>
    <w:p>
      <w:pPr>
        <w:ind w:left="9840"/>
        <w:spacing w:after="0"/>
        <w:tabs>
          <w:tab w:leader="none" w:pos="10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10,000</w:t>
      </w:r>
    </w:p>
    <w:p>
      <w:pPr>
        <w:spacing w:after="0" w:line="340" w:lineRule="exact"/>
        <w:rPr>
          <w:sz w:val="20"/>
          <w:szCs w:val="20"/>
          <w:color w:val="auto"/>
        </w:rPr>
      </w:pPr>
    </w:p>
    <w:p>
      <w:pPr>
        <w:ind w:left="20"/>
        <w:spacing w:after="0"/>
        <w:tabs>
          <w:tab w:leader="none" w:pos="10260" w:val="left"/>
        </w:tabs>
        <w:rPr>
          <w:sz w:val="20"/>
          <w:szCs w:val="20"/>
          <w:color w:val="auto"/>
        </w:rPr>
      </w:pPr>
      <w:r>
        <w:rPr>
          <w:rFonts w:ascii="Arial" w:cs="Arial" w:eastAsia="Arial" w:hAnsi="Arial"/>
          <w:sz w:val="18"/>
          <w:szCs w:val="18"/>
          <w:b w:val="1"/>
          <w:bCs w:val="1"/>
          <w:color w:val="auto"/>
        </w:rPr>
        <w:t>Annual Equity Award</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654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Target grant date fair value</w:t>
      </w:r>
    </w:p>
    <w:p>
      <w:pPr>
        <w:ind w:left="9840"/>
        <w:spacing w:after="0"/>
        <w:tabs>
          <w:tab w:leader="none" w:pos="10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540" w:type="dxa"/>
            <w:vAlign w:val="bottom"/>
          </w:tcPr>
          <w:p>
            <w:pPr>
              <w:ind w:left="2960"/>
              <w:spacing w:after="0"/>
              <w:rPr>
                <w:sz w:val="20"/>
                <w:szCs w:val="20"/>
                <w:color w:val="auto"/>
              </w:rPr>
            </w:pPr>
            <w:r>
              <w:rPr>
                <w:rFonts w:ascii="Arial" w:cs="Arial" w:eastAsia="Arial" w:hAnsi="Arial"/>
                <w:sz w:val="20"/>
                <w:szCs w:val="20"/>
                <w:b w:val="1"/>
                <w:bCs w:val="1"/>
                <w:color w:val="auto"/>
              </w:rPr>
              <w:t>SIGNIFICANT SUBSIDIARIES OF DOMINO’S PIZZA, INC.</w:t>
            </w:r>
          </w:p>
        </w:tc>
        <w:tc>
          <w:tcPr>
            <w:tcW w:w="2700" w:type="dxa"/>
            <w:vAlign w:val="bottom"/>
          </w:tcPr>
          <w:p>
            <w:pPr>
              <w:spacing w:after="0"/>
              <w:rPr>
                <w:sz w:val="22"/>
                <w:szCs w:val="22"/>
                <w:color w:val="auto"/>
              </w:rPr>
            </w:pPr>
          </w:p>
        </w:tc>
      </w:tr>
      <w:tr>
        <w:trPr>
          <w:trHeight w:val="600"/>
        </w:trPr>
        <w:tc>
          <w:tcPr>
            <w:tcW w:w="8540" w:type="dxa"/>
            <w:vAlign w:val="bottom"/>
          </w:tcPr>
          <w:p>
            <w:pPr>
              <w:ind w:left="920"/>
              <w:spacing w:after="0"/>
              <w:rPr>
                <w:sz w:val="20"/>
                <w:szCs w:val="20"/>
                <w:color w:val="auto"/>
              </w:rPr>
            </w:pPr>
            <w:r>
              <w:rPr>
                <w:rFonts w:ascii="Arial" w:cs="Arial" w:eastAsia="Arial" w:hAnsi="Arial"/>
                <w:sz w:val="20"/>
                <w:szCs w:val="20"/>
                <w:color w:val="auto"/>
              </w:rPr>
              <w:t>Domino’s, Inc.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LLC</w:t>
            </w:r>
          </w:p>
        </w:tc>
        <w:tc>
          <w:tcPr>
            <w:tcW w:w="2700" w:type="dxa"/>
            <w:vAlign w:val="bottom"/>
          </w:tcPr>
          <w:p>
            <w:pPr>
              <w:ind w:left="240"/>
              <w:spacing w:after="0"/>
              <w:rPr>
                <w:sz w:val="20"/>
                <w:szCs w:val="20"/>
                <w:color w:val="auto"/>
              </w:rPr>
            </w:pPr>
            <w:r>
              <w:rPr>
                <w:rFonts w:ascii="Arial" w:cs="Arial" w:eastAsia="Arial" w:hAnsi="Arial"/>
                <w:sz w:val="18"/>
                <w:szCs w:val="18"/>
                <w:color w:val="auto"/>
              </w:rPr>
              <w:t>Michigan</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National Advertising Fund Inc.</w:t>
            </w:r>
          </w:p>
        </w:tc>
        <w:tc>
          <w:tcPr>
            <w:tcW w:w="2700" w:type="dxa"/>
            <w:vAlign w:val="bottom"/>
          </w:tcPr>
          <w:p>
            <w:pPr>
              <w:ind w:left="240"/>
              <w:spacing w:after="0"/>
              <w:rPr>
                <w:sz w:val="20"/>
                <w:szCs w:val="20"/>
                <w:color w:val="auto"/>
              </w:rPr>
            </w:pPr>
            <w:r>
              <w:rPr>
                <w:rFonts w:ascii="Arial" w:cs="Arial" w:eastAsia="Arial" w:hAnsi="Arial"/>
                <w:sz w:val="18"/>
                <w:szCs w:val="18"/>
                <w:color w:val="auto"/>
              </w:rPr>
              <w:t>Michigan</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Progressive Food Solutions LLC</w:t>
            </w:r>
          </w:p>
        </w:tc>
        <w:tc>
          <w:tcPr>
            <w:tcW w:w="2700" w:type="dxa"/>
            <w:vAlign w:val="bottom"/>
          </w:tcPr>
          <w:p>
            <w:pPr>
              <w:ind w:left="240"/>
              <w:spacing w:after="0"/>
              <w:rPr>
                <w:sz w:val="20"/>
                <w:szCs w:val="20"/>
                <w:color w:val="auto"/>
              </w:rPr>
            </w:pPr>
            <w:r>
              <w:rPr>
                <w:rFonts w:ascii="Arial" w:cs="Arial" w:eastAsia="Arial" w:hAnsi="Arial"/>
                <w:sz w:val="18"/>
                <w:szCs w:val="18"/>
                <w:color w:val="auto"/>
              </w:rPr>
              <w:t>Michigan</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International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Overseas GP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Overseas LP Inc.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Canadian Holding Company Inc.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NS Co.</w:t>
            </w:r>
          </w:p>
        </w:tc>
        <w:tc>
          <w:tcPr>
            <w:tcW w:w="2700" w:type="dxa"/>
            <w:vAlign w:val="bottom"/>
          </w:tcPr>
          <w:p>
            <w:pPr>
              <w:ind w:left="240"/>
              <w:spacing w:after="0"/>
              <w:rPr>
                <w:sz w:val="20"/>
                <w:szCs w:val="20"/>
                <w:color w:val="auto"/>
              </w:rPr>
            </w:pPr>
            <w:r>
              <w:rPr>
                <w:rFonts w:ascii="Arial" w:cs="Arial" w:eastAsia="Arial" w:hAnsi="Arial"/>
                <w:sz w:val="18"/>
                <w:szCs w:val="18"/>
                <w:color w:val="auto"/>
              </w:rPr>
              <w:t>Nova Scotia</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SPV Guarantor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Master Issuer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Distribution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EQ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SPV Canadian Holding Company Inc.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Canadian Distribution ULC</w:t>
            </w:r>
          </w:p>
        </w:tc>
        <w:tc>
          <w:tcPr>
            <w:tcW w:w="2700" w:type="dxa"/>
            <w:vAlign w:val="bottom"/>
          </w:tcPr>
          <w:p>
            <w:pPr>
              <w:ind w:left="240"/>
              <w:spacing w:after="0"/>
              <w:rPr>
                <w:sz w:val="20"/>
                <w:szCs w:val="20"/>
                <w:color w:val="auto"/>
              </w:rPr>
            </w:pPr>
            <w:r>
              <w:rPr>
                <w:rFonts w:ascii="Arial" w:cs="Arial" w:eastAsia="Arial" w:hAnsi="Arial"/>
                <w:sz w:val="18"/>
                <w:szCs w:val="18"/>
                <w:color w:val="auto"/>
              </w:rPr>
              <w:t>Nova Scotia</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Franchising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RE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International Franchising Inc.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216"/>
        </w:trPr>
        <w:tc>
          <w:tcPr>
            <w:tcW w:w="8540" w:type="dxa"/>
            <w:vAlign w:val="bottom"/>
          </w:tcPr>
          <w:p>
            <w:pPr>
              <w:ind w:left="920"/>
              <w:spacing w:after="0" w:line="216" w:lineRule="exact"/>
              <w:rPr>
                <w:sz w:val="20"/>
                <w:szCs w:val="20"/>
                <w:color w:val="auto"/>
              </w:rPr>
            </w:pPr>
            <w:r>
              <w:rPr>
                <w:rFonts w:ascii="Arial" w:cs="Arial" w:eastAsia="Arial" w:hAnsi="Arial"/>
                <w:sz w:val="20"/>
                <w:szCs w:val="20"/>
                <w:color w:val="auto"/>
              </w:rPr>
              <w:t>Domino’s Pizza International Franchising of Michigan LLC</w:t>
            </w:r>
          </w:p>
        </w:tc>
        <w:tc>
          <w:tcPr>
            <w:tcW w:w="2700" w:type="dxa"/>
            <w:vAlign w:val="bottom"/>
          </w:tcPr>
          <w:p>
            <w:pPr>
              <w:ind w:left="240"/>
              <w:spacing w:after="0"/>
              <w:rPr>
                <w:sz w:val="20"/>
                <w:szCs w:val="20"/>
                <w:color w:val="auto"/>
              </w:rPr>
            </w:pPr>
            <w:r>
              <w:rPr>
                <w:rFonts w:ascii="Arial" w:cs="Arial" w:eastAsia="Arial" w:hAnsi="Arial"/>
                <w:sz w:val="18"/>
                <w:szCs w:val="18"/>
                <w:color w:val="auto"/>
              </w:rPr>
              <w:t>Michigan</w:t>
            </w:r>
          </w:p>
        </w:tc>
      </w:tr>
      <w:tr>
        <w:trPr>
          <w:trHeight w:val="250"/>
        </w:trPr>
        <w:tc>
          <w:tcPr>
            <w:tcW w:w="8540" w:type="dxa"/>
            <w:vAlign w:val="bottom"/>
          </w:tcPr>
          <w:p>
            <w:pPr>
              <w:ind w:left="920"/>
              <w:spacing w:after="0"/>
              <w:rPr>
                <w:sz w:val="20"/>
                <w:szCs w:val="20"/>
                <w:color w:val="auto"/>
              </w:rPr>
            </w:pPr>
            <w:r>
              <w:rPr>
                <w:rFonts w:ascii="Arial" w:cs="Arial" w:eastAsia="Arial" w:hAnsi="Arial"/>
                <w:sz w:val="20"/>
                <w:szCs w:val="20"/>
                <w:color w:val="auto"/>
              </w:rPr>
              <w:t>Domino’s IP Holder LLC</w:t>
            </w:r>
          </w:p>
        </w:tc>
        <w:tc>
          <w:tcPr>
            <w:tcW w:w="270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327"/>
        </w:trPr>
        <w:tc>
          <w:tcPr>
            <w:tcW w:w="85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333-118486, 333-121830, 333-121923, 333-161971, 333-161972, and 333-174542) of Domino’s Pizza, Inc. of our report dated March 1, 2022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10160"/>
        <w:spacing w:after="0"/>
        <w:rPr>
          <w:sz w:val="20"/>
          <w:szCs w:val="20"/>
          <w:color w:val="auto"/>
        </w:rPr>
      </w:pPr>
      <w:r>
        <w:rPr>
          <w:rFonts w:ascii="Arial" w:cs="Arial" w:eastAsia="Arial" w:hAnsi="Arial"/>
          <w:sz w:val="17"/>
          <w:szCs w:val="17"/>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DOMINO’S PIZZA,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 Richard E. Allison, Jr., certify that:</w:t>
      </w:r>
    </w:p>
    <w:p>
      <w:pPr>
        <w:spacing w:after="0" w:line="202"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Domino’s Pizza, Inc.;</w:t>
      </w:r>
    </w:p>
    <w:p>
      <w:pPr>
        <w:spacing w:after="0" w:line="2" w:lineRule="exact"/>
        <w:rPr>
          <w:rFonts w:ascii="Arial" w:cs="Arial" w:eastAsia="Arial" w:hAnsi="Arial"/>
          <w:sz w:val="20"/>
          <w:szCs w:val="20"/>
          <w:color w:val="auto"/>
        </w:rPr>
      </w:pPr>
    </w:p>
    <w:p>
      <w:pPr>
        <w:jc w:val="both"/>
        <w:ind w:left="380" w:hanging="372"/>
        <w:spacing w:after="0" w:line="225" w:lineRule="auto"/>
        <w:tabs>
          <w:tab w:leader="none" w:pos="3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80" w:hanging="372"/>
        <w:spacing w:after="0" w:line="250"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25" w:lineRule="auto"/>
        <w:tabs>
          <w:tab w:leader="none" w:pos="3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760" w:hanging="378"/>
        <w:spacing w:after="0" w:line="225" w:lineRule="auto"/>
        <w:tabs>
          <w:tab w:leader="none" w:pos="760" w:val="left"/>
        </w:tabs>
        <w:numPr>
          <w:ilvl w:val="1"/>
          <w:numId w:val="39"/>
        </w:numPr>
        <w:rPr>
          <w:rFonts w:ascii="Arial" w:cs="Arial" w:eastAsia="Arial" w:hAnsi="Arial"/>
          <w:sz w:val="20"/>
          <w:szCs w:val="20"/>
          <w:color w:val="auto"/>
        </w:rPr>
      </w:pPr>
      <w:r>
        <w:rPr>
          <w:rFonts w:ascii="Arial" w:cs="Arial" w:eastAsia="Arial" w:hAnsi="Arial"/>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jc w:val="both"/>
        <w:ind w:left="760" w:hanging="378"/>
        <w:spacing w:after="0" w:line="225" w:lineRule="auto"/>
        <w:tabs>
          <w:tab w:leader="none" w:pos="760" w:val="left"/>
        </w:tabs>
        <w:numPr>
          <w:ilvl w:val="1"/>
          <w:numId w:val="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jc w:val="both"/>
        <w:ind w:left="760" w:hanging="378"/>
        <w:spacing w:after="0" w:line="237" w:lineRule="auto"/>
        <w:tabs>
          <w:tab w:leader="none" w:pos="760" w:val="left"/>
        </w:tabs>
        <w:numPr>
          <w:ilvl w:val="1"/>
          <w:numId w:val="3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25" w:lineRule="auto"/>
        <w:tabs>
          <w:tab w:leader="none" w:pos="3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20"/>
          <w:szCs w:val="20"/>
          <w:color w:val="auto"/>
        </w:rPr>
      </w:pPr>
    </w:p>
    <w:p>
      <w:pPr>
        <w:ind w:left="760" w:hanging="378"/>
        <w:spacing w:after="0" w:line="250" w:lineRule="auto"/>
        <w:tabs>
          <w:tab w:leader="none" w:pos="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34" w:lineRule="auto"/>
        <w:tabs>
          <w:tab w:leader="none" w:pos="760" w:val="left"/>
        </w:tabs>
        <w:numPr>
          <w:ilvl w:val="1"/>
          <w:numId w:val="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20"/>
                <w:szCs w:val="20"/>
                <w:color w:val="auto"/>
              </w:rPr>
              <w:t>March 1, 2022</w:t>
            </w:r>
          </w:p>
        </w:tc>
        <w:tc>
          <w:tcPr>
            <w:tcW w:w="27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20"/>
                <w:szCs w:val="20"/>
                <w:color w:val="auto"/>
              </w:rPr>
              <w:t>/s/ Richard E. Allison, Jr.</w:t>
            </w:r>
          </w:p>
        </w:tc>
      </w:tr>
      <w:tr>
        <w:trPr>
          <w:trHeight w:val="206"/>
        </w:trPr>
        <w:tc>
          <w:tcPr>
            <w:tcW w:w="18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Date</w:t>
            </w:r>
          </w:p>
        </w:tc>
        <w:tc>
          <w:tcPr>
            <w:tcW w:w="2720" w:type="dxa"/>
            <w:vAlign w:val="bottom"/>
          </w:tcPr>
          <w:p>
            <w:pPr>
              <w:spacing w:after="0"/>
              <w:rPr>
                <w:sz w:val="17"/>
                <w:szCs w:val="17"/>
                <w:color w:val="auto"/>
              </w:rPr>
            </w:pPr>
          </w:p>
        </w:tc>
        <w:tc>
          <w:tcPr>
            <w:tcW w:w="19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Richard E. Allison, Jr.</w:t>
            </w:r>
          </w:p>
        </w:tc>
        <w:tc>
          <w:tcPr>
            <w:tcW w:w="472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70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Chief Executive Officer</w:t>
            </w:r>
          </w:p>
        </w:tc>
      </w:tr>
      <w:tr>
        <w:trPr>
          <w:trHeight w:val="216"/>
        </w:trPr>
        <w:tc>
          <w:tcPr>
            <w:tcW w:w="1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700" w:type="dxa"/>
            <w:vAlign w:val="bottom"/>
            <w:gridSpan w:val="2"/>
          </w:tcPr>
          <w:p>
            <w:pPr>
              <w:ind w:left="20"/>
              <w:spacing w:after="0" w:line="216" w:lineRule="exact"/>
              <w:rPr>
                <w:sz w:val="20"/>
                <w:szCs w:val="20"/>
                <w:color w:val="auto"/>
              </w:rPr>
            </w:pPr>
            <w:r>
              <w:rPr>
                <w:rFonts w:ascii="Arial" w:cs="Arial" w:eastAsia="Arial" w:hAnsi="Arial"/>
                <w:sz w:val="20"/>
                <w:szCs w:val="20"/>
                <w:i w:val="1"/>
                <w:iCs w:val="1"/>
                <w:color w:val="auto"/>
              </w:rPr>
              <w:t>(Principal Executive Officer and</w:t>
            </w:r>
          </w:p>
        </w:tc>
      </w:tr>
      <w:tr>
        <w:trPr>
          <w:trHeight w:val="250"/>
        </w:trPr>
        <w:tc>
          <w:tcPr>
            <w:tcW w:w="18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20"/>
                <w:szCs w:val="20"/>
                <w:i w:val="1"/>
                <w:iCs w:val="1"/>
                <w:color w:val="auto"/>
              </w:rPr>
              <w:t>Principal Financial Officer)</w:t>
            </w:r>
          </w:p>
        </w:tc>
      </w:tr>
      <w:tr>
        <w:trPr>
          <w:trHeight w:val="503"/>
        </w:trPr>
        <w:tc>
          <w:tcPr>
            <w:tcW w:w="18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32.1</w:t>
      </w:r>
    </w:p>
    <w:p>
      <w:pPr>
        <w:jc w:val="center"/>
        <w:ind w:right="60"/>
        <w:spacing w:after="0" w:line="236" w:lineRule="auto"/>
        <w:rPr>
          <w:sz w:val="20"/>
          <w:szCs w:val="20"/>
          <w:color w:val="auto"/>
        </w:rPr>
      </w:pPr>
      <w:r>
        <w:rPr>
          <w:rFonts w:ascii="Arial" w:cs="Arial" w:eastAsia="Arial" w:hAnsi="Arial"/>
          <w:sz w:val="22"/>
          <w:szCs w:val="22"/>
          <w:b w:val="1"/>
          <w:bCs w:val="1"/>
          <w:color w:val="auto"/>
        </w:rPr>
        <w:t>CERTIFICATION PURSUANT TO</w:t>
      </w:r>
    </w:p>
    <w:p>
      <w:pPr>
        <w:jc w:val="center"/>
        <w:spacing w:after="0" w:line="231" w:lineRule="auto"/>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2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Annual Report of Domino’s Pizza, Inc. (the “Company”) on Form 10-K for the period ended January 2, 2022, as filed with the Securities and Exchange Commission on the date hereof (the “Report”), I, Richard E. Allison, Jr.,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5" w:lineRule="exact"/>
        <w:rPr>
          <w:sz w:val="20"/>
          <w:szCs w:val="20"/>
          <w:color w:val="auto"/>
        </w:rPr>
      </w:pPr>
    </w:p>
    <w:p>
      <w:pPr>
        <w:ind w:left="760" w:hanging="378"/>
        <w:spacing w:after="0" w:line="250" w:lineRule="auto"/>
        <w:tabs>
          <w:tab w:leader="none" w:pos="7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as amended; and</w:t>
      </w:r>
    </w:p>
    <w:p>
      <w:pPr>
        <w:spacing w:after="0" w:line="201" w:lineRule="exact"/>
        <w:rPr>
          <w:rFonts w:ascii="Arial" w:cs="Arial" w:eastAsia="Arial" w:hAnsi="Arial"/>
          <w:sz w:val="22"/>
          <w:szCs w:val="22"/>
          <w:color w:val="auto"/>
        </w:rPr>
      </w:pPr>
    </w:p>
    <w:p>
      <w:pPr>
        <w:ind w:left="760" w:hanging="378"/>
        <w:spacing w:after="0" w:line="250" w:lineRule="auto"/>
        <w:tabs>
          <w:tab w:leader="none" w:pos="7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-14605</wp:posOffset>
            </wp:positionV>
            <wp:extent cx="175895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5">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ind w:left="4500"/>
        <w:spacing w:after="0" w:line="230" w:lineRule="auto"/>
        <w:rPr>
          <w:sz w:val="20"/>
          <w:szCs w:val="20"/>
          <w:color w:val="auto"/>
        </w:rPr>
      </w:pPr>
      <w:r>
        <w:rPr>
          <w:rFonts w:ascii="Arial" w:cs="Arial" w:eastAsia="Arial" w:hAnsi="Arial"/>
          <w:sz w:val="22"/>
          <w:szCs w:val="22"/>
          <w:color w:val="auto"/>
        </w:rPr>
        <w:t>Chief Executive Officer</w:t>
      </w:r>
    </w:p>
    <w:p>
      <w:pPr>
        <w:ind w:left="4500"/>
        <w:spacing w:after="0" w:line="231" w:lineRule="auto"/>
        <w:rPr>
          <w:sz w:val="20"/>
          <w:szCs w:val="20"/>
          <w:color w:val="auto"/>
        </w:rPr>
      </w:pPr>
      <w:r>
        <w:rPr>
          <w:rFonts w:ascii="Arial" w:cs="Arial" w:eastAsia="Arial" w:hAnsi="Arial"/>
          <w:sz w:val="22"/>
          <w:szCs w:val="22"/>
          <w:i w:val="1"/>
          <w:iCs w:val="1"/>
          <w:color w:val="auto"/>
        </w:rPr>
        <w:t>(Principal Executive Officer and</w:t>
      </w:r>
    </w:p>
    <w:p>
      <w:pPr>
        <w:ind w:left="4500"/>
        <w:spacing w:after="0"/>
        <w:rPr>
          <w:sz w:val="20"/>
          <w:szCs w:val="20"/>
          <w:color w:val="auto"/>
        </w:rPr>
      </w:pPr>
      <w:r>
        <w:rPr>
          <w:rFonts w:ascii="Arial" w:cs="Arial" w:eastAsia="Arial" w:hAnsi="Arial"/>
          <w:sz w:val="22"/>
          <w:szCs w:val="22"/>
          <w:i w:val="1"/>
          <w:iCs w:val="1"/>
          <w:color w:val="auto"/>
        </w:rPr>
        <w:t>Principal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_March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-17780</wp:posOffset>
            </wp:positionV>
            <wp:extent cx="11772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6">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1)"/>
      <w:numFmt w:val="decimal"/>
      <w:start w:val="3"/>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6"/>
    </w:lvl>
  </w:abstractNum>
  <w:abstractNum w:abstractNumId="21">
    <w:nsid w:val="7C3DBD3D"/>
    <w:multiLevelType w:val="hybridMultilevel"/>
    <w:lvl w:ilvl="0">
      <w:lvlJc w:val="left"/>
      <w:lvlText w:val="(%1)"/>
      <w:numFmt w:val="decimal"/>
      <w:start w:val="7"/>
    </w:lvl>
  </w:abstractNum>
  <w:abstractNum w:abstractNumId="22">
    <w:nsid w:val="737B8DDC"/>
    <w:multiLevelType w:val="hybridMultilevel"/>
    <w:lvl w:ilvl="0">
      <w:lvlJc w:val="left"/>
      <w:lvlText w:val="(%1)"/>
      <w:numFmt w:val="decimal"/>
      <w:start w:val="8"/>
    </w:lvl>
  </w:abstractNum>
  <w:abstractNum w:abstractNumId="23">
    <w:nsid w:val="6CEAF087"/>
    <w:multiLevelType w:val="hybridMultilevel"/>
    <w:lvl w:ilvl="0">
      <w:lvlJc w:val="left"/>
      <w:lvlText w:val="(%1)"/>
      <w:numFmt w:val="decimal"/>
      <w:start w:val="9"/>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1"/>
    </w:lvl>
  </w:abstractNum>
  <w:abstractNum w:abstractNumId="26">
    <w:nsid w:val="3006C83E"/>
    <w:multiLevelType w:val="hybridMultilevel"/>
    <w:lvl w:ilvl="0">
      <w:lvlJc w:val="left"/>
      <w:lvlText w:val="%1."/>
      <w:numFmt w:val="decimal"/>
      <w:start w:val="2"/>
    </w:lvl>
  </w:abstractNum>
  <w:abstractNum w:abstractNumId="27">
    <w:nsid w:val="614FD4A1"/>
    <w:multiLevelType w:val="hybridMultilevel"/>
    <w:lvl w:ilvl="0">
      <w:lvlJc w:val="left"/>
      <w:lvlText w:val="%1."/>
      <w:numFmt w:val="decimal"/>
      <w:start w:val="3"/>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7"/>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lowerRoman"/>
      <w:start w:val="2"/>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99" Type="http://schemas.openxmlformats.org/officeDocument/2006/relationships/image" Target="media/image352.png"/><Relationship Id="rId400" Type="http://schemas.openxmlformats.org/officeDocument/2006/relationships/image" Target="media/image353.png"/><Relationship Id="rId418" Type="http://schemas.openxmlformats.org/officeDocument/2006/relationships/image" Target="media/image354.png"/><Relationship Id="rId419" Type="http://schemas.openxmlformats.org/officeDocument/2006/relationships/image" Target="media/image355.png"/><Relationship Id="rId430" Type="http://schemas.openxmlformats.org/officeDocument/2006/relationships/image" Target="media/image356.png"/><Relationship Id="rId431" Type="http://schemas.openxmlformats.org/officeDocument/2006/relationships/image" Target="media/image357.png"/><Relationship Id="rId440" Type="http://schemas.openxmlformats.org/officeDocument/2006/relationships/image" Target="media/image358.png"/><Relationship Id="rId441" Type="http://schemas.openxmlformats.org/officeDocument/2006/relationships/image" Target="media/image359.png"/><Relationship Id="rId452" Type="http://schemas.openxmlformats.org/officeDocument/2006/relationships/image" Target="media/image360.png"/><Relationship Id="rId453" Type="http://schemas.openxmlformats.org/officeDocument/2006/relationships/image" Target="media/image361.png"/><Relationship Id="rId454" Type="http://schemas.openxmlformats.org/officeDocument/2006/relationships/image" Target="media/image362.png"/><Relationship Id="rId455" Type="http://schemas.openxmlformats.org/officeDocument/2006/relationships/image" Target="media/image363.png"/><Relationship Id="rId456" Type="http://schemas.openxmlformats.org/officeDocument/2006/relationships/image" Target="media/image364.png"/><Relationship Id="rId457" Type="http://schemas.openxmlformats.org/officeDocument/2006/relationships/image" Target="media/image365.png"/><Relationship Id="rId458" Type="http://schemas.openxmlformats.org/officeDocument/2006/relationships/image" Target="media/image366.png"/><Relationship Id="rId459" Type="http://schemas.openxmlformats.org/officeDocument/2006/relationships/image" Target="media/image367.png"/><Relationship Id="rId460" Type="http://schemas.openxmlformats.org/officeDocument/2006/relationships/image" Target="media/image368.png"/><Relationship Id="rId461" Type="http://schemas.openxmlformats.org/officeDocument/2006/relationships/image" Target="media/image369.png"/><Relationship Id="rId462" Type="http://schemas.openxmlformats.org/officeDocument/2006/relationships/image" Target="media/image370.png"/><Relationship Id="rId463" Type="http://schemas.openxmlformats.org/officeDocument/2006/relationships/image" Target="media/image371.png"/><Relationship Id="rId464" Type="http://schemas.openxmlformats.org/officeDocument/2006/relationships/image" Target="media/image372.png"/><Relationship Id="rId465" Type="http://schemas.openxmlformats.org/officeDocument/2006/relationships/image" Target="media/image373.png"/><Relationship Id="rId466" Type="http://schemas.openxmlformats.org/officeDocument/2006/relationships/image" Target="media/image374.png"/><Relationship Id="rId467" Type="http://schemas.openxmlformats.org/officeDocument/2006/relationships/image" Target="media/image375.png"/><Relationship Id="rId468" Type="http://schemas.openxmlformats.org/officeDocument/2006/relationships/image" Target="media/image376.png"/><Relationship Id="rId469" Type="http://schemas.openxmlformats.org/officeDocument/2006/relationships/image" Target="media/image377.png"/><Relationship Id="rId470" Type="http://schemas.openxmlformats.org/officeDocument/2006/relationships/image" Target="media/image378.png"/><Relationship Id="rId471" Type="http://schemas.openxmlformats.org/officeDocument/2006/relationships/image" Target="media/image379.png"/><Relationship Id="rId472" Type="http://schemas.openxmlformats.org/officeDocument/2006/relationships/image" Target="media/image380.png"/><Relationship Id="rId473" Type="http://schemas.openxmlformats.org/officeDocument/2006/relationships/image" Target="media/image381.png"/><Relationship Id="rId474" Type="http://schemas.openxmlformats.org/officeDocument/2006/relationships/image" Target="media/image382.png"/><Relationship Id="rId475" Type="http://schemas.openxmlformats.org/officeDocument/2006/relationships/image" Target="media/image383.png"/><Relationship Id="rId476" Type="http://schemas.openxmlformats.org/officeDocument/2006/relationships/image" Target="media/image384.png"/><Relationship Id="rId477" Type="http://schemas.openxmlformats.org/officeDocument/2006/relationships/image" Target="media/image385.png"/><Relationship Id="rId478" Type="http://schemas.openxmlformats.org/officeDocument/2006/relationships/image" Target="media/image386.png"/><Relationship Id="rId479" Type="http://schemas.openxmlformats.org/officeDocument/2006/relationships/image" Target="media/image387.png"/><Relationship Id="rId480" Type="http://schemas.openxmlformats.org/officeDocument/2006/relationships/image" Target="media/image388.png"/><Relationship Id="rId481" Type="http://schemas.openxmlformats.org/officeDocument/2006/relationships/image" Target="media/image389.png"/><Relationship Id="rId482" Type="http://schemas.openxmlformats.org/officeDocument/2006/relationships/image" Target="media/image390.png"/><Relationship Id="rId483" Type="http://schemas.openxmlformats.org/officeDocument/2006/relationships/image" Target="media/image391.png"/><Relationship Id="rId484" Type="http://schemas.openxmlformats.org/officeDocument/2006/relationships/image" Target="media/image392.png"/><Relationship Id="rId485" Type="http://schemas.openxmlformats.org/officeDocument/2006/relationships/image" Target="media/image393.png"/><Relationship Id="rId486" Type="http://schemas.openxmlformats.org/officeDocument/2006/relationships/image" Target="media/image394.png"/><Relationship Id="rId487" Type="http://schemas.openxmlformats.org/officeDocument/2006/relationships/image" Target="media/image395.png"/><Relationship Id="rId488" Type="http://schemas.openxmlformats.org/officeDocument/2006/relationships/image" Target="media/image396.png"/><Relationship Id="rId489" Type="http://schemas.openxmlformats.org/officeDocument/2006/relationships/image" Target="media/image397.png"/><Relationship Id="rId490" Type="http://schemas.openxmlformats.org/officeDocument/2006/relationships/image" Target="media/image398.png"/><Relationship Id="rId491" Type="http://schemas.openxmlformats.org/officeDocument/2006/relationships/image" Target="media/image399.png"/><Relationship Id="rId492" Type="http://schemas.openxmlformats.org/officeDocument/2006/relationships/image" Target="media/image400.png"/><Relationship Id="rId493" Type="http://schemas.openxmlformats.org/officeDocument/2006/relationships/image" Target="media/image401.png"/><Relationship Id="rId494" Type="http://schemas.openxmlformats.org/officeDocument/2006/relationships/image" Target="media/image402.png"/><Relationship Id="rId495" Type="http://schemas.openxmlformats.org/officeDocument/2006/relationships/image" Target="media/image403.png"/><Relationship Id="rId496" Type="http://schemas.openxmlformats.org/officeDocument/2006/relationships/image" Target="media/image404.png"/><Relationship Id="rId497" Type="http://schemas.openxmlformats.org/officeDocument/2006/relationships/image" Target="media/image405.png"/><Relationship Id="rId498" Type="http://schemas.openxmlformats.org/officeDocument/2006/relationships/image" Target="media/image406.png"/><Relationship Id="rId499" Type="http://schemas.openxmlformats.org/officeDocument/2006/relationships/image" Target="media/image407.png"/><Relationship Id="rId500" Type="http://schemas.openxmlformats.org/officeDocument/2006/relationships/image" Target="media/image408.png"/><Relationship Id="rId501" Type="http://schemas.openxmlformats.org/officeDocument/2006/relationships/image" Target="media/image409.png"/><Relationship Id="rId502" Type="http://schemas.openxmlformats.org/officeDocument/2006/relationships/image" Target="media/image410.png"/><Relationship Id="rId503" Type="http://schemas.openxmlformats.org/officeDocument/2006/relationships/image" Target="media/image411.png"/><Relationship Id="rId504" Type="http://schemas.openxmlformats.org/officeDocument/2006/relationships/image" Target="media/image412.png"/><Relationship Id="rId505" Type="http://schemas.openxmlformats.org/officeDocument/2006/relationships/image" Target="media/image413.png"/><Relationship Id="rId506" Type="http://schemas.openxmlformats.org/officeDocument/2006/relationships/image" Target="media/image414.png"/><Relationship Id="rId507" Type="http://schemas.openxmlformats.org/officeDocument/2006/relationships/image" Target="media/image415.png"/><Relationship Id="rId508" Type="http://schemas.openxmlformats.org/officeDocument/2006/relationships/image" Target="media/image416.png"/><Relationship Id="rId509" Type="http://schemas.openxmlformats.org/officeDocument/2006/relationships/image" Target="media/image417.png"/><Relationship Id="rId510" Type="http://schemas.openxmlformats.org/officeDocument/2006/relationships/image" Target="media/image418.png"/><Relationship Id="rId511" Type="http://schemas.openxmlformats.org/officeDocument/2006/relationships/image" Target="media/image419.png"/><Relationship Id="rId512" Type="http://schemas.openxmlformats.org/officeDocument/2006/relationships/image" Target="media/image420.png"/><Relationship Id="rId513" Type="http://schemas.openxmlformats.org/officeDocument/2006/relationships/image" Target="media/image421.png"/><Relationship Id="rId514" Type="http://schemas.openxmlformats.org/officeDocument/2006/relationships/image" Target="media/image422.png"/><Relationship Id="rId515" Type="http://schemas.openxmlformats.org/officeDocument/2006/relationships/image" Target="media/image423.png"/><Relationship Id="rId516" Type="http://schemas.openxmlformats.org/officeDocument/2006/relationships/image" Target="media/image424.png"/><Relationship Id="rId517" Type="http://schemas.openxmlformats.org/officeDocument/2006/relationships/image" Target="media/image425.png"/><Relationship Id="rId518" Type="http://schemas.openxmlformats.org/officeDocument/2006/relationships/image" Target="media/image426.png"/><Relationship Id="rId519" Type="http://schemas.openxmlformats.org/officeDocument/2006/relationships/image" Target="media/image427.png"/><Relationship Id="rId520" Type="http://schemas.openxmlformats.org/officeDocument/2006/relationships/image" Target="media/image428.png"/><Relationship Id="rId521" Type="http://schemas.openxmlformats.org/officeDocument/2006/relationships/image" Target="media/image429.png"/><Relationship Id="rId522" Type="http://schemas.openxmlformats.org/officeDocument/2006/relationships/image" Target="media/image430.png"/><Relationship Id="rId523" Type="http://schemas.openxmlformats.org/officeDocument/2006/relationships/image" Target="media/image431.png"/><Relationship Id="rId524" Type="http://schemas.openxmlformats.org/officeDocument/2006/relationships/image" Target="media/image432.png"/><Relationship Id="rId525" Type="http://schemas.openxmlformats.org/officeDocument/2006/relationships/image" Target="media/image433.png"/><Relationship Id="rId526" Type="http://schemas.openxmlformats.org/officeDocument/2006/relationships/image" Target="media/image434.png"/><Relationship Id="rId527" Type="http://schemas.openxmlformats.org/officeDocument/2006/relationships/image" Target="media/image435.png"/><Relationship Id="rId528" Type="http://schemas.openxmlformats.org/officeDocument/2006/relationships/image" Target="media/image436.png"/><Relationship Id="rId529" Type="http://schemas.openxmlformats.org/officeDocument/2006/relationships/image" Target="media/image437.png"/><Relationship Id="rId530" Type="http://schemas.openxmlformats.org/officeDocument/2006/relationships/image" Target="media/image438.png"/><Relationship Id="rId531" Type="http://schemas.openxmlformats.org/officeDocument/2006/relationships/image" Target="media/image439.png"/><Relationship Id="rId532" Type="http://schemas.openxmlformats.org/officeDocument/2006/relationships/image" Target="media/image440.png"/><Relationship Id="rId533" Type="http://schemas.openxmlformats.org/officeDocument/2006/relationships/image" Target="media/image441.png"/><Relationship Id="rId534" Type="http://schemas.openxmlformats.org/officeDocument/2006/relationships/image" Target="media/image442.png"/><Relationship Id="rId535" Type="http://schemas.openxmlformats.org/officeDocument/2006/relationships/image" Target="media/image443.png"/><Relationship Id="rId536" Type="http://schemas.openxmlformats.org/officeDocument/2006/relationships/image" Target="media/image444.png"/><Relationship Id="rId537" Type="http://schemas.openxmlformats.org/officeDocument/2006/relationships/image" Target="media/image445.png"/><Relationship Id="rId538" Type="http://schemas.openxmlformats.org/officeDocument/2006/relationships/image" Target="media/image446.png"/><Relationship Id="rId539" Type="http://schemas.openxmlformats.org/officeDocument/2006/relationships/image" Target="media/image447.png"/><Relationship Id="rId540" Type="http://schemas.openxmlformats.org/officeDocument/2006/relationships/image" Target="media/image448.png"/><Relationship Id="rId541" Type="http://schemas.openxmlformats.org/officeDocument/2006/relationships/image" Target="media/image449.png"/><Relationship Id="rId542" Type="http://schemas.openxmlformats.org/officeDocument/2006/relationships/image" Target="media/image450.png"/><Relationship Id="rId543" Type="http://schemas.openxmlformats.org/officeDocument/2006/relationships/image" Target="media/image451.png"/><Relationship Id="rId544" Type="http://schemas.openxmlformats.org/officeDocument/2006/relationships/image" Target="media/image452.png"/><Relationship Id="rId545" Type="http://schemas.openxmlformats.org/officeDocument/2006/relationships/image" Target="media/image453.png"/><Relationship Id="rId546" Type="http://schemas.openxmlformats.org/officeDocument/2006/relationships/image" Target="media/image454.png"/><Relationship Id="rId547" Type="http://schemas.openxmlformats.org/officeDocument/2006/relationships/image" Target="media/image455.png"/><Relationship Id="rId548" Type="http://schemas.openxmlformats.org/officeDocument/2006/relationships/image" Target="media/image456.png"/><Relationship Id="rId549" Type="http://schemas.openxmlformats.org/officeDocument/2006/relationships/image" Target="media/image457.png"/><Relationship Id="rId550" Type="http://schemas.openxmlformats.org/officeDocument/2006/relationships/image" Target="media/image458.png"/><Relationship Id="rId551" Type="http://schemas.openxmlformats.org/officeDocument/2006/relationships/image" Target="media/image459.png"/><Relationship Id="rId552" Type="http://schemas.openxmlformats.org/officeDocument/2006/relationships/image" Target="media/image460.png"/><Relationship Id="rId553" Type="http://schemas.openxmlformats.org/officeDocument/2006/relationships/image" Target="media/image461.png"/><Relationship Id="rId554" Type="http://schemas.openxmlformats.org/officeDocument/2006/relationships/image" Target="media/image462.png"/><Relationship Id="rId555" Type="http://schemas.openxmlformats.org/officeDocument/2006/relationships/image" Target="media/image463.png"/><Relationship Id="rId556" Type="http://schemas.openxmlformats.org/officeDocument/2006/relationships/image" Target="media/image464.png"/><Relationship Id="rId557" Type="http://schemas.openxmlformats.org/officeDocument/2006/relationships/image" Target="media/image465.png"/><Relationship Id="rId558" Type="http://schemas.openxmlformats.org/officeDocument/2006/relationships/image" Target="media/image466.png"/><Relationship Id="rId559" Type="http://schemas.openxmlformats.org/officeDocument/2006/relationships/image" Target="media/image467.png"/><Relationship Id="rId560" Type="http://schemas.openxmlformats.org/officeDocument/2006/relationships/image" Target="media/image468.png"/><Relationship Id="rId561" Type="http://schemas.openxmlformats.org/officeDocument/2006/relationships/image" Target="media/image469.png"/><Relationship Id="rId562" Type="http://schemas.openxmlformats.org/officeDocument/2006/relationships/image" Target="media/image470.png"/><Relationship Id="rId563" Type="http://schemas.openxmlformats.org/officeDocument/2006/relationships/image" Target="media/image471.png"/><Relationship Id="rId564" Type="http://schemas.openxmlformats.org/officeDocument/2006/relationships/image" Target="media/image472.png"/><Relationship Id="rId565" Type="http://schemas.openxmlformats.org/officeDocument/2006/relationships/image" Target="media/image473.png"/><Relationship Id="rId566" Type="http://schemas.openxmlformats.org/officeDocument/2006/relationships/image" Target="media/image474.png"/><Relationship Id="rId567" Type="http://schemas.openxmlformats.org/officeDocument/2006/relationships/image" Target="media/image475.png"/><Relationship Id="rId355" Type="http://schemas.openxmlformats.org/officeDocument/2006/relationships/hyperlink" Target="https://www.sec.gov/Archives/edgar/data/1286681/000119312504091718/dex31.htm" TargetMode="External"/><Relationship Id="rId356" Type="http://schemas.openxmlformats.org/officeDocument/2006/relationships/hyperlink" Target="https://www.sec.gov/Archives/edgar/data/1286681/000156459015005457/dpz-ex32_20150614137.htm" TargetMode="External"/><Relationship Id="rId357" Type="http://schemas.openxmlformats.org/officeDocument/2006/relationships/hyperlink" Target="https://www.sec.gov/Archives/edgar/data/1286681/000119312516476935/d128680dex33.htm" TargetMode="External"/><Relationship Id="rId358" Type="http://schemas.openxmlformats.org/officeDocument/2006/relationships/hyperlink" Target="https://www.sec.gov/Archives/edgar/data/1286681/000119312520042675/d796357dex41.htm" TargetMode="External"/><Relationship Id="rId359" Type="http://schemas.openxmlformats.org/officeDocument/2006/relationships/hyperlink" Target="https://www.sec.gov/Archives/edgar/data/1079458/0000927016-99-001033.txt" TargetMode="External"/><Relationship Id="rId360" Type="http://schemas.openxmlformats.org/officeDocument/2006/relationships/hyperlink" Target="https://www.sec.gov/Archives/edgar/data/1286681/000119312513081957/d466015dex102.htm" TargetMode="External"/><Relationship Id="rId361" Type="http://schemas.openxmlformats.org/officeDocument/2006/relationships/hyperlink" Target="https://www.sec.gov/Archives/edgar/data/1286681/000119312517060262/d350071dex103.htm" TargetMode="External"/><Relationship Id="rId362" Type="http://schemas.openxmlformats.org/officeDocument/2006/relationships/hyperlink" Target="https://www.sec.gov/Archives/edgar/data/1286681/000119312517060262/d350071dex104.htm" TargetMode="External"/><Relationship Id="rId365" Type="http://schemas.openxmlformats.org/officeDocument/2006/relationships/hyperlink" Target="https://www.sec.gov/Archives/edgar/data/1286681/000119312517060262/d350071dex105.htm" TargetMode="External"/><Relationship Id="rId366" Type="http://schemas.openxmlformats.org/officeDocument/2006/relationships/hyperlink" Target="https://www.sec.gov/Archives/edgar/data/1286681/000119312517060262/d350071dex106.htm" TargetMode="External"/><Relationship Id="rId367" Type="http://schemas.openxmlformats.org/officeDocument/2006/relationships/hyperlink" Target="https://www.sec.gov/Archives/edgar/data/1286681/000119312517060262/d350071dex107.htm" TargetMode="External"/><Relationship Id="rId368" Type="http://schemas.openxmlformats.org/officeDocument/2006/relationships/hyperlink" Target="https://www.sec.gov/Archives/edgar/data/1286681/000119312518049576/d531906dex108.htm" TargetMode="External"/><Relationship Id="rId369" Type="http://schemas.openxmlformats.org/officeDocument/2006/relationships/hyperlink" Target="https://www.sec.gov/Archives/edgar/data/1286681/000119312518299738/d632190dex101.htm" TargetMode="External"/><Relationship Id="rId370" Type="http://schemas.openxmlformats.org/officeDocument/2006/relationships/hyperlink" Target="https://www.sec.gov/Archives/edgar/data/1286681/000119312518299738/d632190dex102.htm" TargetMode="External"/><Relationship Id="rId371" Type="http://schemas.openxmlformats.org/officeDocument/2006/relationships/hyperlink" Target="https://www.sec.gov/Archives/edgar/data/1286681/000119312519194379/d774471dex101.htm" TargetMode="External"/><Relationship Id="rId372" Type="http://schemas.openxmlformats.org/officeDocument/2006/relationships/hyperlink" Target="https://www.sec.gov/Archives/edgar/data/1286681/000119312519194379/d774471dex102.htm" TargetMode="External"/><Relationship Id="rId373" Type="http://schemas.openxmlformats.org/officeDocument/2006/relationships/hyperlink" Target="https://www.sec.gov/Archives/edgar/data/1079458/000119312506045179/dex109.htm" TargetMode="External"/><Relationship Id="rId374" Type="http://schemas.openxmlformats.org/officeDocument/2006/relationships/hyperlink" Target="https://www.sec.gov/Archives/edgar/data/1079458/000119312507037666/dex109.htm" TargetMode="External"/><Relationship Id="rId375" Type="http://schemas.openxmlformats.org/officeDocument/2006/relationships/hyperlink" Target="https://www.sec.gov/Archives/edgar/data/1286681/000119312513081957/d466015dex105.htm" TargetMode="External"/><Relationship Id="rId376" Type="http://schemas.openxmlformats.org/officeDocument/2006/relationships/hyperlink" Target="https://www.sec.gov/Archives/edgar/data/1286681/000119312509093037/dex101.htm" TargetMode="External"/><Relationship Id="rId377" Type="http://schemas.openxmlformats.org/officeDocument/2006/relationships/hyperlink" Target="https://www.sec.gov/Archives/edgar/data/1286681/000119312513081957/d466015dex108.htm" TargetMode="External"/><Relationship Id="rId378" Type="http://schemas.openxmlformats.org/officeDocument/2006/relationships/hyperlink" Target="https://www.sec.gov/Archives/edgar/data/1286681/000119312513081957/d466015dex109.htm" TargetMode="External"/><Relationship Id="rId381" Type="http://schemas.openxmlformats.org/officeDocument/2006/relationships/hyperlink" Target="https://www.sec.gov/Archives/edgar/data/1286681/000119312509093037/dex103.htm" TargetMode="External"/><Relationship Id="rId382" Type="http://schemas.openxmlformats.org/officeDocument/2006/relationships/hyperlink" Target="https://www.sec.gov/Archives/edgar/data/1286681/000119312509093037/dex105.htm" TargetMode="External"/><Relationship Id="rId383" Type="http://schemas.openxmlformats.org/officeDocument/2006/relationships/hyperlink" Target="https://www.sec.gov/Archives/edgar/data/1286681/000119312513081957/d466015dex1012.htm" TargetMode="External"/><Relationship Id="rId384" Type="http://schemas.openxmlformats.org/officeDocument/2006/relationships/hyperlink" Target="https://www.sec.gov/Archives/edgar/data/1286681/000119312513081957/d466015dex1013.htm" TargetMode="External"/><Relationship Id="rId385" Type="http://schemas.openxmlformats.org/officeDocument/2006/relationships/hyperlink" Target="https://www.sec.gov/Archives/edgar/data/1286681/000119312513081957/d466015dex1014.htm" TargetMode="External"/><Relationship Id="rId386" Type="http://schemas.openxmlformats.org/officeDocument/2006/relationships/hyperlink" Target="https://www.sec.gov/Archives/edgar/data/1286681/000119312513081957/d466015dex1015.htm" TargetMode="External"/><Relationship Id="rId387" Type="http://schemas.openxmlformats.org/officeDocument/2006/relationships/hyperlink" Target="https://www.sec.gov/Archives/edgar/data/1286681/000119312510045334/dex1019.htm" TargetMode="External"/><Relationship Id="rId388" Type="http://schemas.openxmlformats.org/officeDocument/2006/relationships/hyperlink" Target="https://www.sec.gov/Archives/edgar/data/1286681/000119312511050979/dex1020.htm" TargetMode="External"/><Relationship Id="rId389" Type="http://schemas.openxmlformats.org/officeDocument/2006/relationships/hyperlink" Target="https://www.sec.gov/Archives/edgar/data/1286681/000119312514066092/d661353dex1018.htm" TargetMode="External"/><Relationship Id="rId390" Type="http://schemas.openxmlformats.org/officeDocument/2006/relationships/hyperlink" Target="https://www.sec.gov/Archives/edgar/data/1286681/000119312519115719/d661429dex101.htm" TargetMode="External"/><Relationship Id="rId391" Type="http://schemas.openxmlformats.org/officeDocument/2006/relationships/hyperlink" Target="https://www.sec.gov/Archives/edgar/data/1286681/000119312504102056/dex1032.htm" TargetMode="External"/><Relationship Id="rId392" Type="http://schemas.openxmlformats.org/officeDocument/2006/relationships/hyperlink" Target="https://www.sec.gov/Archives/edgar/data/1286681/000119312518008592/d505807dex104.htm" TargetMode="External"/><Relationship Id="rId393" Type="http://schemas.openxmlformats.org/officeDocument/2006/relationships/hyperlink" Target="https://www.sec.gov/Archives/edgar/data/1286681/000119312521221398/d164949dex101.htm" TargetMode="External"/><Relationship Id="rId394" Type="http://schemas.openxmlformats.org/officeDocument/2006/relationships/hyperlink" Target="https://www.sec.gov/Archives/edgar/data/1286681/000119312521221398/d164949dex102.htm" TargetMode="External"/><Relationship Id="rId395" Type="http://schemas.openxmlformats.org/officeDocument/2006/relationships/hyperlink" Target="https://www.sec.gov/Archives/edgar/data/1286681/000119312521221398/d164949dex103.htm" TargetMode="External"/><Relationship Id="rId396" Type="http://schemas.openxmlformats.org/officeDocument/2006/relationships/hyperlink" Target="https://www.sec.gov/Archives/edgar/data/1286681/000095017021002121/dpz-ex10_1.htm" TargetMode="External"/><Relationship Id="rId397" Type="http://schemas.openxmlformats.org/officeDocument/2006/relationships/hyperlink" Target="https://www.sec.gov/Archives/edgar/data/1286681/000119312515339829/d67435dex101.htm" TargetMode="External"/><Relationship Id="rId398" Type="http://schemas.openxmlformats.org/officeDocument/2006/relationships/hyperlink" Target="https://www.sec.gov/Archives/edgar/data/1286681/000119312508190324/dex101.htm" TargetMode="External"/><Relationship Id="rId401" Type="http://schemas.openxmlformats.org/officeDocument/2006/relationships/hyperlink" Target="https://www.sec.gov/Archives/edgar/data/1286681/000119312508260125/dex104.htm" TargetMode="External"/><Relationship Id="rId402" Type="http://schemas.openxmlformats.org/officeDocument/2006/relationships/hyperlink" Target="https://www.sec.gov/Archives/edgar/data/1286681/000119312510166716/dex103.htm" TargetMode="External"/><Relationship Id="rId403" Type="http://schemas.openxmlformats.org/officeDocument/2006/relationships/hyperlink" Target="https://www.sec.gov/Archives/edgar/data/1286681/000119312518008592/d505807dex102.htm" TargetMode="External"/><Relationship Id="rId404" Type="http://schemas.openxmlformats.org/officeDocument/2006/relationships/hyperlink" Target="https://www.sec.gov/Archives/edgar/data/1286681/000119312511127320/dex101.htm" TargetMode="External"/><Relationship Id="rId405" Type="http://schemas.openxmlformats.org/officeDocument/2006/relationships/hyperlink" Target="https://www.sec.gov/Archives/edgar/data/1286681/000119312518008592/d505807dex101.htm" TargetMode="External"/><Relationship Id="rId406" Type="http://schemas.openxmlformats.org/officeDocument/2006/relationships/hyperlink" Target="https://www.sec.gov/Archives/edgar/data/1286681/000119312518008592/d505807dex103.htm" TargetMode="External"/><Relationship Id="rId407" Type="http://schemas.openxmlformats.org/officeDocument/2006/relationships/hyperlink" Target="https://www.sec.gov/Archives/edgar/data/1286681/000119312518220984/d513733dex101.htm" TargetMode="External"/><Relationship Id="rId408" Type="http://schemas.openxmlformats.org/officeDocument/2006/relationships/hyperlink" Target="https://www.sec.gov/Archives/edgar/data/1286681/000119312519046191/d696297dex1039.htm" TargetMode="External"/><Relationship Id="rId409" Type="http://schemas.openxmlformats.org/officeDocument/2006/relationships/hyperlink" Target="https://www.sec.gov/Archives/edgar/data/1286681/000119312520115907/d914156dex101.htm" TargetMode="External"/><Relationship Id="rId410" Type="http://schemas.openxmlformats.org/officeDocument/2006/relationships/hyperlink" Target="https://www.sec.gov/Archives/edgar/data/1286681/000119312519046191/d696297dex1041.htm" TargetMode="External"/><Relationship Id="rId411" Type="http://schemas.openxmlformats.org/officeDocument/2006/relationships/hyperlink" Target="https://www.sec.gov/Archives/edgar/data/1286681/000119312521055734/d326373dex1043.htm" TargetMode="External"/><Relationship Id="rId412" Type="http://schemas.openxmlformats.org/officeDocument/2006/relationships/hyperlink" Target="https://www.sec.gov/Archives/edgar/data/1286681/000119312519046191/d696297dex1042.htm" TargetMode="External"/><Relationship Id="rId413" Type="http://schemas.openxmlformats.org/officeDocument/2006/relationships/hyperlink" Target="https://www.sec.gov/Archives/edgar/data/1286681/000119312520265920/d935823dex101.htm" TargetMode="External"/><Relationship Id="rId414" Type="http://schemas.openxmlformats.org/officeDocument/2006/relationships/hyperlink" Target="https://www.sec.gov/Archives/edgar/data/1286681/000119312521221398/d164949dex109.htm" TargetMode="External"/><Relationship Id="rId415" Type="http://schemas.openxmlformats.org/officeDocument/2006/relationships/hyperlink" Target="https://www.sec.gov/Archives/edgar/data/1286681/000119312518049576/d531906dex1036.htm" TargetMode="External"/><Relationship Id="rId416" Type="http://schemas.openxmlformats.org/officeDocument/2006/relationships/hyperlink" Target="https://www.sec.gov/Archives/edgar/data/1286681/000119312504091718/dex1033.htm" TargetMode="External"/><Relationship Id="rId417" Type="http://schemas.openxmlformats.org/officeDocument/2006/relationships/hyperlink" Target="https://www.sec.gov/Archives/edgar/data/1286681/000119312512120642/d318279dex41.htm" TargetMode="External"/><Relationship Id="rId420" Type="http://schemas.openxmlformats.org/officeDocument/2006/relationships/hyperlink" Target="https://www.sec.gov/Archives/edgar/data/1286681/000119312515350900/d51248dex41.htm" TargetMode="External"/><Relationship Id="rId421" Type="http://schemas.openxmlformats.org/officeDocument/2006/relationships/hyperlink" Target="https://www.sec.gov/Archives/edgar/data/1286681/000119312515350900/d51248dex42.htm" TargetMode="External"/><Relationship Id="rId422" Type="http://schemas.openxmlformats.org/officeDocument/2006/relationships/hyperlink" Target="https://www.sec.gov/Archives/edgar/data/1286681/000119312515350900/d51248dex43.htm" TargetMode="External"/><Relationship Id="rId423" Type="http://schemas.openxmlformats.org/officeDocument/2006/relationships/hyperlink" Target="https://www.sec.gov/Archives/edgar/data/1286681/000119312517234418/d428320dex41.htm" TargetMode="External"/><Relationship Id="rId424" Type="http://schemas.openxmlformats.org/officeDocument/2006/relationships/hyperlink" Target="https://www.sec.gov/Archives/edgar/data/1286681/000119312520042675/d796357dex1049.htm" TargetMode="External"/><Relationship Id="rId425" Type="http://schemas.openxmlformats.org/officeDocument/2006/relationships/hyperlink" Target="https://www.sec.gov/Archives/edgar/data/1286681/000119312521121940/d174181dex41.htm" TargetMode="External"/><Relationship Id="rId426" Type="http://schemas.openxmlformats.org/officeDocument/2006/relationships/hyperlink" Target="https://www.sec.gov/Archives/edgar/data/1286681/000119312515350900/d51248dex44.htm" TargetMode="External"/><Relationship Id="rId427" Type="http://schemas.openxmlformats.org/officeDocument/2006/relationships/hyperlink" Target="https://www.sec.gov/Archives/edgar/data/1286681/000119312517234418/d428320dex42.htm" TargetMode="External"/><Relationship Id="rId428" Type="http://schemas.openxmlformats.org/officeDocument/2006/relationships/hyperlink" Target="https://www.sec.gov/Archives/edgar/data/1286681/000119312518131454/d538225dex41.htm" TargetMode="External"/><Relationship Id="rId429" Type="http://schemas.openxmlformats.org/officeDocument/2006/relationships/hyperlink" Target="https://www.sec.gov/Archives/edgar/data/1286681/000119312519295552/d806337dex41.htm" TargetMode="External"/><Relationship Id="rId432" Type="http://schemas.openxmlformats.org/officeDocument/2006/relationships/hyperlink" Target="https://www.sec.gov/Archives/edgar/data/1286681/000119312521121940/d174181dex42.htm" TargetMode="External"/><Relationship Id="rId433" Type="http://schemas.openxmlformats.org/officeDocument/2006/relationships/hyperlink" Target="https://www.sec.gov/Archives/edgar/data/1286681/000119312515350900/d51248dex101.htm" TargetMode="External"/><Relationship Id="rId434" Type="http://schemas.openxmlformats.org/officeDocument/2006/relationships/hyperlink" Target="https://www.sec.gov/Archives/edgar/data/1286681/000119312517202942/d382329dex101.htm" TargetMode="External"/><Relationship Id="rId435" Type="http://schemas.openxmlformats.org/officeDocument/2006/relationships/hyperlink" Target="https://www.sec.gov/Archives/edgar/data/1286681/000119312518131454/d538225dex11.htm" TargetMode="External"/><Relationship Id="rId436" Type="http://schemas.openxmlformats.org/officeDocument/2006/relationships/hyperlink" Target="https://www.sec.gov/Archives/edgar/data/1286681/000119312519286123/d829654dex991.htm" TargetMode="External"/><Relationship Id="rId437" Type="http://schemas.openxmlformats.org/officeDocument/2006/relationships/hyperlink" Target="https://www.sec.gov/Archives/edgar/data/1286681/000119312521110986/d148163dex991.htm" TargetMode="External"/><Relationship Id="rId438" Type="http://schemas.openxmlformats.org/officeDocument/2006/relationships/hyperlink" Target="https://www.sec.gov/Archives/edgar/data/1286681/000119312521121940/d174181dex101.htm" TargetMode="External"/><Relationship Id="rId439" Type="http://schemas.openxmlformats.org/officeDocument/2006/relationships/hyperlink" Target="https://www.sec.gov/Archives/edgar/data/1286681/000119312512120642/d318279dex102.htm" TargetMode="External"/><Relationship Id="rId442" Type="http://schemas.openxmlformats.org/officeDocument/2006/relationships/hyperlink" Target="https://www.sec.gov/Archives/edgar/data/1286681/000119312512120642/d318279dex103.htm" TargetMode="External"/><Relationship Id="rId443" Type="http://schemas.openxmlformats.org/officeDocument/2006/relationships/hyperlink" Target="https://www.sec.gov/Archives/edgar/data/1286681/000119312515350900/d51248dex103.htm" TargetMode="External"/><Relationship Id="rId444" Type="http://schemas.openxmlformats.org/officeDocument/2006/relationships/hyperlink" Target="https://www.sec.gov/Archives/edgar/data/1286681/000119312517234418/d428320dex101.htm" TargetMode="External"/><Relationship Id="rId445" Type="http://schemas.openxmlformats.org/officeDocument/2006/relationships/hyperlink" Target="https://www.sec.gov/Archives/edgar/data/1286681/000119312521121940/d174181dex102.htm" TargetMode="External"/><Relationship Id="rId446" Type="http://schemas.openxmlformats.org/officeDocument/2006/relationships/hyperlink" Target="https://www.sec.gov/Archives/edgar/data/1286681/000119312515350900/d51248dex104.htm" TargetMode="External"/><Relationship Id="rId447" Type="http://schemas.openxmlformats.org/officeDocument/2006/relationships/hyperlink" Target="https://www.sec.gov/Archives/edgar/data/1286681/000119312515350900/d51248dex105.htm" TargetMode="External"/><Relationship Id="rId448" Type="http://schemas.openxmlformats.org/officeDocument/2006/relationships/hyperlink" Target="https://www.sec.gov/Archives/edgar/data/1286681/000119312521121940/d174181dex103.htm" TargetMode="External"/><Relationship Id="rId449" Type="http://schemas.openxmlformats.org/officeDocument/2006/relationships/hyperlink" Target="https://www.sec.gov/Archives/edgar/data/1286681/000119312521146642/d166747dex101.htm" TargetMode="External"/><Relationship Id="rId450" Type="http://schemas.openxmlformats.org/officeDocument/2006/relationships/hyperlink" Target="https://www.sec.gov/Archives/edgar/data/1286681/000119312517373784/d513737dex101.htm" TargetMode="External"/><Relationship Id="rId451" Type="http://schemas.openxmlformats.org/officeDocument/2006/relationships/hyperlink" Target="https://www.sec.gov/Archives/edgar/data/1286681/0001193125090038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2022-03-01T11:55:14Z</dcterms:created>
  <dcterms:modified xsi:type="dcterms:W3CDTF">2022-03-01T11:55:14Z</dcterms:modified>
</cp:coreProperties>
</file>