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14,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38-2511577</w:t>
            </w:r>
          </w:p>
        </w:tc>
      </w:tr>
      <w:tr>
        <w:trPr>
          <w:trHeight w:val="148"/>
        </w:trPr>
        <w:tc>
          <w:tcPr>
            <w:tcW w:w="594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5"/>
              </w:rPr>
              <w:t>30 Frank Lloyd Wright Drive</w:t>
            </w:r>
          </w:p>
        </w:tc>
        <w:tc>
          <w:tcPr>
            <w:tcW w:w="1420" w:type="dxa"/>
            <w:vAlign w:val="bottom"/>
          </w:tcPr>
          <w:p>
            <w:pPr>
              <w:spacing w:after="0"/>
              <w:rPr>
                <w:sz w:val="24"/>
                <w:szCs w:val="24"/>
                <w:color w:val="auto"/>
              </w:rPr>
            </w:pPr>
          </w:p>
        </w:tc>
      </w:t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3"/>
              </w:rPr>
              <w:t>Ann Arbor, Michigan</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(734) 930-3030</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221" w:lineRule="exact"/>
        <w:rPr>
          <w:sz w:val="24"/>
          <w:szCs w:val="24"/>
          <w:color w:val="auto"/>
        </w:rPr>
      </w:pPr>
    </w:p>
    <w:tbl>
      <w:tblPr>
        <w:tblLayout w:type="fixed"/>
        <w:tblInd w:w="54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Domino’s</w:t>
            </w: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7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2"/>
              </w:rPr>
              <w:t>Trading Symbol</w:t>
            </w:r>
          </w:p>
        </w:tc>
        <w:tc>
          <w:tcPr>
            <w:tcW w:w="2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8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Pizza, Inc. Common Stock,</w:t>
            </w: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DPZ</w:t>
            </w:r>
          </w:p>
        </w:tc>
        <w:tc>
          <w:tcPr>
            <w:tcW w:w="1780" w:type="dxa"/>
            <w:vAlign w:val="bottom"/>
            <w:vMerge w:val="continue"/>
          </w:tcPr>
          <w:p>
            <w:pPr>
              <w:spacing w:after="0"/>
              <w:rPr>
                <w:sz w:val="16"/>
                <w:szCs w:val="16"/>
                <w:color w:val="auto"/>
              </w:rPr>
            </w:pPr>
          </w:p>
        </w:tc>
        <w:tc>
          <w:tcPr>
            <w:tcW w:w="2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gridSpan w:val="3"/>
          </w:tcPr>
          <w:p>
            <w:pPr>
              <w:ind w:left="840"/>
              <w:spacing w:after="0"/>
              <w:rPr>
                <w:sz w:val="20"/>
                <w:szCs w:val="20"/>
                <w:color w:val="auto"/>
              </w:rPr>
            </w:pPr>
            <w:r>
              <w:rPr>
                <w:rFonts w:ascii="Arial" w:cs="Arial" w:eastAsia="Arial" w:hAnsi="Arial"/>
                <w:sz w:val="18"/>
                <w:szCs w:val="18"/>
                <w:b w:val="1"/>
                <w:bCs w:val="1"/>
                <w:color w:val="auto"/>
              </w:rPr>
              <w:t>$0.01 par value</w:t>
            </w: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9"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As of July 9, 2020, Domino’s Pizza, Inc. had 39,347,213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167640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9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Domino’s Pizza,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r>
      <w:tr>
        <w:trPr>
          <w:trHeight w:val="318"/>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9"/>
          </w:tcPr>
          <w:p>
            <w:pPr>
              <w:ind w:left="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560" w:type="dxa"/>
            <w:vAlign w:val="bottom"/>
          </w:tcPr>
          <w:p>
            <w:pPr>
              <w:spacing w:after="0"/>
              <w:rPr>
                <w:sz w:val="24"/>
                <w:szCs w:val="24"/>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60" w:type="dxa"/>
            <w:vAlign w:val="bottom"/>
          </w:tcPr>
          <w:p>
            <w:pPr>
              <w:spacing w:after="0"/>
              <w:rPr>
                <w:sz w:val="24"/>
                <w:szCs w:val="24"/>
                <w:color w:val="auto"/>
              </w:rPr>
            </w:pPr>
          </w:p>
        </w:tc>
        <w:tc>
          <w:tcPr>
            <w:tcW w:w="9220" w:type="dxa"/>
            <w:vAlign w:val="bottom"/>
            <w:gridSpan w:val="9"/>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 – As of June 14, 2020 and December 29,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3"/>
        </w:trPr>
        <w:tc>
          <w:tcPr>
            <w:tcW w:w="1160" w:type="dxa"/>
            <w:vAlign w:val="bottom"/>
          </w:tcPr>
          <w:p>
            <w:pPr>
              <w:spacing w:after="0"/>
              <w:rPr>
                <w:sz w:val="24"/>
                <w:szCs w:val="24"/>
                <w:color w:val="auto"/>
              </w:rPr>
            </w:pPr>
          </w:p>
        </w:tc>
        <w:tc>
          <w:tcPr>
            <w:tcW w:w="9220" w:type="dxa"/>
            <w:vAlign w:val="bottom"/>
            <w:gridSpan w:val="9"/>
          </w:tcPr>
          <w:p>
            <w:pPr>
              <w:ind w:left="20"/>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Income (Unaudited) – Fiscal quarters and two fiscal quarters ended June 14, 2020</w:t>
              </w:r>
            </w:hyperlink>
          </w:p>
        </w:tc>
        <w:tc>
          <w:tcPr>
            <w:tcW w:w="5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June 16, 2019</w:t>
              </w:r>
            </w:hyperlink>
          </w:p>
        </w:tc>
        <w:tc>
          <w:tcPr>
            <w:tcW w:w="7260" w:type="dxa"/>
            <w:vAlign w:val="bottom"/>
            <w:tcBorders>
              <w:top w:val="single" w:sz="8" w:color="0000EE"/>
            </w:tcBorders>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1160" w:type="dxa"/>
            <w:vAlign w:val="bottom"/>
          </w:tcPr>
          <w:p>
            <w:pPr>
              <w:spacing w:after="0"/>
              <w:rPr>
                <w:sz w:val="24"/>
                <w:szCs w:val="24"/>
                <w:color w:val="auto"/>
              </w:rPr>
            </w:pPr>
          </w:p>
        </w:tc>
        <w:tc>
          <w:tcPr>
            <w:tcW w:w="9220" w:type="dxa"/>
            <w:vAlign w:val="bottom"/>
            <w:gridSpan w:val="9"/>
          </w:tcPr>
          <w:p>
            <w:pPr>
              <w:ind w:left="2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(Unaudited) – Fiscal quarters and two fiscal quarters ended</w:t>
              </w:r>
            </w:hyperlink>
          </w:p>
        </w:tc>
        <w:tc>
          <w:tcPr>
            <w:tcW w:w="5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June 14, 2020 and June 16, 2019</w:t>
              </w:r>
            </w:hyperlink>
          </w:p>
        </w:tc>
        <w:tc>
          <w:tcPr>
            <w:tcW w:w="3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160" w:type="dxa"/>
            <w:vAlign w:val="bottom"/>
          </w:tcPr>
          <w:p>
            <w:pPr>
              <w:spacing w:after="0"/>
              <w:rPr>
                <w:sz w:val="24"/>
                <w:szCs w:val="24"/>
                <w:color w:val="auto"/>
              </w:rPr>
            </w:pPr>
          </w:p>
        </w:tc>
        <w:tc>
          <w:tcPr>
            <w:tcW w:w="9220" w:type="dxa"/>
            <w:vAlign w:val="bottom"/>
            <w:gridSpan w:val="9"/>
          </w:tcPr>
          <w:p>
            <w:pPr>
              <w:ind w:left="20"/>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(Unaudited) – Two fiscal quarters ended June 14, 2020 and June 16,</w:t>
              </w:r>
            </w:hyperlink>
          </w:p>
        </w:tc>
        <w:tc>
          <w:tcPr>
            <w:tcW w:w="5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9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9220" w:type="dxa"/>
            <w:vAlign w:val="bottom"/>
            <w:gridSpan w:val="9"/>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20" w:type="dxa"/>
            <w:vAlign w:val="bottom"/>
            <w:gridSpan w:val="9"/>
          </w:tcPr>
          <w:p>
            <w:pPr>
              <w:ind w:left="2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9"/>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rFonts w:ascii="Arial" w:cs="Arial" w:eastAsia="Arial" w:hAnsi="Arial"/>
                <w:sz w:val="18"/>
                <w:szCs w:val="18"/>
                <w:b w:val="1"/>
                <w:bCs w:val="1"/>
                <w:u w:val="single" w:color="auto"/>
                <w:color w:val="0000EE"/>
                <w:w w:val="96"/>
              </w:rPr>
            </w:pPr>
            <w:hyperlink w:anchor="page28">
              <w:r>
                <w:rPr>
                  <w:rFonts w:ascii="Arial" w:cs="Arial" w:eastAsia="Arial" w:hAnsi="Arial"/>
                  <w:sz w:val="18"/>
                  <w:szCs w:val="18"/>
                  <w:b w:val="1"/>
                  <w:bCs w:val="1"/>
                  <w:u w:val="single" w:color="auto"/>
                  <w:color w:val="0000EE"/>
                  <w:w w:val="96"/>
                </w:rPr>
                <w:t>SIGNATURES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5"/>
        </w:trPr>
        <w:tc>
          <w:tcPr>
            <w:tcW w:w="1160" w:type="dxa"/>
            <w:vAlign w:val="bottom"/>
          </w:tcPr>
          <w:p>
            <w:pPr>
              <w:spacing w:after="0"/>
              <w:rPr>
                <w:sz w:val="24"/>
                <w:szCs w:val="24"/>
                <w:color w:val="auto"/>
              </w:rPr>
            </w:pPr>
          </w:p>
        </w:tc>
        <w:tc>
          <w:tcPr>
            <w:tcW w:w="8660" w:type="dxa"/>
            <w:vAlign w:val="bottom"/>
            <w:gridSpan w:val="6"/>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June 14, 2020</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7"/>
              </w:rPr>
              <w:t>December 29, 2019 (1)</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247,952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190,615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238,233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232,114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210,260</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66,850</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52,955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28,873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Advertising fund assets, restricted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113,087</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105,389</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927,109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63,644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44,845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Leasehold and other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170,685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164,071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261,655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243,708</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28,890</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42,705</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(267,490)</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(252,448)</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227,114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228,785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15,061</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software,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77,289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73,140</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69,517</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24,503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Total other assets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397,195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1,581,688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1,382,092</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42,999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102,896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36,883</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33,318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23,495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31,344</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fund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108,859</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101,921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113,392</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139,891</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459,868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4,128,576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4,071,055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198,868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37,185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40,097</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35,559</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4,404,726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32,251</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(3,311,015)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(3,412,649)</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(4,535)</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(3,282,906)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(3,415,759)</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1,581,688</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80" w:hanging="424"/>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December 29, 2019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140"/>
          </w:cols>
          <w:pgMar w:left="320" w:top="486" w:right="439" w:bottom="1440" w:gutter="0" w:footer="0" w:header="0"/>
        </w:sectPr>
      </w:pP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Fiscal Quarter Ended</w:t>
            </w:r>
          </w:p>
        </w:tc>
        <w:tc>
          <w:tcPr>
            <w:tcW w:w="100" w:type="dxa"/>
            <w:vAlign w:val="bottom"/>
          </w:tcPr>
          <w:p>
            <w:pPr>
              <w:spacing w:after="0"/>
              <w:rPr>
                <w:sz w:val="14"/>
                <w:szCs w:val="14"/>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Two Fiscal Quarters Ended</w:t>
            </w:r>
          </w:p>
        </w:tc>
      </w:tr>
      <w:tr>
        <w:trPr>
          <w:trHeight w:val="119"/>
        </w:trPr>
        <w:tc>
          <w:tcPr>
            <w:tcW w:w="7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June 14,</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16,</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14,</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June 16,</w:t>
            </w:r>
          </w:p>
        </w:tc>
        <w:tc>
          <w:tcPr>
            <w:tcW w:w="80" w:type="dxa"/>
            <w:vAlign w:val="bottom"/>
          </w:tcPr>
          <w:p>
            <w:pPr>
              <w:spacing w:after="0"/>
              <w:rPr>
                <w:sz w:val="10"/>
                <w:szCs w:val="10"/>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color w:val="auto"/>
              </w:rPr>
              <w:t>(In thousands, except per share data)</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114,240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105,001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216,566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228,451</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royalties and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113,098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192,302</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539,141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467,577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1,051,841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939,677</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franchise royalties and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109,559</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U.S. franchise advertising</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105,440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88,500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177,621</w:t>
            </w: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920,023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811,647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1,793,125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1,647,610</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175,906</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475,101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414,610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928,658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832,744</w:t>
            </w: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562,932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494,976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1,095,877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1,008,650</w:t>
            </w:r>
          </w:p>
        </w:tc>
      </w:tr>
      <w:tr>
        <w:trPr>
          <w:trHeight w:val="209"/>
        </w:trPr>
        <w:tc>
          <w:tcPr>
            <w:tcW w:w="7020" w:type="dxa"/>
            <w:vAlign w:val="bottom"/>
          </w:tcPr>
          <w:p>
            <w:pPr>
              <w:spacing w:after="0"/>
              <w:rPr>
                <w:sz w:val="20"/>
                <w:szCs w:val="20"/>
                <w:color w:val="auto"/>
              </w:rPr>
            </w:pPr>
            <w:r>
              <w:rPr>
                <w:rFonts w:ascii="Arial" w:cs="Arial" w:eastAsia="Arial" w:hAnsi="Arial"/>
                <w:sz w:val="18"/>
                <w:szCs w:val="18"/>
                <w:color w:val="auto"/>
              </w:rPr>
              <w:t>Operating margin</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357,091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316,671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638,960</w:t>
            </w:r>
          </w:p>
        </w:tc>
        <w:tc>
          <w:tcPr>
            <w:tcW w:w="80" w:type="dxa"/>
            <w:vAlign w:val="bottom"/>
          </w:tcPr>
          <w:p>
            <w:pPr>
              <w:spacing w:after="0"/>
              <w:rPr>
                <w:sz w:val="18"/>
                <w:szCs w:val="18"/>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178,912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105,440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88,500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177,621</w:t>
            </w: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163,583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138,923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282,427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1,615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(39,727)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(33,866)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(68,920)</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105,979</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215,122</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30,113</w:t>
            </w:r>
          </w:p>
        </w:tc>
      </w:tr>
      <w:tr>
        <w:trPr>
          <w:trHeight w:val="209"/>
        </w:trPr>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92,359</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185,009</w:t>
            </w:r>
          </w:p>
        </w:tc>
        <w:tc>
          <w:tcPr>
            <w:tcW w:w="8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Common stock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diluted</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Two Fiscal Quarters Ended</w:t>
            </w:r>
          </w:p>
        </w:tc>
      </w:tr>
      <w:tr>
        <w:trPr>
          <w:trHeight w:val="119"/>
        </w:trPr>
        <w:tc>
          <w:tcPr>
            <w:tcW w:w="724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June 14,</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16,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June 14,</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w w:val="99"/>
              </w:rPr>
              <w:t>June 16,</w:t>
            </w:r>
          </w:p>
        </w:tc>
        <w:tc>
          <w:tcPr>
            <w:tcW w:w="80" w:type="dxa"/>
            <w:vAlign w:val="bottom"/>
          </w:tcPr>
          <w:p>
            <w:pPr>
              <w:spacing w:after="0"/>
              <w:rPr>
                <w:sz w:val="10"/>
                <w:szCs w:val="10"/>
                <w:color w:val="auto"/>
              </w:rPr>
            </w:pPr>
          </w:p>
        </w:tc>
      </w:tr>
      <w:tr>
        <w:trPr>
          <w:trHeight w:val="171"/>
        </w:trPr>
        <w:tc>
          <w:tcPr>
            <w:tcW w:w="7240" w:type="dxa"/>
            <w:vAlign w:val="bottom"/>
          </w:tcPr>
          <w:p>
            <w:pPr>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$118,668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$92,359</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$ 240,270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185,009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1,533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r>
      <w:tr>
        <w:trPr>
          <w:trHeight w:val="20"/>
        </w:trPr>
        <w:tc>
          <w:tcPr>
            <w:tcW w:w="7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120,201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92,343</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$ 239,477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185,230</w:t>
            </w:r>
          </w:p>
        </w:tc>
      </w:tr>
      <w:tr>
        <w:trPr>
          <w:trHeight w:val="20"/>
        </w:trPr>
        <w:tc>
          <w:tcPr>
            <w:tcW w:w="7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18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4"/>
              </w:rPr>
              <w:t>Two Fiscal Quarters Ended</w:t>
            </w:r>
          </w:p>
        </w:tc>
        <w:tc>
          <w:tcPr>
            <w:tcW w:w="0" w:type="dxa"/>
            <w:vAlign w:val="bottom"/>
          </w:tcPr>
          <w:p>
            <w:pPr>
              <w:spacing w:after="0"/>
              <w:rPr>
                <w:sz w:val="1"/>
                <w:szCs w:val="1"/>
                <w:color w:val="auto"/>
              </w:rPr>
            </w:pPr>
          </w:p>
        </w:tc>
      </w:tr>
      <w:tr>
        <w:trPr>
          <w:trHeight w:val="119"/>
        </w:trPr>
        <w:tc>
          <w:tcPr>
            <w:tcW w:w="9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9"/>
              </w:rPr>
              <w:t>June 14,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1"/>
              <w:spacing w:after="0" w:line="119" w:lineRule="exact"/>
              <w:rPr>
                <w:sz w:val="20"/>
                <w:szCs w:val="20"/>
                <w:color w:val="auto"/>
              </w:rPr>
            </w:pPr>
            <w:r>
              <w:rPr>
                <w:rFonts w:ascii="Arial" w:cs="Arial" w:eastAsia="Arial" w:hAnsi="Arial"/>
                <w:sz w:val="13"/>
                <w:szCs w:val="13"/>
                <w:b w:val="1"/>
                <w:bCs w:val="1"/>
                <w:color w:val="auto"/>
                <w:w w:val="96"/>
              </w:rPr>
              <w:t>June 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8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240,270</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185,009</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28,789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sale/disposal of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Non-cash compensation expense</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Excess tax benefits from equity-based compensation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(18,446)</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Provision for losses on accounts and notes receivable</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Changes in advertising fund assets and liabilities, restricted</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Purchase of investments (Note 9)</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Maturities of advertising fund investments, restricted</w:t>
            </w: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(74,211)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 and finance lease obligations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(122,040)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common stock</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common stock dividends and equivalents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(26,680)</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(50,922)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(114,296)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190,615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25,438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Restricted cash and cash equivalents, beginning of period</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209,269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166,993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included in advertising fund assets, restricted,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spacing w:after="0" w:line="195" w:lineRule="exact"/>
              <w:rPr>
                <w:sz w:val="20"/>
                <w:szCs w:val="20"/>
                <w:color w:val="auto"/>
              </w:rPr>
            </w:pPr>
            <w:r>
              <w:rPr>
                <w:rFonts w:ascii="Arial" w:cs="Arial" w:eastAsia="Arial" w:hAnsi="Arial"/>
                <w:sz w:val="18"/>
                <w:szCs w:val="18"/>
                <w:color w:val="auto"/>
                <w:w w:val="92"/>
              </w:rPr>
              <w:t>Cash and cash equivalents, restricted cash and cash equivalents and cash and cash equivalents included in advertising fund</w:t>
            </w:r>
          </w:p>
        </w:tc>
        <w:tc>
          <w:tcPr>
            <w:tcW w:w="100" w:type="dxa"/>
            <w:vAlign w:val="bottom"/>
          </w:tcPr>
          <w:p>
            <w:pPr>
              <w:spacing w:after="0"/>
              <w:rPr>
                <w:sz w:val="16"/>
                <w:szCs w:val="16"/>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8"/>
              </w:rPr>
              <w:t>483,924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237,419</w:t>
            </w:r>
          </w:p>
        </w:tc>
        <w:tc>
          <w:tcPr>
            <w:tcW w:w="0" w:type="dxa"/>
            <w:vAlign w:val="bottom"/>
          </w:tcPr>
          <w:p>
            <w:pPr>
              <w:spacing w:after="0"/>
              <w:rPr>
                <w:sz w:val="1"/>
                <w:szCs w:val="1"/>
                <w:color w:val="auto"/>
              </w:rPr>
            </w:pPr>
          </w:p>
        </w:tc>
      </w:tr>
      <w:tr>
        <w:trPr>
          <w:trHeight w:val="203"/>
        </w:trPr>
        <w:tc>
          <w:tcPr>
            <w:tcW w:w="9180" w:type="dxa"/>
            <w:vAlign w:val="bottom"/>
          </w:tcPr>
          <w:p>
            <w:pPr>
              <w:ind w:left="180"/>
              <w:spacing w:after="0" w:line="203" w:lineRule="exact"/>
              <w:rPr>
                <w:sz w:val="20"/>
                <w:szCs w:val="20"/>
                <w:color w:val="auto"/>
              </w:rPr>
            </w:pPr>
            <w:r>
              <w:rPr>
                <w:rFonts w:ascii="Arial" w:cs="Arial" w:eastAsia="Arial" w:hAnsi="Arial"/>
                <w:sz w:val="18"/>
                <w:szCs w:val="18"/>
                <w:color w:val="auto"/>
              </w:rPr>
              <w:t>assets, restricted, beginning of period</w:t>
            </w: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247,952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108,259</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Restricted cash and cash equivalents, end of period</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238,233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152,713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included in advertising fund assets, restricted, end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61,288</w:t>
            </w:r>
          </w:p>
        </w:tc>
        <w:tc>
          <w:tcPr>
            <w:tcW w:w="0" w:type="dxa"/>
            <w:vAlign w:val="bottom"/>
          </w:tcPr>
          <w:p>
            <w:pPr>
              <w:spacing w:after="0"/>
              <w:rPr>
                <w:sz w:val="1"/>
                <w:szCs w:val="1"/>
                <w:color w:val="auto"/>
              </w:rPr>
            </w:pPr>
          </w:p>
        </w:tc>
      </w:tr>
      <w:tr>
        <w:trPr>
          <w:trHeight w:val="195"/>
        </w:trPr>
        <w:tc>
          <w:tcPr>
            <w:tcW w:w="9180" w:type="dxa"/>
            <w:vAlign w:val="bottom"/>
          </w:tcPr>
          <w:p>
            <w:pPr>
              <w:spacing w:after="0" w:line="195" w:lineRule="exact"/>
              <w:rPr>
                <w:sz w:val="20"/>
                <w:szCs w:val="20"/>
                <w:color w:val="auto"/>
              </w:rPr>
            </w:pPr>
            <w:r>
              <w:rPr>
                <w:rFonts w:ascii="Arial" w:cs="Arial" w:eastAsia="Arial" w:hAnsi="Arial"/>
                <w:sz w:val="18"/>
                <w:szCs w:val="18"/>
                <w:color w:val="auto"/>
                <w:w w:val="92"/>
              </w:rPr>
              <w:t>Cash and cash equivalents, restricted cash and cash equivalents and cash and cash equivalents included in advertising fund</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180" w:type="dxa"/>
            <w:vAlign w:val="bottom"/>
          </w:tcPr>
          <w:p>
            <w:pPr>
              <w:ind w:left="180"/>
              <w:spacing w:after="0"/>
              <w:rPr>
                <w:sz w:val="20"/>
                <w:szCs w:val="20"/>
                <w:color w:val="auto"/>
              </w:rPr>
            </w:pPr>
            <w:r>
              <w:rPr>
                <w:rFonts w:ascii="Arial" w:cs="Arial" w:eastAsia="Arial" w:hAnsi="Arial"/>
                <w:sz w:val="18"/>
                <w:szCs w:val="18"/>
                <w:color w:val="auto"/>
              </w:rPr>
              <w:t>assets, restricted,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570,366</w:t>
            </w:r>
          </w:p>
        </w:tc>
        <w:tc>
          <w:tcPr>
            <w:tcW w:w="10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322,260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14,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Basis of Presentation and Updates to Significant Accounting Policies</w:t>
      </w:r>
    </w:p>
    <w:p>
      <w:pPr>
        <w:spacing w:after="0" w:line="117"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29, 2019 included in the Company’s 2019 Annual Report on Form 10-K, filed with the Securities and Exchange Commission on February 20, 2020 (the “2019 Form 10-K”).</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June 14, 2020 are not necessarily indicative of the results that may be expected for the fiscal year ending January 3,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Updates to Significant Accounting Policies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Company adopted Accounting Standards Codification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(“ASC 326”) in the first quarter of 2020. As a result, the Company updated its significant accounting policies for the measurement of credit losses below. Refer to Note 10 for information related to the impact of the adoption of ASC 326 on the Company’s condensed consolidated financial statements.</w:t>
      </w:r>
    </w:p>
    <w:p>
      <w:pPr>
        <w:spacing w:after="0" w:line="2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Allowances for Credit Losses</w:t>
      </w:r>
    </w:p>
    <w:p>
      <w:pPr>
        <w:spacing w:after="0" w:line="117" w:lineRule="exact"/>
        <w:rPr>
          <w:sz w:val="20"/>
          <w:szCs w:val="20"/>
          <w:color w:val="auto"/>
        </w:rPr>
      </w:pPr>
    </w:p>
    <w:p>
      <w:pPr>
        <w:ind w:left="1000" w:right="120" w:firstLine="405"/>
        <w:spacing w:after="0" w:line="263" w:lineRule="auto"/>
        <w:rPr>
          <w:sz w:val="20"/>
          <w:szCs w:val="20"/>
          <w:color w:val="auto"/>
        </w:rPr>
      </w:pPr>
      <w:r>
        <w:rPr>
          <w:rFonts w:ascii="Arial" w:cs="Arial" w:eastAsia="Arial" w:hAnsi="Arial"/>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76" w:lineRule="exact"/>
        <w:rPr>
          <w:sz w:val="20"/>
          <w:szCs w:val="20"/>
          <w:color w:val="auto"/>
        </w:rPr>
      </w:pPr>
    </w:p>
    <w:p>
      <w:pPr>
        <w:jc w:val="both"/>
        <w:ind w:left="1000" w:firstLine="405"/>
        <w:spacing w:after="0" w:line="263" w:lineRule="auto"/>
        <w:rPr>
          <w:sz w:val="20"/>
          <w:szCs w:val="20"/>
          <w:color w:val="auto"/>
        </w:rPr>
      </w:pPr>
      <w:r>
        <w:rPr>
          <w:rFonts w:ascii="Arial" w:cs="Arial" w:eastAsia="Arial" w:hAnsi="Arial"/>
          <w:sz w:val="18"/>
          <w:szCs w:val="18"/>
          <w:color w:val="auto"/>
        </w:rPr>
        <w:t>The Company also monitors its off-balance sheet exposures under its letters of credit, surety bonds and lease guarantees. None of these arrangements has had or is likely to have a material effect on the Company’s results of operations, financial condition, revenues, expenses or liquidity.</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As a result of the investment, the Company’s significant accounting policy related to equity investments without readily determinable fair values is stated below. Refer to Note 9 for information related to this investment and its impact on the Company’s condensed consolidated financial statements.</w:t>
      </w: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Equity investments without readily determinable fair values</w:t>
      </w:r>
    </w:p>
    <w:p>
      <w:pPr>
        <w:spacing w:after="0" w:line="117" w:lineRule="exact"/>
        <w:rPr>
          <w:sz w:val="20"/>
          <w:szCs w:val="20"/>
          <w:color w:val="auto"/>
        </w:rPr>
      </w:pPr>
    </w:p>
    <w:p>
      <w:pPr>
        <w:ind w:left="1000" w:right="20" w:firstLine="405"/>
        <w:spacing w:after="0" w:line="259" w:lineRule="auto"/>
        <w:rPr>
          <w:sz w:val="20"/>
          <w:szCs w:val="20"/>
          <w:color w:val="auto"/>
        </w:rPr>
      </w:pPr>
      <w:r>
        <w:rPr>
          <w:rFonts w:ascii="Arial" w:cs="Arial" w:eastAsia="Arial" w:hAnsi="Arial"/>
          <w:sz w:val="18"/>
          <w:szCs w:val="18"/>
          <w:color w:val="auto"/>
        </w:rPr>
        <w:t>Equity investments without readily determinable fair values are recorded at cost with adjustments for observable changes in prices resulting from orderly transactions for the identical or a similar investment of the same issuer or impairments and are classified as long-term other assets in the Company’s condensed consolidated balance sheet. Any adjustments to the carrying amount are recognized in other income (expense), net in the Company’s condensed consolidated statement of income.</w:t>
      </w:r>
    </w:p>
    <w:p>
      <w:pPr>
        <w:spacing w:after="0" w:line="79" w:lineRule="exact"/>
        <w:rPr>
          <w:sz w:val="20"/>
          <w:szCs w:val="20"/>
          <w:color w:val="auto"/>
        </w:rPr>
      </w:pPr>
    </w:p>
    <w:p>
      <w:pPr>
        <w:ind w:left="1000" w:firstLine="405"/>
        <w:spacing w:after="0" w:line="259" w:lineRule="auto"/>
        <w:rPr>
          <w:sz w:val="20"/>
          <w:szCs w:val="20"/>
          <w:color w:val="auto"/>
        </w:rPr>
      </w:pPr>
      <w:r>
        <w:rPr>
          <w:rFonts w:ascii="Arial" w:cs="Arial" w:eastAsia="Arial" w:hAnsi="Arial"/>
          <w:sz w:val="18"/>
          <w:szCs w:val="18"/>
          <w:color w:val="auto"/>
        </w:rPr>
        <w:t>The Company evaluates the potential impairment of its investments based on various analyses including financial results and operating trends, implied values from recent similar transactions and other relevant available information. If the carrying amount of the investment exceeds the estimated fair value of the investment, an impairment loss is recognized, and the investment is written down to its estimated fair value.</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Segment Information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summarizes revenues, income from operations and earnings before interest, taxes, depreciation, amortization and other, which is the measure by which the Company allocates resources to its segments and which the Company refers to as Segment Income, for each of its reportable segments.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4"/>
                <w:szCs w:val="14"/>
                <w:b w:val="1"/>
                <w:bCs w:val="1"/>
                <w:color w:val="auto"/>
              </w:rPr>
              <w:t>Fiscal Quarters Ended June 14, 2020 and June 16, 2019</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Supply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12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Intersegment</w:t>
            </w:r>
          </w:p>
        </w:tc>
        <w:tc>
          <w:tcPr>
            <w:tcW w:w="440" w:type="dxa"/>
            <w:vAlign w:val="bottom"/>
          </w:tcPr>
          <w:p>
            <w:pPr>
              <w:spacing w:after="0"/>
              <w:rPr>
                <w:sz w:val="10"/>
                <w:szCs w:val="10"/>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Stores</w:t>
            </w:r>
          </w:p>
        </w:tc>
        <w:tc>
          <w:tcPr>
            <w:tcW w:w="2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Chain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Franchise</w:t>
            </w: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4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332,778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570,104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48,104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w w:val="98"/>
              </w:rPr>
              <w:t>(30,963)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920,023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289,095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495,989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54,975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8"/>
              </w:rPr>
              <w:t>(28,412)</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811,647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100,171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52,461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36,372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(25,421)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163,583</w:t>
            </w: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77,050</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41,432</w:t>
            </w:r>
          </w:p>
        </w:tc>
        <w:tc>
          <w:tcPr>
            <w:tcW w:w="16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(20,864)</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138,923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102,934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56,904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36,410</w:t>
            </w:r>
          </w:p>
        </w:tc>
        <w:tc>
          <w:tcPr>
            <w:tcW w:w="16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(12,555)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183,693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82,006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41,491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159,644</w:t>
            </w:r>
          </w:p>
        </w:tc>
        <w:tc>
          <w:tcPr>
            <w:tcW w:w="0" w:type="dxa"/>
            <w:vAlign w:val="bottom"/>
          </w:tcPr>
          <w:p>
            <w:pPr>
              <w:spacing w:after="0"/>
              <w:rPr>
                <w:sz w:val="1"/>
                <w:szCs w:val="1"/>
                <w:color w:val="auto"/>
              </w:rPr>
            </w:pPr>
          </w:p>
        </w:tc>
      </w:tr>
      <w:tr>
        <w:trPr>
          <w:trHeight w:val="364"/>
        </w:trPr>
        <w:tc>
          <w:tcPr>
            <w:tcW w:w="2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Two Fiscal Quarters Ended June 14, 2020 and June 16, 2019</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Supply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12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Intersegment</w:t>
            </w:r>
          </w:p>
        </w:tc>
        <w:tc>
          <w:tcPr>
            <w:tcW w:w="440" w:type="dxa"/>
            <w:vAlign w:val="bottom"/>
          </w:tcPr>
          <w:p>
            <w:pPr>
              <w:spacing w:after="0"/>
              <w:rPr>
                <w:sz w:val="10"/>
                <w:szCs w:val="10"/>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Stores</w:t>
            </w:r>
          </w:p>
        </w:tc>
        <w:tc>
          <w:tcPr>
            <w:tcW w:w="2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Chain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Franchise</w:t>
            </w: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4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635,684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1,111,743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105,600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w w:val="98"/>
              </w:rPr>
              <w:t>(59,902)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1,793,125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598,374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109,559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8"/>
              </w:rPr>
              <w:t>(61,993)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1,647,610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185,581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79,832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(45,833)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319,417</w:t>
            </w: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157,664</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83,327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84,186</w:t>
            </w:r>
          </w:p>
        </w:tc>
        <w:tc>
          <w:tcPr>
            <w:tcW w:w="16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(42,750)</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282,427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65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191,211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108,341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79,914</w:t>
            </w:r>
          </w:p>
        </w:tc>
        <w:tc>
          <w:tcPr>
            <w:tcW w:w="16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(20,687)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358,779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(19,628)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5"/>
              </w:rPr>
              <w:t>Fiscal Quarter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9"/>
              </w:rPr>
              <w:t>Two Fiscal Quarters Ended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Borders>
              <w:top w:val="single" w:sz="8" w:color="auto"/>
            </w:tcBorders>
            <w:gridSpan w:val="4"/>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June 14,</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June 16,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June 14,</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June 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33"/>
              <w:spacing w:after="0"/>
              <w:rPr>
                <w:sz w:val="20"/>
                <w:szCs w:val="20"/>
                <w:color w:val="auto"/>
              </w:rPr>
            </w:pPr>
            <w:r>
              <w:rPr>
                <w:rFonts w:ascii="Arial" w:cs="Arial" w:eastAsia="Arial" w:hAnsi="Arial"/>
                <w:sz w:val="18"/>
                <w:szCs w:val="18"/>
                <w:color w:val="auto"/>
              </w:rPr>
              <w:t>$183,693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$159,644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$ 358,779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(14,757)</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(14,060)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(28,789)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on sale/disposal of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(5,115)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319,417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282,427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33"/>
              <w:spacing w:after="0"/>
              <w:rPr>
                <w:sz w:val="20"/>
                <w:szCs w:val="20"/>
                <w:color w:val="auto"/>
              </w:rPr>
            </w:pPr>
            <w:r>
              <w:rPr>
                <w:rFonts w:ascii="Arial" w:cs="Arial" w:eastAsia="Arial" w:hAnsi="Arial"/>
                <w:sz w:val="18"/>
                <w:szCs w:val="18"/>
                <w:color w:val="auto"/>
              </w:rPr>
              <w:t>640</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(39,727)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(33,866)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105,979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$ 241,792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3. Earnings Per Share</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95"/>
              </w:rPr>
              <w:t>Fiscal Quarter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June 14,</w:t>
            </w: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9"/>
              </w:rPr>
              <w:t>June 16,</w:t>
            </w:r>
          </w:p>
        </w:tc>
        <w:tc>
          <w:tcPr>
            <w:tcW w:w="3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rPr>
              <w:t>June 14,</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w w:val="92"/>
              </w:rPr>
              <w:t>June 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available to common stockholders - 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92,359</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240,270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185,009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440"/>
              <w:spacing w:after="0"/>
              <w:rPr>
                <w:sz w:val="20"/>
                <w:szCs w:val="20"/>
                <w:color w:val="auto"/>
              </w:rPr>
            </w:pPr>
            <w:r>
              <w:rPr>
                <w:rFonts w:ascii="Arial" w:cs="Arial" w:eastAsia="Arial" w:hAnsi="Arial"/>
                <w:sz w:val="18"/>
                <w:szCs w:val="18"/>
                <w:color w:val="auto"/>
              </w:rPr>
              <w:t>Basic weighted average number of shares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39,058,292</w:t>
            </w:r>
          </w:p>
        </w:tc>
        <w:tc>
          <w:tcPr>
            <w:tcW w:w="360" w:type="dxa"/>
            <w:vAlign w:val="bottom"/>
            <w:vMerge w:val="continue"/>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7"/>
              </w:rPr>
              <w:t>41,023,269</w:t>
            </w:r>
          </w:p>
        </w:tc>
        <w:tc>
          <w:tcPr>
            <w:tcW w:w="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38,862,108</w:t>
            </w: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40,944,400</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weighted average number of shares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39,746,479</w:t>
            </w:r>
          </w:p>
        </w:tc>
        <w:tc>
          <w:tcPr>
            <w:tcW w:w="1560" w:type="dxa"/>
            <w:vAlign w:val="bottom"/>
            <w:gridSpan w:val="6"/>
          </w:tcPr>
          <w:p>
            <w:pPr>
              <w:jc w:val="right"/>
              <w:ind w:right="300"/>
              <w:spacing w:after="0"/>
              <w:rPr>
                <w:sz w:val="20"/>
                <w:szCs w:val="20"/>
                <w:color w:val="auto"/>
              </w:rPr>
            </w:pPr>
            <w:r>
              <w:rPr>
                <w:rFonts w:ascii="Arial" w:cs="Arial" w:eastAsia="Arial" w:hAnsi="Arial"/>
                <w:sz w:val="18"/>
                <w:szCs w:val="18"/>
                <w:color w:val="auto"/>
              </w:rPr>
              <w:t>42,236,507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39,688,663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42,219,649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405"/>
        </w:trPr>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denominator used in calculating diluted earnings per share for the two fiscal quarters of 2020 did not include 263 options to purchase common stock and 1,760 restricted stock awards, as the effect of including these options and awards would have been anti-dilutive. The denominators used in calculating diluted earnings per share for the second quarter and two fiscal quarters of 2020 each did not include 90,472 restricted performance shares, as the performance targets for these awards had not yet been met.</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denominators used in calculating diluted earnings per share for the second quarter and two fiscal quarters of 2019 each did not include 71,180 options to purchase common stock, as the effect of including these options would have been anti-dilutive. The denominators used in calculating diluted earnings per share for the second quarter and two fiscal quarters of 2019 each did not include 93,412 restricted performance shares, as the performance targets for these awards had not yet been met.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Changes in Stockholders’ Deficit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second quarter of 2020.</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22, 2020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39,039,599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390</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6"/>
              </w:rPr>
              <w:t>$ 12,474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$(3,398,986)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118,668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($0.78 per share)</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(30,697)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4,068</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303,637</w:t>
            </w:r>
          </w:p>
        </w:tc>
        <w:tc>
          <w:tcPr>
            <w:tcW w:w="18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14,693</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14, 2020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39,347,213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393</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6"/>
              </w:rPr>
              <w:t>$ 32,251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(3,311,015)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6"/>
          </w:tcPr>
          <w:p>
            <w:pPr>
              <w:ind w:left="440"/>
              <w:spacing w:after="0"/>
              <w:rPr>
                <w:sz w:val="20"/>
                <w:szCs w:val="20"/>
                <w:color w:val="auto"/>
              </w:rPr>
            </w:pPr>
            <w:r>
              <w:rPr>
                <w:rFonts w:ascii="Arial" w:cs="Arial" w:eastAsia="Arial" w:hAnsi="Arial"/>
                <w:sz w:val="18"/>
                <w:szCs w:val="18"/>
                <w:color w:val="auto"/>
                <w:w w:val="92"/>
              </w:rPr>
              <w:t>The following table summarizes changes in stockholders’ deficit for the two fiscal quarters of 2020.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38,934,009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$(3,412,649)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240,270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($1.56 per share)</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(61,139)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5,713</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(271,064)</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(78,599)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684,575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24,794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10,029</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ASC 326 (Note 10)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14, 2020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39,347,213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393</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6"/>
              </w:rPr>
              <w:t>$ 32,251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(3,311,015)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Subsequent to the second quarter, on July 15, 2020, the Company’s Board of Directors declared a $0.78 per share quarterly dividend on its outstanding common stock for shareholders of record as of September 15, 2020 to be paid on September 30, 2020.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second quarter of 2019.</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gridSpan w:val="2"/>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24,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41,083,890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5,464</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$(2,976,848)</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1"/>
              <w:spacing w:after="0"/>
              <w:rPr>
                <w:sz w:val="20"/>
                <w:szCs w:val="20"/>
                <w:color w:val="auto"/>
              </w:rPr>
            </w:pPr>
            <w:r>
              <w:rPr>
                <w:rFonts w:ascii="Arial" w:cs="Arial" w:eastAsia="Arial" w:hAnsi="Arial"/>
                <w:sz w:val="18"/>
                <w:szCs w:val="18"/>
                <w:color w:val="auto"/>
              </w:rPr>
              <w:t>92,359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($0.65 per share)</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(26,789)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(3,079)</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(12,295)</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3,981</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Balance at June 16,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41,232,358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412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$ 10,788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(2,911,278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7"/>
          </w:tcPr>
          <w:p>
            <w:pPr>
              <w:ind w:left="440"/>
              <w:spacing w:after="0"/>
              <w:rPr>
                <w:sz w:val="20"/>
                <w:szCs w:val="20"/>
                <w:color w:val="auto"/>
              </w:rPr>
            </w:pPr>
            <w:r>
              <w:rPr>
                <w:rFonts w:ascii="Arial" w:cs="Arial" w:eastAsia="Arial" w:hAnsi="Arial"/>
                <w:sz w:val="18"/>
                <w:szCs w:val="18"/>
                <w:color w:val="auto"/>
                <w:w w:val="92"/>
              </w:rPr>
              <w:t>The following table summarizes changes in stockholders’ deficit for the two fiscal quarters of 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gridSpan w:val="2"/>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40,977,561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$(3,036,471)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1"/>
              <w:spacing w:after="0"/>
              <w:rPr>
                <w:sz w:val="20"/>
                <w:szCs w:val="20"/>
                <w:color w:val="auto"/>
              </w:rPr>
            </w:pPr>
            <w:r>
              <w:rPr>
                <w:rFonts w:ascii="Arial" w:cs="Arial" w:eastAsia="Arial" w:hAnsi="Arial"/>
                <w:sz w:val="18"/>
                <w:szCs w:val="18"/>
                <w:color w:val="auto"/>
              </w:rPr>
              <w:t>185,009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($1.30 per share)</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(53,454)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(9,441)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(45,844)</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(5,090)</w:t>
            </w:r>
          </w:p>
        </w:tc>
        <w:tc>
          <w:tcPr>
            <w:tcW w:w="1240" w:type="dxa"/>
            <w:vAlign w:val="bottom"/>
            <w:gridSpan w:val="3"/>
          </w:tcPr>
          <w:p>
            <w:pPr>
              <w:jc w:val="right"/>
              <w:ind w:right="81"/>
              <w:spacing w:after="0"/>
              <w:rPr>
                <w:sz w:val="20"/>
                <w:szCs w:val="20"/>
                <w:color w:val="auto"/>
              </w:rPr>
            </w:pPr>
            <w:r>
              <w:rPr>
                <w:rFonts w:ascii="Arial" w:cs="Arial" w:eastAsia="Arial" w:hAnsi="Arial"/>
                <w:sz w:val="18"/>
                <w:szCs w:val="18"/>
                <w:color w:val="auto"/>
              </w:rPr>
              <w:t>(6,362)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8,589</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Balance at June 16,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41,232,358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412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$ 10,788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(2,911,278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Fair Value Measurements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at fair value in one of the following three categories: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fair values of the Company’s cash equivalents and investments in marketable securities are based on quoted prices in active markets for identical assets. The fair value of the Company’s Level 3 investment (Note 9) is not readily determinable. The fair value represents its cost with adjustments for observable changes in prices resulting from orderly transactions for the identical or a similar investment of the same issuer or impairments. The following tables summarize the carrying amounts and estimated fair values of certain assets at June 14, 2020 and December 29, 2019:</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rPr>
              <w:t>At June 14, 2020</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2460" w:type="dxa"/>
            <w:vAlign w:val="bottom"/>
            <w:tcBorders>
              <w:bottom w:val="single" w:sz="8" w:color="auto"/>
            </w:tcBorders>
            <w:gridSpan w:val="6"/>
          </w:tcPr>
          <w:p>
            <w:pPr>
              <w:jc w:val="right"/>
              <w:ind w:right="298"/>
              <w:spacing w:after="0" w:line="142" w:lineRule="exact"/>
              <w:rPr>
                <w:sz w:val="20"/>
                <w:szCs w:val="20"/>
                <w:color w:val="auto"/>
              </w:rPr>
            </w:pPr>
            <w:r>
              <w:rPr>
                <w:rFonts w:ascii="Arial" w:cs="Arial" w:eastAsia="Arial" w:hAnsi="Arial"/>
                <w:sz w:val="14"/>
                <w:szCs w:val="14"/>
                <w:b w:val="1"/>
                <w:bCs w:val="1"/>
                <w:color w:val="auto"/>
              </w:rPr>
              <w:t>Fair Value Estimated Using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Inputs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$223,664</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$223,664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300" w:type="dxa"/>
            <w:vAlign w:val="bottom"/>
            <w:gridSpan w:val="3"/>
          </w:tcPr>
          <w:p>
            <w:pPr>
              <w:jc w:val="right"/>
              <w:ind w:right="180"/>
              <w:spacing w:after="0"/>
              <w:rPr>
                <w:sz w:val="20"/>
                <w:szCs w:val="20"/>
                <w:color w:val="auto"/>
              </w:rPr>
            </w:pPr>
            <w:r>
              <w:rPr>
                <w:rFonts w:ascii="Arial" w:cs="Arial" w:eastAsia="Arial" w:hAnsi="Arial"/>
                <w:sz w:val="18"/>
                <w:szCs w:val="18"/>
                <w:color w:val="auto"/>
              </w:rPr>
              <w:t>167,319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167,319</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11,278</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11,278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3300" w:type="dxa"/>
            <w:vAlign w:val="bottom"/>
            <w:gridSpan w:val="3"/>
          </w:tcPr>
          <w:p>
            <w:pPr>
              <w:jc w:val="right"/>
              <w:ind w:right="180"/>
              <w:spacing w:after="0"/>
              <w:rPr>
                <w:sz w:val="20"/>
                <w:szCs w:val="20"/>
                <w:color w:val="auto"/>
              </w:rPr>
            </w:pPr>
            <w:r>
              <w:rPr>
                <w:rFonts w:ascii="Arial" w:cs="Arial" w:eastAsia="Arial" w:hAnsi="Arial"/>
                <w:sz w:val="18"/>
                <w:szCs w:val="18"/>
                <w:color w:val="auto"/>
              </w:rPr>
              <w:t>71,488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71,488</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Investments (Note 9)</w:t>
            </w:r>
          </w:p>
        </w:tc>
        <w:tc>
          <w:tcPr>
            <w:tcW w:w="3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8"/>
              </w:rPr>
              <w:t>40,000</w:t>
            </w:r>
          </w:p>
        </w:tc>
        <w:tc>
          <w:tcPr>
            <w:tcW w:w="0" w:type="dxa"/>
            <w:vAlign w:val="bottom"/>
          </w:tcPr>
          <w:p>
            <w:pPr>
              <w:spacing w:after="0"/>
              <w:rPr>
                <w:sz w:val="1"/>
                <w:szCs w:val="1"/>
                <w:color w:val="auto"/>
              </w:rPr>
            </w:pPr>
          </w:p>
        </w:tc>
      </w:tr>
      <w:tr>
        <w:trPr>
          <w:trHeight w:val="405"/>
        </w:trPr>
        <w:tc>
          <w:tcPr>
            <w:tcW w:w="4100" w:type="dxa"/>
            <w:vAlign w:val="bottom"/>
          </w:tcPr>
          <w:p>
            <w:pPr>
              <w:spacing w:after="0"/>
              <w:rPr>
                <w:sz w:val="24"/>
                <w:szCs w:val="24"/>
                <w:color w:val="auto"/>
              </w:rPr>
            </w:pPr>
          </w:p>
        </w:tc>
        <w:tc>
          <w:tcPr>
            <w:tcW w:w="2440" w:type="dxa"/>
            <w:vAlign w:val="bottom"/>
          </w:tcPr>
          <w:p>
            <w:pPr>
              <w:jc w:val="right"/>
              <w:ind w:right="129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rPr>
              <w:t>At December 29, 2019</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2300" w:type="dxa"/>
            <w:vAlign w:val="bottom"/>
            <w:tcBorders>
              <w:bottom w:val="single" w:sz="8" w:color="auto"/>
            </w:tcBorders>
            <w:gridSpan w:val="5"/>
          </w:tcPr>
          <w:p>
            <w:pPr>
              <w:jc w:val="right"/>
              <w:ind w:right="217"/>
              <w:spacing w:after="0" w:line="142" w:lineRule="exact"/>
              <w:rPr>
                <w:sz w:val="20"/>
                <w:szCs w:val="20"/>
                <w:color w:val="auto"/>
              </w:rPr>
            </w:pPr>
            <w:r>
              <w:rPr>
                <w:rFonts w:ascii="Arial" w:cs="Arial" w:eastAsia="Arial" w:hAnsi="Arial"/>
                <w:sz w:val="14"/>
                <w:szCs w:val="14"/>
                <w:b w:val="1"/>
                <w:bCs w:val="1"/>
                <w:color w:val="auto"/>
              </w:rPr>
              <w:t>Fair Value Estimated Using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Level 1</w:t>
            </w: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Level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Inputs</w:t>
            </w:r>
          </w:p>
        </w:tc>
        <w:tc>
          <w:tcPr>
            <w:tcW w:w="3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$180,459</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$180,459</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126,963</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126,963</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11,982</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11,982</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67,851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67,851</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Company management estimated the approximate fair values of the 2015 fixed rate notes, the 2017 fixed and floating rate notes, the 2018 fixed rate notes and the 2019 fixed rate notes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14, 2020</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29, 2019</w:t>
            </w:r>
          </w:p>
        </w:tc>
      </w:tr>
      <w:tr>
        <w:trPr>
          <w:trHeight w:val="142"/>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Principal Amount</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Principal Amount</w:t>
            </w: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3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813,120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774,000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804,960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328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585,000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587,340</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588,000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588,588</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1,042,275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1,017,240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328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292,500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287,820</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294,000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294,000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417,563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441,782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419,688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431,439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328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393,000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424,047</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395,000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414,355</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671,625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699,833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675,000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675,675</w:t>
            </w:r>
          </w:p>
        </w:tc>
      </w:tr>
    </w:tbl>
    <w:p>
      <w:pPr>
        <w:spacing w:after="0" w:line="20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above.</w:t>
      </w:r>
    </w:p>
    <w:p>
      <w:pPr>
        <w:spacing w:after="0" w:line="1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Company’s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had $58.0 million of outstanding borrowings under its variable funding notes at June 14, 2020 and, subsequent to the second quarter of 2020, repaid $15.0 million of these outstanding borrowings. The Company did not have any outstanding borrowings under its variable funding notes as of December 29, 2019.</w:t>
      </w:r>
    </w:p>
    <w:p>
      <w:pPr>
        <w:spacing w:after="0" w:line="188"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fair values in the table above represent the fair value of such notes at June 14, 2020 and December 29, 2019. In light of the COVID-19 pandemic (discussed further in Note 11), these fair values fluctuated significantly during the second quarter and may continue to fluctuate based on market conditions and other factors.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 Revenue Disclosures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Contract liabilities primarily consist of deferred franchise fees and deferred development fees. Changes in deferred franchise fees and deferred development fees were as follows:</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Two Fiscal Quarters Ended</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w w:val="99"/>
              </w:rPr>
              <w:t>June 14,</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June 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New deferrals due to cash received and other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20,762</w:t>
            </w:r>
          </w:p>
        </w:tc>
        <w:tc>
          <w:tcPr>
            <w:tcW w:w="4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410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Advertising Fund Assets</w:t>
      </w:r>
    </w:p>
    <w:p>
      <w:pPr>
        <w:spacing w:after="0" w:line="117" w:lineRule="exact"/>
        <w:rPr>
          <w:sz w:val="20"/>
          <w:szCs w:val="20"/>
          <w:color w:val="auto"/>
        </w:rPr>
      </w:pPr>
    </w:p>
    <w:p>
      <w:pPr>
        <w:ind w:left="1000" w:right="80" w:firstLine="405"/>
        <w:spacing w:after="0" w:line="286" w:lineRule="auto"/>
        <w:rPr>
          <w:sz w:val="20"/>
          <w:szCs w:val="20"/>
          <w:color w:val="auto"/>
        </w:rPr>
      </w:pPr>
      <w:r>
        <w:rPr>
          <w:rFonts w:ascii="Arial" w:cs="Arial" w:eastAsia="Arial" w:hAnsi="Arial"/>
          <w:sz w:val="17"/>
          <w:szCs w:val="17"/>
          <w:color w:val="auto"/>
        </w:rPr>
        <w:t>As of June 14, 2020, advertising fund assets, restricted of $113.1 million consisted of $84.2 million of cash and cash equivalents, $23.4 million of accounts receivable and $5.5 million of prepaid expenses. As of June 14, 2020, advertising fund cash and cash equivalents included $4.2 million of cash contributed from Company-owned stores that had not yet been expended.</w:t>
      </w:r>
    </w:p>
    <w:p>
      <w:pPr>
        <w:spacing w:after="0" w:line="57" w:lineRule="exact"/>
        <w:rPr>
          <w:sz w:val="20"/>
          <w:szCs w:val="20"/>
          <w:color w:val="auto"/>
        </w:rPr>
      </w:pPr>
    </w:p>
    <w:p>
      <w:pPr>
        <w:ind w:left="1000" w:firstLine="405"/>
        <w:spacing w:after="0" w:line="311" w:lineRule="auto"/>
        <w:rPr>
          <w:sz w:val="20"/>
          <w:szCs w:val="20"/>
          <w:color w:val="auto"/>
        </w:rPr>
      </w:pPr>
      <w:r>
        <w:rPr>
          <w:rFonts w:ascii="Arial" w:cs="Arial" w:eastAsia="Arial" w:hAnsi="Arial"/>
          <w:sz w:val="16"/>
          <w:szCs w:val="16"/>
          <w:color w:val="auto"/>
        </w:rPr>
        <w:t>As of December 29, 2019, advertising fund assets, restricted of $105.4 million consisted of $84.0 million of cash and cash equivalents, $15.3 million of accounts receivable and $6.1 million of prepaid expenses. As of December 29, 2019, advertising fund cash and cash equivalents included $3.5 million of cash contributed from U.S. Company-owned stores that had not yet been expended.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Leases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supply chain vehicles and its corporate headquarters with expiration dates through 2041.</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components of operating and finance lease cost for the second quarter and two fiscal quarters of 2020 and the second quarter and two fiscal quarters of 2019 were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Fiscal Quarter Ended</w:t>
            </w:r>
          </w:p>
        </w:tc>
        <w:tc>
          <w:tcPr>
            <w:tcW w:w="10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Two Fiscal Quarters Ended</w:t>
            </w:r>
          </w:p>
        </w:tc>
      </w:tr>
      <w:tr>
        <w:trPr>
          <w:trHeight w:val="119"/>
        </w:trPr>
        <w:tc>
          <w:tcPr>
            <w:tcW w:w="608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June 14,</w:t>
            </w:r>
          </w:p>
        </w:tc>
        <w:tc>
          <w:tcPr>
            <w:tcW w:w="5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2"/>
              </w:rPr>
              <w:t>June 16,</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14,</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w w:val="96"/>
              </w:rPr>
              <w:t>June 16,</w:t>
            </w:r>
          </w:p>
        </w:tc>
        <w:tc>
          <w:tcPr>
            <w:tcW w:w="8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9,518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20,314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Finance lease cost: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Rent expense totaled $16.2 million and $32.6 million in the second quarter and two fiscal quarters of 2020, respectively, and totaled $15.9 million and $32.3 million in the second quarter and two fiscal quarters of 2019,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for the second quarter and two fiscal quarters of 2020 and 2019,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 information related to the Company’s leases as of June 14, 2020 and December 29, 2019 was as follows:</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June 14,</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29,</w:t>
            </w:r>
          </w:p>
        </w:tc>
      </w:tr>
      <w:tr>
        <w:trPr>
          <w:trHeight w:val="171"/>
        </w:trPr>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44,067</w:t>
            </w:r>
          </w:p>
        </w:tc>
        <w:tc>
          <w:tcPr>
            <w:tcW w:w="5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(8,544)</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(7,846)</w:t>
            </w:r>
          </w:p>
        </w:tc>
      </w:tr>
      <w:tr>
        <w:trPr>
          <w:trHeight w:val="20"/>
        </w:trPr>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35,523</w:t>
            </w:r>
          </w:p>
        </w:tc>
        <w:tc>
          <w:tcPr>
            <w:tcW w:w="5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17,630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32"/>
        </w:trPr>
        <w:tc>
          <w:tcPr>
            <w:tcW w:w="6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999</w:t>
            </w:r>
          </w:p>
        </w:tc>
        <w:tc>
          <w:tcPr>
            <w:tcW w:w="5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1,394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36,209</w:t>
            </w:r>
          </w:p>
        </w:tc>
        <w:tc>
          <w:tcPr>
            <w:tcW w:w="5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18,263</w:t>
            </w:r>
          </w:p>
        </w:tc>
      </w:tr>
      <w:tr>
        <w:trPr>
          <w:trHeight w:val="210"/>
        </w:trPr>
        <w:tc>
          <w:tcPr>
            <w:tcW w:w="6320" w:type="dxa"/>
            <w:vAlign w:val="bottom"/>
          </w:tcPr>
          <w:p>
            <w:pPr>
              <w:ind w:left="360"/>
              <w:spacing w:after="0"/>
              <w:rPr>
                <w:sz w:val="20"/>
                <w:szCs w:val="20"/>
                <w:color w:val="auto"/>
              </w:rPr>
            </w:pPr>
            <w:r>
              <w:rPr>
                <w:rFonts w:ascii="Arial" w:cs="Arial" w:eastAsia="Arial" w:hAnsi="Arial"/>
                <w:sz w:val="18"/>
                <w:szCs w:val="18"/>
                <w:color w:val="auto"/>
              </w:rPr>
              <w:t>Total principal payable on finance leases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37,208</w:t>
            </w: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June 14, 2020 and December 29, 2019, the weighted average remaining lease term and weighted average discount rate for the Company’s operating and finance leases were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14, 2020</w:t>
            </w: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29, 2019</w:t>
            </w:r>
          </w:p>
        </w:tc>
      </w:tr>
      <w:tr>
        <w:trPr>
          <w:trHeight w:val="119"/>
        </w:trPr>
        <w:tc>
          <w:tcPr>
            <w:tcW w:w="39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7"/>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44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7"/>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16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 years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17 years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 years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 years</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240" w:type="dxa"/>
            <w:vAlign w:val="bottom"/>
            <w:gridSpan w:val="3"/>
          </w:tcPr>
          <w:p>
            <w:pPr>
              <w:jc w:val="right"/>
              <w:ind w:right="28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391"/>
        </w:trPr>
        <w:tc>
          <w:tcPr>
            <w:tcW w:w="3900" w:type="dxa"/>
            <w:vAlign w:val="bottom"/>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77" w:lineRule="auto"/>
        <w:rPr>
          <w:sz w:val="20"/>
          <w:szCs w:val="20"/>
          <w:color w:val="auto"/>
        </w:rPr>
      </w:pPr>
      <w:r>
        <w:rPr>
          <w:rFonts w:ascii="Arial" w:cs="Arial" w:eastAsia="Arial" w:hAnsi="Arial"/>
          <w:sz w:val="18"/>
          <w:szCs w:val="18"/>
          <w:color w:val="auto"/>
        </w:rPr>
        <w:t>Supplemental cash flow information related to leases for the second quarter and two fiscal quarters of 2020 and the second quarter and two fiscal quarters of 2019 was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Quarter Ended</w:t>
            </w:r>
          </w:p>
        </w:tc>
        <w:tc>
          <w:tcPr>
            <w:tcW w:w="200" w:type="dxa"/>
            <w:vAlign w:val="bottom"/>
          </w:tcPr>
          <w:p>
            <w:pPr>
              <w:spacing w:after="0"/>
              <w:rPr>
                <w:sz w:val="14"/>
                <w:szCs w:val="14"/>
                <w:color w:val="auto"/>
              </w:rPr>
            </w:pPr>
          </w:p>
        </w:tc>
        <w:tc>
          <w:tcPr>
            <w:tcW w:w="20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Two Fiscal Quarters Ended</w:t>
            </w:r>
          </w:p>
        </w:tc>
      </w:tr>
      <w:tr>
        <w:trPr>
          <w:trHeight w:val="119"/>
        </w:trPr>
        <w:tc>
          <w:tcPr>
            <w:tcW w:w="5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June 14,</w:t>
            </w: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16,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June 14,</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62"/>
              <w:spacing w:after="0" w:line="119" w:lineRule="exact"/>
              <w:rPr>
                <w:sz w:val="20"/>
                <w:szCs w:val="20"/>
                <w:color w:val="auto"/>
              </w:rPr>
            </w:pPr>
            <w:r>
              <w:rPr>
                <w:rFonts w:ascii="Arial" w:cs="Arial" w:eastAsia="Arial" w:hAnsi="Arial"/>
                <w:sz w:val="13"/>
                <w:szCs w:val="13"/>
                <w:b w:val="1"/>
                <w:bCs w:val="1"/>
                <w:color w:val="auto"/>
              </w:rPr>
              <w:t>June 16,</w:t>
            </w:r>
          </w:p>
        </w:tc>
        <w:tc>
          <w:tcPr>
            <w:tcW w:w="80" w:type="dxa"/>
            <w:vAlign w:val="bottom"/>
          </w:tcPr>
          <w:p>
            <w:pPr>
              <w:spacing w:after="0"/>
              <w:rPr>
                <w:sz w:val="10"/>
                <w:szCs w:val="10"/>
                <w:color w:val="auto"/>
              </w:rPr>
            </w:pPr>
          </w:p>
        </w:tc>
      </w:tr>
      <w:tr>
        <w:trPr>
          <w:trHeight w:val="171"/>
        </w:trPr>
        <w:tc>
          <w:tcPr>
            <w:tcW w:w="5560" w:type="dxa"/>
            <w:vAlign w:val="bottom"/>
          </w:tcPr>
          <w:p>
            <w:pPr>
              <w:spacing w:after="0"/>
              <w:rPr>
                <w:sz w:val="14"/>
                <w:szCs w:val="14"/>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0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$10,048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$ 9,398</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  20,167</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  20,088</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1,272</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796</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691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1,040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261</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lease obligations:</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6,596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13,391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15,578</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26,368</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18,746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18,746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as of June 14, 2020 were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Finance</w:t>
            </w:r>
          </w:p>
        </w:tc>
      </w:tr>
      <w:tr>
        <w:trPr>
          <w:trHeight w:val="17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Leases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4,493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33,914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4,602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53,291</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73,415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(36,207)</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235,751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37,208</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As of June 14, 2020, the Company has additional leases for one supply chain center and certain supply chain tractors and trailers that had not yet commenced with estimated future minimum rental commitments of approximately $30.4 million. These leases are expected to commence in 2020 with lease terms of up to 15 years. These undiscounted amounts are not included in the table above.</w:t>
      </w:r>
    </w:p>
    <w:p>
      <w:pPr>
        <w:spacing w:after="0" w:line="18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Company has guaranteed lease payments related to certain franchisees’ lease arrangements. The maximum amount of potential future payments under these guarantees is $14.9 million as of June 14, 2020. The Company does not believe these arrangements have or are likely to have a material effect on its results of operations, financial condition, revenues, expenses or liquidity.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Supplemental Disclosures of Cash Flow Information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had non-cash investing activities related to accruals for capital expenditures of $2.5 million at June 14, 2020 and $6.9 million at December 29,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 Investment in Dash Brands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second quarter of 2020, a subsidiary of the Company acquired a non-controlling interest in Dash Brands for $40.0 million. This investment is an equity investment without a readily determinable fair value and is recorded at cost with adjustments for observable changes in prices resulting from orderly transactions for the identical or a similar investment of the same issuer or impairments within long-term other assets in the Company’s condensed consolidated balance sheet. The Company did not record any adjustments to the carrying amount of $40.0 million in the second quarter ended June 14, 2020. The Company is contractually required to invest an additional $40.0 million in Dash Brands in the first quarter of 2021, assuming certain performance conditions are satisfied. If such performance conditions are not satisfied, the Company has the option to make such additional investment in its discretion.</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700" w:hanging="444"/>
        <w:spacing w:after="0" w:line="483" w:lineRule="auto"/>
        <w:tabs>
          <w:tab w:leader="none" w:pos="38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New Accounting Pronouncements </w:t>
      </w:r>
      <w:r>
        <w:rPr>
          <w:rFonts w:ascii="Arial" w:cs="Arial" w:eastAsia="Arial" w:hAnsi="Arial"/>
          <w:sz w:val="16"/>
          <w:szCs w:val="16"/>
          <w:u w:val="single" w:color="auto"/>
          <w:color w:val="auto"/>
        </w:rPr>
        <w:t>Recently Adopted Accounting Standard</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ASU 2016-13, Financial Instruments – Credit Losses (Topic 326)</w:t>
      </w:r>
    </w:p>
    <w:p>
      <w:pPr>
        <w:spacing w:after="0" w:line="117" w:lineRule="exact"/>
        <w:rPr>
          <w:sz w:val="20"/>
          <w:szCs w:val="20"/>
          <w:color w:val="auto"/>
        </w:rPr>
      </w:pPr>
    </w:p>
    <w:p>
      <w:pPr>
        <w:ind w:left="1000" w:right="60" w:firstLine="405"/>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w:t>
      </w:r>
      <w:r>
        <w:rPr>
          <w:rFonts w:ascii="Arial" w:cs="Arial" w:eastAsia="Arial" w:hAnsi="Arial"/>
          <w:sz w:val="18"/>
          <w:szCs w:val="18"/>
          <w:i w:val="1"/>
          <w:iCs w:val="1"/>
          <w:color w:val="auto"/>
        </w:rPr>
        <w:t>Accounting Standard Update (“ASU”) 2016-13,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ASC 326 requires companies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utilizing a methodology that reflects expected credit losses and 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condensed consolidated financial statements.</w:t>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The effects of the changes made to the Company’s condensed consolidated balance sheet as of December 30, 2019 for the adoption of</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ASC 326 were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r>
      <w:tr>
        <w:trPr>
          <w:trHeight w:val="148"/>
        </w:trPr>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Due to ASC</w:t>
            </w:r>
          </w:p>
        </w:tc>
        <w:tc>
          <w:tcPr>
            <w:tcW w:w="2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30,</w:t>
            </w:r>
          </w:p>
        </w:tc>
      </w:tr>
      <w:tr>
        <w:trPr>
          <w:trHeight w:val="171"/>
        </w:trPr>
        <w:tc>
          <w:tcPr>
            <w:tcW w:w="4080" w:type="dxa"/>
            <w:vAlign w:val="bottom"/>
          </w:tcPr>
          <w:p>
            <w:pPr>
              <w:spacing w:after="0"/>
              <w:rPr>
                <w:sz w:val="14"/>
                <w:szCs w:val="14"/>
                <w:color w:val="auto"/>
              </w:rPr>
            </w:pPr>
          </w:p>
        </w:tc>
        <w:tc>
          <w:tcPr>
            <w:tcW w:w="2420" w:type="dxa"/>
            <w:vAlign w:val="bottom"/>
            <w:gridSpan w:val="2"/>
          </w:tcPr>
          <w:p>
            <w:pPr>
              <w:jc w:val="center"/>
              <w:ind w:left="145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326</w:t>
            </w:r>
          </w:p>
        </w:tc>
        <w:tc>
          <w:tcPr>
            <w:tcW w:w="260" w:type="dxa"/>
            <w:vAlign w:val="bottom"/>
          </w:tcPr>
          <w:p>
            <w:pPr>
              <w:spacing w:after="0"/>
              <w:rPr>
                <w:sz w:val="14"/>
                <w:szCs w:val="14"/>
                <w:color w:val="auto"/>
              </w:rPr>
            </w:pPr>
          </w:p>
        </w:tc>
        <w:tc>
          <w:tcPr>
            <w:tcW w:w="11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210,260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211,695</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19,129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19,133</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12,521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12,548</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80" w:type="dxa"/>
            <w:vAlign w:val="bottom"/>
            <w:shd w:val="clear" w:color="auto" w:fill="CCEEFF"/>
          </w:tcPr>
          <w:p>
            <w:pPr>
              <w:spacing w:after="0"/>
              <w:rPr>
                <w:sz w:val="18"/>
                <w:szCs w:val="18"/>
                <w:color w:val="auto"/>
              </w:rPr>
            </w:pPr>
          </w:p>
        </w:tc>
      </w:tr>
      <w:tr>
        <w:trPr>
          <w:trHeight w:val="324"/>
        </w:trPr>
        <w:tc>
          <w:tcPr>
            <w:tcW w:w="4080" w:type="dxa"/>
            <w:vAlign w:val="bottom"/>
          </w:tcPr>
          <w:p>
            <w:pPr>
              <w:spacing w:after="0"/>
              <w:rPr>
                <w:sz w:val="20"/>
                <w:szCs w:val="20"/>
                <w:color w:val="auto"/>
              </w:rPr>
            </w:pPr>
            <w:r>
              <w:rPr>
                <w:rFonts w:ascii="Arial" w:cs="Arial" w:eastAsia="Arial" w:hAnsi="Arial"/>
                <w:sz w:val="18"/>
                <w:szCs w:val="18"/>
                <w:color w:val="auto"/>
              </w:rPr>
              <w:t>Liabilities and stockholders’ deficit</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Retained deficit</w:t>
            </w:r>
          </w:p>
        </w:tc>
        <w:tc>
          <w:tcPr>
            <w:tcW w:w="2700" w:type="dxa"/>
            <w:vAlign w:val="bottom"/>
            <w:gridSpan w:val="3"/>
          </w:tcPr>
          <w:p>
            <w:pPr>
              <w:jc w:val="right"/>
              <w:ind w:right="220"/>
              <w:spacing w:after="0"/>
              <w:rPr>
                <w:sz w:val="20"/>
                <w:szCs w:val="20"/>
                <w:color w:val="auto"/>
              </w:rPr>
            </w:pPr>
            <w:r>
              <w:rPr>
                <w:rFonts w:ascii="Arial" w:cs="Arial" w:eastAsia="Arial" w:hAnsi="Arial"/>
                <w:sz w:val="18"/>
                <w:szCs w:val="18"/>
                <w:color w:val="auto"/>
              </w:rPr>
              <w:t>(3,412,649)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(3,411,547)</w:t>
            </w:r>
          </w:p>
        </w:tc>
      </w:tr>
    </w:tbl>
    <w:p>
      <w:pPr>
        <w:spacing w:after="0" w:line="79" w:lineRule="exact"/>
        <w:rPr>
          <w:sz w:val="20"/>
          <w:szCs w:val="20"/>
          <w:color w:val="auto"/>
        </w:rPr>
      </w:pPr>
    </w:p>
    <w:p>
      <w:pPr>
        <w:ind w:left="1000" w:right="340" w:firstLine="405"/>
        <w:spacing w:after="0" w:line="255" w:lineRule="auto"/>
        <w:rPr>
          <w:sz w:val="20"/>
          <w:szCs w:val="20"/>
          <w:color w:val="auto"/>
        </w:rPr>
      </w:pPr>
      <w:r>
        <w:rPr>
          <w:rFonts w:ascii="Arial" w:cs="Arial" w:eastAsia="Arial" w:hAnsi="Arial"/>
          <w:sz w:val="18"/>
          <w:szCs w:val="18"/>
          <w:color w:val="auto"/>
        </w:rPr>
        <w:t>The Company recognized the cumulative effect of initially applying ASC 326 as an adjustment to the opening balance of retained deficit. The comparative information has not been restated and continues to be reported under the accounting standards in effect for that period. An adjustment to beginning retained deficit and a corresponding adjustment to the allowance for doubtful accounts and notes receivable of approximately $1.5 million was recorded on the date of adoption, representing the remeasurement of these accounts to the Company’s estimate for current expected credit losses. The adjustment to beginning retained deficit was also net of a $0.4 million adjustment to deferred income taxes.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17" w:lineRule="exact"/>
        <w:rPr>
          <w:sz w:val="20"/>
          <w:szCs w:val="20"/>
          <w:color w:val="auto"/>
        </w:rPr>
      </w:pPr>
    </w:p>
    <w:p>
      <w:pPr>
        <w:ind w:left="560" w:right="160" w:firstLine="423"/>
        <w:spacing w:after="0" w:line="277" w:lineRule="auto"/>
        <w:rPr>
          <w:sz w:val="20"/>
          <w:szCs w:val="20"/>
          <w:color w:val="auto"/>
        </w:rPr>
      </w:pPr>
      <w:r>
        <w:rPr>
          <w:rFonts w:ascii="Arial" w:cs="Arial" w:eastAsia="Arial" w:hAnsi="Arial"/>
          <w:sz w:val="18"/>
          <w:szCs w:val="18"/>
          <w:color w:val="auto"/>
        </w:rPr>
        <w:t>The Company has considered all new accounting standards issued by the FASB. The Company has not yet completed its assessment of the following standards.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ASU 2019-12, Income Taxes – Simplifying the Accounting for Income Taxes (Topic 740)</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 (Topic 740): Simplifying the Accounting for Income Taxes</w:t>
      </w:r>
      <w:r>
        <w:rPr>
          <w:rFonts w:ascii="Arial" w:cs="Arial" w:eastAsia="Arial" w:hAnsi="Arial"/>
          <w:sz w:val="18"/>
          <w:szCs w:val="18"/>
          <w:color w:val="auto"/>
        </w:rPr>
        <w:t xml:space="preserve"> (ASU 2019-12), which simplifies the accounting for income taxes. ASU 2019-12 is effective for fiscal years beginning after December 15, 2020, including applicable interim periods. The Company is currently assessing the impact of adopting this standard but does not expect the adoption of this guidance to have a material impact on its consolidated financial statements.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11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 xml:space="preserve">In March 2020, the FASB issued </w:t>
      </w:r>
      <w:r>
        <w:rPr>
          <w:rFonts w:ascii="Arial" w:cs="Arial" w:eastAsia="Arial" w:hAnsi="Arial"/>
          <w:sz w:val="18"/>
          <w:szCs w:val="18"/>
          <w:i w:val="1"/>
          <w:iCs w:val="1"/>
          <w:color w:val="auto"/>
        </w:rPr>
        <w:t>ASU 2020-04, 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which provides temporary optional expedients and exceptions for applying generally accepted accounting principles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hedging relationships and other transactions affected by reference rate reform. The Company’s floating rate notes and variable funding notes bear interest at fluctuating interest rates based on LIBOR. If LIBOR ceases to exist, the Company may need to renegotiate its loan documents and the Company cannot predict what alternative index would be negotiated with its lenders. ASU 2020-04 is currently effective and upon adoption may be applied prospectively to contract modifications made on or before December 31, 2022. The Company is currently assessing the impact of adopting this standard but does not expect the adoption of this guidance to have a material impact on its consolidated financial statements.</w:t>
      </w:r>
    </w:p>
    <w:p>
      <w:pPr>
        <w:sectPr>
          <w:pgSz w:w="11900" w:h="16838" w:orient="portrait"/>
          <w:cols w:equalWidth="0" w:num="1">
            <w:col w:w="11120"/>
          </w:cols>
          <w:pgMar w:left="320" w:top="486" w:right="459" w:bottom="1440" w:gutter="0" w:footer="0" w:header="0"/>
        </w:sectPr>
      </w:pP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 COVID-19 Pandemic</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During the second quarter of 2020 in the midst of the COVID-19 pandemic, the Company continued to increase its U.S. Stores revenues. Supply Chain also remained operational, with minimal interruptions due to COVID-19 and experienced higher volumes as a result of the increases in store sales. However, the COVID-19 pandemic negatively impacted the Company’s International Franchise revenues due to temporary store closures in certain markets as well as changes in operating procedures and store hours resulting from actions taken to increase social distancing across its international markets. The Company is closely monitoring the impact of the pandemic on all aspects of its business and is unable at this time to predict the continued impact that COVID-19 will have on its business, financial position and operating results in future periods due to numerous uncertainties.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320" w:top="486"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2020 and 2019 second quarters referenced herein represent the twelve-week periods ended June 14, 2020 and June 16, 2019, respectively.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and 2019 two fiscal quarters referenced herein represent the twenty-four-week periods ended June 14, 2020 and June 16, 2019, respectively.</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Domino’s is the largest pizza company in the world based on global retail sales, with more than 17,100 locations in over 90 markets. Founded in 1960, our roots are in convenient pizza delivery, while a significant amount of our sales also come from carryout customers. Domino’s generates revenues and earnings by charging royalties and fees to our independent franchisees. The Company also generates revenues and earnings by selling food, equipment and supplies to franchisees primarily in the U.S. and Canada, and by operating a number of our own stores in the U.S. Franchisees profit by selling pizza and other complementary items to their local customers. In our international markets, we generally grant geographical rights to the Domino’s Pizza® brand to master franchisees. These master franchisees are charged with developing their geographical area, and they can profit by sub-franchising and selling ingredients and equipment to those sub-franchisees, as well as by running pizza stores directly. We believe that everyone in the system can benefit, including the end consumer, who can feed their family Domino’s menu items conveniently and economically.</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financial results are driven largely by retail sales at our franchise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Second 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Second 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Two Fiscal</w:t>
            </w:r>
          </w:p>
        </w:tc>
        <w:tc>
          <w:tcPr>
            <w:tcW w:w="80" w:type="dxa"/>
            <w:vAlign w:val="bottom"/>
          </w:tcPr>
          <w:p>
            <w:pPr>
              <w:spacing w:after="0"/>
              <w:rPr>
                <w:sz w:val="14"/>
                <w:szCs w:val="14"/>
                <w:color w:val="auto"/>
              </w:rPr>
            </w:pP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Two Fiscal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of 2020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2019</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9"/>
              </w:rPr>
              <w:t>Quarters of 2020</w:t>
            </w:r>
          </w:p>
        </w:tc>
        <w:tc>
          <w:tcPr>
            <w:tcW w:w="80" w:type="dxa"/>
            <w:vAlign w:val="bottom"/>
          </w:tcPr>
          <w:p>
            <w:pPr>
              <w:spacing w:after="0"/>
              <w:rPr>
                <w:sz w:val="14"/>
                <w:szCs w:val="14"/>
                <w:color w:val="auto"/>
              </w:rPr>
            </w:pP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Quarters of 2019</w:t>
            </w: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3"/>
              </w:rPr>
              <w:t>Global retail sales growth (versus prior year period,</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foreign currency impact)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Same store sales growth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U.S. franchise stores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stores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360"/>
              <w:spacing w:after="0" w:line="201" w:lineRule="exact"/>
              <w:rPr>
                <w:sz w:val="20"/>
                <w:szCs w:val="20"/>
                <w:color w:val="auto"/>
              </w:rPr>
            </w:pPr>
            <w:r>
              <w:rPr>
                <w:rFonts w:ascii="Arial" w:cs="Arial" w:eastAsia="Arial" w:hAnsi="Arial"/>
                <w:sz w:val="18"/>
                <w:szCs w:val="18"/>
                <w:color w:val="auto"/>
              </w:rPr>
              <w:t>International stores (excluding foreign currency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40"/>
              <w:spacing w:after="0"/>
              <w:rPr>
                <w:sz w:val="20"/>
                <w:szCs w:val="20"/>
                <w:color w:val="auto"/>
              </w:rPr>
            </w:pPr>
            <w:r>
              <w:rPr>
                <w:rFonts w:ascii="Arial" w:cs="Arial" w:eastAsia="Arial" w:hAnsi="Arial"/>
                <w:sz w:val="18"/>
                <w:szCs w:val="18"/>
                <w:color w:val="auto"/>
              </w:rPr>
              <w:t>impact)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stores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360"/>
              <w:spacing w:after="0"/>
              <w:rPr>
                <w:sz w:val="20"/>
                <w:szCs w:val="20"/>
                <w:color w:val="auto"/>
              </w:rPr>
            </w:pPr>
            <w:r>
              <w:rPr>
                <w:rFonts w:ascii="Arial" w:cs="Arial" w:eastAsia="Arial" w:hAnsi="Arial"/>
                <w:sz w:val="18"/>
                <w:szCs w:val="18"/>
                <w:color w:val="auto"/>
              </w:rPr>
              <w:t>U.S. stores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stores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10,978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10,369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360"/>
              <w:spacing w:after="0"/>
              <w:rPr>
                <w:sz w:val="20"/>
                <w:szCs w:val="20"/>
                <w:color w:val="auto"/>
              </w:rPr>
            </w:pPr>
            <w:r>
              <w:rPr>
                <w:rFonts w:ascii="Arial" w:cs="Arial" w:eastAsia="Arial" w:hAnsi="Arial"/>
                <w:sz w:val="18"/>
                <w:szCs w:val="18"/>
                <w:color w:val="auto"/>
              </w:rPr>
              <w:t>Total stores (2)</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16,314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920.0</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811.6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1,793.1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1,647.6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1,095.9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1,008.7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89.2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176.6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178.9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163.6</w:t>
            </w:r>
          </w:p>
        </w:tc>
        <w:tc>
          <w:tcPr>
            <w:tcW w:w="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138.9</w:t>
            </w:r>
          </w:p>
        </w:tc>
        <w:tc>
          <w:tcPr>
            <w:tcW w:w="32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319.4</w:t>
            </w:r>
          </w:p>
        </w:tc>
        <w:tc>
          <w:tcPr>
            <w:tcW w:w="300" w:type="dxa"/>
            <w:vAlign w:val="bottom"/>
            <w:vMerge w:val="continue"/>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282.4</w:t>
            </w:r>
          </w:p>
        </w:tc>
        <w:tc>
          <w:tcPr>
            <w:tcW w:w="32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124.5</w:t>
            </w:r>
          </w:p>
        </w:tc>
        <w:tc>
          <w:tcPr>
            <w:tcW w:w="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106.0</w:t>
            </w:r>
          </w:p>
        </w:tc>
        <w:tc>
          <w:tcPr>
            <w:tcW w:w="32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241.8</w:t>
            </w:r>
          </w:p>
        </w:tc>
        <w:tc>
          <w:tcPr>
            <w:tcW w:w="300" w:type="dxa"/>
            <w:vAlign w:val="bottom"/>
            <w:vMerge w:val="continue"/>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215.1</w:t>
            </w:r>
          </w:p>
        </w:tc>
        <w:tc>
          <w:tcPr>
            <w:tcW w:w="32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118.7</w:t>
            </w:r>
          </w:p>
        </w:tc>
        <w:tc>
          <w:tcPr>
            <w:tcW w:w="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92.4</w:t>
            </w:r>
          </w:p>
        </w:tc>
        <w:tc>
          <w:tcPr>
            <w:tcW w:w="320" w:type="dxa"/>
            <w:vAlign w:val="bottom"/>
            <w:vMerge w:val="continue"/>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240.3</w:t>
            </w:r>
          </w:p>
        </w:tc>
        <w:tc>
          <w:tcPr>
            <w:tcW w:w="300" w:type="dxa"/>
            <w:vAlign w:val="bottom"/>
            <w:vMerge w:val="continue"/>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185.0</w:t>
            </w:r>
          </w:p>
        </w:tc>
        <w:tc>
          <w:tcPr>
            <w:tcW w:w="32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20" w:hanging="424"/>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sales growth is calculated for a given period by including only sales from stores that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Temporary store closures are not treated as store closures and affected stores are included in the ending store count.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second quarter and two fiscal quarters of 2020, we experienced global retail sales growth. Beginning at the end of the first quarter of</w:t>
      </w:r>
    </w:p>
    <w:p>
      <w:pPr>
        <w:spacing w:after="0" w:line="4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2020 through the date of this filing, customer ordering behavior during the COVID-19 pandemic has resulted in a significant increase in U.S. same store sales. We did not experience significant temporary closures in our U.S. business. Additionally, our supply chain experienced minimal disruptions due to COVID-19 and experienced higher volumes from the increases in store sales. However, during the same period, the COVID-19 pandemic negatively impacted our international retail sales growth and same store sales growth due to temporary store closures and changes in operating procedures and store hours resulting from actions taken to increase social distancing across certain of the markets in which we operate. Our U.S. and international same store sales growth was also partially offset by our current strategy to increase store concentration in certain markets where we compete.</w:t>
      </w:r>
    </w:p>
    <w:p>
      <w:pPr>
        <w:spacing w:after="0" w:line="16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During the second quarter and two fiscal quarters of 2020, we also continued our global expansion with the opening of 84 net new stores in the second quarter of 2020, bringing our year-to-date total to 153. We opened 45 net new stores internationally and 39 net new stores in the U.S. during the second quarter of 2020. The COVID-19 pandemic has had a negative impact on anticipated store openings in our international business due to delays in approvals and government restrictions in certain of the markets that our master franchisees operate. Overall, we believe this global store growth, along with our strong sales, emphasis on technology, operations, and marketing initiatives, have combined to strengthen our brand.</w:t>
      </w:r>
    </w:p>
    <w:p>
      <w:pPr>
        <w:spacing w:after="0" w:line="16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Global retail sales, excluding foreign currency impact, which includes total retail sales at franchise and Company-owned stores worldwide, increased 8.1% in the second quarter of 2020 and increased 7.0% in the two fiscal quarters of 2020. These increases were driven by U.S. and international same store sales growth as well as an increase in U.S. store counts during the trailing four quarters, but were partially offset by a significant number of temporary store closures in certain of our international markets as a result of the COVID-19 pandemic. During the second quarter of 2020, we reached a peak of approximately 2,400 temporary store closures across our international markets. Based on information reported to us by our master franchisees, we estimate that as of June 14, 2020, there were fewer than 700 international stores temporarily closed. U.S. same store sales growth reflected a shift in consumer behavior across the restaurant industry toward delivery and carryout throughout the COVID-19 pandemic as well as the sustained positive sales trends and the continued success of our products, marketing and technology platforms.</w:t>
      </w:r>
    </w:p>
    <w:p>
      <w:pPr>
        <w:spacing w:after="0" w:line="16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Total revenues increased $108.4 million, or 13.4%, in the second quarter of 2020 and increased $145.5 million, or 8.8%, in the two fiscal quarters of 2020. These increases were due primarily to higher global retail sales, which resulted in higher supply chain and U.S. franchise revenues. These increases in revenues were partially offset by lower international franchise revenues due to the temporary store closures in certain of our markets resulting from the COVID-19 pandemic and the negative impact of changes in foreign currency exchange rates. U.S. Company-owned stores revenues increased in the second quarter of 2020 due to same store sales growth, but decreased in the two fiscal quarters of 2020 due to the sale of 59 Company-owned stores to certain of our existing U.S. franchisees during the second quarter of 2019 (the “2019 Store Sale”). These changes in revenues are described in more detail below.</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Income from operations increased $24.7 million, or 17.8%, in the second quarter of 2020 and increased $37.0 million, or 13.1%, in the two fiscal quarters of 2020. These increases were primarily driven by higher royalty revenues from our U.S. franchised stores, as well as higher supply chain margins. Lower international franchise royalty revenues resulting primarily from temporary store closures in certain of our markets due to the COVID-19 pandemic partially offset these increases.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Net income increased $26.3 million, or 28.5%, in the second quarter of 2020 and increased $55.3 million, or 29.9%, in the two fiscal quarters of 2020, driven by higher income from operations and lower tax expense resulting primarily from higher excess tax benefits from equity-based compensation. This increase in net income was partially offset by higher interest expense resulting from a higher average debt balance following our recapitalization transaction completed on November 19, 2019 (the “2019 Recapitalization”) and borrowings under our variable funding notes in the second quarter of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Second Quarter</w:t>
            </w: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Two Fiscal</w:t>
            </w:r>
          </w:p>
        </w:tc>
        <w:tc>
          <w:tcPr>
            <w:tcW w:w="10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Two Fiscal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34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Quarters of 2020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Quarters of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7"/>
              </w:rPr>
              <w:t>$114.2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113.1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217.8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192.3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Supply chain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1,051.8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International franchise royalties and fees</w:t>
            </w: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48.1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55.0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105.6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920.0</w:t>
            </w: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811.6</w:t>
            </w:r>
          </w:p>
        </w:tc>
        <w:tc>
          <w:tcPr>
            <w:tcW w:w="260" w:type="dxa"/>
            <w:vAlign w:val="bottom"/>
            <w:vMerge w:val="continue"/>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w:t>
            </w:r>
          </w:p>
        </w:tc>
        <w:tc>
          <w:tcPr>
            <w:tcW w:w="1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1,793.1</w:t>
            </w:r>
          </w:p>
        </w:tc>
        <w:tc>
          <w:tcPr>
            <w:tcW w:w="260" w:type="dxa"/>
            <w:vAlign w:val="bottom"/>
            <w:vMerge w:val="continue"/>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1,647.6</w:t>
            </w:r>
          </w:p>
        </w:tc>
        <w:tc>
          <w:tcPr>
            <w:tcW w:w="260" w:type="dxa"/>
            <w:vAlign w:val="bottom"/>
            <w:vMerge w:val="continue"/>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Revenues primarily consist of retail sales from our Company-owned stores, advertising contributions, royalties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ectPr>
          <w:pgSz w:w="11900" w:h="16838" w:orient="portrait"/>
          <w:cols w:equalWidth="0" w:num="1">
            <w:col w:w="11140"/>
          </w:cols>
          <w:pgMar w:left="320" w:top="486" w:right="439" w:bottom="1440" w:gutter="0" w:footer="0" w:header="0"/>
        </w:sectPr>
      </w:pP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320" w:top="486"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Stores Revenues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Second Quarter</w:t>
            </w: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Two Fiscal</w:t>
            </w: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Two Fiscal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32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Quarters of 2020</w:t>
            </w:r>
          </w:p>
        </w:tc>
        <w:tc>
          <w:tcPr>
            <w:tcW w:w="34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Quarters of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7"/>
              </w:rPr>
              <w:t>$114.2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$105.0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$228.5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113.1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217.8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192.3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360"/>
              <w:spacing w:after="0"/>
              <w:rPr>
                <w:sz w:val="20"/>
                <w:szCs w:val="20"/>
                <w:color w:val="auto"/>
              </w:rPr>
            </w:pPr>
            <w:r>
              <w:rPr>
                <w:rFonts w:ascii="Arial" w:cs="Arial" w:eastAsia="Arial" w:hAnsi="Arial"/>
                <w:sz w:val="18"/>
                <w:szCs w:val="18"/>
                <w:color w:val="auto"/>
              </w:rPr>
              <w:t>U.S. stores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332.8</w:t>
            </w: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289.1</w:t>
            </w:r>
          </w:p>
        </w:tc>
        <w:tc>
          <w:tcPr>
            <w:tcW w:w="260" w:type="dxa"/>
            <w:vAlign w:val="bottom"/>
            <w:vMerge w:val="continue"/>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10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635.7</w:t>
            </w:r>
          </w:p>
        </w:tc>
        <w:tc>
          <w:tcPr>
            <w:tcW w:w="260" w:type="dxa"/>
            <w:vAlign w:val="bottom"/>
            <w:vMerge w:val="continue"/>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598.4</w:t>
            </w:r>
          </w:p>
        </w:tc>
        <w:tc>
          <w:tcPr>
            <w:tcW w:w="260" w:type="dxa"/>
            <w:vAlign w:val="bottom"/>
            <w:vMerge w:val="continue"/>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Company-Owned Stores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Revenues from U.S. Company-owned store operations increased $9.2 million, or 8.8%, in the second quarter of 2020 due primarily to same store sales growth, partially offset by lower revenues resulting from the 2019 Store Sale. Revenues from U.S. Company-owned store operations decreased $11.9 million, or 5.2%, in the two fiscal quarters of 2020 due primarily to the 2019 Store Sale, partially offset by higher revenues resulting from same store sales growth. Company-owned same store sales increased 16.9% in the second quarter of 2020 and increased 10.4% in the two fiscal quarters of 2020. Company-owned same store sales increased 2.1% in the second quarter of 2019 and increased 2.6% in the two fiscal quarters of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Royalties and Fees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Revenues from U.S. franchise royalties and fees increased $17.5 million, or 18.3%, in the second quarter of 2020 and increased $25.5 million, or 13.3%, in the two fiscal quarters of 2020 due primarily to higher same store sales and an increase in the average number of U.S. franchised stores open during the period due to net store growth and, to a lesser extent, the 2019 Store Sale. U.S. franchise royalties were negatively impacted by $3.0 million in the second quarter of 2020 related to funding we provided to our franchisees for an effort to donate 10 million slices of pizza to people and organizations at the frontlines of the COVID-19 pandemic in the franchisees’ local communities. U.S. franchise same store sales increased 16.0% in the second quarter of 2020 and increased 8.7% in the two fiscal quarters of 2020. U.S. franchise same store sales increased 3.1% in the second quarter of 2019 and increased 3.5% in the two fiscal quarters of 2019.</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Advertising</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Revenues from U.S. franchise advertising increased $16.9 million, or 19.1%, in the second quarter of 2020 and increased $23.7 million, or 13.3%, in the two fiscal quarters of 2020 due primarily to higher same store sales and an increase in the average number of U.S. franchised stores open during the period due to net store growth and, to a lesser extent, the 2019 Store Sale.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Revenues from supply chain operations are primarily comprised of sales of food, equipment and supplies from our supply chain centers to substantially all of our U.S. franchised stores and certain international franchised stores. Supply chain revenues increased $71.6 million, or 15.3%, in the second quarter of 2020 and increased $112.2 million, or 11.9%, in the two fiscal quarters of 2020. These increases were primarily due to higher volumes from increased orders resulting from U.S. franchise retail sales growth. Our market basket pricing to stores decreased 1.2% during the second quarter of 2020, which resulted in an estimated $6.4 million decrease in supply chain revenue. Our market basket pricing to stores increased 0.9% during the two fiscal quarters of 2020, which resulted in an estimated $10.7 million increase in supply chain revenue.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International Franchise Royalties and Fee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Revenues from international franchise royalties and fees decreased $6.9 million, or 12.5%, in the second quarter of 2020 and decreased</w:t>
      </w:r>
    </w:p>
    <w:p>
      <w:pPr>
        <w:spacing w:after="0" w:line="35"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color w:val="auto"/>
        </w:rPr>
        <w:t>$4.0 million, or 3.6%, in the two fiscal quarters of 2020. These decreases were due primarily to temporary store closures in certain markets and changes in operating procedures and store hours resulting from actions taken to increase social distancing across certain of the markets in which we operate due to the COVID-19 pandemic. The negative impact of changes in foreign currency exchange rates of $2.3 million in the second quarter of 2020 and $3.7 million in the two fiscal quarters of 2020 also contributed to the decrease in international royalties and fees revenues. These decreases were partially offset by same store sales growth. Excluding the impact of changes in foreign currency exchange rates, international franchise same store sales increased 1.3% in the second quarter of 2020 and increased 1.4% in the two fiscal quarters of 2020. Excluding the impact of changes in foreign currency exchange rates, international franchise same store sales increased 2.4% in the second quarter of 2019 and increased 2.1% in the two fiscal quarters of 2019.</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Second Quarter</w:t>
            </w: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Two Fiscal</w:t>
            </w:r>
          </w:p>
        </w:tc>
        <w:tc>
          <w:tcPr>
            <w:tcW w:w="10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Two Fiscal</w:t>
            </w:r>
          </w:p>
        </w:tc>
      </w:tr>
      <w:tr>
        <w:trPr>
          <w:trHeight w:val="171"/>
        </w:trPr>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34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Quarters of 2020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Quarters of 2019</w:t>
            </w:r>
          </w:p>
        </w:tc>
        <w:tc>
          <w:tcPr>
            <w:tcW w:w="180" w:type="dxa"/>
            <w:vAlign w:val="bottom"/>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$920.0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$811.6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1,793.1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1,647.6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10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562.9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495.0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1,095.9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1,008.7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r>
      <w:tr>
        <w:trPr>
          <w:trHeight w:val="20"/>
        </w:trPr>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margin</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357.1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w:t>
            </w:r>
            <w:r>
              <w:rPr>
                <w:rFonts w:ascii="Arial" w:cs="Arial" w:eastAsia="Arial" w:hAnsi="Arial"/>
                <w:sz w:val="18"/>
                <w:szCs w:val="18"/>
                <w:u w:val="single" w:color="auto"/>
                <w:color w:val="auto"/>
              </w:rPr>
              <w:t>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r>
              <w:rPr>
                <w:rFonts w:ascii="Arial" w:cs="Arial" w:eastAsia="Arial" w:hAnsi="Arial"/>
                <w:sz w:val="18"/>
                <w:szCs w:val="18"/>
                <w:u w:val="single" w:color="auto"/>
                <w:color w:val="auto"/>
              </w:rPr>
              <w:t>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r>
      <w:tr>
        <w:trPr>
          <w:trHeight w:val="20"/>
        </w:trPr>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Cost of sales consists primarily of Company-owned store and supply chain costs incurred to generate related revenues. Components of consolidated cost of sales primarily include food, labor, delivery and occupancy costs.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Consolidated operating margin (which we define as revenues less cost of sales) increased $40.4 million, or 12.8%, in the second quarter of 2020 and increased $58.2 million, or 9.1%, in the two fiscal quarters of 2020 due primarily to higher U.S. franchise revenues and higher supply chain volumes. Lower international franchise royalties and fee revenues negatively impacted the consolidated operating margin in the second quarter and two fiscal quarters of 2020. Franchise revenues do not have a cost of sales component, so changes in these revenues have a disproportionate effect on the operating margin.</w:t>
      </w:r>
    </w:p>
    <w:p>
      <w:pPr>
        <w:spacing w:after="0" w:line="18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As a percentage of revenues, the consolidated operating margin decreased 0.2 percentage points in the second quarter of 2020 and increased 0.1 percentage points in the two fiscal quarters of 2020. Company-owned store operating margin decreased 0.4 percentage points in the second quarter of 2020 and decreased 0.2 percentage points in the two fiscal quarters of 2020. Supply chain operating margin increased 0.6 percentage points in the second quarter of 2020 and increased 0.3 percentage points in the two fiscal quarters of 2020. These changes in operating margin are more fully discussed below.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Company-Owned Stores Operating Margin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Two Fiscal</w:t>
            </w:r>
          </w:p>
        </w:tc>
        <w:tc>
          <w:tcPr>
            <w:tcW w:w="8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Two Fiscal</w:t>
            </w:r>
          </w:p>
        </w:tc>
      </w:tr>
      <w:tr>
        <w:trPr>
          <w:trHeight w:val="171"/>
        </w:trPr>
        <w:tc>
          <w:tcPr>
            <w:tcW w:w="3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1"/>
              </w:rPr>
              <w:t>of 2020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Quarters of 2020</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Quarters of 2019</w:t>
            </w:r>
          </w:p>
        </w:tc>
        <w:tc>
          <w:tcPr>
            <w:tcW w:w="180" w:type="dxa"/>
            <w:vAlign w:val="bottom"/>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105.0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216.6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228.5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80.4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167.2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175.9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0"/>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 operating margin</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r>
        <w:trPr>
          <w:trHeight w:val="20"/>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U.S. Company-owned store operating margin (which does not include certain store-level costs such as royalties and advertising) increased $1.8 million, or 7.2%, in the second quarter of 2020 due primarily to higher same store sales, partially offset by the 2019 Store Sale and higher labor costs. The U.S. Company-owned store operating margin decreased $3.2 million, or 6.1%, in the two fiscal quarters of 2020 due primarily to the 2019 Store Sale, partially offset by same store sales growth. Operating margin in both the second quarter and the two fiscal quarters of 2020 was also negatively impacted by higher labor costs, partially offset by higher same store sales. As a percentage of store revenues, the store operating margin decreased 0.4 percentage points in the second quarter of 2020 and decreased 0.2 percentage points in the two fiscal quarters of 2020. These changes in operating margin as a percentage of revenues are discussed in more detail below.</w:t>
      </w:r>
    </w:p>
    <w:p>
      <w:pPr>
        <w:spacing w:after="0" w:line="69" w:lineRule="exact"/>
        <w:rPr>
          <w:sz w:val="20"/>
          <w:szCs w:val="20"/>
          <w:color w:val="auto"/>
        </w:rPr>
      </w:pPr>
    </w:p>
    <w:p>
      <w:pPr>
        <w:ind w:left="980" w:right="12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Food costs decreased 1.2 percentage points to 25.7% in the second quarter of 2020 due to the leveraging of higher same store sales and lower food prices. Food costs decreased 0.3 percentage points to 26.7% in the two fiscal quarters of 2020 due primarily to the leveraging of higher same store sales, partially offset by higher food prices.</w:t>
      </w:r>
    </w:p>
    <w:p>
      <w:pPr>
        <w:spacing w:after="0" w:line="75" w:lineRule="exact"/>
        <w:rPr>
          <w:rFonts w:ascii="Arial" w:cs="Arial" w:eastAsia="Arial" w:hAnsi="Arial"/>
          <w:sz w:val="18"/>
          <w:szCs w:val="18"/>
          <w:color w:val="auto"/>
        </w:rPr>
      </w:pPr>
    </w:p>
    <w:p>
      <w:pPr>
        <w:ind w:left="980" w:right="12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 costs increased 2.5 percentage points to 31.9% in the second quarter of 2020 and increased 0.3 percentage points to 30.5% in the two fiscal quarters of 2020 due primarily to additional bonus pay provided to front-line team members during the COVID-19 pandemic. These increases were partially offset by reduced labor costs as a percentage of store revenues resulting from the 2019 Store Sale due to the high labor rates in the market in which the sold stores operated.</w:t>
      </w:r>
    </w:p>
    <w:p>
      <w:pPr>
        <w:spacing w:after="0" w:line="7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Occupancy costs decreased 0.9 percentage points to 6.9% in the second quarter of 2020 and decreased 0.2 percentage points to 7.4% in the two fiscal quarters of 2020 due primarily to lower rent costs.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 Operating Margin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Second Quarter</w:t>
            </w:r>
          </w:p>
        </w:tc>
        <w:tc>
          <w:tcPr>
            <w:tcW w:w="80" w:type="dxa"/>
            <w:vAlign w:val="bottom"/>
          </w:tcPr>
          <w:p>
            <w:pPr>
              <w:spacing w:after="0"/>
              <w:rPr>
                <w:sz w:val="14"/>
                <w:szCs w:val="14"/>
                <w:color w:val="auto"/>
              </w:rPr>
            </w:pPr>
          </w:p>
        </w:tc>
        <w:tc>
          <w:tcPr>
            <w:tcW w:w="13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Second 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Two Fiscal</w:t>
            </w: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Two Fiscal</w:t>
            </w:r>
          </w:p>
        </w:tc>
      </w:tr>
      <w:tr>
        <w:trPr>
          <w:trHeight w:val="171"/>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5"/>
              </w:rPr>
              <w:t>of 2020</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of 2019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Quarters of 2020</w:t>
            </w:r>
          </w:p>
        </w:tc>
        <w:tc>
          <w:tcPr>
            <w:tcW w:w="34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Quarters of 2019</w:t>
            </w:r>
          </w:p>
        </w:tc>
        <w:tc>
          <w:tcPr>
            <w:tcW w:w="180" w:type="dxa"/>
            <w:vAlign w:val="bottom"/>
          </w:tcPr>
          <w:p>
            <w:pPr>
              <w:spacing w:after="0"/>
              <w:rPr>
                <w:sz w:val="14"/>
                <w:szCs w:val="14"/>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539.1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467.6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1,051.8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$939.7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475.1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414.6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928.7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832.7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r>
      <w:tr>
        <w:trPr>
          <w:trHeight w:val="20"/>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Supply chain operating margin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0"/>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86"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supply chain operating margin increased $11.0 million, or 20.9%, in the second quarter of 2020 and increased $16.3 million, or 15.2%, in the two fiscal quarters of 2020, primarily driven by higher volumes from increased orders. As a percentage of supply chain revenues, the supply chain operating margin increased 0.6 percentage points in the second quarter of 2020 and increased 0.3 percentage points in the two fiscal quarters of 2020 due primarily to lower delivery costs. The increase in margin for the two fiscal quarters of 2020 was partially offset by higher food costs as a percentage of supply chain revenues.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General and administrative expenses decreased $1.1 million, or 1.3%, in the second quarter of 2020 and decreased $2.3 million, or 1.3%, in the two fiscal quarters of 2020, driven by lower travel expenses, partially offset by higher professional fees. A $2.4 million pre-tax loss related to the 2019 Store Sale also contributed to the decreases.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Franchise Advertising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U.S. franchise advertising expenses increased $16.9 million, or 19.1%, in the second quarter of 2020 and increased $23.7 million, or 13.3%, in the two fiscal quarters of 2020 due to higher U.S. franchise advertising revenues.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Interest expense, net increased $6.2 million, or 18.6%, in the second quarter of 2020 and increased $10.3 million, or 15.3%, in the two fiscal quarters of 2020 driven primarily by higher average debt balances resulting from the 2019 Recapitalization and borrowings under the Company’s variable funding notes in the second quarter of 2020.</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Company’s weighted average borrowing rate decreased to 3.9% in both the second quarter and the two fiscal quarters of 2020, from 4.1% in both the second quarter and the two fiscal quarters of 2019, resulting from the lower interest rates on the debt outstanding in 2020 as compared to the same periods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Provision for income taxes decreased $7.8 million, or 57.2%, in the second quarter of 2020 and decreased $28.6 million, or 94.9%, in the two fiscal quarters of 2020 due primarily to higher excess tax benefits on equity-based compensation, which are recorded as a reduction to the income tax provision, partially offset by higher pre-tax income. The Company recognized $23.0 million in excess tax benefits in the second quarter of 2020 as compared to $9.9 million in the second quarter of 2019 and recognized $53.4 million in excess tax benefits in the two fiscal quarters of 2020 as compared to $18.4 million in the two fiscal quarters of 2019, resulting from a significant increase in stock options exercised in 2020 as compared to 2019. The effective tax rate decreased to 4.7% in the second quarter of 2020 and decreased to 0.6% in the two fiscal quarters of 2020 as compared to 12.9% in the second quarter of 2019 and 14.0% in the two fiscal quarters of 2019.</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Impact</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As of July 8, 2020, nearly all of our U.S. stores remain open, with dining rooms closed and stores deploying contactless delivery and carryout solutions. Based on information reported to us by our master franchisees, we estimate that as of July 8, 2020, there were fewer than 600 international stores temporarily closed.</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discussed further in “Liquidity and Capital Resources”, given the market uncertainty arising from COVID-19, we took a precautionary measure and borrowed $158.0 million under our variable funding notes during the second quarter of 2020. We subsequently repaid $100.0 million of these borrowings during the second quarter of 2020. Subsequent to the second quarter of 2020, we repaid an additional $15.0 million under our variable funding notes.</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In the two fiscal quarters of 2020, we made significant investments in our team members as a result of the COVID-19 pandemic, including through enhanced sick pay policies and bonuses for our hourly corporate store and supply chain team members. While it is not possible at this time to estimate the full continued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35 to 45 inventory turns per year. In addition, our sales are not typically seasonal, which further limits our working capital requirements. The use of our ongoing cash flows from operations to service our debt obligations, invest in our business, pay dividends and repurchase our common stock reduces our working capital amounts. As of June 14, 2020, we had working capital of $224.8 million, excluding restricted cash and cash equivalents of $238.2 million, advertising fund assets, restricted, of $113.1 million and advertising fund liabilities of $108.9 million. Working capital includes total unrestricted cash and cash equivalents of $248.0 million.</w:t>
      </w:r>
    </w:p>
    <w:p>
      <w:pPr>
        <w:spacing w:after="0" w:line="166"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During the second quarter and two fiscal quarters of 2020, we experienced increases in both U.S. and international same store sales versus the comparable periods in the prior year. Additionally, our international and U.S. businesses grew store counts in the second quarter and the two fiscal quarters of 2020. These factors contributed to our continued ability to generate positive operating cash flows. 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our common stock. We did not have any material commitments for capital expenditures as of June 14, 2020.</w:t>
      </w:r>
    </w:p>
    <w:p>
      <w:pPr>
        <w:spacing w:after="0" w:line="16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Based upon our current level of operations and anticipated growth, we believe that the cash generated from operations, our current unrestricted cash and cash equivalents and amounts available under our variable funding note facility will be adequate to meet our anticipated debt service requirements, capital expenditures and working capital needs for at least the next twelve months. Our ability to continue to fund these items and continue to reduce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fixed and floating rate notes and to service, extend or refinance our variable funding notes will be subject to future economic conditions and to financial, business and other factors, many of which are beyond our control.</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As of June 14, 2020, we had approximately $188.7 million of restricted cash held for future principal and interest payments and other working capital requirements of our asset-backed securitization structure (including $58.0 million related to our variable funding notes), $47.3 million of restricted cash held in a three-month interest reserve as required by the related debt agreements and $2.2 million of other restricted cash for a total of $238.2 million of restricted cash and cash equivalents. As of June 14, 2020, we also held $84.2 million of advertising fund restricted cash and cash equivalents, which can only be used for activities that promote the Domino’s Pizza brand.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As of June 14, 2020, we had approximately $4.17 billion of total debt, of which $43.0 million was classified as a current liability. Our fixed and floating rate notes from the recapitalizations we completed in 2019, 2018, 2017 and 2015 have original scheduled principal payments of $21.0 million in the remainder of 2020, $42.0 million in 2021, $897.0 million in 2022, $33.0 million in each of 2023 and 2024, $1.15 billion in 2025, $20.8 million in 2026, $1.28 billion in 2027, $6.8 million in 2028 and $614.3 million in 2029. As of June 14, 2020, we had $58.0 million of outstanding borrowings under our variable funding notes and $102.0 million available for borrowing, net of letters of credit issued of $40.0 million. Subsequent to the end of the second quarter of 2020, we repaid $15.0 million of these outstanding borrowings under our variable funding notes. As of July 8, 2020, we had</w:t>
      </w:r>
    </w:p>
    <w:p>
      <w:pPr>
        <w:spacing w:after="0" w:line="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$117.0 million of available borrowings under our $200.0 million variable funding notes, net of letters of credit issued of $40.0 million and borrowings outstanding of $43.0 million. The letters of credit are primarily related to our casualty insurance programs and supply chain center leases. Borrowings under the variable funding notes are available to fund our working capital requirements, capital expenditures and, subject to other limitations, other general corporate purposes including dividend payments and share repurchases.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Repurchase Programs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 The Company’s Board of Directors authorized a share repurchase program to repurchase up to $1.0 billion of the Company’s common stock on October 4, 2019.</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During the first week of the first quarter of 2020, we repurchased and retired 271,064 shares of our common stock under our Board of Directors-approved share repurchase program for a total of approximately $79.6 million. We did not repurchase and retire any shares of our common stock during the remainder of the first quarter or during the second quarter of 2020. As of June 14, 2020, the Company had a total remaining authorized amount for share repurchases of approximately $326.6 million.</w:t>
      </w:r>
    </w:p>
    <w:p>
      <w:pPr>
        <w:spacing w:after="0" w:line="18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During the second quarter of 2019, we repurchased and retired 12,295 shares of our common stock under our Board of Directors-approved share repurchase program for a total of approximately $3.3 million. During the two fiscal quarters of 2019, we repurchased and retired 45,844 shares of our common stock under our Board of Directors-approved share repurchase program for a total of approximately $11.5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March 30, 2020, the Company paid a $0.78 dividend to its shareholders of record as of March 13, 2020. During the second quarter of 2020, on April 21, 2020, the Company’s Board of Directors declared a $0.78 per share quarterly dividend on its outstanding common stock for shareholders of record as of June 15, 2020, which was paid on June 30, 2020.</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Subsequent to the second quarter, on July 15, 2020, the Company’s Board of Directors declared a $0.78 per share quarterly dividend on its outstanding common stock for shareholders of record as of September 15, 2020 to be paid on September 30, 2020.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Two Fiscal Quarters</w:t>
            </w:r>
          </w:p>
        </w:tc>
        <w:tc>
          <w:tcPr>
            <w:tcW w:w="4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Two Fiscal Quarters</w:t>
            </w:r>
          </w:p>
        </w:tc>
      </w:tr>
      <w:tr>
        <w:trPr>
          <w:trHeight w:val="171"/>
        </w:trPr>
        <w:tc>
          <w:tcPr>
            <w:tcW w:w="4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of 2020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2019</w:t>
            </w:r>
          </w:p>
        </w:tc>
      </w:tr>
      <w:tr>
        <w:trPr>
          <w:trHeight w:val="20"/>
        </w:trPr>
        <w:tc>
          <w:tcPr>
            <w:tcW w:w="7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211.8</w:t>
            </w:r>
          </w:p>
        </w:tc>
        <w:tc>
          <w:tcPr>
            <w:tcW w:w="50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201.6</w:t>
            </w: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(50.9)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r>
      <w:tr>
        <w:trPr>
          <w:trHeight w:val="195"/>
        </w:trPr>
        <w:tc>
          <w:tcPr>
            <w:tcW w:w="4840" w:type="dxa"/>
            <w:vAlign w:val="bottom"/>
            <w:gridSpan w:val="2"/>
          </w:tcPr>
          <w:p>
            <w:pPr>
              <w:spacing w:after="0" w:line="195" w:lineRule="exact"/>
              <w:rPr>
                <w:sz w:val="20"/>
                <w:szCs w:val="20"/>
                <w:color w:val="auto"/>
              </w:rPr>
            </w:pPr>
            <w:r>
              <w:rPr>
                <w:rFonts w:ascii="Arial" w:cs="Arial" w:eastAsia="Arial" w:hAnsi="Arial"/>
                <w:sz w:val="18"/>
                <w:szCs w:val="18"/>
                <w:color w:val="auto"/>
              </w:rPr>
              <w:t>Change in cash and cash equivalents, restricted cash</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and cash equivalents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86.4</w:t>
            </w:r>
          </w:p>
        </w:tc>
        <w:tc>
          <w:tcPr>
            <w:tcW w:w="50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7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Activities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Cash provided by operating activities increased $10.2 million in the two fiscal quarters of 2020 due to an increase in net income of $55.3 million and higher non-cash amounts of $0.7 million. These increases were partially offset by a $45.7 million negative impact of changes in operating assets and liabilities, primarily related to an increase in our inventory balance during 2020 as compared to 2019 resulting from increased supply chain volumes and additional inventory for supplies related to the COVID-19 pandemic. An increase in our accounts receivable balance during 2020 as compared to 2019 due primarily to the increase in supply chain volumes and the timing of receipts also negatively impacted cash provided by operating activities during 2020 as compared to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Investing Activities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Cash used in investing activities was $74.2 million in the two fiscal quarters of 2020, which consisted primarily of the investment in Dash Brands of $40.0 million and capital expenditures of $33.7 million (driven primarily by investments in technological initiatives, supply chain centers and corporate stores).</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Cash used in investing activities was $2.5 million in the two fiscal quarters of 2019, which consisted primarily of $25.7 million of capital expenditures (driven primarily by investments in technological initiatives and supply chain centers). This use of cash was partially offset by maturities of advertising fund investments, restricted of $15.2 million and proceeds from the sale of assets of $8.2 million, which primarily related to the 2019 Store Sale.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Financing Activities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Cash used in financing activities was $50.9 million in the two fiscal quarters of 2020. We borrowed $158.0 million under our variable funding notes during the two fiscal quarters of 2020 and repaid $122.0 million of long-term debt (of which $100.0 million related to the repayment of borrowings under our variable funding notes). We also repurchased approximately $79.6 million in common stock under our Board of Directors-approved share repurchase program in the first week of 2020, made dividend payments to our shareholders of $30.3 million and made tax payments for restricted stock upon vesting of $1.8 million. These uses of cash were partially offset by proceeds from the exercise of stock options of $24.8 million.</w:t>
      </w:r>
    </w:p>
    <w:p>
      <w:pPr>
        <w:spacing w:after="0" w:line="16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Cash used in financing activities was $114.3 million in the two fiscal quarters of 2019, primarily related to repayments of long-term debt of $82.9 million (of which $65.0 million related to the repayment of borrowings under our variable funding notes), dividend payments to our shareholders of $26.7 million, purchases of common stock of $11.5 million under our Board of Directors-approved share repurchase program and tax payments for restricted stock upon vesting of $2.6 million. These uses of cash were partially offset by proceeds from the exercise of stock options of $9.3 million.</w:t>
      </w:r>
    </w:p>
    <w:p>
      <w:pPr>
        <w:sectPr>
          <w:pgSz w:w="11900" w:h="16838" w:orient="portrait"/>
          <w:cols w:equalWidth="0" w:num="1">
            <w:col w:w="11120"/>
          </w:cols>
          <w:pgMar w:left="320" w:top="486" w:right="459" w:bottom="1440" w:gutter="0" w:footer="0" w:header="0"/>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86"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2019 Form 10-K and in our Quarterly Report on Form 10-Q for the quarterly period ended March 22, 2020.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effectiveness of our advertising, operations and promotional initiatives; the strength of our brand, including our ability to compete in the U.S. and internationally in our intensely competitive industry, including the food service and food delivery markets; our ability to manage difficulties associated with or related to the COVID-19 pandemic and the effects of COVID-19 on our business and supply chain; the impact of social media and other consumer-oriented technologies on our business, brand and reputation; new product, digital ordering and concept developments by us, and other food-industry competitors; the impact of new or improved technologies and alternative methods of delivery on consumer behavior; our ability to maintain good relationships with and attract new franchisees, and franchisees’ ability to profitably manage their operations without negatively impacting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preferences,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do not engage in speculative transactions nor do we hold or issue financial instruments for trading purposes. In connection with the recapitalizations of our business, we issued fixed and floating rate notes and entered into variable funding notes and, at June 14, 2020, we are exposed to interest rate risk on borrowings under our floating rate notes and variable funding notes. As of June 14, 2020, we had $58.0 million of outstanding borrowings under our variable funding notes. Subsequent to the second quarter of 2020, we repaid $15.0 million of these borrowings. Our floating rate notes and our variable funding notes bear interest at fluctuating interest rates based on LIBOR.</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There is currently uncertainty around whether LIBOR will continue to exist after 2021. If LIBOR ceases to exist, we may need to renegotiate our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exposure to various foreign currency exchange rate fluctuations for revenues generated by our operations outside the U.S., which can adversely impact our net income and cash flows. Approximately 5.2% of our total revenues in the second quarter of 2020, approximately 5.9% of our total revenues in the two fiscal quarters of 2020,and approximately 6.8% of our total revenues in the second quarter of 2019 and approximately 6.6% of our total revenues in the two fiscal quarters of 2019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rate risk. A hypothetical 10% adverse change in the foreign currency exchange rates for our international markets would have resulted in a negative impact on royalty revenues of approximately $9.3 million in the two fiscal quarters of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Management, with the participation of the Company’s Chief Executive Officer, Richard E. Allison, Jr., and Executive Vice President and Chief Financial Officer, Jeffrey D. Lawrence,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and Mr. Lawrence concluded that the Company’s disclosure controls and procedures were effective.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quarterly period ended June 14, 2020, there were no changes in the Company’s internal controls over financial reporting, as defined in Rules 13a-15(f) and 15d-15(f) under the Securities and Exchange Act of 1934, as amended, that have materially affected or are reasonably likely to materially affect the Company’s internal control over financial reporting.</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as well as intellectual property, including patents.</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February 14, 2011, Domino’s Pizza LLC was named as a defendant in a lawsuit along with Fischler Enterprises of C.F., Inc., a franchisee, and Jeffrey S. Kidd, the franchisee’s delivery driver, filed by Yvonne Wiederhold, the plaintiff, as Personal Representative of the Estate of Richard E. Wiederhold, deceased. The case involved a traffic accident in which the franchisee’s delivery driver is alleged to have caused an accident involving a vehicle driven by Richard Wiederhold. Mr. Wiederhold sustained spinal injuries resulting in quadriplegia and passed away several months after the accident. The case went to trial in 2016 and the Company was found liable, but the verdict was reversed by the Florida Fifth District Court of Appeals in May 2018 and was remanded to the Ninth Judicial Circuit Court of Florida for a new trial. The case was tried again in June 2019 and the jury returned a $9.0 million judgment for the plaintiff where the Company and Mr. Kidd were found to be 100% liable (after certain offsets and other deductions the final verdict was $8.0 million). The Company continues to deny liability and has filed an appeal.</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Except as set forth below, there have been no material changes with respect to those risk factors previously disclosed in Item 1A “Risk Factors” in Part I of our 2019 Form 10-K.</w:t>
      </w:r>
    </w:p>
    <w:p>
      <w:pPr>
        <w:spacing w:after="0" w:line="166"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Our operations have been and are expected to continue to be adversely affected by the COVID-19 pandemic, which could adversely affect our business, financial condition and results of operations as well.</w:t>
      </w:r>
    </w:p>
    <w:p>
      <w:pPr>
        <w:spacing w:after="0" w:line="16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COVID-19 pandemic has spread across the globe and is impacting worldwide economic activity. A public health pandemic such as COVID-19 poses the risk that we and/or our employees, franchisees, supply chain centers, suppliers, customers and other partners may be, or may continue to be, prevented from conducting business activities for an indefinite period of time, including due to shutdowns, travel restrictions, social distancing requirements, stay at home orders and advisories and other restrictions that have been or may be suggested or mandated by governmental authorities, or due to the impact of the disease itself on the business’ workforces. In addition, COVID-19 may impact the willingness of customers to purchase food prepared outside of the home. The COVID-19 pandemic may also have the effect of heightening many of the other risks described in the ‘‘Risk Factors’’ section of our 2019 Form 10-K, including but not limited to those relating to our growth strategy, our supply chain and increased food and labor costs, disruption in operations, loss of key employees, our indebtedness, general economic conditions and our international operations.</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response to governmental requirements, we and our franchisees have, among other measures, temporarily closed certain of our stores, modified certain stores’ hours and closed locations to in-store dining, and continue to monitor additional developments. We have also made additional operating changes to respond to changes in consumer behavior resulting from COVID-19, including offering contactless delivery and carryout options to our customers. While it is not possible at this time to estimate the full impact that COVID-19 could have on our business going forward, the continued spread of the virus and the measures taken by governments or by us in response have disrupted our operations and could disrupt our supply chain, including our access to face coverings and gloves for use in our operations, which could adversely impact our business, financial condition and results of operations. The COVID-19 pandemic and mitigation measures have also had an adverse impact on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deflation, prolonged weak consumer demand, political instability or other changes.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00" w:type="dxa"/>
            <w:vAlign w:val="bottom"/>
          </w:tcPr>
          <w:p>
            <w:pPr>
              <w:spacing w:after="0"/>
              <w:rPr>
                <w:sz w:val="12"/>
                <w:szCs w:val="12"/>
                <w:color w:val="auto"/>
              </w:rPr>
            </w:pPr>
          </w:p>
        </w:tc>
        <w:tc>
          <w:tcPr>
            <w:tcW w:w="14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3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Average 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8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Under the Program</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20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 (2)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Period #4 (March 22, 2020 to April 19,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336.08</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Period #5 (April 20, 2020 to May 17, 2020)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359.07</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Period #6 (May 18, 2020 to June 14,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385.99</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359.48</w:t>
            </w:r>
          </w:p>
        </w:tc>
        <w:tc>
          <w:tcPr>
            <w:tcW w:w="200" w:type="dxa"/>
            <w:vAlign w:val="bottom"/>
          </w:tcPr>
          <w:p>
            <w:pPr>
              <w:spacing w:after="0"/>
              <w:rPr>
                <w:sz w:val="18"/>
                <w:szCs w:val="18"/>
                <w:color w:val="auto"/>
              </w:rPr>
            </w:pP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2,991 shares in the second quarter of 2020 were purchased as part of the Company’s employee stock payroll deduction plan at an average price of $359.48.</w:t>
      </w:r>
    </w:p>
    <w:p>
      <w:pPr>
        <w:spacing w:after="0" w:line="1" w:lineRule="exact"/>
        <w:rPr>
          <w:rFonts w:ascii="Arial" w:cs="Arial" w:eastAsia="Arial" w:hAnsi="Arial"/>
          <w:sz w:val="18"/>
          <w:szCs w:val="18"/>
          <w:color w:val="auto"/>
        </w:rPr>
      </w:pPr>
    </w:p>
    <w:p>
      <w:pPr>
        <w:ind w:left="540" w:right="80" w:hanging="424"/>
        <w:spacing w:after="0" w:line="295"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June 14, 2020, the Company had a Board of Directors-approved share repurchase program for up to $1.0 billion of our common stock, of which $326.6 million remained available for future purchases of our common stock. 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0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4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2"/>
                <w:szCs w:val="22"/>
                <w:color w:val="auto"/>
              </w:rPr>
            </w:pPr>
          </w:p>
        </w:tc>
        <w:tc>
          <w:tcPr>
            <w:tcW w:w="96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by Richard E. Allison, Jr. pursuant to Rule 13a-14(a) and 15d-14(a), as adopted pursuant to Section 302 of the Sarbanes-</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Oxley Act of 2002, relating to Domino’s Pizza, Inc.</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660" w:type="dxa"/>
            <w:vAlign w:val="bottom"/>
            <w:gridSpan w:val="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by Jeffrey D. Lawrence pursuant to Rule 13a-14(a) and 15d-14(a), as adopted pursuant to Section 302 of the Sarbanes-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Oxley Act of 2002, relating to Domino’s Pizza, Inc.</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9660" w:type="dxa"/>
            <w:vAlign w:val="bottom"/>
            <w:gridSpan w:val="9"/>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by Richard E. Allison, Jr. pursuant to Section 1350, Chapter 63 of Title 18, United States Code, as adopted pursuant to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Section 906 of the Sarbanes-Oxley Act of 2002, relating to Domino’s Pizza, Inc.</w:t>
              </w:r>
            </w:hyperlink>
          </w:p>
        </w:tc>
        <w:tc>
          <w:tcPr>
            <w:tcW w:w="3680" w:type="dxa"/>
            <w:vAlign w:val="bottom"/>
            <w:tcBorders>
              <w:top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93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by Jeffrey D. Lawrence pursuant to Section 1350, Chapter 63 of Title 18, United States Code, as adopted pursuant to</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Section 906 of the Sarbanes-Oxley Act of 2002, relating to Domino’s Pizza, Inc.</w:t>
              </w:r>
            </w:hyperlink>
          </w:p>
        </w:tc>
        <w:tc>
          <w:tcPr>
            <w:tcW w:w="3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9"/>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040"/>
          </w:cols>
          <w:pgMar w:left="320" w:top="486" w:right="539" w:bottom="1440" w:gutter="0" w:footer="0" w:header="0"/>
        </w:sect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320" w:top="486" w:right="5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18"/>
          <w:szCs w:val="18"/>
          <w:color w:val="auto"/>
        </w:rPr>
        <w:t>Date: July 16, 2020</w:t>
      </w:r>
      <w:r>
        <w:rPr>
          <w:sz w:val="20"/>
          <w:szCs w:val="20"/>
          <w:color w:val="auto"/>
        </w:rPr>
        <w:tab/>
      </w:r>
      <w:r>
        <w:rPr>
          <w:rFonts w:ascii="Arial" w:cs="Arial" w:eastAsia="Arial" w:hAnsi="Arial"/>
          <w:sz w:val="16"/>
          <w:szCs w:val="16"/>
          <w:color w:val="auto"/>
        </w:rPr>
        <w:t>/s/ Jeffrey 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D. Lawrence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320" w:top="486" w:right="7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ind w:left="2504"/>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Richard E. Allison, Jr.,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July 16, 2020</w:t>
            </w:r>
          </w:p>
        </w:tc>
        <w:tc>
          <w:tcPr>
            <w:tcW w:w="5280" w:type="dxa"/>
            <w:vAlign w:val="bottom"/>
          </w:tcPr>
          <w:p>
            <w:pPr>
              <w:ind w:left="100"/>
              <w:spacing w:after="0"/>
              <w:rPr>
                <w:sz w:val="20"/>
                <w:szCs w:val="20"/>
                <w:color w:val="auto"/>
              </w:rPr>
            </w:pPr>
            <w:r>
              <w:rPr>
                <w:rFonts w:ascii="Arial" w:cs="Arial" w:eastAsia="Arial" w:hAnsi="Arial"/>
                <w:sz w:val="18"/>
                <w:szCs w:val="18"/>
                <w:color w:val="auto"/>
              </w:rPr>
              <w:t>/s/ Richard E. Allison, Jr.</w:t>
            </w:r>
          </w:p>
        </w:tc>
      </w:tr>
      <w:tr>
        <w:trPr>
          <w:trHeight w:val="195"/>
        </w:trPr>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560" w:type="dxa"/>
            <w:vAlign w:val="bottom"/>
          </w:tcPr>
          <w:p>
            <w:pPr>
              <w:spacing w:after="0"/>
              <w:rPr>
                <w:sz w:val="16"/>
                <w:szCs w:val="16"/>
                <w:color w:val="auto"/>
              </w:rPr>
            </w:pPr>
          </w:p>
        </w:tc>
        <w:tc>
          <w:tcPr>
            <w:tcW w:w="5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E. Allison, Jr.</w:t>
            </w:r>
          </w:p>
        </w:tc>
      </w:tr>
      <w:tr>
        <w:trPr>
          <w:trHeight w:val="230"/>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4"/>
          </w:cols>
          <w:pgMar w:left="436" w:top="125"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ind w:left="2524"/>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Jeffrey D. Lawrence,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July 16, 2020</w:t>
            </w:r>
          </w:p>
        </w:tc>
        <w:tc>
          <w:tcPr>
            <w:tcW w:w="5280" w:type="dxa"/>
            <w:vAlign w:val="bottom"/>
          </w:tcPr>
          <w:p>
            <w:pPr>
              <w:ind w:left="100"/>
              <w:spacing w:after="0"/>
              <w:rPr>
                <w:sz w:val="20"/>
                <w:szCs w:val="20"/>
                <w:color w:val="auto"/>
              </w:rPr>
            </w:pPr>
            <w:r>
              <w:rPr>
                <w:rFonts w:ascii="Arial" w:cs="Arial" w:eastAsia="Arial" w:hAnsi="Arial"/>
                <w:sz w:val="18"/>
                <w:szCs w:val="18"/>
                <w:color w:val="auto"/>
              </w:rPr>
              <w:t>/s/ Jeffrey D. Lawrence</w:t>
            </w:r>
          </w:p>
        </w:tc>
      </w:tr>
      <w:tr>
        <w:trPr>
          <w:trHeight w:val="195"/>
        </w:trPr>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560" w:type="dxa"/>
            <w:vAlign w:val="bottom"/>
          </w:tcPr>
          <w:p>
            <w:pPr>
              <w:spacing w:after="0"/>
              <w:rPr>
                <w:sz w:val="16"/>
                <w:szCs w:val="16"/>
                <w:color w:val="auto"/>
              </w:rPr>
            </w:pPr>
          </w:p>
        </w:tc>
        <w:tc>
          <w:tcPr>
            <w:tcW w:w="5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D. Lawrence</w:t>
            </w:r>
          </w:p>
        </w:tc>
      </w:tr>
      <w:tr>
        <w:trPr>
          <w:trHeight w:val="230"/>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5"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June 14, 2020,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89"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 Richard E. Allison,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E. Allison, Jr.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16, 2020</w:t>
      </w:r>
    </w:p>
    <w:p>
      <w:pPr>
        <w:spacing w:after="0" w:line="22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020"/>
          </w:cols>
          <w:pgMar w:left="44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June 14, 2020, as filed with the Securities and Exchange Commission (the “Report”), I, Jeffrey D. Lawrence, Chief Financial Officer of the Company, certify, pursuant to 18 U.S.C. § 1350, adopted pursuant to §906 of the Sarbanes-Oxley Act of 2002, that based on my knowledge:</w:t>
      </w:r>
    </w:p>
    <w:p>
      <w:pPr>
        <w:spacing w:after="0" w:line="89"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 Jeffrey D. Lawrence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D. Lawrence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16, 2020</w:t>
      </w:r>
    </w:p>
    <w:p>
      <w:pPr>
        <w:spacing w:after="0" w:line="22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2020-07-16T06:38:12Z</dcterms:created>
  <dcterms:modified xsi:type="dcterms:W3CDTF">2020-07-16T06:38:12Z</dcterms:modified>
</cp:coreProperties>
</file>